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F8456" w14:textId="7F9EEBB3" w:rsidR="004B59C8" w:rsidRPr="001C3290" w:rsidRDefault="004B59C8" w:rsidP="00451332">
      <w:pPr>
        <w:pStyle w:val="Heading2"/>
        <w:numPr>
          <w:ilvl w:val="0"/>
          <w:numId w:val="0"/>
        </w:numPr>
        <w:rPr>
          <w:rFonts w:asciiTheme="minorHAnsi" w:hAnsiTheme="minorHAnsi" w:cstheme="minorHAnsi"/>
        </w:rPr>
      </w:pPr>
      <w:r w:rsidRPr="001C3290">
        <w:rPr>
          <w:rFonts w:asciiTheme="minorHAnsi" w:hAnsiTheme="minorHAnsi" w:cstheme="minorHAnsi"/>
        </w:rPr>
        <w:t xml:space="preserve">Table 1 Review of </w:t>
      </w:r>
      <w:r w:rsidR="00470058">
        <w:rPr>
          <w:rFonts w:asciiTheme="minorHAnsi" w:hAnsiTheme="minorHAnsi" w:cstheme="minorHAnsi"/>
        </w:rPr>
        <w:t>Published Studies</w:t>
      </w:r>
      <w:r w:rsidRPr="001C3290">
        <w:rPr>
          <w:rFonts w:asciiTheme="minorHAnsi" w:hAnsiTheme="minorHAnsi" w:cstheme="minorHAnsi"/>
        </w:rPr>
        <w:t xml:space="preserve"> </w:t>
      </w:r>
      <w:r w:rsidR="00470058">
        <w:rPr>
          <w:rFonts w:asciiTheme="minorHAnsi" w:hAnsiTheme="minorHAnsi" w:cstheme="minorHAnsi"/>
        </w:rPr>
        <w:t xml:space="preserve">(2000-2014) </w:t>
      </w:r>
      <w:r w:rsidRPr="001C3290">
        <w:rPr>
          <w:rFonts w:asciiTheme="minorHAnsi" w:hAnsiTheme="minorHAnsi" w:cstheme="minorHAnsi"/>
        </w:rPr>
        <w:t xml:space="preserve">Comparing Ex Ante and Ex Post Estimates of Costs of Regulation to Business </w:t>
      </w:r>
    </w:p>
    <w:tbl>
      <w:tblPr>
        <w:tblStyle w:val="GridTable4"/>
        <w:tblW w:w="15021" w:type="dxa"/>
        <w:tblLayout w:type="fixed"/>
        <w:tblLook w:val="04A0" w:firstRow="1" w:lastRow="0" w:firstColumn="1" w:lastColumn="0" w:noHBand="0" w:noVBand="1"/>
      </w:tblPr>
      <w:tblGrid>
        <w:gridCol w:w="4531"/>
        <w:gridCol w:w="1134"/>
        <w:gridCol w:w="1701"/>
        <w:gridCol w:w="2694"/>
        <w:gridCol w:w="4961"/>
      </w:tblGrid>
      <w:tr w:rsidR="00A85173" w:rsidRPr="00D877C1" w14:paraId="255AF287" w14:textId="77777777" w:rsidTr="00485F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B14A1CB" w14:textId="77777777" w:rsidR="00A85173" w:rsidRPr="00D877C1" w:rsidRDefault="00A85173" w:rsidP="005A5CDB">
            <w:pPr>
              <w:rPr>
                <w:rFonts w:cstheme="minorHAnsi"/>
                <w:sz w:val="18"/>
                <w:szCs w:val="18"/>
              </w:rPr>
            </w:pPr>
            <w:r w:rsidRPr="00D877C1">
              <w:rPr>
                <w:rFonts w:cstheme="minorHAnsi"/>
                <w:sz w:val="18"/>
                <w:szCs w:val="18"/>
              </w:rPr>
              <w:t>Study</w:t>
            </w:r>
          </w:p>
        </w:tc>
        <w:tc>
          <w:tcPr>
            <w:tcW w:w="1134" w:type="dxa"/>
          </w:tcPr>
          <w:p w14:paraId="118FDEB0" w14:textId="77777777" w:rsidR="00A85173" w:rsidRPr="00D877C1" w:rsidRDefault="00A85173" w:rsidP="005A5CDB">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Jurisdiction</w:t>
            </w:r>
          </w:p>
        </w:tc>
        <w:tc>
          <w:tcPr>
            <w:tcW w:w="1701" w:type="dxa"/>
          </w:tcPr>
          <w:p w14:paraId="6771EF63" w14:textId="6922AE99" w:rsidR="00A85173" w:rsidRPr="00D877C1" w:rsidRDefault="00A85173" w:rsidP="005A5CD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Sample and Time Period</w:t>
            </w:r>
          </w:p>
        </w:tc>
        <w:tc>
          <w:tcPr>
            <w:tcW w:w="2694" w:type="dxa"/>
          </w:tcPr>
          <w:p w14:paraId="18F9885A" w14:textId="77777777" w:rsidR="00A85173" w:rsidRPr="00D877C1" w:rsidRDefault="00A85173" w:rsidP="005A5CDB">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Sampling Method</w:t>
            </w:r>
          </w:p>
        </w:tc>
        <w:tc>
          <w:tcPr>
            <w:tcW w:w="4961" w:type="dxa"/>
          </w:tcPr>
          <w:p w14:paraId="37F0A0F0" w14:textId="77777777" w:rsidR="00A85173" w:rsidRPr="00D877C1" w:rsidRDefault="00A85173" w:rsidP="005A5CDB">
            <w:pPr>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Findings</w:t>
            </w:r>
          </w:p>
        </w:tc>
      </w:tr>
      <w:tr w:rsidR="00A85173" w:rsidRPr="00D877C1" w14:paraId="7A809E84"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D16E8A1" w14:textId="5C660C31" w:rsidR="00A85173" w:rsidRPr="00D877C1" w:rsidRDefault="00654F67" w:rsidP="005A5CDB">
            <w:pPr>
              <w:rPr>
                <w:rFonts w:cstheme="minorHAnsi"/>
                <w:b w:val="0"/>
                <w:sz w:val="18"/>
                <w:szCs w:val="18"/>
              </w:rPr>
            </w:pPr>
            <w:r w:rsidRPr="002503CB">
              <w:rPr>
                <w:rFonts w:cstheme="minorHAnsi"/>
                <w:b w:val="0"/>
                <w:sz w:val="18"/>
                <w:szCs w:val="18"/>
              </w:rPr>
              <w:t>Harrington, W., et al. (2000)</w:t>
            </w:r>
            <w:r w:rsidR="00A85173" w:rsidRPr="002503CB">
              <w:rPr>
                <w:rFonts w:cstheme="minorHAnsi"/>
                <w:b w:val="0"/>
                <w:sz w:val="18"/>
                <w:szCs w:val="18"/>
              </w:rPr>
              <w:t xml:space="preserve"> "On the accuracy of regulatory cost estimates." Journal of Policy Analysis and Management 19(2): 297-322.</w:t>
            </w:r>
          </w:p>
        </w:tc>
        <w:tc>
          <w:tcPr>
            <w:tcW w:w="1134" w:type="dxa"/>
          </w:tcPr>
          <w:p w14:paraId="62E73C2E" w14:textId="77777777" w:rsidR="00A85173" w:rsidRPr="00D877C1" w:rsidRDefault="00A85173" w:rsidP="005A5CD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 (Federal and California), Singapore, Norway, Ontario</w:t>
            </w:r>
          </w:p>
        </w:tc>
        <w:tc>
          <w:tcPr>
            <w:tcW w:w="1701" w:type="dxa"/>
          </w:tcPr>
          <w:p w14:paraId="077DB9CC" w14:textId="3ADB6B16" w:rsidR="00A85173" w:rsidRPr="00D877C1" w:rsidRDefault="00A85173" w:rsidP="005A5CD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28 Environmental (20) and Occupational Health and Safety Regulations (8); 1972-1996</w:t>
            </w:r>
          </w:p>
        </w:tc>
        <w:tc>
          <w:tcPr>
            <w:tcW w:w="2694" w:type="dxa"/>
          </w:tcPr>
          <w:p w14:paraId="7D4D769C" w14:textId="7916080F" w:rsidR="00A85173" w:rsidRPr="00D877C1" w:rsidRDefault="00865E2C" w:rsidP="005A5CD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Convenience</w:t>
            </w:r>
            <w:r w:rsidR="00A85173" w:rsidRPr="00D877C1">
              <w:rPr>
                <w:rFonts w:cstheme="minorHAnsi"/>
                <w:sz w:val="18"/>
                <w:szCs w:val="18"/>
              </w:rPr>
              <w:t xml:space="preserve"> (existence of an ex ante cost estimate developed by a regulatory agency with substantial expertise in cost analysis, and a relatively detailed ex post estimate, typically (but not always) prepared by an academic or independent analyst.</w:t>
            </w:r>
          </w:p>
        </w:tc>
        <w:tc>
          <w:tcPr>
            <w:tcW w:w="4961" w:type="dxa"/>
          </w:tcPr>
          <w:p w14:paraId="1FCC4505" w14:textId="7897D31B" w:rsidR="00A85173" w:rsidRPr="00D877C1" w:rsidRDefault="00A85173" w:rsidP="00B6359A">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Ex ante estimates of total costs exceeded (&gt;25%) actuals in 14 cases and were too low (&lt;25%) in 3 cases.</w:t>
            </w:r>
            <w:r w:rsidR="00B6359A">
              <w:rPr>
                <w:rFonts w:cstheme="minorHAnsi"/>
                <w:sz w:val="18"/>
                <w:szCs w:val="18"/>
              </w:rPr>
              <w:t xml:space="preserve"> Overestimates occurred more frequently is larger regulations.</w:t>
            </w:r>
          </w:p>
        </w:tc>
      </w:tr>
      <w:tr w:rsidR="00A85173" w:rsidRPr="00D877C1" w14:paraId="6E6603B0"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334E15A8" w14:textId="464C85A3" w:rsidR="00A85173" w:rsidRPr="00D877C1" w:rsidRDefault="00D13032" w:rsidP="00412423">
            <w:pPr>
              <w:autoSpaceDE w:val="0"/>
              <w:autoSpaceDN w:val="0"/>
              <w:adjustRightInd w:val="0"/>
              <w:rPr>
                <w:rFonts w:cstheme="minorHAnsi"/>
                <w:b w:val="0"/>
                <w:sz w:val="18"/>
                <w:szCs w:val="18"/>
              </w:rPr>
            </w:pPr>
            <w:r w:rsidRPr="005C694D">
              <w:rPr>
                <w:rFonts w:cstheme="minorHAnsi"/>
                <w:b w:val="0"/>
                <w:sz w:val="18"/>
                <w:szCs w:val="18"/>
              </w:rPr>
              <w:t>Hammitt, J.K. (2000)</w:t>
            </w:r>
            <w:r w:rsidR="00A85173" w:rsidRPr="005C694D">
              <w:rPr>
                <w:rFonts w:cstheme="minorHAnsi"/>
                <w:b w:val="0"/>
                <w:sz w:val="18"/>
                <w:szCs w:val="18"/>
              </w:rPr>
              <w:t xml:space="preserve"> </w:t>
            </w:r>
            <w:r w:rsidRPr="005C694D">
              <w:rPr>
                <w:rFonts w:cstheme="minorHAnsi"/>
                <w:b w:val="0"/>
                <w:sz w:val="18"/>
                <w:szCs w:val="18"/>
              </w:rPr>
              <w:t>“</w:t>
            </w:r>
            <w:r w:rsidR="00A85173" w:rsidRPr="005C694D">
              <w:rPr>
                <w:rFonts w:cstheme="minorHAnsi"/>
                <w:b w:val="0"/>
                <w:sz w:val="18"/>
                <w:szCs w:val="18"/>
              </w:rPr>
              <w:t xml:space="preserve">Are The Costs of Proposed Environmental Regulations Overestimated? Evidence from the CFC Phaseout', </w:t>
            </w:r>
            <w:r w:rsidR="00A85173" w:rsidRPr="005C694D">
              <w:rPr>
                <w:rFonts w:cstheme="minorHAnsi"/>
                <w:b w:val="0"/>
                <w:i/>
                <w:iCs/>
                <w:sz w:val="18"/>
                <w:szCs w:val="18"/>
              </w:rPr>
              <w:t xml:space="preserve">Reference Environmental and Resource Economics </w:t>
            </w:r>
            <w:r w:rsidR="00A85173" w:rsidRPr="005C694D">
              <w:rPr>
                <w:rFonts w:cstheme="minorHAnsi"/>
                <w:b w:val="0"/>
                <w:sz w:val="18"/>
                <w:szCs w:val="18"/>
              </w:rPr>
              <w:t>16: 3, 218-301.</w:t>
            </w:r>
          </w:p>
          <w:p w14:paraId="55A1907E" w14:textId="77777777" w:rsidR="00A85173" w:rsidRPr="00D877C1" w:rsidRDefault="00A85173" w:rsidP="005A5CDB">
            <w:pPr>
              <w:rPr>
                <w:rFonts w:cstheme="minorHAnsi"/>
                <w:b w:val="0"/>
                <w:sz w:val="18"/>
                <w:szCs w:val="18"/>
              </w:rPr>
            </w:pPr>
          </w:p>
        </w:tc>
        <w:tc>
          <w:tcPr>
            <w:tcW w:w="1134" w:type="dxa"/>
          </w:tcPr>
          <w:p w14:paraId="32311009" w14:textId="77777777" w:rsidR="00A85173" w:rsidRPr="00D877C1" w:rsidRDefault="00A85173" w:rsidP="005A5CD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1946FBB2" w14:textId="43CA4A84" w:rsidR="00A85173" w:rsidRPr="00D877C1" w:rsidRDefault="00A85173" w:rsidP="004124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Environmental regulation</w:t>
            </w:r>
            <w:r w:rsidR="005C694D">
              <w:rPr>
                <w:rFonts w:cstheme="minorHAnsi"/>
                <w:sz w:val="18"/>
                <w:szCs w:val="18"/>
              </w:rPr>
              <w:t xml:space="preserve"> (tradeable permits for CFCs-11,-12 and -113)</w:t>
            </w:r>
            <w:r w:rsidR="00F42145">
              <w:rPr>
                <w:rFonts w:cstheme="minorHAnsi"/>
                <w:sz w:val="18"/>
                <w:szCs w:val="18"/>
              </w:rPr>
              <w:t xml:space="preserve"> (3</w:t>
            </w:r>
            <w:r w:rsidRPr="00D877C1">
              <w:rPr>
                <w:rFonts w:cstheme="minorHAnsi"/>
                <w:sz w:val="18"/>
                <w:szCs w:val="18"/>
              </w:rPr>
              <w:t>); 1985-1987</w:t>
            </w:r>
          </w:p>
        </w:tc>
        <w:tc>
          <w:tcPr>
            <w:tcW w:w="2694" w:type="dxa"/>
          </w:tcPr>
          <w:p w14:paraId="533299A1" w14:textId="7474D8B6" w:rsidR="00A85173" w:rsidRPr="00D877C1" w:rsidRDefault="00865E2C" w:rsidP="005A5CDB">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Convenience</w:t>
            </w:r>
          </w:p>
        </w:tc>
        <w:tc>
          <w:tcPr>
            <w:tcW w:w="4961" w:type="dxa"/>
          </w:tcPr>
          <w:p w14:paraId="4A926CD5" w14:textId="0DDE92F7" w:rsidR="00A85173" w:rsidRPr="00D877C1" w:rsidRDefault="005C694D" w:rsidP="003066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8"/>
                <w:szCs w:val="18"/>
                <w:highlight w:val="yellow"/>
              </w:rPr>
            </w:pPr>
            <w:r>
              <w:rPr>
                <w:rFonts w:cstheme="minorHAnsi"/>
                <w:sz w:val="18"/>
                <w:szCs w:val="18"/>
              </w:rPr>
              <w:t>One ex ante estimate substantially overestimated the control costs for CFCs-11 (x3) and -12 (x2) and slightly underestimated them for CFC-113.</w:t>
            </w:r>
            <w:r w:rsidR="009E1B35">
              <w:rPr>
                <w:rFonts w:cstheme="minorHAnsi"/>
                <w:sz w:val="18"/>
                <w:szCs w:val="18"/>
              </w:rPr>
              <w:t xml:space="preserve"> A second ex ante estimate underestimated</w:t>
            </w:r>
            <w:r w:rsidR="00DB5EF3">
              <w:rPr>
                <w:rFonts w:cstheme="minorHAnsi"/>
                <w:sz w:val="18"/>
                <w:szCs w:val="18"/>
              </w:rPr>
              <w:t xml:space="preserve"> costs.</w:t>
            </w:r>
          </w:p>
        </w:tc>
      </w:tr>
      <w:tr w:rsidR="00654F67" w:rsidRPr="00D877C1" w14:paraId="2BE6445E"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EBA403" w14:textId="5C5C4C60" w:rsidR="00654F67" w:rsidRPr="00D877C1" w:rsidRDefault="00654F67" w:rsidP="00412423">
            <w:pPr>
              <w:autoSpaceDE w:val="0"/>
              <w:autoSpaceDN w:val="0"/>
              <w:adjustRightInd w:val="0"/>
              <w:rPr>
                <w:rFonts w:cstheme="minorHAnsi"/>
                <w:b w:val="0"/>
                <w:sz w:val="18"/>
                <w:szCs w:val="18"/>
              </w:rPr>
            </w:pPr>
            <w:r w:rsidRPr="00D877C1">
              <w:rPr>
                <w:rFonts w:cstheme="minorHAnsi"/>
                <w:b w:val="0"/>
                <w:sz w:val="18"/>
                <w:szCs w:val="18"/>
              </w:rPr>
              <w:t>Morgenstern, R., Pizer, W. and Shih, J.S. (2001) The Cost Of Environmental Protection. The Review of Economics and Statistics, 83(4), 732-738.</w:t>
            </w:r>
          </w:p>
        </w:tc>
        <w:tc>
          <w:tcPr>
            <w:tcW w:w="1134" w:type="dxa"/>
          </w:tcPr>
          <w:p w14:paraId="0BFFC80E" w14:textId="72901B88" w:rsidR="00654F67" w:rsidRPr="00D877C1" w:rsidRDefault="00B76BAA" w:rsidP="005A5CD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6EAA8711" w14:textId="59EFAD3B" w:rsidR="00654F67" w:rsidRPr="00D877C1" w:rsidRDefault="00695E4F" w:rsidP="004124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Environmental Regulation (unspecified, large n</w:t>
            </w:r>
            <w:r w:rsidR="00B76BAA" w:rsidRPr="00D877C1">
              <w:rPr>
                <w:rFonts w:cstheme="minorHAnsi"/>
                <w:sz w:val="18"/>
                <w:szCs w:val="18"/>
              </w:rPr>
              <w:t>, relating to pulp and paper, plastics, petroleum and steel industries</w:t>
            </w:r>
            <w:r w:rsidRPr="00D877C1">
              <w:rPr>
                <w:rFonts w:cstheme="minorHAnsi"/>
                <w:sz w:val="18"/>
                <w:szCs w:val="18"/>
              </w:rPr>
              <w:t>)</w:t>
            </w:r>
            <w:r w:rsidR="00B76BAA" w:rsidRPr="00D877C1">
              <w:rPr>
                <w:rFonts w:cstheme="minorHAnsi"/>
                <w:sz w:val="18"/>
                <w:szCs w:val="18"/>
              </w:rPr>
              <w:t xml:space="preserve"> 1979-1991</w:t>
            </w:r>
          </w:p>
        </w:tc>
        <w:tc>
          <w:tcPr>
            <w:tcW w:w="2694" w:type="dxa"/>
          </w:tcPr>
          <w:p w14:paraId="1F0C8A0B" w14:textId="248FD511" w:rsidR="00654F67" w:rsidRPr="00D877C1" w:rsidRDefault="00B76BAA" w:rsidP="005A5CD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Representative (of shipments or payroll within each industry)</w:t>
            </w:r>
          </w:p>
        </w:tc>
        <w:tc>
          <w:tcPr>
            <w:tcW w:w="4961" w:type="dxa"/>
          </w:tcPr>
          <w:p w14:paraId="3F188D01" w14:textId="0241E468" w:rsidR="00654F67" w:rsidRPr="00D877C1" w:rsidRDefault="00B76BAA" w:rsidP="004A3AA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Industry reported data (used by the Environmental Protection Agency to estimate cost projections for regulatory impact analyses for proposed pollution regulations) indicates over-estimate of abatement costs for pulp and paper industry</w:t>
            </w:r>
            <w:r w:rsidR="009A0619" w:rsidRPr="00D877C1">
              <w:rPr>
                <w:rFonts w:cstheme="minorHAnsi"/>
                <w:sz w:val="18"/>
                <w:szCs w:val="18"/>
              </w:rPr>
              <w:t xml:space="preserve"> (by a factor of </w:t>
            </w:r>
            <w:r w:rsidR="00B258BE" w:rsidRPr="00D877C1">
              <w:rPr>
                <w:rFonts w:cstheme="minorHAnsi"/>
                <w:sz w:val="18"/>
                <w:szCs w:val="18"/>
              </w:rPr>
              <w:t>&gt;2</w:t>
            </w:r>
            <w:r w:rsidR="009A0619" w:rsidRPr="00D877C1">
              <w:rPr>
                <w:rFonts w:cstheme="minorHAnsi"/>
                <w:sz w:val="18"/>
                <w:szCs w:val="18"/>
              </w:rPr>
              <w:t>)</w:t>
            </w:r>
            <w:r w:rsidRPr="00D877C1">
              <w:rPr>
                <w:rFonts w:cstheme="minorHAnsi"/>
                <w:sz w:val="18"/>
                <w:szCs w:val="18"/>
              </w:rPr>
              <w:t>, but no statistically significant difference for plastics, petroleum, and steel</w:t>
            </w:r>
          </w:p>
        </w:tc>
      </w:tr>
      <w:tr w:rsidR="00A85173" w:rsidRPr="00D877C1" w14:paraId="64734098"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3B6D0575" w14:textId="6C23FA59" w:rsidR="00A85173" w:rsidRPr="00D877C1" w:rsidRDefault="00A85173" w:rsidP="00FB1BE9">
            <w:pPr>
              <w:rPr>
                <w:rFonts w:cstheme="minorHAnsi"/>
                <w:b w:val="0"/>
                <w:sz w:val="18"/>
                <w:szCs w:val="18"/>
              </w:rPr>
            </w:pPr>
            <w:r w:rsidRPr="00306684">
              <w:rPr>
                <w:rFonts w:cstheme="minorHAnsi"/>
                <w:b w:val="0"/>
                <w:sz w:val="18"/>
                <w:szCs w:val="18"/>
              </w:rPr>
              <w:t>Anderso</w:t>
            </w:r>
            <w:r w:rsidR="00D13032" w:rsidRPr="00306684">
              <w:rPr>
                <w:rFonts w:cstheme="minorHAnsi"/>
                <w:b w:val="0"/>
                <w:sz w:val="18"/>
                <w:szCs w:val="18"/>
              </w:rPr>
              <w:t>n, J. F., &amp; Sherwood, T. (2002)</w:t>
            </w:r>
            <w:r w:rsidRPr="00306684">
              <w:rPr>
                <w:rFonts w:cstheme="minorHAnsi"/>
                <w:b w:val="0"/>
                <w:sz w:val="18"/>
                <w:szCs w:val="18"/>
              </w:rPr>
              <w:t xml:space="preserve"> Comparison of EPA and Other Estimates of Mobile</w:t>
            </w:r>
            <w:r w:rsidR="00FB1BE9" w:rsidRPr="00306684">
              <w:rPr>
                <w:rFonts w:cstheme="minorHAnsi"/>
                <w:b w:val="0"/>
                <w:sz w:val="18"/>
                <w:szCs w:val="18"/>
              </w:rPr>
              <w:t xml:space="preserve"> </w:t>
            </w:r>
            <w:r w:rsidRPr="00306684">
              <w:rPr>
                <w:rFonts w:cstheme="minorHAnsi"/>
                <w:b w:val="0"/>
                <w:sz w:val="18"/>
                <w:szCs w:val="18"/>
              </w:rPr>
              <w:t>Source Rule Costs to Actual Price Changes. Paper presented at the SAE Government</w:t>
            </w:r>
            <w:r w:rsidR="00FB1BE9" w:rsidRPr="00306684">
              <w:rPr>
                <w:rFonts w:cstheme="minorHAnsi"/>
                <w:b w:val="0"/>
                <w:sz w:val="18"/>
                <w:szCs w:val="18"/>
              </w:rPr>
              <w:t xml:space="preserve"> </w:t>
            </w:r>
            <w:r w:rsidRPr="00306684">
              <w:rPr>
                <w:rFonts w:cstheme="minorHAnsi"/>
                <w:b w:val="0"/>
                <w:sz w:val="18"/>
                <w:szCs w:val="18"/>
              </w:rPr>
              <w:t>Industry Meeting, Washington, DC, May 14, 2002.</w:t>
            </w:r>
          </w:p>
        </w:tc>
        <w:tc>
          <w:tcPr>
            <w:tcW w:w="1134" w:type="dxa"/>
          </w:tcPr>
          <w:p w14:paraId="60773AAF" w14:textId="238B3BA1" w:rsidR="00A85173" w:rsidRPr="00D877C1" w:rsidRDefault="00FB1BE9"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53A82A77" w14:textId="09F8D593" w:rsidR="00A85173" w:rsidRPr="00D877C1" w:rsidRDefault="00A85173" w:rsidP="00FD663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 xml:space="preserve">Environmental </w:t>
            </w:r>
            <w:r w:rsidR="00451332" w:rsidRPr="00D877C1">
              <w:rPr>
                <w:rFonts w:cstheme="minorHAnsi"/>
                <w:sz w:val="18"/>
                <w:szCs w:val="18"/>
              </w:rPr>
              <w:t>Regulations (</w:t>
            </w:r>
            <w:r w:rsidR="00FD6639" w:rsidRPr="00D877C1">
              <w:rPr>
                <w:rFonts w:cstheme="minorHAnsi"/>
                <w:sz w:val="18"/>
                <w:szCs w:val="18"/>
              </w:rPr>
              <w:t>6</w:t>
            </w:r>
            <w:r w:rsidRPr="00D877C1">
              <w:rPr>
                <w:rFonts w:cstheme="minorHAnsi"/>
                <w:sz w:val="18"/>
                <w:szCs w:val="18"/>
              </w:rPr>
              <w:t>)</w:t>
            </w:r>
            <w:r w:rsidR="00FB1BE9" w:rsidRPr="00D877C1">
              <w:rPr>
                <w:rFonts w:cstheme="minorHAnsi"/>
                <w:sz w:val="18"/>
                <w:szCs w:val="18"/>
              </w:rPr>
              <w:t>; 1990-2001.</w:t>
            </w:r>
          </w:p>
        </w:tc>
        <w:tc>
          <w:tcPr>
            <w:tcW w:w="2694" w:type="dxa"/>
          </w:tcPr>
          <w:p w14:paraId="7571F975" w14:textId="6BAB2E69" w:rsidR="00A85173" w:rsidRPr="00D877C1" w:rsidRDefault="00865E2C"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Unclear</w:t>
            </w:r>
          </w:p>
        </w:tc>
        <w:tc>
          <w:tcPr>
            <w:tcW w:w="4961" w:type="dxa"/>
          </w:tcPr>
          <w:p w14:paraId="78836980" w14:textId="2EB8B7C4" w:rsidR="00A85173" w:rsidRPr="00D877C1" w:rsidRDefault="00306684"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Full paper not accessible. </w:t>
            </w:r>
            <w:r w:rsidR="00FB1BE9" w:rsidRPr="00D877C1">
              <w:rPr>
                <w:rFonts w:cstheme="minorHAnsi"/>
                <w:sz w:val="18"/>
                <w:szCs w:val="18"/>
              </w:rPr>
              <w:t>E</w:t>
            </w:r>
            <w:r w:rsidR="00A85173" w:rsidRPr="00D877C1">
              <w:rPr>
                <w:rFonts w:cstheme="minorHAnsi"/>
                <w:sz w:val="18"/>
                <w:szCs w:val="18"/>
              </w:rPr>
              <w:t>x ante estimates of price</w:t>
            </w:r>
            <w:r w:rsidR="00FB1BE9" w:rsidRPr="00D877C1">
              <w:rPr>
                <w:rFonts w:cstheme="minorHAnsi"/>
                <w:sz w:val="18"/>
                <w:szCs w:val="18"/>
              </w:rPr>
              <w:t xml:space="preserve"> </w:t>
            </w:r>
            <w:r w:rsidR="00A85173" w:rsidRPr="00D877C1">
              <w:rPr>
                <w:rFonts w:cstheme="minorHAnsi"/>
                <w:sz w:val="18"/>
                <w:szCs w:val="18"/>
              </w:rPr>
              <w:t>increases induced by regulation were greater than actual price changes observed.</w:t>
            </w:r>
          </w:p>
        </w:tc>
      </w:tr>
      <w:tr w:rsidR="00D13032" w:rsidRPr="00D877C1" w14:paraId="33E10243"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06F61" w14:textId="2B4A24A8" w:rsidR="00D13032" w:rsidRPr="00D877C1" w:rsidRDefault="00D13032" w:rsidP="00B368AB">
            <w:pPr>
              <w:rPr>
                <w:rFonts w:cstheme="minorHAnsi"/>
                <w:b w:val="0"/>
                <w:sz w:val="18"/>
                <w:szCs w:val="18"/>
              </w:rPr>
            </w:pPr>
            <w:r w:rsidRPr="00F42145">
              <w:rPr>
                <w:rFonts w:cstheme="minorHAnsi"/>
                <w:b w:val="0"/>
                <w:sz w:val="18"/>
                <w:szCs w:val="18"/>
              </w:rPr>
              <w:t xml:space="preserve">Thompson, </w:t>
            </w:r>
            <w:r w:rsidR="004A3AAD" w:rsidRPr="00F42145">
              <w:rPr>
                <w:rFonts w:cstheme="minorHAnsi"/>
                <w:b w:val="0"/>
                <w:sz w:val="18"/>
                <w:szCs w:val="18"/>
              </w:rPr>
              <w:t>K.</w:t>
            </w:r>
            <w:r w:rsidRPr="00F42145">
              <w:rPr>
                <w:rFonts w:cstheme="minorHAnsi"/>
                <w:b w:val="0"/>
                <w:sz w:val="18"/>
                <w:szCs w:val="18"/>
              </w:rPr>
              <w:t xml:space="preserve">M., Sequi-Gomez, </w:t>
            </w:r>
            <w:r w:rsidR="004A3AAD" w:rsidRPr="00F42145">
              <w:rPr>
                <w:rFonts w:cstheme="minorHAnsi"/>
                <w:b w:val="0"/>
                <w:sz w:val="18"/>
                <w:szCs w:val="18"/>
              </w:rPr>
              <w:t>M.</w:t>
            </w:r>
            <w:r w:rsidRPr="00F42145">
              <w:rPr>
                <w:rFonts w:cstheme="minorHAnsi"/>
                <w:b w:val="0"/>
                <w:sz w:val="18"/>
                <w:szCs w:val="18"/>
              </w:rPr>
              <w:t xml:space="preserve"> and Graham, J</w:t>
            </w:r>
            <w:r w:rsidR="004A3AAD" w:rsidRPr="00F42145">
              <w:rPr>
                <w:rFonts w:cstheme="minorHAnsi"/>
                <w:b w:val="0"/>
                <w:sz w:val="18"/>
                <w:szCs w:val="18"/>
              </w:rPr>
              <w:t>.</w:t>
            </w:r>
            <w:r w:rsidRPr="00F42145">
              <w:rPr>
                <w:rFonts w:cstheme="minorHAnsi"/>
                <w:b w:val="0"/>
                <w:sz w:val="18"/>
                <w:szCs w:val="18"/>
              </w:rPr>
              <w:t>D. (2002) Validating</w:t>
            </w:r>
            <w:r w:rsidR="00B368AB" w:rsidRPr="00F42145">
              <w:rPr>
                <w:rFonts w:cstheme="minorHAnsi"/>
                <w:b w:val="0"/>
                <w:sz w:val="18"/>
                <w:szCs w:val="18"/>
              </w:rPr>
              <w:t xml:space="preserve"> </w:t>
            </w:r>
            <w:r w:rsidR="004A3AAD" w:rsidRPr="00F42145">
              <w:rPr>
                <w:rFonts w:cstheme="minorHAnsi"/>
                <w:b w:val="0"/>
                <w:sz w:val="18"/>
                <w:szCs w:val="18"/>
              </w:rPr>
              <w:t>B</w:t>
            </w:r>
            <w:r w:rsidRPr="00F42145">
              <w:rPr>
                <w:rFonts w:cstheme="minorHAnsi"/>
                <w:b w:val="0"/>
                <w:sz w:val="18"/>
                <w:szCs w:val="18"/>
              </w:rPr>
              <w:t>enefit</w:t>
            </w:r>
            <w:r w:rsidR="004A3AAD" w:rsidRPr="00F42145">
              <w:rPr>
                <w:rFonts w:cstheme="minorHAnsi"/>
                <w:b w:val="0"/>
                <w:sz w:val="18"/>
                <w:szCs w:val="18"/>
              </w:rPr>
              <w:t xml:space="preserve"> </w:t>
            </w:r>
            <w:r w:rsidRPr="00F42145">
              <w:rPr>
                <w:rFonts w:cstheme="minorHAnsi"/>
                <w:b w:val="0"/>
                <w:sz w:val="18"/>
                <w:szCs w:val="18"/>
              </w:rPr>
              <w:t>and cost estimates: The case of airbag regulation. Risk Analysis, 22(4), 803–811.</w:t>
            </w:r>
          </w:p>
        </w:tc>
        <w:tc>
          <w:tcPr>
            <w:tcW w:w="1134" w:type="dxa"/>
          </w:tcPr>
          <w:p w14:paraId="50BDCDAE" w14:textId="49E7F56F" w:rsidR="00D13032" w:rsidRPr="00D877C1" w:rsidRDefault="004A3AAD"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1C886634" w14:textId="7CCB3904" w:rsidR="00D13032" w:rsidRPr="00D877C1" w:rsidRDefault="00E936D8" w:rsidP="00FD663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Consumer safety regulation (1)</w:t>
            </w:r>
          </w:p>
        </w:tc>
        <w:tc>
          <w:tcPr>
            <w:tcW w:w="2694" w:type="dxa"/>
          </w:tcPr>
          <w:p w14:paraId="37C59223" w14:textId="21715E97" w:rsidR="00D13032" w:rsidRPr="00D877C1" w:rsidRDefault="00E936D8"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318419DD" w14:textId="4CAC7B5C" w:rsidR="00D13032" w:rsidRPr="00D877C1" w:rsidRDefault="00E936D8" w:rsidP="00F42145">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Ex ante estimate</w:t>
            </w:r>
            <w:r w:rsidR="00F42145">
              <w:rPr>
                <w:rFonts w:cstheme="minorHAnsi"/>
                <w:sz w:val="18"/>
                <w:szCs w:val="18"/>
              </w:rPr>
              <w:t xml:space="preserve">s marginally exceeded realised costs </w:t>
            </w:r>
            <w:r w:rsidRPr="00D877C1">
              <w:rPr>
                <w:rFonts w:cstheme="minorHAnsi"/>
                <w:sz w:val="18"/>
                <w:szCs w:val="18"/>
              </w:rPr>
              <w:t>(&lt;5%).</w:t>
            </w:r>
          </w:p>
        </w:tc>
      </w:tr>
      <w:tr w:rsidR="00A85173" w:rsidRPr="00D877C1" w14:paraId="2FE46BA4"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10DE39B4" w14:textId="713690CA" w:rsidR="00A85173" w:rsidRPr="00D877C1" w:rsidRDefault="00A85173" w:rsidP="000060BE">
            <w:pPr>
              <w:rPr>
                <w:rFonts w:cstheme="minorHAnsi"/>
                <w:b w:val="0"/>
                <w:sz w:val="18"/>
                <w:szCs w:val="18"/>
              </w:rPr>
            </w:pPr>
            <w:r w:rsidRPr="00D877C1">
              <w:rPr>
                <w:rFonts w:cstheme="minorHAnsi"/>
                <w:b w:val="0"/>
                <w:sz w:val="18"/>
                <w:szCs w:val="18"/>
              </w:rPr>
              <w:t xml:space="preserve">Watkiss, P., </w:t>
            </w:r>
            <w:r w:rsidRPr="00D877C1">
              <w:rPr>
                <w:rFonts w:cstheme="minorHAnsi"/>
                <w:b w:val="0"/>
                <w:i/>
                <w:sz w:val="18"/>
                <w:szCs w:val="18"/>
              </w:rPr>
              <w:t>et al</w:t>
            </w:r>
            <w:r w:rsidRPr="00D877C1">
              <w:rPr>
                <w:rFonts w:cstheme="minorHAnsi"/>
                <w:b w:val="0"/>
                <w:sz w:val="18"/>
                <w:szCs w:val="18"/>
              </w:rPr>
              <w:t xml:space="preserve"> (2004), An Evaluation of the Air Quality </w:t>
            </w:r>
            <w:r w:rsidR="004A716B" w:rsidRPr="00D877C1">
              <w:rPr>
                <w:rFonts w:cstheme="minorHAnsi"/>
                <w:b w:val="0"/>
                <w:sz w:val="18"/>
                <w:szCs w:val="18"/>
              </w:rPr>
              <w:t>Strategy: Final Report to Defra. London: HMSO</w:t>
            </w:r>
            <w:r w:rsidRPr="00D877C1">
              <w:rPr>
                <w:rFonts w:cstheme="minorHAnsi"/>
                <w:b w:val="0"/>
                <w:sz w:val="18"/>
                <w:szCs w:val="18"/>
              </w:rPr>
              <w:t>.</w:t>
            </w:r>
          </w:p>
        </w:tc>
        <w:tc>
          <w:tcPr>
            <w:tcW w:w="1134" w:type="dxa"/>
          </w:tcPr>
          <w:p w14:paraId="385868FC" w14:textId="2510E078" w:rsidR="00A85173" w:rsidRPr="00D877C1" w:rsidRDefault="004A716B"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UK (including EU-derived regulations)</w:t>
            </w:r>
          </w:p>
        </w:tc>
        <w:tc>
          <w:tcPr>
            <w:tcW w:w="1701" w:type="dxa"/>
          </w:tcPr>
          <w:p w14:paraId="1A3D95CB" w14:textId="2C43B1C0" w:rsidR="00A85173" w:rsidRPr="00D877C1" w:rsidRDefault="00C21C75" w:rsidP="00C21C7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Environmental regulation: a</w:t>
            </w:r>
            <w:r w:rsidR="00A85173" w:rsidRPr="00D877C1">
              <w:rPr>
                <w:rFonts w:cstheme="minorHAnsi"/>
                <w:sz w:val="18"/>
                <w:szCs w:val="18"/>
              </w:rPr>
              <w:t>ir quality policies in the road transport and electricity generation sectors</w:t>
            </w:r>
            <w:r w:rsidR="00D13032" w:rsidRPr="00D877C1">
              <w:rPr>
                <w:rFonts w:cstheme="minorHAnsi"/>
                <w:sz w:val="18"/>
                <w:szCs w:val="18"/>
              </w:rPr>
              <w:t xml:space="preserve"> </w:t>
            </w:r>
            <w:r w:rsidR="00D13032" w:rsidRPr="00D877C1">
              <w:rPr>
                <w:rFonts w:cstheme="minorHAnsi"/>
                <w:sz w:val="18"/>
                <w:szCs w:val="18"/>
              </w:rPr>
              <w:lastRenderedPageBreak/>
              <w:t>(</w:t>
            </w:r>
            <w:r w:rsidR="004A716B" w:rsidRPr="00D877C1">
              <w:rPr>
                <w:rFonts w:cstheme="minorHAnsi"/>
                <w:sz w:val="18"/>
                <w:szCs w:val="18"/>
              </w:rPr>
              <w:t>unspecified, but relatively large n</w:t>
            </w:r>
            <w:r w:rsidR="00D13032" w:rsidRPr="00D877C1">
              <w:rPr>
                <w:rFonts w:cstheme="minorHAnsi"/>
                <w:sz w:val="18"/>
                <w:szCs w:val="18"/>
              </w:rPr>
              <w:t>)</w:t>
            </w:r>
            <w:r w:rsidR="004A716B" w:rsidRPr="00D877C1">
              <w:rPr>
                <w:rFonts w:cstheme="minorHAnsi"/>
                <w:sz w:val="18"/>
                <w:szCs w:val="18"/>
              </w:rPr>
              <w:t xml:space="preserve"> </w:t>
            </w:r>
          </w:p>
        </w:tc>
        <w:tc>
          <w:tcPr>
            <w:tcW w:w="2694" w:type="dxa"/>
          </w:tcPr>
          <w:p w14:paraId="47A85833" w14:textId="30955F2A" w:rsidR="00A85173" w:rsidRPr="00D877C1" w:rsidRDefault="004C434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lastRenderedPageBreak/>
              <w:t>Entire sample (all policies relevant to air quality in the two sectors)</w:t>
            </w:r>
          </w:p>
        </w:tc>
        <w:tc>
          <w:tcPr>
            <w:tcW w:w="4961" w:type="dxa"/>
          </w:tcPr>
          <w:p w14:paraId="3B3F3698" w14:textId="19CCCFCD" w:rsidR="004C4343" w:rsidRPr="00D877C1" w:rsidRDefault="00FB1BE9"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E</w:t>
            </w:r>
            <w:r w:rsidR="00A85173" w:rsidRPr="00D877C1">
              <w:rPr>
                <w:rFonts w:cstheme="minorHAnsi"/>
                <w:sz w:val="18"/>
                <w:szCs w:val="18"/>
              </w:rPr>
              <w:t xml:space="preserve">x ante estimates overstated costs by </w:t>
            </w:r>
            <w:r w:rsidR="009A0619" w:rsidRPr="00D877C1">
              <w:rPr>
                <w:rFonts w:cstheme="minorHAnsi"/>
                <w:sz w:val="18"/>
                <w:szCs w:val="18"/>
              </w:rPr>
              <w:t xml:space="preserve">factors of </w:t>
            </w:r>
            <w:r w:rsidR="00A85173" w:rsidRPr="00D877C1">
              <w:rPr>
                <w:rFonts w:cstheme="minorHAnsi"/>
                <w:sz w:val="18"/>
                <w:szCs w:val="18"/>
              </w:rPr>
              <w:t>5</w:t>
            </w:r>
            <w:r w:rsidR="009A0619" w:rsidRPr="00D877C1">
              <w:rPr>
                <w:rFonts w:cstheme="minorHAnsi"/>
                <w:sz w:val="18"/>
                <w:szCs w:val="18"/>
              </w:rPr>
              <w:t>(low)/7(high)</w:t>
            </w:r>
            <w:r w:rsidR="00A85173" w:rsidRPr="00D877C1">
              <w:rPr>
                <w:rFonts w:cstheme="minorHAnsi"/>
                <w:sz w:val="18"/>
                <w:szCs w:val="18"/>
              </w:rPr>
              <w:t xml:space="preserve"> </w:t>
            </w:r>
            <w:r w:rsidR="00B258BE" w:rsidRPr="00D877C1">
              <w:rPr>
                <w:rFonts w:cstheme="minorHAnsi"/>
                <w:sz w:val="18"/>
                <w:szCs w:val="18"/>
              </w:rPr>
              <w:t xml:space="preserve"> (transport) </w:t>
            </w:r>
            <w:r w:rsidR="00A85173" w:rsidRPr="00D877C1">
              <w:rPr>
                <w:rFonts w:cstheme="minorHAnsi"/>
                <w:sz w:val="18"/>
                <w:szCs w:val="18"/>
              </w:rPr>
              <w:t xml:space="preserve">and 2 </w:t>
            </w:r>
            <w:r w:rsidR="009A0619" w:rsidRPr="00D877C1">
              <w:rPr>
                <w:rFonts w:cstheme="minorHAnsi"/>
                <w:sz w:val="18"/>
                <w:szCs w:val="18"/>
              </w:rPr>
              <w:t xml:space="preserve">(low)/14 (high) </w:t>
            </w:r>
            <w:r w:rsidR="00B258BE" w:rsidRPr="00D877C1">
              <w:rPr>
                <w:rFonts w:cstheme="minorHAnsi"/>
                <w:sz w:val="18"/>
                <w:szCs w:val="18"/>
              </w:rPr>
              <w:t>(electricity generation)</w:t>
            </w:r>
          </w:p>
          <w:p w14:paraId="204C72FF" w14:textId="336E998F" w:rsidR="004C4343" w:rsidRPr="00D877C1" w:rsidRDefault="004C4343" w:rsidP="004C4343">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E936D8" w:rsidRPr="00D877C1" w14:paraId="025A37A5"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9024599" w14:textId="77777777" w:rsidR="00A85173" w:rsidRPr="00D877C1" w:rsidRDefault="00A85173" w:rsidP="000060BE">
            <w:pPr>
              <w:rPr>
                <w:rFonts w:cstheme="minorHAnsi"/>
                <w:b w:val="0"/>
                <w:sz w:val="18"/>
                <w:szCs w:val="18"/>
              </w:rPr>
            </w:pPr>
            <w:r w:rsidRPr="00D877C1">
              <w:rPr>
                <w:rFonts w:cstheme="minorHAnsi"/>
                <w:b w:val="0"/>
                <w:sz w:val="18"/>
                <w:szCs w:val="18"/>
              </w:rPr>
              <w:t>Office of Management and Budget (2005) Validating Regulatory Analysis: Report to Congress on the Costs and Benefits of Federal Regulations and Unfunded Mandates on State, Local, and Tribal Entities. Washington, DC, Office of Information and Regulatory Affairs.</w:t>
            </w:r>
          </w:p>
        </w:tc>
        <w:tc>
          <w:tcPr>
            <w:tcW w:w="1134" w:type="dxa"/>
          </w:tcPr>
          <w:p w14:paraId="1734E250"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02FCCF3E" w14:textId="4B6EDD9F" w:rsidR="00A85173" w:rsidRPr="00D877C1" w:rsidRDefault="00A85173" w:rsidP="00C21C7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Federal Regulations</w:t>
            </w:r>
            <w:r w:rsidR="00F42145">
              <w:rPr>
                <w:rFonts w:cstheme="minorHAnsi"/>
                <w:sz w:val="18"/>
                <w:szCs w:val="18"/>
              </w:rPr>
              <w:t xml:space="preserve"> (47)</w:t>
            </w:r>
            <w:r w:rsidR="00C21C75">
              <w:rPr>
                <w:rFonts w:cstheme="minorHAnsi"/>
                <w:sz w:val="18"/>
                <w:szCs w:val="18"/>
              </w:rPr>
              <w:t>:</w:t>
            </w:r>
            <w:r w:rsidRPr="00D877C1">
              <w:rPr>
                <w:rFonts w:cstheme="minorHAnsi"/>
                <w:sz w:val="18"/>
                <w:szCs w:val="18"/>
              </w:rPr>
              <w:t xml:space="preserve"> occu</w:t>
            </w:r>
            <w:r w:rsidR="00C21C75">
              <w:rPr>
                <w:rFonts w:cstheme="minorHAnsi"/>
                <w:sz w:val="18"/>
                <w:szCs w:val="18"/>
              </w:rPr>
              <w:t>pational health and safety (13); traffic safety (8); environmental protection (18);</w:t>
            </w:r>
            <w:r w:rsidRPr="00D877C1">
              <w:rPr>
                <w:rFonts w:cstheme="minorHAnsi"/>
                <w:sz w:val="18"/>
                <w:szCs w:val="18"/>
              </w:rPr>
              <w:t xml:space="preserve"> energy (6)</w:t>
            </w:r>
            <w:r w:rsidR="00C21C75">
              <w:rPr>
                <w:rFonts w:cstheme="minorHAnsi"/>
                <w:sz w:val="18"/>
                <w:szCs w:val="18"/>
              </w:rPr>
              <w:t>;</w:t>
            </w:r>
            <w:r w:rsidRPr="00D877C1">
              <w:rPr>
                <w:rFonts w:cstheme="minorHAnsi"/>
                <w:sz w:val="18"/>
                <w:szCs w:val="18"/>
              </w:rPr>
              <w:t xml:space="preserve"> nuclear power (2); 1975-1996</w:t>
            </w:r>
          </w:p>
        </w:tc>
        <w:tc>
          <w:tcPr>
            <w:tcW w:w="2694" w:type="dxa"/>
          </w:tcPr>
          <w:p w14:paraId="37A7307A"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Convenience</w:t>
            </w:r>
          </w:p>
        </w:tc>
        <w:tc>
          <w:tcPr>
            <w:tcW w:w="4961" w:type="dxa"/>
          </w:tcPr>
          <w:p w14:paraId="23FB7F95" w14:textId="6DEA3F44" w:rsidR="00A85173" w:rsidRPr="00D877C1" w:rsidRDefault="00A85173" w:rsidP="00485F69">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 xml:space="preserve">Ex ante estimates </w:t>
            </w:r>
            <w:r w:rsidR="00485F69" w:rsidRPr="00D877C1">
              <w:rPr>
                <w:rFonts w:cstheme="minorHAnsi"/>
                <w:sz w:val="18"/>
                <w:szCs w:val="18"/>
              </w:rPr>
              <w:t xml:space="preserve">tended to </w:t>
            </w:r>
            <w:r w:rsidRPr="00D877C1">
              <w:rPr>
                <w:rFonts w:cstheme="minorHAnsi"/>
                <w:sz w:val="18"/>
                <w:szCs w:val="18"/>
              </w:rPr>
              <w:t>overestimate both benefits and costs (but they have a significantly greater tendency to overestimate benefits than costs): 18 rules accurate benefit estimates, 19 rules with overestimates and 2 rules with underestimates; 12 rules with accurate cost estimates, 16 with overestimates, and 12 with underestimates; 11 cases of accurate benefit to cost ratios, 22 overestimates, and 14 underestimates.</w:t>
            </w:r>
          </w:p>
        </w:tc>
      </w:tr>
      <w:tr w:rsidR="00A85173" w:rsidRPr="00D877C1" w14:paraId="76855B84"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6E67C8BA" w14:textId="5532C7F9" w:rsidR="00E936D8" w:rsidRPr="00B270D2" w:rsidRDefault="00E936D8" w:rsidP="00E936D8">
            <w:pPr>
              <w:rPr>
                <w:rFonts w:cstheme="minorHAnsi"/>
                <w:b w:val="0"/>
                <w:sz w:val="18"/>
                <w:szCs w:val="18"/>
              </w:rPr>
            </w:pPr>
            <w:r w:rsidRPr="00B270D2">
              <w:rPr>
                <w:rFonts w:cstheme="minorHAnsi"/>
                <w:b w:val="0"/>
                <w:sz w:val="18"/>
                <w:szCs w:val="18"/>
              </w:rPr>
              <w:t>Grosse, S.D., Waitzman, N.J., Romano, P.S. and Mulinare, J. (2005) Re-evaluating the benefits of folic acid fortification in the United States: Economic analysis, regulation, and public health. American Journal of Public Health, 95(11),</w:t>
            </w:r>
          </w:p>
          <w:p w14:paraId="5A15777A" w14:textId="1E8C77BE" w:rsidR="00A85173" w:rsidRPr="00D877C1" w:rsidRDefault="00E936D8" w:rsidP="00E936D8">
            <w:pPr>
              <w:rPr>
                <w:rFonts w:cstheme="minorHAnsi"/>
                <w:b w:val="0"/>
                <w:sz w:val="18"/>
                <w:szCs w:val="18"/>
              </w:rPr>
            </w:pPr>
            <w:r w:rsidRPr="00B270D2">
              <w:rPr>
                <w:rFonts w:cstheme="minorHAnsi"/>
                <w:b w:val="0"/>
                <w:sz w:val="18"/>
                <w:szCs w:val="18"/>
              </w:rPr>
              <w:t>1917–1922.</w:t>
            </w:r>
          </w:p>
        </w:tc>
        <w:tc>
          <w:tcPr>
            <w:tcW w:w="1134" w:type="dxa"/>
          </w:tcPr>
          <w:p w14:paraId="0495688E" w14:textId="3876FB36" w:rsidR="00A85173" w:rsidRPr="00D877C1" w:rsidRDefault="00E936D8"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00BA4EBF" w14:textId="42998152" w:rsidR="00A85173" w:rsidRPr="00D877C1" w:rsidRDefault="00F42145" w:rsidP="00E936D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Health regulation (1): </w:t>
            </w:r>
            <w:r w:rsidR="00E936D8" w:rsidRPr="00D877C1">
              <w:rPr>
                <w:rFonts w:cstheme="minorHAnsi"/>
                <w:sz w:val="18"/>
                <w:szCs w:val="18"/>
              </w:rPr>
              <w:t>Federal regulation to fortify cereal grains with folic acid</w:t>
            </w:r>
          </w:p>
        </w:tc>
        <w:tc>
          <w:tcPr>
            <w:tcW w:w="2694" w:type="dxa"/>
          </w:tcPr>
          <w:p w14:paraId="066BB0A9" w14:textId="008245F5" w:rsidR="00A85173" w:rsidRPr="00D877C1" w:rsidRDefault="00E936D8"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6C64EA82" w14:textId="27D805C1" w:rsidR="00A85173" w:rsidRPr="00D877C1" w:rsidRDefault="00E936D8" w:rsidP="00B270D2">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 xml:space="preserve">Ex ante estimates exceeded </w:t>
            </w:r>
            <w:r w:rsidR="00B270D2">
              <w:rPr>
                <w:rFonts w:cstheme="minorHAnsi"/>
                <w:sz w:val="18"/>
                <w:szCs w:val="18"/>
              </w:rPr>
              <w:t>realised costs</w:t>
            </w:r>
            <w:r w:rsidRPr="00D877C1">
              <w:rPr>
                <w:rFonts w:cstheme="minorHAnsi"/>
                <w:sz w:val="18"/>
                <w:szCs w:val="18"/>
              </w:rPr>
              <w:t xml:space="preserve"> by a factor of between 3.5 and 9.</w:t>
            </w:r>
          </w:p>
        </w:tc>
      </w:tr>
      <w:tr w:rsidR="00E936D8" w:rsidRPr="00D877C1" w14:paraId="00449D66"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514D342" w14:textId="7418A16C" w:rsidR="00A85173" w:rsidRPr="00D877C1" w:rsidRDefault="00A85173" w:rsidP="00485F69">
            <w:pPr>
              <w:rPr>
                <w:rFonts w:cstheme="minorHAnsi"/>
                <w:b w:val="0"/>
                <w:sz w:val="18"/>
                <w:szCs w:val="18"/>
              </w:rPr>
            </w:pPr>
            <w:r w:rsidRPr="00D877C1">
              <w:rPr>
                <w:rFonts w:cstheme="minorHAnsi"/>
                <w:b w:val="0"/>
                <w:sz w:val="18"/>
                <w:szCs w:val="18"/>
              </w:rPr>
              <w:t xml:space="preserve">Oosterhuis, F., </w:t>
            </w:r>
            <w:r w:rsidR="00E936D8" w:rsidRPr="00D877C1">
              <w:rPr>
                <w:rFonts w:cstheme="minorHAnsi"/>
                <w:b w:val="0"/>
                <w:sz w:val="18"/>
                <w:szCs w:val="18"/>
              </w:rPr>
              <w:t>des Abbayes, C., Görlach, B., Huybrechts, D., Jarvis, A., Kuik, O., Medhursi, J.,</w:t>
            </w:r>
            <w:r w:rsidR="00485F69" w:rsidRPr="00D877C1">
              <w:rPr>
                <w:rFonts w:cstheme="minorHAnsi"/>
                <w:b w:val="0"/>
                <w:sz w:val="18"/>
                <w:szCs w:val="18"/>
              </w:rPr>
              <w:t xml:space="preserve"> </w:t>
            </w:r>
            <w:r w:rsidR="00E936D8" w:rsidRPr="00D877C1">
              <w:rPr>
                <w:rFonts w:cstheme="minorHAnsi"/>
                <w:b w:val="0"/>
                <w:sz w:val="18"/>
                <w:szCs w:val="18"/>
              </w:rPr>
              <w:t>Meynaerts, E., Monier, V., Ekins, P., Jantzen, J., Vanner, R., Vercaemst, P.,and van der Woerd,</w:t>
            </w:r>
            <w:r w:rsidR="00485F69" w:rsidRPr="00D877C1">
              <w:rPr>
                <w:rFonts w:cstheme="minorHAnsi"/>
                <w:b w:val="0"/>
                <w:sz w:val="18"/>
                <w:szCs w:val="18"/>
              </w:rPr>
              <w:t xml:space="preserve"> </w:t>
            </w:r>
            <w:r w:rsidR="00E936D8" w:rsidRPr="00D877C1">
              <w:rPr>
                <w:rFonts w:cstheme="minorHAnsi"/>
                <w:b w:val="0"/>
                <w:sz w:val="18"/>
                <w:szCs w:val="18"/>
              </w:rPr>
              <w:t xml:space="preserve">H. </w:t>
            </w:r>
            <w:r w:rsidRPr="00D877C1">
              <w:rPr>
                <w:rFonts w:cstheme="minorHAnsi"/>
                <w:b w:val="0"/>
                <w:sz w:val="18"/>
                <w:szCs w:val="18"/>
              </w:rPr>
              <w:t>(2006) Ex-post estimates of costs to</w:t>
            </w:r>
            <w:r w:rsidR="00485F69" w:rsidRPr="00D877C1">
              <w:rPr>
                <w:rFonts w:cstheme="minorHAnsi"/>
                <w:b w:val="0"/>
                <w:sz w:val="18"/>
                <w:szCs w:val="18"/>
              </w:rPr>
              <w:t xml:space="preserve"> </w:t>
            </w:r>
            <w:r w:rsidRPr="00D877C1">
              <w:rPr>
                <w:rFonts w:cstheme="minorHAnsi"/>
                <w:b w:val="0"/>
                <w:sz w:val="18"/>
                <w:szCs w:val="18"/>
              </w:rPr>
              <w:t>business of EU environmental legislation. Amsterdam, Institute for Environmental Studies.</w:t>
            </w:r>
          </w:p>
        </w:tc>
        <w:tc>
          <w:tcPr>
            <w:tcW w:w="1134" w:type="dxa"/>
          </w:tcPr>
          <w:p w14:paraId="3AF97201"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EU</w:t>
            </w:r>
          </w:p>
        </w:tc>
        <w:tc>
          <w:tcPr>
            <w:tcW w:w="1701" w:type="dxa"/>
          </w:tcPr>
          <w:p w14:paraId="606DAE99" w14:textId="416194F5" w:rsidR="00A85173" w:rsidRPr="00D877C1" w:rsidRDefault="00A85173" w:rsidP="000060B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Environmen</w:t>
            </w:r>
            <w:r w:rsidR="00485F69" w:rsidRPr="00D877C1">
              <w:rPr>
                <w:rFonts w:cstheme="minorHAnsi"/>
                <w:sz w:val="18"/>
                <w:szCs w:val="18"/>
              </w:rPr>
              <w:t>tal r</w:t>
            </w:r>
            <w:r w:rsidRPr="00D877C1">
              <w:rPr>
                <w:rFonts w:cstheme="minorHAnsi"/>
                <w:sz w:val="18"/>
                <w:szCs w:val="18"/>
              </w:rPr>
              <w:t>egulation</w:t>
            </w:r>
            <w:r w:rsidR="00D13032" w:rsidRPr="00D877C1">
              <w:rPr>
                <w:rFonts w:cstheme="minorHAnsi"/>
                <w:sz w:val="18"/>
                <w:szCs w:val="18"/>
              </w:rPr>
              <w:t xml:space="preserve"> (5)</w:t>
            </w:r>
          </w:p>
        </w:tc>
        <w:tc>
          <w:tcPr>
            <w:tcW w:w="2694" w:type="dxa"/>
          </w:tcPr>
          <w:p w14:paraId="6AD00942" w14:textId="7E4033C4" w:rsidR="00A85173" w:rsidRPr="00D877C1" w:rsidRDefault="00E936D8"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4A001579" w14:textId="3A5398CD" w:rsidR="00A85173" w:rsidRPr="00D877C1" w:rsidRDefault="00D13032" w:rsidP="00B270D2">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 xml:space="preserve">Ex ante </w:t>
            </w:r>
            <w:r w:rsidR="00B270D2">
              <w:rPr>
                <w:rFonts w:cstheme="minorHAnsi"/>
                <w:sz w:val="18"/>
                <w:szCs w:val="18"/>
              </w:rPr>
              <w:t xml:space="preserve">estimates </w:t>
            </w:r>
            <w:r w:rsidRPr="00D877C1">
              <w:rPr>
                <w:rFonts w:cstheme="minorHAnsi"/>
                <w:sz w:val="18"/>
                <w:szCs w:val="18"/>
              </w:rPr>
              <w:t xml:space="preserve">exceeded </w:t>
            </w:r>
            <w:r w:rsidR="00B270D2">
              <w:rPr>
                <w:rFonts w:cstheme="minorHAnsi"/>
                <w:sz w:val="18"/>
                <w:szCs w:val="18"/>
              </w:rPr>
              <w:t xml:space="preserve">realised costs </w:t>
            </w:r>
            <w:r w:rsidRPr="00D877C1">
              <w:rPr>
                <w:rFonts w:cstheme="minorHAnsi"/>
                <w:sz w:val="18"/>
                <w:szCs w:val="18"/>
              </w:rPr>
              <w:t>by at least a factor of 2 in 4 cases.</w:t>
            </w:r>
          </w:p>
        </w:tc>
      </w:tr>
      <w:tr w:rsidR="00A85173" w:rsidRPr="00D877C1" w14:paraId="6F12EC5F"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63570EBF" w14:textId="70405B92" w:rsidR="00A85173" w:rsidRPr="007C43DB" w:rsidRDefault="00485F69" w:rsidP="00485F69">
            <w:pPr>
              <w:rPr>
                <w:rFonts w:cstheme="minorHAnsi"/>
                <w:b w:val="0"/>
                <w:sz w:val="18"/>
                <w:szCs w:val="18"/>
              </w:rPr>
            </w:pPr>
            <w:r w:rsidRPr="007C43DB">
              <w:rPr>
                <w:rFonts w:cstheme="minorHAnsi"/>
                <w:b w:val="0"/>
                <w:sz w:val="18"/>
                <w:szCs w:val="18"/>
              </w:rPr>
              <w:t>MacLeod, M., Moran, D., Aresti, M. Harrington, W. and Morgenstern, R. (2006) Comparing the ex ante and ex post costs of complying with regulatory change. Final Report to DEFRA. London: Department for Environment, Farms, and Rural Affairs.</w:t>
            </w:r>
          </w:p>
        </w:tc>
        <w:tc>
          <w:tcPr>
            <w:tcW w:w="1134" w:type="dxa"/>
          </w:tcPr>
          <w:p w14:paraId="1DDD942D" w14:textId="76F5C4EB" w:rsidR="00A85173" w:rsidRPr="00D877C1" w:rsidRDefault="00485F69"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UK</w:t>
            </w:r>
          </w:p>
        </w:tc>
        <w:tc>
          <w:tcPr>
            <w:tcW w:w="1701" w:type="dxa"/>
          </w:tcPr>
          <w:p w14:paraId="4A1D075E" w14:textId="7738F03B" w:rsidR="00A85173" w:rsidRPr="00D877C1" w:rsidRDefault="00485F69" w:rsidP="00485F6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Environmental regulation (8)</w:t>
            </w:r>
            <w:r w:rsidR="00C21C75">
              <w:rPr>
                <w:rFonts w:cstheme="minorHAnsi"/>
                <w:sz w:val="18"/>
                <w:szCs w:val="18"/>
              </w:rPr>
              <w:t>:</w:t>
            </w:r>
          </w:p>
        </w:tc>
        <w:tc>
          <w:tcPr>
            <w:tcW w:w="2694" w:type="dxa"/>
          </w:tcPr>
          <w:p w14:paraId="56B0701F" w14:textId="49B6B0C7" w:rsidR="00A85173" w:rsidRPr="00D877C1" w:rsidRDefault="00485F69"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49CA4055" w14:textId="159044E5" w:rsidR="00A85173" w:rsidRPr="00D877C1" w:rsidRDefault="00485F69" w:rsidP="00B270D2">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 xml:space="preserve">Ex ante </w:t>
            </w:r>
            <w:r w:rsidR="00B270D2">
              <w:rPr>
                <w:rFonts w:cstheme="minorHAnsi"/>
                <w:sz w:val="18"/>
                <w:szCs w:val="18"/>
              </w:rPr>
              <w:t>estimates</w:t>
            </w:r>
            <w:r w:rsidRPr="00D877C1">
              <w:rPr>
                <w:rFonts w:cstheme="minorHAnsi"/>
                <w:sz w:val="18"/>
                <w:szCs w:val="18"/>
              </w:rPr>
              <w:t xml:space="preserve"> significantly overestimated in 5 cases (&gt;25%), marginally overestimated in 1 (&lt;25%), underestimated in 2 (&gt;25%).</w:t>
            </w:r>
          </w:p>
        </w:tc>
      </w:tr>
      <w:tr w:rsidR="00E936D8" w:rsidRPr="00D877C1" w14:paraId="649566AD"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4007BA" w14:textId="292A3D07" w:rsidR="00A85173" w:rsidRPr="007C43DB" w:rsidRDefault="00A85173" w:rsidP="00FB1BE9">
            <w:pPr>
              <w:rPr>
                <w:rFonts w:cstheme="minorHAnsi"/>
                <w:b w:val="0"/>
                <w:sz w:val="18"/>
                <w:szCs w:val="18"/>
              </w:rPr>
            </w:pPr>
            <w:r w:rsidRPr="007C43DB">
              <w:rPr>
                <w:rFonts w:cstheme="minorHAnsi"/>
                <w:b w:val="0"/>
                <w:sz w:val="18"/>
                <w:szCs w:val="18"/>
              </w:rPr>
              <w:t>Dale, Larry, Antinori, Camille, McNeil, Michael, McMahon, James E., &amp; Fujita, K. Sydny. (2009).</w:t>
            </w:r>
            <w:r w:rsidR="00FB1BE9" w:rsidRPr="007C43DB">
              <w:rPr>
                <w:rFonts w:cstheme="minorHAnsi"/>
                <w:b w:val="0"/>
                <w:sz w:val="18"/>
                <w:szCs w:val="18"/>
              </w:rPr>
              <w:t xml:space="preserve"> </w:t>
            </w:r>
            <w:r w:rsidRPr="007C43DB">
              <w:rPr>
                <w:rFonts w:cstheme="minorHAnsi"/>
                <w:b w:val="0"/>
                <w:sz w:val="18"/>
                <w:szCs w:val="18"/>
              </w:rPr>
              <w:t>Retrospective evaluation of appliance price trends. Energy Policy, 37(2), 597–605.</w:t>
            </w:r>
          </w:p>
        </w:tc>
        <w:tc>
          <w:tcPr>
            <w:tcW w:w="1134" w:type="dxa"/>
          </w:tcPr>
          <w:p w14:paraId="21754490"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224C9C19" w14:textId="06F4BD3E" w:rsidR="00A85173" w:rsidRPr="00D877C1" w:rsidRDefault="00A85173" w:rsidP="00C21C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D877C1">
              <w:rPr>
                <w:rFonts w:cstheme="minorHAnsi"/>
                <w:color w:val="000000"/>
                <w:sz w:val="18"/>
                <w:szCs w:val="18"/>
              </w:rPr>
              <w:t>Environmental regulation</w:t>
            </w:r>
            <w:r w:rsidR="00C21C75">
              <w:rPr>
                <w:rFonts w:cstheme="minorHAnsi"/>
                <w:color w:val="000000"/>
                <w:sz w:val="18"/>
                <w:szCs w:val="18"/>
              </w:rPr>
              <w:t xml:space="preserve"> ( </w:t>
            </w:r>
            <w:r w:rsidR="0078751F">
              <w:rPr>
                <w:rFonts w:cstheme="minorHAnsi"/>
                <w:color w:val="000000"/>
                <w:sz w:val="18"/>
                <w:szCs w:val="18"/>
              </w:rPr>
              <w:t>4</w:t>
            </w:r>
            <w:r w:rsidR="00C21C75">
              <w:rPr>
                <w:rFonts w:cstheme="minorHAnsi"/>
                <w:color w:val="000000"/>
                <w:sz w:val="18"/>
                <w:szCs w:val="18"/>
              </w:rPr>
              <w:t>): efficiency standards for home appliances (refrigerators, clothes washers, room and central air conditioners)</w:t>
            </w:r>
            <w:r w:rsidR="0078751F">
              <w:rPr>
                <w:rFonts w:cstheme="minorHAnsi"/>
                <w:color w:val="000000"/>
                <w:sz w:val="18"/>
                <w:szCs w:val="18"/>
              </w:rPr>
              <w:t>; 1982-1990</w:t>
            </w:r>
          </w:p>
        </w:tc>
        <w:tc>
          <w:tcPr>
            <w:tcW w:w="2694" w:type="dxa"/>
          </w:tcPr>
          <w:p w14:paraId="700D3A0E"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46791629"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Ex ante cost estimates generally exceed those</w:t>
            </w:r>
          </w:p>
          <w:p w14:paraId="2E53EC1A"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developed ex post.</w:t>
            </w:r>
          </w:p>
        </w:tc>
      </w:tr>
      <w:tr w:rsidR="00235A43" w:rsidRPr="00D877C1" w14:paraId="5C1476C1"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11E6DA54" w14:textId="1374B8C1" w:rsidR="00235A43" w:rsidRPr="007C43DB" w:rsidRDefault="00235A43" w:rsidP="00235A43">
            <w:pPr>
              <w:rPr>
                <w:rFonts w:cstheme="minorHAnsi"/>
                <w:b w:val="0"/>
                <w:sz w:val="18"/>
                <w:szCs w:val="18"/>
              </w:rPr>
            </w:pPr>
            <w:r w:rsidRPr="007C43DB">
              <w:rPr>
                <w:rFonts w:cstheme="minorHAnsi"/>
                <w:b w:val="0"/>
                <w:sz w:val="18"/>
                <w:szCs w:val="18"/>
              </w:rPr>
              <w:t>Chan, G., Stavins, R., Stowe, R., and Sweeney, R. (2012) The SO2 allowance trading system and the Clean Air Act amendments of 1990: Reflections on twenty years of policy innovation. Kennedy School of Government, Harvard University.</w:t>
            </w:r>
          </w:p>
        </w:tc>
        <w:tc>
          <w:tcPr>
            <w:tcW w:w="1134" w:type="dxa"/>
          </w:tcPr>
          <w:p w14:paraId="60528AC0" w14:textId="16E9C9FB" w:rsidR="00235A43" w:rsidRPr="00D877C1" w:rsidRDefault="00235A4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59A1D778" w14:textId="08710074" w:rsidR="00235A43" w:rsidRPr="00D877C1" w:rsidRDefault="00235A43" w:rsidP="000060B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sz w:val="18"/>
                <w:szCs w:val="18"/>
              </w:rPr>
            </w:pPr>
            <w:r w:rsidRPr="00D877C1">
              <w:rPr>
                <w:rFonts w:cstheme="minorHAnsi"/>
                <w:color w:val="000000"/>
                <w:sz w:val="18"/>
                <w:szCs w:val="18"/>
              </w:rPr>
              <w:t>Environmental regulation (1); 1990</w:t>
            </w:r>
          </w:p>
        </w:tc>
        <w:tc>
          <w:tcPr>
            <w:tcW w:w="2694" w:type="dxa"/>
          </w:tcPr>
          <w:p w14:paraId="30D3E9C4" w14:textId="44BB6979" w:rsidR="00235A43" w:rsidRPr="00D877C1" w:rsidRDefault="00235A4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4CBBCF81" w14:textId="1ACF2571" w:rsidR="00235A43" w:rsidRPr="00D877C1" w:rsidRDefault="00235A4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 xml:space="preserve">Ex ante cost estimates significantly exceed </w:t>
            </w:r>
            <w:r w:rsidR="002D24BB">
              <w:rPr>
                <w:rFonts w:cstheme="minorHAnsi"/>
                <w:sz w:val="18"/>
                <w:szCs w:val="18"/>
              </w:rPr>
              <w:t>realised costs</w:t>
            </w:r>
            <w:r w:rsidRPr="00D877C1">
              <w:rPr>
                <w:rFonts w:cstheme="minorHAnsi"/>
                <w:sz w:val="18"/>
                <w:szCs w:val="18"/>
              </w:rPr>
              <w:t>.</w:t>
            </w:r>
          </w:p>
        </w:tc>
      </w:tr>
      <w:tr w:rsidR="00E936D8" w:rsidRPr="00D877C1" w14:paraId="02EB461D" w14:textId="77777777" w:rsidTr="0048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C45CE4" w14:textId="77777777" w:rsidR="00A85173" w:rsidRPr="00D877C1" w:rsidRDefault="00A85173" w:rsidP="000060BE">
            <w:pPr>
              <w:rPr>
                <w:rFonts w:cstheme="minorHAnsi"/>
                <w:b w:val="0"/>
                <w:sz w:val="18"/>
                <w:szCs w:val="18"/>
              </w:rPr>
            </w:pPr>
            <w:r w:rsidRPr="00D877C1">
              <w:rPr>
                <w:rFonts w:cstheme="minorHAnsi"/>
                <w:b w:val="0"/>
                <w:sz w:val="18"/>
                <w:szCs w:val="18"/>
              </w:rPr>
              <w:t xml:space="preserve">Wolverton, A. (2014). Retrospective evaluation of costs associated with methyl bromide critical use exemptions for open field strawberries in California. </w:t>
            </w:r>
            <w:r w:rsidRPr="00D877C1">
              <w:rPr>
                <w:rFonts w:cstheme="minorHAnsi"/>
                <w:b w:val="0"/>
                <w:i/>
                <w:iCs/>
                <w:sz w:val="18"/>
                <w:szCs w:val="18"/>
              </w:rPr>
              <w:t>Journal of Benefit-Cost Analysis</w:t>
            </w:r>
            <w:r w:rsidRPr="00D877C1">
              <w:rPr>
                <w:rFonts w:cstheme="minorHAnsi"/>
                <w:b w:val="0"/>
                <w:sz w:val="18"/>
                <w:szCs w:val="18"/>
              </w:rPr>
              <w:t>, 5(2): 225-257.</w:t>
            </w:r>
          </w:p>
        </w:tc>
        <w:tc>
          <w:tcPr>
            <w:tcW w:w="1134" w:type="dxa"/>
          </w:tcPr>
          <w:p w14:paraId="302C69A0"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60A16069" w14:textId="7623E69D" w:rsidR="00A85173" w:rsidRPr="00D877C1" w:rsidRDefault="00A85173" w:rsidP="000060B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Environmental Regulation; 2005-2010</w:t>
            </w:r>
          </w:p>
        </w:tc>
        <w:tc>
          <w:tcPr>
            <w:tcW w:w="2694" w:type="dxa"/>
          </w:tcPr>
          <w:p w14:paraId="29FC93E2" w14:textId="77777777" w:rsidR="00A85173" w:rsidRPr="00D877C1" w:rsidRDefault="00A85173" w:rsidP="000060BE">
            <w:pPr>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59C2029E" w14:textId="2038C915" w:rsidR="00A85173" w:rsidRPr="00D877C1" w:rsidRDefault="00A85173" w:rsidP="000060B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877C1">
              <w:rPr>
                <w:rFonts w:cstheme="minorHAnsi"/>
                <w:sz w:val="18"/>
                <w:szCs w:val="18"/>
              </w:rPr>
              <w:t>Ex ante costs for most categories overestimated</w:t>
            </w:r>
            <w:r w:rsidR="00235A43" w:rsidRPr="00D877C1">
              <w:rPr>
                <w:rFonts w:cstheme="minorHAnsi"/>
                <w:sz w:val="18"/>
                <w:szCs w:val="18"/>
              </w:rPr>
              <w:t>.</w:t>
            </w:r>
          </w:p>
        </w:tc>
      </w:tr>
      <w:tr w:rsidR="00E936D8" w:rsidRPr="00D877C1" w14:paraId="4EC9C1C8" w14:textId="77777777" w:rsidTr="00485F69">
        <w:tc>
          <w:tcPr>
            <w:cnfStyle w:val="001000000000" w:firstRow="0" w:lastRow="0" w:firstColumn="1" w:lastColumn="0" w:oddVBand="0" w:evenVBand="0" w:oddHBand="0" w:evenHBand="0" w:firstRowFirstColumn="0" w:firstRowLastColumn="0" w:lastRowFirstColumn="0" w:lastRowLastColumn="0"/>
            <w:tcW w:w="4531" w:type="dxa"/>
          </w:tcPr>
          <w:p w14:paraId="16ED6A6E" w14:textId="77777777" w:rsidR="00A85173" w:rsidRPr="00D877C1" w:rsidRDefault="00A85173" w:rsidP="000060BE">
            <w:pPr>
              <w:rPr>
                <w:rFonts w:cstheme="minorHAnsi"/>
                <w:b w:val="0"/>
                <w:sz w:val="18"/>
                <w:szCs w:val="18"/>
              </w:rPr>
            </w:pPr>
            <w:r w:rsidRPr="00D877C1">
              <w:rPr>
                <w:rFonts w:cstheme="minorHAnsi"/>
                <w:b w:val="0"/>
                <w:sz w:val="18"/>
                <w:szCs w:val="18"/>
              </w:rPr>
              <w:t>Morgan, C. &amp; Simon, N. (2014). National primary drinking water regulation for arsenic: A retrospective assessment of costs. Journal of Benefit-Cost Analysis, 5(2): 259-284.</w:t>
            </w:r>
          </w:p>
        </w:tc>
        <w:tc>
          <w:tcPr>
            <w:tcW w:w="1134" w:type="dxa"/>
          </w:tcPr>
          <w:p w14:paraId="2D18B1AA" w14:textId="77777777" w:rsidR="00A85173" w:rsidRPr="00D877C1" w:rsidRDefault="00A8517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US</w:t>
            </w:r>
          </w:p>
        </w:tc>
        <w:tc>
          <w:tcPr>
            <w:tcW w:w="1701" w:type="dxa"/>
          </w:tcPr>
          <w:p w14:paraId="5A0D43C7" w14:textId="5A5312C3" w:rsidR="00A85173" w:rsidRPr="00D877C1" w:rsidRDefault="00A85173" w:rsidP="000060B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Environmental Regulation; 2001</w:t>
            </w:r>
          </w:p>
        </w:tc>
        <w:tc>
          <w:tcPr>
            <w:tcW w:w="2694" w:type="dxa"/>
          </w:tcPr>
          <w:p w14:paraId="49EE1FD4" w14:textId="77777777" w:rsidR="00A85173" w:rsidRPr="00D877C1" w:rsidRDefault="00A8517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877C1">
              <w:rPr>
                <w:rFonts w:cstheme="minorHAnsi"/>
                <w:sz w:val="18"/>
                <w:szCs w:val="18"/>
              </w:rPr>
              <w:t>Purposive</w:t>
            </w:r>
          </w:p>
        </w:tc>
        <w:tc>
          <w:tcPr>
            <w:tcW w:w="4961" w:type="dxa"/>
          </w:tcPr>
          <w:p w14:paraId="4F47EF7E" w14:textId="77777777" w:rsidR="00A85173" w:rsidRPr="00D877C1" w:rsidRDefault="00A85173" w:rsidP="000060B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D877C1">
              <w:rPr>
                <w:rFonts w:eastAsia="Times New Roman" w:cstheme="minorHAnsi"/>
                <w:sz w:val="18"/>
                <w:szCs w:val="18"/>
                <w:lang w:eastAsia="en-GB"/>
              </w:rPr>
              <w:t xml:space="preserve">Ex ante costs overestimated ex post capital costs by </w:t>
            </w:r>
          </w:p>
          <w:p w14:paraId="15BB88B2" w14:textId="77777777" w:rsidR="00A85173" w:rsidRPr="00D877C1" w:rsidRDefault="00A85173" w:rsidP="000060B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GB"/>
              </w:rPr>
            </w:pPr>
            <w:r w:rsidRPr="00D877C1">
              <w:rPr>
                <w:rFonts w:eastAsia="Times New Roman" w:cstheme="minorHAnsi"/>
                <w:sz w:val="18"/>
                <w:szCs w:val="18"/>
                <w:lang w:eastAsia="en-GB"/>
              </w:rPr>
              <w:t>30-100%.</w:t>
            </w:r>
          </w:p>
          <w:p w14:paraId="5677D8EC" w14:textId="77777777" w:rsidR="00A85173" w:rsidRPr="00D877C1" w:rsidRDefault="00A85173" w:rsidP="000060BE">
            <w:pPr>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2D1BECA6" w14:textId="77777777" w:rsidR="004B59C8" w:rsidRPr="001C3290" w:rsidRDefault="004B59C8" w:rsidP="004B59C8">
      <w:pPr>
        <w:spacing w:after="100" w:afterAutospacing="1" w:line="360" w:lineRule="auto"/>
        <w:jc w:val="both"/>
        <w:rPr>
          <w:rFonts w:cstheme="minorHAnsi"/>
          <w:sz w:val="24"/>
          <w:szCs w:val="24"/>
        </w:rPr>
        <w:sectPr w:rsidR="004B59C8" w:rsidRPr="001C3290" w:rsidSect="005A5CDB">
          <w:endnotePr>
            <w:numFmt w:val="decimal"/>
          </w:endnotePr>
          <w:pgSz w:w="16838" w:h="11906" w:orient="landscape"/>
          <w:pgMar w:top="1440" w:right="1440" w:bottom="1440" w:left="1440" w:header="709" w:footer="709" w:gutter="0"/>
          <w:cols w:space="708"/>
          <w:docGrid w:linePitch="360"/>
        </w:sectPr>
      </w:pPr>
    </w:p>
    <w:p w14:paraId="0EBC4931" w14:textId="4E804C61" w:rsidR="00B80873" w:rsidRPr="001C3290" w:rsidRDefault="00170B58" w:rsidP="00170B58">
      <w:pPr>
        <w:pStyle w:val="Heading2"/>
        <w:numPr>
          <w:ilvl w:val="0"/>
          <w:numId w:val="0"/>
        </w:numPr>
        <w:rPr>
          <w:rFonts w:asciiTheme="minorHAnsi" w:hAnsiTheme="minorHAnsi" w:cstheme="minorHAnsi"/>
        </w:rPr>
      </w:pPr>
      <w:r w:rsidRPr="001C3290">
        <w:rPr>
          <w:rFonts w:asciiTheme="minorHAnsi" w:hAnsiTheme="minorHAnsi" w:cstheme="minorHAnsi"/>
        </w:rPr>
        <w:t xml:space="preserve">Table </w:t>
      </w:r>
      <w:r w:rsidR="009B6065">
        <w:rPr>
          <w:rFonts w:asciiTheme="minorHAnsi" w:hAnsiTheme="minorHAnsi" w:cstheme="minorHAnsi"/>
        </w:rPr>
        <w:t>2</w:t>
      </w:r>
      <w:r w:rsidR="00231A52" w:rsidRPr="00231A52">
        <w:rPr>
          <w:rFonts w:asciiTheme="minorHAnsi" w:hAnsiTheme="minorHAnsi" w:cstheme="minorHAnsi"/>
        </w:rPr>
        <w:t xml:space="preserve"> </w:t>
      </w:r>
      <w:r w:rsidR="009B6065">
        <w:rPr>
          <w:rFonts w:asciiTheme="minorHAnsi" w:hAnsiTheme="minorHAnsi" w:cstheme="minorHAnsi"/>
        </w:rPr>
        <w:t>Description</w:t>
      </w:r>
      <w:r w:rsidR="00231A52">
        <w:rPr>
          <w:rFonts w:asciiTheme="minorHAnsi" w:hAnsiTheme="minorHAnsi" w:cstheme="minorHAnsi"/>
        </w:rPr>
        <w:t xml:space="preserve"> of UK Regulations outlined in Open Europe’s 100 Most Costly EU-Derived Regulations</w:t>
      </w:r>
    </w:p>
    <w:tbl>
      <w:tblPr>
        <w:tblStyle w:val="GridTable4"/>
        <w:tblW w:w="15163" w:type="dxa"/>
        <w:tblLook w:val="04A0" w:firstRow="1" w:lastRow="0" w:firstColumn="1" w:lastColumn="0" w:noHBand="0" w:noVBand="1"/>
      </w:tblPr>
      <w:tblGrid>
        <w:gridCol w:w="2405"/>
        <w:gridCol w:w="12758"/>
      </w:tblGrid>
      <w:tr w:rsidR="000E4708" w:rsidRPr="001C3290" w14:paraId="63D57085" w14:textId="77777777" w:rsidTr="00DB7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65CC2A8" w14:textId="45335F0C" w:rsidR="000E4708" w:rsidRPr="007C43DB" w:rsidRDefault="000E4708" w:rsidP="005A5CDB">
            <w:pPr>
              <w:rPr>
                <w:rFonts w:cstheme="minorHAnsi"/>
                <w:sz w:val="20"/>
                <w:szCs w:val="20"/>
              </w:rPr>
            </w:pPr>
            <w:r w:rsidRPr="007C43DB">
              <w:rPr>
                <w:rFonts w:cstheme="minorHAnsi"/>
                <w:sz w:val="20"/>
                <w:szCs w:val="20"/>
              </w:rPr>
              <w:t>Regulation (originating EU Directive or Regulation)</w:t>
            </w:r>
            <w:r w:rsidR="00E16428" w:rsidRPr="007C43DB">
              <w:rPr>
                <w:rFonts w:cstheme="minorHAnsi"/>
                <w:sz w:val="20"/>
                <w:szCs w:val="20"/>
              </w:rPr>
              <w:t xml:space="preserve"> (</w:t>
            </w:r>
            <w:r w:rsidR="00B10B4E" w:rsidRPr="007C43DB">
              <w:rPr>
                <w:rFonts w:cstheme="minorHAnsi"/>
                <w:sz w:val="20"/>
                <w:szCs w:val="20"/>
              </w:rPr>
              <w:t>“</w:t>
            </w:r>
            <w:r w:rsidR="00E16428" w:rsidRPr="007C43DB">
              <w:rPr>
                <w:rFonts w:cstheme="minorHAnsi"/>
                <w:sz w:val="20"/>
                <w:szCs w:val="20"/>
              </w:rPr>
              <w:t>cost</w:t>
            </w:r>
            <w:r w:rsidR="00B10B4E" w:rsidRPr="007C43DB">
              <w:rPr>
                <w:rFonts w:cstheme="minorHAnsi"/>
                <w:sz w:val="20"/>
                <w:szCs w:val="20"/>
              </w:rPr>
              <w:t xml:space="preserve"> burden”</w:t>
            </w:r>
            <w:r w:rsidR="00E16428" w:rsidRPr="007C43DB">
              <w:rPr>
                <w:rFonts w:cstheme="minorHAnsi"/>
                <w:sz w:val="20"/>
                <w:szCs w:val="20"/>
              </w:rPr>
              <w:t xml:space="preserve"> ranking in OE’s analysis)</w:t>
            </w:r>
          </w:p>
        </w:tc>
        <w:tc>
          <w:tcPr>
            <w:tcW w:w="12758" w:type="dxa"/>
          </w:tcPr>
          <w:p w14:paraId="6FA46F69" w14:textId="77777777" w:rsidR="000E4708" w:rsidRPr="001C3290" w:rsidRDefault="000E4708" w:rsidP="005A5CDB">
            <w:pPr>
              <w:cnfStyle w:val="100000000000" w:firstRow="1" w:lastRow="0" w:firstColumn="0" w:lastColumn="0" w:oddVBand="0" w:evenVBand="0" w:oddHBand="0" w:evenHBand="0" w:firstRowFirstColumn="0" w:firstRowLastColumn="0" w:lastRowFirstColumn="0" w:lastRowLastColumn="0"/>
              <w:rPr>
                <w:rFonts w:cstheme="minorHAnsi"/>
                <w:color w:val="FFFFFF"/>
                <w:sz w:val="20"/>
                <w:szCs w:val="20"/>
              </w:rPr>
            </w:pPr>
            <w:r w:rsidRPr="001C3290">
              <w:rPr>
                <w:rFonts w:cstheme="minorHAnsi"/>
                <w:color w:val="FFFFFF"/>
                <w:sz w:val="20"/>
                <w:szCs w:val="20"/>
              </w:rPr>
              <w:t>Purpose</w:t>
            </w:r>
          </w:p>
        </w:tc>
      </w:tr>
      <w:tr w:rsidR="000E4708" w:rsidRPr="001C3290" w14:paraId="50D476C9" w14:textId="77777777" w:rsidTr="00DB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E715855" w14:textId="77777777" w:rsidR="000E4708" w:rsidRPr="007C43DB" w:rsidRDefault="000E4708" w:rsidP="005A5CDB">
            <w:pPr>
              <w:rPr>
                <w:rFonts w:cstheme="minorHAnsi"/>
                <w:color w:val="000000" w:themeColor="text1"/>
                <w:sz w:val="20"/>
                <w:szCs w:val="20"/>
              </w:rPr>
            </w:pPr>
            <w:r w:rsidRPr="007C43DB">
              <w:rPr>
                <w:rFonts w:cstheme="minorHAnsi"/>
                <w:color w:val="000000" w:themeColor="text1"/>
                <w:sz w:val="20"/>
                <w:szCs w:val="20"/>
              </w:rPr>
              <w:t>The Agency Workers Regulations</w:t>
            </w:r>
          </w:p>
          <w:p w14:paraId="7D56802E" w14:textId="0039FC84" w:rsidR="000E4708" w:rsidRPr="007C43DB" w:rsidRDefault="000E4708" w:rsidP="005A5CDB">
            <w:pPr>
              <w:rPr>
                <w:rFonts w:cstheme="minorHAnsi"/>
                <w:b w:val="0"/>
                <w:color w:val="000000" w:themeColor="text1"/>
                <w:sz w:val="20"/>
                <w:szCs w:val="20"/>
              </w:rPr>
            </w:pPr>
            <w:r w:rsidRPr="007C43DB">
              <w:rPr>
                <w:rFonts w:cstheme="minorHAnsi"/>
                <w:color w:val="000000" w:themeColor="text1"/>
                <w:sz w:val="20"/>
                <w:szCs w:val="20"/>
              </w:rPr>
              <w:t>2010</w:t>
            </w:r>
            <w:r w:rsidR="00590ED7" w:rsidRPr="007C43DB">
              <w:rPr>
                <w:rFonts w:cstheme="minorHAnsi"/>
                <w:b w:val="0"/>
                <w:color w:val="000000" w:themeColor="text1"/>
                <w:sz w:val="20"/>
                <w:szCs w:val="20"/>
              </w:rPr>
              <w:t xml:space="preserve"> (2008/104/EC)</w:t>
            </w:r>
            <w:r w:rsidR="00E16428" w:rsidRPr="007C43DB">
              <w:rPr>
                <w:rFonts w:cstheme="minorHAnsi"/>
                <w:b w:val="0"/>
                <w:color w:val="000000" w:themeColor="text1"/>
                <w:sz w:val="20"/>
                <w:szCs w:val="20"/>
              </w:rPr>
              <w:t xml:space="preserve"> (5)</w:t>
            </w:r>
          </w:p>
        </w:tc>
        <w:tc>
          <w:tcPr>
            <w:tcW w:w="12758" w:type="dxa"/>
          </w:tcPr>
          <w:p w14:paraId="7A80539A" w14:textId="17DC26A3" w:rsidR="000E4708" w:rsidRPr="001C3290" w:rsidRDefault="00767155" w:rsidP="00590ED7">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The</w:t>
            </w:r>
            <w:r w:rsidR="003862B0">
              <w:rPr>
                <w:rFonts w:cstheme="minorHAnsi"/>
                <w:color w:val="000000"/>
                <w:sz w:val="20"/>
                <w:szCs w:val="20"/>
              </w:rPr>
              <w:t xml:space="preserve"> r</w:t>
            </w:r>
            <w:r>
              <w:rPr>
                <w:rFonts w:cstheme="minorHAnsi"/>
                <w:color w:val="000000"/>
                <w:sz w:val="20"/>
                <w:szCs w:val="20"/>
              </w:rPr>
              <w:t xml:space="preserve">egulations aim </w:t>
            </w:r>
            <w:r w:rsidR="00C61D2B">
              <w:rPr>
                <w:rFonts w:cstheme="minorHAnsi"/>
                <w:color w:val="000000"/>
                <w:sz w:val="20"/>
                <w:szCs w:val="20"/>
              </w:rPr>
              <w:t xml:space="preserve">to </w:t>
            </w:r>
            <w:r>
              <w:rPr>
                <w:rFonts w:cstheme="minorHAnsi"/>
                <w:color w:val="000000"/>
                <w:sz w:val="20"/>
                <w:szCs w:val="20"/>
              </w:rPr>
              <w:t>protect</w:t>
            </w:r>
            <w:r w:rsidR="00590ED7" w:rsidRPr="00590ED7">
              <w:rPr>
                <w:rFonts w:cstheme="minorHAnsi"/>
                <w:color w:val="000000"/>
                <w:sz w:val="20"/>
                <w:szCs w:val="20"/>
              </w:rPr>
              <w:t xml:space="preserve"> temporary agency workers </w:t>
            </w:r>
            <w:r w:rsidR="00454CAD">
              <w:rPr>
                <w:rFonts w:cstheme="minorHAnsi"/>
                <w:color w:val="000000"/>
                <w:sz w:val="20"/>
                <w:szCs w:val="20"/>
              </w:rPr>
              <w:t>(who, at the time</w:t>
            </w:r>
            <w:r w:rsidR="00AE1BC9">
              <w:rPr>
                <w:rFonts w:cstheme="minorHAnsi"/>
                <w:color w:val="000000"/>
                <w:sz w:val="20"/>
                <w:szCs w:val="20"/>
              </w:rPr>
              <w:t>, comprised</w:t>
            </w:r>
            <w:r w:rsidR="00454CAD">
              <w:rPr>
                <w:rFonts w:cstheme="minorHAnsi"/>
                <w:color w:val="000000"/>
                <w:sz w:val="20"/>
                <w:szCs w:val="20"/>
              </w:rPr>
              <w:t xml:space="preserve"> 5% of the workforce) </w:t>
            </w:r>
            <w:r w:rsidR="00590ED7">
              <w:rPr>
                <w:rFonts w:cstheme="minorHAnsi"/>
                <w:color w:val="000000"/>
                <w:sz w:val="20"/>
                <w:szCs w:val="20"/>
              </w:rPr>
              <w:t xml:space="preserve">by </w:t>
            </w:r>
            <w:r>
              <w:rPr>
                <w:rFonts w:cstheme="minorHAnsi"/>
                <w:color w:val="000000"/>
                <w:sz w:val="20"/>
                <w:szCs w:val="20"/>
              </w:rPr>
              <w:t>ensuring</w:t>
            </w:r>
            <w:r w:rsidR="00590ED7" w:rsidRPr="00590ED7">
              <w:rPr>
                <w:rFonts w:cstheme="minorHAnsi"/>
                <w:color w:val="000000"/>
                <w:sz w:val="20"/>
                <w:szCs w:val="20"/>
              </w:rPr>
              <w:t xml:space="preserve"> that the</w:t>
            </w:r>
            <w:r w:rsidR="00AE1BC9">
              <w:rPr>
                <w:rFonts w:cstheme="minorHAnsi"/>
                <w:color w:val="000000"/>
                <w:sz w:val="20"/>
                <w:szCs w:val="20"/>
              </w:rPr>
              <w:t>ir</w:t>
            </w:r>
            <w:r w:rsidR="00590ED7" w:rsidRPr="00590ED7">
              <w:rPr>
                <w:rFonts w:cstheme="minorHAnsi"/>
                <w:color w:val="000000"/>
                <w:sz w:val="20"/>
                <w:szCs w:val="20"/>
              </w:rPr>
              <w:t xml:space="preserve"> basic working and employment conditions (duration of working time, overtime, breaks, rest periods, night work, holidays, public holidays and pay) </w:t>
            </w:r>
            <w:r w:rsidR="00AE1BC9">
              <w:rPr>
                <w:rFonts w:cstheme="minorHAnsi"/>
                <w:color w:val="000000"/>
                <w:sz w:val="20"/>
                <w:szCs w:val="20"/>
              </w:rPr>
              <w:t xml:space="preserve">were </w:t>
            </w:r>
            <w:r>
              <w:rPr>
                <w:rFonts w:cstheme="minorHAnsi"/>
                <w:color w:val="000000"/>
                <w:sz w:val="20"/>
                <w:szCs w:val="20"/>
              </w:rPr>
              <w:t xml:space="preserve">broadly </w:t>
            </w:r>
            <w:r w:rsidR="00590ED7">
              <w:rPr>
                <w:rFonts w:cstheme="minorHAnsi"/>
                <w:color w:val="000000"/>
                <w:sz w:val="20"/>
                <w:szCs w:val="20"/>
              </w:rPr>
              <w:t>comparable to those</w:t>
            </w:r>
            <w:r w:rsidR="00590ED7" w:rsidRPr="00590ED7">
              <w:rPr>
                <w:rFonts w:cstheme="minorHAnsi"/>
                <w:color w:val="000000"/>
                <w:sz w:val="20"/>
                <w:szCs w:val="20"/>
              </w:rPr>
              <w:t xml:space="preserve"> recruited directly to occupy the same job. The </w:t>
            </w:r>
            <w:r w:rsidR="008360AE">
              <w:rPr>
                <w:rFonts w:cstheme="minorHAnsi"/>
                <w:color w:val="000000"/>
                <w:sz w:val="20"/>
                <w:szCs w:val="20"/>
              </w:rPr>
              <w:t>r</w:t>
            </w:r>
            <w:r w:rsidR="00590ED7">
              <w:rPr>
                <w:rFonts w:cstheme="minorHAnsi"/>
                <w:color w:val="000000"/>
                <w:sz w:val="20"/>
                <w:szCs w:val="20"/>
              </w:rPr>
              <w:t xml:space="preserve">egulations set a 12 week </w:t>
            </w:r>
            <w:r w:rsidR="00590ED7" w:rsidRPr="00590ED7">
              <w:rPr>
                <w:rFonts w:cstheme="minorHAnsi"/>
                <w:color w:val="000000"/>
                <w:sz w:val="20"/>
                <w:szCs w:val="20"/>
              </w:rPr>
              <w:t>qualifying period before equal treatment is applicable</w:t>
            </w:r>
            <w:r w:rsidR="00590ED7">
              <w:rPr>
                <w:rFonts w:cstheme="minorHAnsi"/>
                <w:color w:val="000000"/>
                <w:sz w:val="20"/>
                <w:szCs w:val="20"/>
              </w:rPr>
              <w:t xml:space="preserve"> and do not apply to redundancy pay, benefits i</w:t>
            </w:r>
            <w:r w:rsidR="00AE1BC9">
              <w:rPr>
                <w:rFonts w:cstheme="minorHAnsi"/>
                <w:color w:val="000000"/>
                <w:sz w:val="20"/>
                <w:szCs w:val="20"/>
              </w:rPr>
              <w:t>n kind, financial participation</w:t>
            </w:r>
            <w:r w:rsidR="00590ED7">
              <w:rPr>
                <w:rFonts w:cstheme="minorHAnsi"/>
                <w:color w:val="000000"/>
                <w:sz w:val="20"/>
                <w:szCs w:val="20"/>
              </w:rPr>
              <w:t xml:space="preserve"> schemes (e.g. profit sharing), and occupational social security schemes (e.g. occupational sick pay)</w:t>
            </w:r>
            <w:r w:rsidR="00B10B4E">
              <w:rPr>
                <w:rFonts w:cstheme="minorHAnsi"/>
                <w:color w:val="000000"/>
                <w:sz w:val="20"/>
                <w:szCs w:val="20"/>
              </w:rPr>
              <w:fldChar w:fldCharType="begin"/>
            </w:r>
            <w:r w:rsidR="006D11C0">
              <w:rPr>
                <w:rFonts w:cstheme="minorHAnsi"/>
                <w:color w:val="000000"/>
                <w:sz w:val="20"/>
                <w:szCs w:val="20"/>
              </w:rPr>
              <w:instrText xml:space="preserve"> ADDIN EN.CITE &lt;EndNote&gt;&lt;Cite&gt;&lt;Author&gt;Department of Business Innovation and Skills&lt;/Author&gt;&lt;Year&gt;2010&lt;/Year&gt;&lt;RecNum&gt;1627&lt;/RecNum&gt;&lt;DisplayText&gt; (Department of Business Innovation and Skills, 2010)&lt;/DisplayText&gt;&lt;record&gt;&lt;rec-number&gt;1627&lt;/rec-number&gt;&lt;foreign-keys&gt;&lt;key app="EN" db-id="drrvazw0t090vlef0e6praxba2d0xwps0wt0" timestamp="1492082811"&gt;1627&lt;/key&gt;&lt;/foreign-keys&gt;&lt;ref-type name="Report"&gt;27&lt;/ref-type&gt;&lt;contributors&gt;&lt;authors&gt;&lt;author&gt;Department of Business Innovation and Skills,&lt;/author&gt;&lt;/authors&gt;&lt;tertiary-authors&gt;&lt;author&gt;Department of Business, Innovation and Skills&lt;/author&gt;&lt;/tertiary-authors&gt;&lt;/contributors&gt;&lt;titles&gt;&lt;title&gt;Impact Assessment of the European Parliament and of the Council Directive on working conditions for temporary agency workers&lt;/title&gt;&lt;/titles&gt;&lt;dates&gt;&lt;year&gt;2010&lt;/year&gt;&lt;pub-dates&gt;&lt;date&gt;January&lt;/date&gt;&lt;/pub-dates&gt;&lt;/dates&gt;&lt;pub-location&gt;London&lt;/pub-location&gt;&lt;publisher&gt;Department of Business, Innovation and Skills&lt;/publisher&gt;&lt;urls&gt;&lt;related-urls&gt;&lt;url&gt;http://www.legislation.gov.uk/uksi/2010/93/pdfs/uksiem_20100093_en.pdf&lt;/url&gt;&lt;/related-urls&gt;&lt;/urls&gt;&lt;access-date&gt;March 20, 2017&lt;/access-date&gt;&lt;/record&gt;&lt;/Cite&gt;&lt;/EndNote&gt;</w:instrText>
            </w:r>
            <w:r w:rsidR="00B10B4E">
              <w:rPr>
                <w:rFonts w:cstheme="minorHAnsi"/>
                <w:color w:val="000000"/>
                <w:sz w:val="20"/>
                <w:szCs w:val="20"/>
              </w:rPr>
              <w:fldChar w:fldCharType="separate"/>
            </w:r>
            <w:r w:rsidR="006D11C0">
              <w:rPr>
                <w:rFonts w:cstheme="minorHAnsi"/>
                <w:noProof/>
                <w:color w:val="000000"/>
                <w:sz w:val="20"/>
                <w:szCs w:val="20"/>
              </w:rPr>
              <w:t xml:space="preserve"> </w:t>
            </w:r>
            <w:hyperlink w:anchor="_ENREF_4" w:tooltip="Department of Business Innovation and Skills, 2010 #1627" w:history="1">
              <w:r w:rsidR="006D11C0">
                <w:rPr>
                  <w:rFonts w:cstheme="minorHAnsi"/>
                  <w:noProof/>
                  <w:color w:val="000000"/>
                  <w:sz w:val="20"/>
                  <w:szCs w:val="20"/>
                </w:rPr>
                <w:t>(Department of Business Innovation and Skills, 2010</w:t>
              </w:r>
            </w:hyperlink>
            <w:r w:rsidR="006D11C0">
              <w:rPr>
                <w:rFonts w:cstheme="minorHAnsi"/>
                <w:noProof/>
                <w:color w:val="000000"/>
                <w:sz w:val="20"/>
                <w:szCs w:val="20"/>
              </w:rPr>
              <w:t>)</w:t>
            </w:r>
            <w:r w:rsidR="00B10B4E">
              <w:rPr>
                <w:rFonts w:cstheme="minorHAnsi"/>
                <w:color w:val="000000"/>
                <w:sz w:val="20"/>
                <w:szCs w:val="20"/>
              </w:rPr>
              <w:fldChar w:fldCharType="end"/>
            </w:r>
            <w:r w:rsidR="00590ED7">
              <w:rPr>
                <w:rFonts w:cstheme="minorHAnsi"/>
                <w:color w:val="000000"/>
                <w:sz w:val="20"/>
                <w:szCs w:val="20"/>
              </w:rPr>
              <w:t>.</w:t>
            </w:r>
          </w:p>
        </w:tc>
      </w:tr>
      <w:tr w:rsidR="000E4708" w:rsidRPr="001C3290" w14:paraId="79EB6EDE" w14:textId="77777777" w:rsidTr="00DB7DE5">
        <w:tc>
          <w:tcPr>
            <w:cnfStyle w:val="001000000000" w:firstRow="0" w:lastRow="0" w:firstColumn="1" w:lastColumn="0" w:oddVBand="0" w:evenVBand="0" w:oddHBand="0" w:evenHBand="0" w:firstRowFirstColumn="0" w:firstRowLastColumn="0" w:lastRowFirstColumn="0" w:lastRowLastColumn="0"/>
            <w:tcW w:w="2405" w:type="dxa"/>
          </w:tcPr>
          <w:p w14:paraId="01DDE446" w14:textId="34F4415B" w:rsidR="000E4708" w:rsidRPr="007C43DB" w:rsidRDefault="000E4708" w:rsidP="005A5CDB">
            <w:pPr>
              <w:rPr>
                <w:rFonts w:cstheme="minorHAnsi"/>
                <w:b w:val="0"/>
                <w:color w:val="000000" w:themeColor="text1"/>
                <w:sz w:val="20"/>
                <w:szCs w:val="20"/>
              </w:rPr>
            </w:pPr>
            <w:r w:rsidRPr="007C43DB">
              <w:rPr>
                <w:rFonts w:cstheme="minorHAnsi"/>
                <w:color w:val="000000" w:themeColor="text1"/>
                <w:sz w:val="20"/>
                <w:szCs w:val="20"/>
              </w:rPr>
              <w:t>The Road Transport (Working Time) Regulations 2005 and The Road Transport (Working Time) (Amendment) Regulations 2012</w:t>
            </w:r>
            <w:r w:rsidR="00590ED7" w:rsidRPr="007C43DB">
              <w:rPr>
                <w:rFonts w:cstheme="minorHAnsi"/>
                <w:color w:val="000000" w:themeColor="text1"/>
                <w:sz w:val="20"/>
                <w:szCs w:val="20"/>
              </w:rPr>
              <w:t xml:space="preserve"> </w:t>
            </w:r>
            <w:r w:rsidR="00590ED7" w:rsidRPr="007C43DB">
              <w:rPr>
                <w:rFonts w:cstheme="minorHAnsi"/>
                <w:b w:val="0"/>
                <w:color w:val="000000" w:themeColor="text1"/>
                <w:sz w:val="20"/>
                <w:szCs w:val="20"/>
              </w:rPr>
              <w:t>(2002/15/EC)</w:t>
            </w:r>
            <w:r w:rsidR="00E16428" w:rsidRPr="007C43DB">
              <w:rPr>
                <w:rFonts w:cstheme="minorHAnsi"/>
                <w:b w:val="0"/>
                <w:color w:val="000000" w:themeColor="text1"/>
                <w:sz w:val="20"/>
                <w:szCs w:val="20"/>
              </w:rPr>
              <w:t xml:space="preserve"> (12)</w:t>
            </w:r>
          </w:p>
        </w:tc>
        <w:tc>
          <w:tcPr>
            <w:tcW w:w="12758" w:type="dxa"/>
          </w:tcPr>
          <w:p w14:paraId="388B1072" w14:textId="229BFB41" w:rsidR="000E4708" w:rsidRPr="001C3290" w:rsidRDefault="00590ED7" w:rsidP="00590ED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90ED7">
              <w:rPr>
                <w:rFonts w:cstheme="minorHAnsi"/>
                <w:color w:val="000000"/>
                <w:sz w:val="20"/>
                <w:szCs w:val="20"/>
              </w:rPr>
              <w:t xml:space="preserve">The </w:t>
            </w:r>
            <w:r>
              <w:rPr>
                <w:rFonts w:cstheme="minorHAnsi"/>
                <w:color w:val="000000"/>
                <w:sz w:val="20"/>
                <w:szCs w:val="20"/>
              </w:rPr>
              <w:t xml:space="preserve">2005 </w:t>
            </w:r>
            <w:r w:rsidR="003862B0">
              <w:rPr>
                <w:rFonts w:cstheme="minorHAnsi"/>
                <w:color w:val="000000"/>
                <w:sz w:val="20"/>
                <w:szCs w:val="20"/>
              </w:rPr>
              <w:t>R</w:t>
            </w:r>
            <w:r w:rsidRPr="00590ED7">
              <w:rPr>
                <w:rFonts w:cstheme="minorHAnsi"/>
                <w:color w:val="000000"/>
                <w:sz w:val="20"/>
                <w:szCs w:val="20"/>
              </w:rPr>
              <w:t xml:space="preserve">egulations </w:t>
            </w:r>
            <w:r w:rsidR="00767155">
              <w:rPr>
                <w:rFonts w:cstheme="minorHAnsi"/>
                <w:color w:val="000000"/>
                <w:sz w:val="20"/>
                <w:szCs w:val="20"/>
              </w:rPr>
              <w:t>aim</w:t>
            </w:r>
            <w:r>
              <w:rPr>
                <w:rFonts w:cstheme="minorHAnsi"/>
                <w:color w:val="000000"/>
                <w:sz w:val="20"/>
                <w:szCs w:val="20"/>
              </w:rPr>
              <w:t xml:space="preserve"> to </w:t>
            </w:r>
            <w:r w:rsidRPr="00590ED7">
              <w:rPr>
                <w:rFonts w:cstheme="minorHAnsi"/>
                <w:color w:val="000000"/>
                <w:sz w:val="20"/>
                <w:szCs w:val="20"/>
              </w:rPr>
              <w:t xml:space="preserve">establish minimum requirements </w:t>
            </w:r>
            <w:r w:rsidR="00767155">
              <w:rPr>
                <w:rFonts w:cstheme="minorHAnsi"/>
                <w:color w:val="000000"/>
                <w:sz w:val="20"/>
                <w:szCs w:val="20"/>
              </w:rPr>
              <w:t xml:space="preserve">for </w:t>
            </w:r>
            <w:r w:rsidRPr="00590ED7">
              <w:rPr>
                <w:rFonts w:cstheme="minorHAnsi"/>
                <w:color w:val="000000"/>
                <w:sz w:val="20"/>
                <w:szCs w:val="20"/>
              </w:rPr>
              <w:t>the organisation of</w:t>
            </w:r>
            <w:r>
              <w:rPr>
                <w:rFonts w:cstheme="minorHAnsi"/>
                <w:color w:val="000000"/>
                <w:sz w:val="20"/>
                <w:szCs w:val="20"/>
              </w:rPr>
              <w:t xml:space="preserve"> </w:t>
            </w:r>
            <w:r w:rsidRPr="00590ED7">
              <w:rPr>
                <w:rFonts w:cstheme="minorHAnsi"/>
                <w:color w:val="000000"/>
                <w:sz w:val="20"/>
                <w:szCs w:val="20"/>
              </w:rPr>
              <w:t xml:space="preserve">working time </w:t>
            </w:r>
            <w:r w:rsidR="00767155">
              <w:rPr>
                <w:rFonts w:cstheme="minorHAnsi"/>
                <w:color w:val="000000"/>
                <w:sz w:val="20"/>
                <w:szCs w:val="20"/>
              </w:rPr>
              <w:t xml:space="preserve">for transport workers </w:t>
            </w:r>
            <w:r w:rsidRPr="00590ED7">
              <w:rPr>
                <w:rFonts w:cstheme="minorHAnsi"/>
                <w:color w:val="000000"/>
                <w:sz w:val="20"/>
                <w:szCs w:val="20"/>
              </w:rPr>
              <w:t xml:space="preserve">to improve </w:t>
            </w:r>
            <w:r w:rsidR="00767155">
              <w:rPr>
                <w:rFonts w:cstheme="minorHAnsi"/>
                <w:color w:val="000000"/>
                <w:sz w:val="20"/>
                <w:szCs w:val="20"/>
              </w:rPr>
              <w:t>bot</w:t>
            </w:r>
            <w:r w:rsidR="00C61D2B">
              <w:rPr>
                <w:rFonts w:cstheme="minorHAnsi"/>
                <w:color w:val="000000"/>
                <w:sz w:val="20"/>
                <w:szCs w:val="20"/>
              </w:rPr>
              <w:t>h</w:t>
            </w:r>
            <w:r w:rsidR="00767155">
              <w:rPr>
                <w:rFonts w:cstheme="minorHAnsi"/>
                <w:color w:val="000000"/>
                <w:sz w:val="20"/>
                <w:szCs w:val="20"/>
              </w:rPr>
              <w:t xml:space="preserve"> </w:t>
            </w:r>
            <w:r w:rsidRPr="00590ED7">
              <w:rPr>
                <w:rFonts w:cstheme="minorHAnsi"/>
                <w:color w:val="000000"/>
                <w:sz w:val="20"/>
                <w:szCs w:val="20"/>
              </w:rPr>
              <w:t xml:space="preserve">road safety </w:t>
            </w:r>
            <w:r>
              <w:rPr>
                <w:rFonts w:cstheme="minorHAnsi"/>
                <w:color w:val="000000"/>
                <w:sz w:val="20"/>
                <w:szCs w:val="20"/>
              </w:rPr>
              <w:t xml:space="preserve">and </w:t>
            </w:r>
            <w:r w:rsidRPr="00590ED7">
              <w:rPr>
                <w:rFonts w:cstheme="minorHAnsi"/>
                <w:color w:val="000000"/>
                <w:sz w:val="20"/>
                <w:szCs w:val="20"/>
              </w:rPr>
              <w:t xml:space="preserve">the health and safety of </w:t>
            </w:r>
            <w:r>
              <w:rPr>
                <w:rFonts w:cstheme="minorHAnsi"/>
                <w:color w:val="000000"/>
                <w:sz w:val="20"/>
                <w:szCs w:val="20"/>
              </w:rPr>
              <w:t xml:space="preserve">affected </w:t>
            </w:r>
            <w:r w:rsidRPr="00590ED7">
              <w:rPr>
                <w:rFonts w:cstheme="minorHAnsi"/>
                <w:color w:val="000000"/>
                <w:sz w:val="20"/>
                <w:szCs w:val="20"/>
              </w:rPr>
              <w:t>workers</w:t>
            </w:r>
            <w:r w:rsidR="00767155">
              <w:rPr>
                <w:rFonts w:cstheme="minorHAnsi"/>
                <w:color w:val="000000"/>
                <w:sz w:val="20"/>
                <w:szCs w:val="20"/>
              </w:rPr>
              <w:t>. They apply</w:t>
            </w:r>
            <w:r>
              <w:rPr>
                <w:rFonts w:cstheme="minorHAnsi"/>
                <w:color w:val="000000"/>
                <w:sz w:val="20"/>
                <w:szCs w:val="20"/>
              </w:rPr>
              <w:t xml:space="preserve"> to</w:t>
            </w:r>
            <w:r w:rsidR="00767155">
              <w:rPr>
                <w:rFonts w:cstheme="minorHAnsi"/>
                <w:color w:val="000000"/>
                <w:sz w:val="20"/>
                <w:szCs w:val="20"/>
              </w:rPr>
              <w:t>:</w:t>
            </w:r>
            <w:r>
              <w:rPr>
                <w:rFonts w:cstheme="minorHAnsi"/>
                <w:color w:val="000000"/>
                <w:sz w:val="20"/>
                <w:szCs w:val="20"/>
              </w:rPr>
              <w:t xml:space="preserve"> “mobile workers” covered by </w:t>
            </w:r>
            <w:r w:rsidR="00767155">
              <w:rPr>
                <w:rFonts w:cstheme="minorHAnsi"/>
                <w:color w:val="000000"/>
                <w:sz w:val="20"/>
                <w:szCs w:val="20"/>
              </w:rPr>
              <w:t xml:space="preserve">a miscellany of </w:t>
            </w:r>
            <w:r>
              <w:rPr>
                <w:rFonts w:cstheme="minorHAnsi"/>
                <w:color w:val="000000"/>
                <w:sz w:val="20"/>
                <w:szCs w:val="20"/>
              </w:rPr>
              <w:t>EU drivers’ hours rules</w:t>
            </w:r>
            <w:r w:rsidR="00767155">
              <w:rPr>
                <w:rFonts w:cstheme="minorHAnsi"/>
                <w:color w:val="000000"/>
                <w:sz w:val="20"/>
                <w:szCs w:val="20"/>
              </w:rPr>
              <w:t>;</w:t>
            </w:r>
            <w:r>
              <w:rPr>
                <w:rFonts w:cstheme="minorHAnsi"/>
                <w:color w:val="000000"/>
                <w:sz w:val="20"/>
                <w:szCs w:val="20"/>
              </w:rPr>
              <w:t xml:space="preserve"> drivers, vehicle crew and travelling staff of heavy goods vehicles over 3.5 tonnes</w:t>
            </w:r>
            <w:r w:rsidR="00767155">
              <w:rPr>
                <w:rFonts w:cstheme="minorHAnsi"/>
                <w:color w:val="000000"/>
                <w:sz w:val="20"/>
                <w:szCs w:val="20"/>
              </w:rPr>
              <w:t>;</w:t>
            </w:r>
            <w:r>
              <w:rPr>
                <w:rFonts w:cstheme="minorHAnsi"/>
                <w:color w:val="000000"/>
                <w:sz w:val="20"/>
                <w:szCs w:val="20"/>
              </w:rPr>
              <w:t xml:space="preserve"> drivers of most vehicles with more than 8 passenger seats. The 2012 Regulations cover </w:t>
            </w:r>
            <w:r w:rsidR="00767155">
              <w:rPr>
                <w:rFonts w:cstheme="minorHAnsi"/>
                <w:color w:val="000000"/>
                <w:sz w:val="20"/>
                <w:szCs w:val="20"/>
              </w:rPr>
              <w:t xml:space="preserve">a sub-class of </w:t>
            </w:r>
            <w:r>
              <w:rPr>
                <w:rFonts w:cstheme="minorHAnsi"/>
                <w:color w:val="000000"/>
                <w:sz w:val="20"/>
                <w:szCs w:val="20"/>
              </w:rPr>
              <w:t>s</w:t>
            </w:r>
            <w:r w:rsidRPr="00590ED7">
              <w:rPr>
                <w:rFonts w:cstheme="minorHAnsi"/>
                <w:color w:val="000000"/>
                <w:sz w:val="20"/>
                <w:szCs w:val="20"/>
              </w:rPr>
              <w:t>elf-employed drivers</w:t>
            </w:r>
            <w:r>
              <w:rPr>
                <w:rFonts w:cstheme="minorHAnsi"/>
                <w:color w:val="000000"/>
                <w:sz w:val="20"/>
                <w:szCs w:val="20"/>
              </w:rPr>
              <w:t xml:space="preserve"> who </w:t>
            </w:r>
            <w:r w:rsidRPr="00590ED7">
              <w:rPr>
                <w:rFonts w:cstheme="minorHAnsi"/>
                <w:color w:val="000000"/>
                <w:sz w:val="20"/>
                <w:szCs w:val="20"/>
              </w:rPr>
              <w:t>were</w:t>
            </w:r>
            <w:r>
              <w:rPr>
                <w:rFonts w:cstheme="minorHAnsi"/>
                <w:color w:val="000000"/>
                <w:sz w:val="20"/>
                <w:szCs w:val="20"/>
              </w:rPr>
              <w:t xml:space="preserve"> </w:t>
            </w:r>
            <w:r w:rsidRPr="00590ED7">
              <w:rPr>
                <w:rFonts w:cstheme="minorHAnsi"/>
                <w:color w:val="000000"/>
                <w:sz w:val="20"/>
                <w:szCs w:val="20"/>
              </w:rPr>
              <w:t>initially excluded from the scope of the Directive under a sunrise clause</w:t>
            </w:r>
            <w:r w:rsidR="00B10B4E">
              <w:rPr>
                <w:rFonts w:cstheme="minorHAnsi"/>
                <w:color w:val="000000"/>
                <w:sz w:val="20"/>
                <w:szCs w:val="20"/>
              </w:rPr>
              <w:fldChar w:fldCharType="begin"/>
            </w:r>
            <w:r w:rsidR="00BB4F0A">
              <w:rPr>
                <w:rFonts w:cstheme="minorHAnsi"/>
                <w:color w:val="000000"/>
                <w:sz w:val="20"/>
                <w:szCs w:val="20"/>
              </w:rPr>
              <w:instrText xml:space="preserve"> ADDIN EN.CITE &lt;EndNote&gt;&lt;Cite&gt;&lt;Author&gt;Department for Transport&lt;/Author&gt;&lt;Year&gt;2011&lt;/Year&gt;&lt;RecNum&gt;1631&lt;/RecNum&gt;&lt;DisplayText&gt; (Department for Transport, 2011)&lt;/DisplayText&gt;&lt;record&gt;&lt;rec-number&gt;1631&lt;/rec-number&gt;&lt;foreign-keys&gt;&lt;key app="EN" db-id="drrvazw0t090vlef0e6praxba2d0xwps0wt0" timestamp="1492192763"&gt;1631&lt;/key&gt;&lt;/foreign-keys&gt;&lt;ref-type name="Report"&gt;27&lt;/ref-type&gt;&lt;contributors&gt;&lt;authors&gt;&lt;author&gt;Department for Transport,&lt;/author&gt;&lt;/authors&gt;&lt;tertiary-authors&gt;&lt;author&gt;Department for Transport&lt;/author&gt;&lt;/tertiary-authors&gt;&lt;/contributors&gt;&lt;titles&gt;&lt;title&gt;The Road Transport (Working Time) Amendment Regulations 2012&lt;/title&gt;&lt;/titles&gt;&lt;dates&gt;&lt;year&gt;2011&lt;/year&gt;&lt;/dates&gt;&lt;pub-location&gt;London&lt;/pub-location&gt;&lt;publisher&gt;Department for Transport&lt;/publisher&gt;&lt;urls&gt;&lt;related-urls&gt;&lt;url&gt;http://www.legislation.gov.uk/ukia/2011/485/pdfs/ukia_20110485_en.pdf&lt;/url&gt;&lt;/related-urls&gt;&lt;/urls&gt;&lt;access-date&gt;April 14, 2017&lt;/access-date&gt;&lt;/record&gt;&lt;/Cite&gt;&lt;/EndNote&gt;</w:instrText>
            </w:r>
            <w:r w:rsidR="00B10B4E">
              <w:rPr>
                <w:rFonts w:cstheme="minorHAnsi"/>
                <w:color w:val="000000"/>
                <w:sz w:val="20"/>
                <w:szCs w:val="20"/>
              </w:rPr>
              <w:fldChar w:fldCharType="separate"/>
            </w:r>
            <w:r w:rsidR="00BB4F0A">
              <w:rPr>
                <w:rFonts w:cstheme="minorHAnsi"/>
                <w:noProof/>
                <w:color w:val="000000"/>
                <w:sz w:val="20"/>
                <w:szCs w:val="20"/>
              </w:rPr>
              <w:t xml:space="preserve"> </w:t>
            </w:r>
            <w:hyperlink w:anchor="_ENREF_3" w:tooltip="Department for Transport, 2011 #1631" w:history="1">
              <w:r w:rsidR="006D11C0">
                <w:rPr>
                  <w:rFonts w:cstheme="minorHAnsi"/>
                  <w:noProof/>
                  <w:color w:val="000000"/>
                  <w:sz w:val="20"/>
                  <w:szCs w:val="20"/>
                </w:rPr>
                <w:t>(Department for Transport, 2011</w:t>
              </w:r>
            </w:hyperlink>
            <w:r w:rsidR="00BB4F0A">
              <w:rPr>
                <w:rFonts w:cstheme="minorHAnsi"/>
                <w:noProof/>
                <w:color w:val="000000"/>
                <w:sz w:val="20"/>
                <w:szCs w:val="20"/>
              </w:rPr>
              <w:t>)</w:t>
            </w:r>
            <w:r w:rsidR="00B10B4E">
              <w:rPr>
                <w:rFonts w:cstheme="minorHAnsi"/>
                <w:color w:val="000000"/>
                <w:sz w:val="20"/>
                <w:szCs w:val="20"/>
              </w:rPr>
              <w:fldChar w:fldCharType="end"/>
            </w:r>
            <w:r>
              <w:rPr>
                <w:rFonts w:cstheme="minorHAnsi"/>
                <w:color w:val="000000"/>
                <w:sz w:val="20"/>
                <w:szCs w:val="20"/>
              </w:rPr>
              <w:t xml:space="preserve">. </w:t>
            </w:r>
            <w:r w:rsidR="00767155">
              <w:rPr>
                <w:rFonts w:cstheme="minorHAnsi"/>
                <w:color w:val="000000"/>
                <w:sz w:val="20"/>
                <w:szCs w:val="20"/>
              </w:rPr>
              <w:t xml:space="preserve">Both sets of </w:t>
            </w:r>
            <w:r w:rsidR="008360AE">
              <w:rPr>
                <w:rFonts w:cstheme="minorHAnsi"/>
                <w:color w:val="000000"/>
                <w:sz w:val="20"/>
                <w:szCs w:val="20"/>
              </w:rPr>
              <w:t>r</w:t>
            </w:r>
            <w:r>
              <w:rPr>
                <w:rFonts w:cstheme="minorHAnsi"/>
                <w:color w:val="000000"/>
                <w:sz w:val="20"/>
                <w:szCs w:val="20"/>
              </w:rPr>
              <w:t xml:space="preserve">egulations </w:t>
            </w:r>
            <w:r w:rsidR="00767155">
              <w:rPr>
                <w:rFonts w:cstheme="minorHAnsi"/>
                <w:color w:val="000000"/>
                <w:sz w:val="20"/>
                <w:szCs w:val="20"/>
              </w:rPr>
              <w:t xml:space="preserve">seek to </w:t>
            </w:r>
            <w:r>
              <w:rPr>
                <w:rFonts w:cstheme="minorHAnsi"/>
                <w:color w:val="000000"/>
                <w:sz w:val="20"/>
                <w:szCs w:val="20"/>
              </w:rPr>
              <w:t>limit</w:t>
            </w:r>
            <w:r w:rsidR="002D24BB">
              <w:rPr>
                <w:rFonts w:cstheme="minorHAnsi"/>
                <w:color w:val="000000"/>
                <w:sz w:val="20"/>
                <w:szCs w:val="20"/>
              </w:rPr>
              <w:t xml:space="preserve"> working to an average 48-</w:t>
            </w:r>
            <w:r>
              <w:rPr>
                <w:rFonts w:cstheme="minorHAnsi"/>
                <w:color w:val="000000"/>
                <w:sz w:val="20"/>
                <w:szCs w:val="20"/>
              </w:rPr>
              <w:t>hour working w</w:t>
            </w:r>
            <w:r w:rsidR="00767155">
              <w:rPr>
                <w:rFonts w:cstheme="minorHAnsi"/>
                <w:color w:val="000000"/>
                <w:sz w:val="20"/>
                <w:szCs w:val="20"/>
              </w:rPr>
              <w:t>eek (</w:t>
            </w:r>
            <w:r w:rsidRPr="00590ED7">
              <w:rPr>
                <w:rFonts w:cstheme="minorHAnsi"/>
                <w:color w:val="000000"/>
                <w:sz w:val="20"/>
                <w:szCs w:val="20"/>
              </w:rPr>
              <w:t xml:space="preserve">typically calculated over a </w:t>
            </w:r>
            <w:r w:rsidR="007C43DB">
              <w:rPr>
                <w:rFonts w:cstheme="minorHAnsi"/>
                <w:color w:val="000000"/>
                <w:sz w:val="20"/>
                <w:szCs w:val="20"/>
              </w:rPr>
              <w:t>four-month</w:t>
            </w:r>
            <w:r>
              <w:rPr>
                <w:rFonts w:cstheme="minorHAnsi"/>
                <w:color w:val="000000"/>
                <w:sz w:val="20"/>
                <w:szCs w:val="20"/>
              </w:rPr>
              <w:t xml:space="preserve"> </w:t>
            </w:r>
            <w:r w:rsidRPr="00590ED7">
              <w:rPr>
                <w:rFonts w:cstheme="minorHAnsi"/>
                <w:color w:val="000000"/>
                <w:sz w:val="20"/>
                <w:szCs w:val="20"/>
              </w:rPr>
              <w:t>reference period</w:t>
            </w:r>
            <w:r w:rsidR="00767155">
              <w:rPr>
                <w:rFonts w:cstheme="minorHAnsi"/>
                <w:color w:val="000000"/>
                <w:sz w:val="20"/>
                <w:szCs w:val="20"/>
              </w:rPr>
              <w:t>)</w:t>
            </w:r>
            <w:r w:rsidRPr="00590ED7">
              <w:rPr>
                <w:rFonts w:cstheme="minorHAnsi"/>
                <w:color w:val="000000"/>
                <w:sz w:val="20"/>
                <w:szCs w:val="20"/>
              </w:rPr>
              <w:t>.</w:t>
            </w:r>
            <w:r>
              <w:rPr>
                <w:rFonts w:cstheme="minorHAnsi"/>
                <w:color w:val="000000"/>
                <w:sz w:val="20"/>
                <w:szCs w:val="20"/>
              </w:rPr>
              <w:t xml:space="preserve"> </w:t>
            </w:r>
            <w:r w:rsidRPr="00590ED7">
              <w:rPr>
                <w:rFonts w:cstheme="minorHAnsi"/>
                <w:color w:val="000000"/>
                <w:sz w:val="20"/>
                <w:szCs w:val="20"/>
              </w:rPr>
              <w:t xml:space="preserve"> Workers </w:t>
            </w:r>
            <w:r>
              <w:rPr>
                <w:rFonts w:cstheme="minorHAnsi"/>
                <w:color w:val="000000"/>
                <w:sz w:val="20"/>
                <w:szCs w:val="20"/>
              </w:rPr>
              <w:t xml:space="preserve">are able to </w:t>
            </w:r>
            <w:r w:rsidRPr="00590ED7">
              <w:rPr>
                <w:rFonts w:cstheme="minorHAnsi"/>
                <w:color w:val="000000"/>
                <w:sz w:val="20"/>
                <w:szCs w:val="20"/>
              </w:rPr>
              <w:t>work up</w:t>
            </w:r>
            <w:r>
              <w:rPr>
                <w:rFonts w:cstheme="minorHAnsi"/>
                <w:color w:val="000000"/>
                <w:sz w:val="20"/>
                <w:szCs w:val="20"/>
              </w:rPr>
              <w:t xml:space="preserve"> to 60 hours in a single week, provided</w:t>
            </w:r>
            <w:r w:rsidRPr="00590ED7">
              <w:rPr>
                <w:rFonts w:cstheme="minorHAnsi"/>
                <w:color w:val="000000"/>
                <w:sz w:val="20"/>
                <w:szCs w:val="20"/>
              </w:rPr>
              <w:t xml:space="preserve"> their average</w:t>
            </w:r>
            <w:r>
              <w:rPr>
                <w:rFonts w:cstheme="minorHAnsi"/>
                <w:color w:val="000000"/>
                <w:sz w:val="20"/>
                <w:szCs w:val="20"/>
              </w:rPr>
              <w:t xml:space="preserve"> </w:t>
            </w:r>
            <w:r w:rsidRPr="00590ED7">
              <w:rPr>
                <w:rFonts w:cstheme="minorHAnsi"/>
                <w:color w:val="000000"/>
                <w:sz w:val="20"/>
                <w:szCs w:val="20"/>
              </w:rPr>
              <w:t>workin</w:t>
            </w:r>
            <w:r>
              <w:rPr>
                <w:rFonts w:cstheme="minorHAnsi"/>
                <w:color w:val="000000"/>
                <w:sz w:val="20"/>
                <w:szCs w:val="20"/>
              </w:rPr>
              <w:t xml:space="preserve">g week does not exceed 48 hours over a </w:t>
            </w:r>
            <w:r w:rsidR="00EA5A00">
              <w:rPr>
                <w:rFonts w:cstheme="minorHAnsi"/>
                <w:color w:val="000000"/>
                <w:sz w:val="20"/>
                <w:szCs w:val="20"/>
              </w:rPr>
              <w:t>4-month</w:t>
            </w:r>
            <w:r>
              <w:rPr>
                <w:rFonts w:cstheme="minorHAnsi"/>
                <w:color w:val="000000"/>
                <w:sz w:val="20"/>
                <w:szCs w:val="20"/>
              </w:rPr>
              <w:t xml:space="preserve"> period. The</w:t>
            </w:r>
            <w:r w:rsidR="00767155">
              <w:rPr>
                <w:rFonts w:cstheme="minorHAnsi"/>
                <w:color w:val="000000"/>
                <w:sz w:val="20"/>
                <w:szCs w:val="20"/>
              </w:rPr>
              <w:t xml:space="preserve">y </w:t>
            </w:r>
            <w:r>
              <w:rPr>
                <w:rFonts w:cstheme="minorHAnsi"/>
                <w:color w:val="000000"/>
                <w:sz w:val="20"/>
                <w:szCs w:val="20"/>
              </w:rPr>
              <w:t>also impose a</w:t>
            </w:r>
            <w:r w:rsidRPr="00590ED7">
              <w:rPr>
                <w:rFonts w:cstheme="minorHAnsi"/>
                <w:color w:val="000000"/>
                <w:sz w:val="20"/>
                <w:szCs w:val="20"/>
              </w:rPr>
              <w:t xml:space="preserve"> </w:t>
            </w:r>
            <w:r w:rsidR="00EA5A00">
              <w:rPr>
                <w:rFonts w:cstheme="minorHAnsi"/>
                <w:color w:val="000000"/>
                <w:sz w:val="20"/>
                <w:szCs w:val="20"/>
              </w:rPr>
              <w:t>10-hour</w:t>
            </w:r>
            <w:r w:rsidRPr="00590ED7">
              <w:rPr>
                <w:rFonts w:cstheme="minorHAnsi"/>
                <w:color w:val="000000"/>
                <w:sz w:val="20"/>
                <w:szCs w:val="20"/>
              </w:rPr>
              <w:t xml:space="preserve"> limit for night workers over a </w:t>
            </w:r>
            <w:r w:rsidR="00EA5A00">
              <w:rPr>
                <w:rFonts w:cstheme="minorHAnsi"/>
                <w:color w:val="000000"/>
                <w:sz w:val="20"/>
                <w:szCs w:val="20"/>
              </w:rPr>
              <w:t>24-hour</w:t>
            </w:r>
            <w:r w:rsidRPr="00590ED7">
              <w:rPr>
                <w:rFonts w:cstheme="minorHAnsi"/>
                <w:color w:val="000000"/>
                <w:sz w:val="20"/>
                <w:szCs w:val="20"/>
              </w:rPr>
              <w:t xml:space="preserve"> period.</w:t>
            </w:r>
            <w:r>
              <w:rPr>
                <w:rFonts w:cstheme="minorHAnsi"/>
                <w:color w:val="000000"/>
                <w:sz w:val="20"/>
                <w:szCs w:val="20"/>
              </w:rPr>
              <w:t xml:space="preserve"> W</w:t>
            </w:r>
            <w:r w:rsidRPr="00590ED7">
              <w:rPr>
                <w:rFonts w:cstheme="minorHAnsi"/>
                <w:color w:val="000000"/>
                <w:sz w:val="20"/>
                <w:szCs w:val="20"/>
              </w:rPr>
              <w:t xml:space="preserve">here there </w:t>
            </w:r>
            <w:r>
              <w:rPr>
                <w:rFonts w:cstheme="minorHAnsi"/>
                <w:color w:val="000000"/>
                <w:sz w:val="20"/>
                <w:szCs w:val="20"/>
              </w:rPr>
              <w:t>is</w:t>
            </w:r>
            <w:r w:rsidRPr="00590ED7">
              <w:rPr>
                <w:rFonts w:cstheme="minorHAnsi"/>
                <w:color w:val="000000"/>
                <w:sz w:val="20"/>
                <w:szCs w:val="20"/>
              </w:rPr>
              <w:t xml:space="preserve"> a collective agreement or a workforce agreement at company level between the employer and employees, companies </w:t>
            </w:r>
            <w:r>
              <w:rPr>
                <w:rFonts w:cstheme="minorHAnsi"/>
                <w:color w:val="000000"/>
                <w:sz w:val="20"/>
                <w:szCs w:val="20"/>
              </w:rPr>
              <w:t>are</w:t>
            </w:r>
            <w:r w:rsidRPr="00590ED7">
              <w:rPr>
                <w:rFonts w:cstheme="minorHAnsi"/>
                <w:color w:val="000000"/>
                <w:sz w:val="20"/>
                <w:szCs w:val="20"/>
              </w:rPr>
              <w:t xml:space="preserve"> able</w:t>
            </w:r>
            <w:r>
              <w:rPr>
                <w:rFonts w:cstheme="minorHAnsi"/>
                <w:color w:val="000000"/>
                <w:sz w:val="20"/>
                <w:szCs w:val="20"/>
              </w:rPr>
              <w:t xml:space="preserve"> to extend the reference </w:t>
            </w:r>
            <w:r w:rsidRPr="00590ED7">
              <w:rPr>
                <w:rFonts w:cstheme="minorHAnsi"/>
                <w:color w:val="000000"/>
                <w:sz w:val="20"/>
                <w:szCs w:val="20"/>
              </w:rPr>
              <w:t xml:space="preserve">period for calculating the average 48-hour week to six months </w:t>
            </w:r>
            <w:r w:rsidR="00767155">
              <w:rPr>
                <w:rFonts w:cstheme="minorHAnsi"/>
                <w:color w:val="000000"/>
                <w:sz w:val="20"/>
                <w:szCs w:val="20"/>
              </w:rPr>
              <w:t xml:space="preserve">and exceed </w:t>
            </w:r>
            <w:r>
              <w:rPr>
                <w:rFonts w:cstheme="minorHAnsi"/>
                <w:color w:val="000000"/>
                <w:sz w:val="20"/>
                <w:szCs w:val="20"/>
              </w:rPr>
              <w:t xml:space="preserve">the </w:t>
            </w:r>
            <w:r w:rsidR="00EA5A00" w:rsidRPr="00590ED7">
              <w:rPr>
                <w:rFonts w:cstheme="minorHAnsi"/>
                <w:color w:val="000000"/>
                <w:sz w:val="20"/>
                <w:szCs w:val="20"/>
              </w:rPr>
              <w:t>10-hour</w:t>
            </w:r>
            <w:r w:rsidRPr="00590ED7">
              <w:rPr>
                <w:rFonts w:cstheme="minorHAnsi"/>
                <w:color w:val="000000"/>
                <w:sz w:val="20"/>
                <w:szCs w:val="20"/>
              </w:rPr>
              <w:t xml:space="preserve"> limit (over a 24-hour period) </w:t>
            </w:r>
            <w:r>
              <w:rPr>
                <w:rFonts w:cstheme="minorHAnsi"/>
                <w:color w:val="000000"/>
                <w:sz w:val="20"/>
                <w:szCs w:val="20"/>
              </w:rPr>
              <w:t xml:space="preserve">for night workers. However, </w:t>
            </w:r>
            <w:r w:rsidRPr="00590ED7">
              <w:rPr>
                <w:rFonts w:cstheme="minorHAnsi"/>
                <w:color w:val="000000"/>
                <w:sz w:val="20"/>
                <w:szCs w:val="20"/>
              </w:rPr>
              <w:t xml:space="preserve">the 60-hour weekly limit </w:t>
            </w:r>
            <w:r>
              <w:rPr>
                <w:rFonts w:cstheme="minorHAnsi"/>
                <w:color w:val="000000"/>
                <w:sz w:val="20"/>
                <w:szCs w:val="20"/>
              </w:rPr>
              <w:t>still applies</w:t>
            </w:r>
            <w:r w:rsidR="00B10B4E" w:rsidRPr="00590ED7">
              <w:rPr>
                <w:rFonts w:cstheme="minorHAnsi"/>
                <w:color w:val="000000"/>
                <w:sz w:val="20"/>
                <w:szCs w:val="20"/>
              </w:rPr>
              <w:fldChar w:fldCharType="begin"/>
            </w:r>
            <w:r w:rsidR="00BB4F0A">
              <w:rPr>
                <w:rFonts w:cstheme="minorHAnsi"/>
                <w:color w:val="000000"/>
                <w:sz w:val="20"/>
                <w:szCs w:val="20"/>
              </w:rPr>
              <w:instrText xml:space="preserve"> ADDIN EN.CITE &lt;EndNote&gt;&lt;Cite&gt;&lt;Author&gt;Department for Transport&lt;/Author&gt;&lt;Year&gt;2002&lt;/Year&gt;&lt;RecNum&gt;1629&lt;/RecNum&gt;&lt;DisplayText&gt; (Department for Transport, 2002)&lt;/DisplayText&gt;&lt;record&gt;&lt;rec-number&gt;1629&lt;/rec-number&gt;&lt;foreign-keys&gt;&lt;key app="EN" db-id="drrvazw0t090vlef0e6praxba2d0xwps0wt0" timestamp="1492166430"&gt;1629&lt;/key&gt;&lt;/foreign-keys&gt;&lt;ref-type name="Report"&gt;27&lt;/ref-type&gt;&lt;contributors&gt;&lt;authors&gt;&lt;author&gt;Department for Transport,&lt;/author&gt;&lt;/authors&gt;&lt;tertiary-authors&gt;&lt;author&gt;Department for Transport&lt;/author&gt;&lt;/tertiary-authors&gt;&lt;/contributors&gt;&lt;titles&gt;&lt;title&gt;Final Regulatory Impact Assessment for the Road Transport (Working Time) Regulations&lt;/title&gt;&lt;/titles&gt;&lt;dates&gt;&lt;year&gt;2002&lt;/year&gt;&lt;/dates&gt;&lt;pub-location&gt;London&lt;/pub-location&gt;&lt;publisher&gt;Department for Transport&lt;/publisher&gt;&lt;urls&gt;&lt;related-urls&gt;&lt;url&gt;http://webarchive.nationalarchives.gov.uk/20051219094446/http://dft.gov.uk/stellent/groups/dft_freight/documents/page/dft_freight_037111.pdf&lt;/url&gt;&lt;/related-urls&gt;&lt;/urls&gt;&lt;access-date&gt;March 24, 2017&lt;/access-date&gt;&lt;/record&gt;&lt;/Cite&gt;&lt;/EndNote&gt;</w:instrText>
            </w:r>
            <w:r w:rsidR="00B10B4E" w:rsidRPr="00590ED7">
              <w:rPr>
                <w:rFonts w:cstheme="minorHAnsi"/>
                <w:color w:val="000000"/>
                <w:sz w:val="20"/>
                <w:szCs w:val="20"/>
              </w:rPr>
              <w:fldChar w:fldCharType="separate"/>
            </w:r>
            <w:r w:rsidR="00BB4F0A">
              <w:rPr>
                <w:rFonts w:cstheme="minorHAnsi"/>
                <w:noProof/>
                <w:color w:val="000000"/>
                <w:sz w:val="20"/>
                <w:szCs w:val="20"/>
              </w:rPr>
              <w:t xml:space="preserve"> </w:t>
            </w:r>
            <w:hyperlink w:anchor="_ENREF_2" w:tooltip="Department for Transport, 2002 #1629" w:history="1">
              <w:r w:rsidR="006D11C0">
                <w:rPr>
                  <w:rFonts w:cstheme="minorHAnsi"/>
                  <w:noProof/>
                  <w:color w:val="000000"/>
                  <w:sz w:val="20"/>
                  <w:szCs w:val="20"/>
                </w:rPr>
                <w:t>(Department for Transport, 2002</w:t>
              </w:r>
            </w:hyperlink>
            <w:r w:rsidR="00BB4F0A">
              <w:rPr>
                <w:rFonts w:cstheme="minorHAnsi"/>
                <w:noProof/>
                <w:color w:val="000000"/>
                <w:sz w:val="20"/>
                <w:szCs w:val="20"/>
              </w:rPr>
              <w:t>)</w:t>
            </w:r>
            <w:r w:rsidR="00B10B4E" w:rsidRPr="00590ED7">
              <w:rPr>
                <w:rFonts w:cstheme="minorHAnsi"/>
                <w:color w:val="000000"/>
                <w:sz w:val="20"/>
                <w:szCs w:val="20"/>
              </w:rPr>
              <w:fldChar w:fldCharType="end"/>
            </w:r>
            <w:r>
              <w:rPr>
                <w:rFonts w:cstheme="minorHAnsi"/>
                <w:color w:val="000000"/>
                <w:sz w:val="20"/>
                <w:szCs w:val="20"/>
              </w:rPr>
              <w:t xml:space="preserve">. </w:t>
            </w:r>
          </w:p>
        </w:tc>
      </w:tr>
      <w:tr w:rsidR="000E4708" w:rsidRPr="001C3290" w14:paraId="6156957D" w14:textId="77777777" w:rsidTr="00DB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E6DA8F" w14:textId="5586F500" w:rsidR="000E4708" w:rsidRPr="007C43DB" w:rsidRDefault="000E4708" w:rsidP="00F7186B">
            <w:pPr>
              <w:rPr>
                <w:rFonts w:cstheme="minorHAnsi"/>
                <w:b w:val="0"/>
                <w:sz w:val="20"/>
                <w:szCs w:val="20"/>
              </w:rPr>
            </w:pPr>
            <w:r w:rsidRPr="007C43DB">
              <w:rPr>
                <w:rFonts w:cstheme="minorHAnsi"/>
                <w:sz w:val="20"/>
                <w:szCs w:val="20"/>
              </w:rPr>
              <w:t>The Control of Vibration at Work</w:t>
            </w:r>
            <w:r w:rsidR="00F7186B" w:rsidRPr="007C43DB">
              <w:rPr>
                <w:rFonts w:cstheme="minorHAnsi"/>
                <w:sz w:val="20"/>
                <w:szCs w:val="20"/>
              </w:rPr>
              <w:t xml:space="preserve"> </w:t>
            </w:r>
            <w:r w:rsidRPr="007C43DB">
              <w:rPr>
                <w:rFonts w:cstheme="minorHAnsi"/>
                <w:sz w:val="20"/>
                <w:szCs w:val="20"/>
              </w:rPr>
              <w:t>Regulations 2005</w:t>
            </w:r>
            <w:r w:rsidR="00DB7DE5" w:rsidRPr="007C43DB">
              <w:rPr>
                <w:rFonts w:cstheme="minorHAnsi"/>
                <w:b w:val="0"/>
                <w:sz w:val="20"/>
                <w:szCs w:val="20"/>
              </w:rPr>
              <w:t xml:space="preserve"> (2002/44/EC)</w:t>
            </w:r>
            <w:r w:rsidR="00E16428" w:rsidRPr="007C43DB">
              <w:rPr>
                <w:rFonts w:cstheme="minorHAnsi"/>
                <w:b w:val="0"/>
                <w:sz w:val="20"/>
                <w:szCs w:val="20"/>
              </w:rPr>
              <w:t xml:space="preserve"> (14)</w:t>
            </w:r>
          </w:p>
        </w:tc>
        <w:tc>
          <w:tcPr>
            <w:tcW w:w="12758" w:type="dxa"/>
          </w:tcPr>
          <w:p w14:paraId="6F57C60D" w14:textId="648758B4" w:rsidR="00EA5A00" w:rsidRDefault="003862B0" w:rsidP="00164352">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The r</w:t>
            </w:r>
            <w:r w:rsidR="006E0797" w:rsidRPr="006E0797">
              <w:rPr>
                <w:rFonts w:cstheme="minorHAnsi"/>
                <w:color w:val="000000"/>
                <w:sz w:val="20"/>
                <w:szCs w:val="20"/>
              </w:rPr>
              <w:t xml:space="preserve">egulations aim to protect workers from risks to their health resulting from exposure to vibration transmitted to the hand-arm </w:t>
            </w:r>
            <w:r w:rsidR="00767155">
              <w:rPr>
                <w:rFonts w:cstheme="minorHAnsi"/>
                <w:color w:val="000000"/>
                <w:sz w:val="20"/>
                <w:szCs w:val="20"/>
              </w:rPr>
              <w:t xml:space="preserve">(HAV) and whole body (WBV). They </w:t>
            </w:r>
            <w:r w:rsidR="006E0797" w:rsidRPr="006E0797">
              <w:rPr>
                <w:rFonts w:cstheme="minorHAnsi"/>
                <w:color w:val="000000"/>
                <w:sz w:val="20"/>
                <w:szCs w:val="20"/>
              </w:rPr>
              <w:t xml:space="preserve">place </w:t>
            </w:r>
            <w:r w:rsidR="006E0797">
              <w:rPr>
                <w:rFonts w:cstheme="minorHAnsi"/>
                <w:color w:val="000000"/>
                <w:sz w:val="20"/>
                <w:szCs w:val="20"/>
              </w:rPr>
              <w:t xml:space="preserve">several </w:t>
            </w:r>
            <w:r w:rsidR="006E0797" w:rsidRPr="006E0797">
              <w:rPr>
                <w:rFonts w:cstheme="minorHAnsi"/>
                <w:color w:val="000000"/>
                <w:sz w:val="20"/>
                <w:szCs w:val="20"/>
              </w:rPr>
              <w:t>duties on employers</w:t>
            </w:r>
            <w:r w:rsidR="006E0797">
              <w:rPr>
                <w:rFonts w:cstheme="minorHAnsi"/>
                <w:color w:val="000000"/>
                <w:sz w:val="20"/>
                <w:szCs w:val="20"/>
              </w:rPr>
              <w:t>, including a re</w:t>
            </w:r>
            <w:r w:rsidR="006E0797" w:rsidRPr="006E0797">
              <w:rPr>
                <w:rFonts w:cstheme="minorHAnsi"/>
                <w:color w:val="000000"/>
                <w:sz w:val="20"/>
                <w:szCs w:val="20"/>
              </w:rPr>
              <w:t>quirement to</w:t>
            </w:r>
            <w:r w:rsidR="006E0797">
              <w:rPr>
                <w:rFonts w:cstheme="minorHAnsi"/>
                <w:color w:val="000000"/>
                <w:sz w:val="20"/>
                <w:szCs w:val="20"/>
              </w:rPr>
              <w:t>:</w:t>
            </w:r>
            <w:r w:rsidR="006E0797" w:rsidRPr="006E0797">
              <w:rPr>
                <w:rFonts w:cstheme="minorHAnsi"/>
                <w:color w:val="000000"/>
                <w:sz w:val="20"/>
                <w:szCs w:val="20"/>
              </w:rPr>
              <w:t xml:space="preserve"> assess </w:t>
            </w:r>
            <w:r w:rsidR="006E0797">
              <w:rPr>
                <w:rFonts w:cstheme="minorHAnsi"/>
                <w:color w:val="000000"/>
                <w:sz w:val="20"/>
                <w:szCs w:val="20"/>
              </w:rPr>
              <w:t xml:space="preserve">employee </w:t>
            </w:r>
            <w:r w:rsidR="006E0797" w:rsidRPr="006E0797">
              <w:rPr>
                <w:rFonts w:cstheme="minorHAnsi"/>
                <w:color w:val="000000"/>
                <w:sz w:val="20"/>
                <w:szCs w:val="20"/>
              </w:rPr>
              <w:t xml:space="preserve">risks </w:t>
            </w:r>
            <w:r w:rsidR="006E0797">
              <w:rPr>
                <w:rFonts w:cstheme="minorHAnsi"/>
                <w:color w:val="000000"/>
                <w:sz w:val="20"/>
                <w:szCs w:val="20"/>
              </w:rPr>
              <w:t>from vibration;</w:t>
            </w:r>
            <w:r w:rsidR="006E0797" w:rsidRPr="006E0797">
              <w:rPr>
                <w:rFonts w:cstheme="minorHAnsi"/>
                <w:color w:val="000000"/>
                <w:sz w:val="20"/>
                <w:szCs w:val="20"/>
              </w:rPr>
              <w:t xml:space="preserve"> reduce their exposure to vibration</w:t>
            </w:r>
            <w:r w:rsidR="006E0797">
              <w:rPr>
                <w:rFonts w:cstheme="minorHAnsi"/>
                <w:color w:val="000000"/>
                <w:sz w:val="20"/>
                <w:szCs w:val="20"/>
              </w:rPr>
              <w:t>;</w:t>
            </w:r>
            <w:r w:rsidR="006E0797" w:rsidRPr="006E0797">
              <w:rPr>
                <w:rFonts w:cstheme="minorHAnsi"/>
                <w:color w:val="000000"/>
                <w:sz w:val="20"/>
                <w:szCs w:val="20"/>
              </w:rPr>
              <w:t xml:space="preserve"> provide them with information and training. A wide range of industri</w:t>
            </w:r>
            <w:r w:rsidR="006E0797">
              <w:rPr>
                <w:rFonts w:cstheme="minorHAnsi"/>
                <w:color w:val="000000"/>
                <w:sz w:val="20"/>
                <w:szCs w:val="20"/>
              </w:rPr>
              <w:t xml:space="preserve">es and occupations </w:t>
            </w:r>
            <w:r w:rsidR="008360AE">
              <w:rPr>
                <w:rFonts w:cstheme="minorHAnsi"/>
                <w:color w:val="000000"/>
                <w:sz w:val="20"/>
                <w:szCs w:val="20"/>
              </w:rPr>
              <w:t>were</w:t>
            </w:r>
            <w:r w:rsidR="006E0797">
              <w:rPr>
                <w:rFonts w:cstheme="minorHAnsi"/>
                <w:color w:val="000000"/>
                <w:sz w:val="20"/>
                <w:szCs w:val="20"/>
              </w:rPr>
              <w:t xml:space="preserve"> affected </w:t>
            </w:r>
            <w:r w:rsidR="008360AE">
              <w:rPr>
                <w:rFonts w:cstheme="minorHAnsi"/>
                <w:color w:val="000000"/>
                <w:sz w:val="20"/>
                <w:szCs w:val="20"/>
              </w:rPr>
              <w:t xml:space="preserve">by the regulations </w:t>
            </w:r>
            <w:r w:rsidR="006E0797">
              <w:rPr>
                <w:rFonts w:cstheme="minorHAnsi"/>
                <w:color w:val="000000"/>
                <w:sz w:val="20"/>
                <w:szCs w:val="20"/>
              </w:rPr>
              <w:t xml:space="preserve">(e.g. </w:t>
            </w:r>
            <w:r w:rsidR="006E0797" w:rsidRPr="006E0797">
              <w:rPr>
                <w:rFonts w:cstheme="minorHAnsi"/>
                <w:color w:val="000000"/>
                <w:sz w:val="20"/>
                <w:szCs w:val="20"/>
              </w:rPr>
              <w:t>agriculture, construction, mines and quarries, engineering, forestry,</w:t>
            </w:r>
            <w:r w:rsidR="006E0797">
              <w:rPr>
                <w:rFonts w:cstheme="minorHAnsi"/>
                <w:color w:val="000000"/>
                <w:sz w:val="20"/>
                <w:szCs w:val="20"/>
              </w:rPr>
              <w:t xml:space="preserve"> public utilities, shipbuild</w:t>
            </w:r>
            <w:r w:rsidR="006E0797" w:rsidRPr="006E0797">
              <w:rPr>
                <w:rFonts w:cstheme="minorHAnsi"/>
                <w:color w:val="000000"/>
                <w:sz w:val="20"/>
                <w:szCs w:val="20"/>
              </w:rPr>
              <w:t>ing, aircraft</w:t>
            </w:r>
            <w:r w:rsidR="006E0797">
              <w:rPr>
                <w:rFonts w:cstheme="minorHAnsi"/>
                <w:color w:val="000000"/>
                <w:sz w:val="20"/>
                <w:szCs w:val="20"/>
              </w:rPr>
              <w:t>,</w:t>
            </w:r>
            <w:r w:rsidR="006E0797" w:rsidRPr="006E0797">
              <w:rPr>
                <w:rFonts w:cstheme="minorHAnsi"/>
                <w:color w:val="000000"/>
                <w:sz w:val="20"/>
                <w:szCs w:val="20"/>
              </w:rPr>
              <w:t xml:space="preserve"> </w:t>
            </w:r>
            <w:r w:rsidR="006E0797">
              <w:rPr>
                <w:rFonts w:cstheme="minorHAnsi"/>
                <w:color w:val="000000"/>
                <w:sz w:val="20"/>
                <w:szCs w:val="20"/>
              </w:rPr>
              <w:t>vehicle manufacture and repair). Prior to the</w:t>
            </w:r>
            <w:r w:rsidR="008360AE">
              <w:rPr>
                <w:rFonts w:cstheme="minorHAnsi"/>
                <w:color w:val="000000"/>
                <w:sz w:val="20"/>
                <w:szCs w:val="20"/>
              </w:rPr>
              <w:t>ir</w:t>
            </w:r>
            <w:r w:rsidR="006E0797">
              <w:rPr>
                <w:rFonts w:cstheme="minorHAnsi"/>
                <w:color w:val="000000"/>
                <w:sz w:val="20"/>
                <w:szCs w:val="20"/>
              </w:rPr>
              <w:t xml:space="preserve"> introduction </w:t>
            </w:r>
            <w:r w:rsidR="006E0797" w:rsidRPr="006E0797">
              <w:rPr>
                <w:rFonts w:cstheme="minorHAnsi"/>
                <w:color w:val="000000"/>
                <w:sz w:val="20"/>
                <w:szCs w:val="20"/>
              </w:rPr>
              <w:t xml:space="preserve">there </w:t>
            </w:r>
            <w:r w:rsidR="006E0797">
              <w:rPr>
                <w:rFonts w:cstheme="minorHAnsi"/>
                <w:color w:val="000000"/>
                <w:sz w:val="20"/>
                <w:szCs w:val="20"/>
              </w:rPr>
              <w:t xml:space="preserve">were </w:t>
            </w:r>
            <w:r w:rsidR="006E0797" w:rsidRPr="006E0797">
              <w:rPr>
                <w:rFonts w:cstheme="minorHAnsi"/>
                <w:color w:val="000000"/>
                <w:sz w:val="20"/>
                <w:szCs w:val="20"/>
              </w:rPr>
              <w:t xml:space="preserve">no regulations </w:t>
            </w:r>
            <w:r w:rsidR="00EA29E9">
              <w:rPr>
                <w:rFonts w:cstheme="minorHAnsi"/>
                <w:color w:val="000000"/>
                <w:sz w:val="20"/>
                <w:szCs w:val="20"/>
              </w:rPr>
              <w:t xml:space="preserve">in the UK </w:t>
            </w:r>
            <w:r w:rsidR="006E0797" w:rsidRPr="006E0797">
              <w:rPr>
                <w:rFonts w:cstheme="minorHAnsi"/>
                <w:color w:val="000000"/>
                <w:sz w:val="20"/>
                <w:szCs w:val="20"/>
              </w:rPr>
              <w:t>deal</w:t>
            </w:r>
            <w:r w:rsidR="00EA29E9">
              <w:rPr>
                <w:rFonts w:cstheme="minorHAnsi"/>
                <w:color w:val="000000"/>
                <w:sz w:val="20"/>
                <w:szCs w:val="20"/>
              </w:rPr>
              <w:t>ing</w:t>
            </w:r>
            <w:r w:rsidR="006E0797" w:rsidRPr="006E0797">
              <w:rPr>
                <w:rFonts w:cstheme="minorHAnsi"/>
                <w:color w:val="000000"/>
                <w:sz w:val="20"/>
                <w:szCs w:val="20"/>
              </w:rPr>
              <w:t xml:space="preserve"> specifically with the risks from vibration</w:t>
            </w:r>
            <w:r w:rsidR="00EA29E9">
              <w:rPr>
                <w:rFonts w:cstheme="minorHAnsi"/>
                <w:color w:val="000000"/>
                <w:sz w:val="20"/>
                <w:szCs w:val="20"/>
              </w:rPr>
              <w:t>, which were covered by general he</w:t>
            </w:r>
            <w:r w:rsidR="002D24BB">
              <w:rPr>
                <w:rFonts w:cstheme="minorHAnsi"/>
                <w:color w:val="000000"/>
                <w:sz w:val="20"/>
                <w:szCs w:val="20"/>
              </w:rPr>
              <w:t>alth and safety legislation and</w:t>
            </w:r>
            <w:r w:rsidR="00EA29E9">
              <w:rPr>
                <w:rFonts w:cstheme="minorHAnsi"/>
                <w:color w:val="000000"/>
                <w:sz w:val="20"/>
                <w:szCs w:val="20"/>
              </w:rPr>
              <w:t xml:space="preserve"> informal guidance</w:t>
            </w:r>
            <w:r w:rsidR="0060170D">
              <w:rPr>
                <w:rFonts w:cstheme="minorHAnsi"/>
                <w:color w:val="000000"/>
                <w:sz w:val="20"/>
                <w:szCs w:val="20"/>
              </w:rPr>
              <w:t>.</w:t>
            </w:r>
          </w:p>
          <w:p w14:paraId="115BA4E0" w14:textId="0ED93197" w:rsidR="000E4708" w:rsidRPr="001C3290" w:rsidRDefault="00EA29E9" w:rsidP="00164352">
            <w:pP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EA29E9">
              <w:rPr>
                <w:rFonts w:cstheme="minorHAnsi"/>
                <w:color w:val="000000"/>
                <w:sz w:val="20"/>
                <w:szCs w:val="20"/>
              </w:rPr>
              <w:t xml:space="preserve">The link between exposure to HAV </w:t>
            </w:r>
            <w:r w:rsidR="0060170D">
              <w:rPr>
                <w:rFonts w:cstheme="minorHAnsi"/>
                <w:color w:val="000000"/>
                <w:sz w:val="20"/>
                <w:szCs w:val="20"/>
              </w:rPr>
              <w:t xml:space="preserve">and WBV </w:t>
            </w:r>
            <w:r w:rsidRPr="00EA29E9">
              <w:rPr>
                <w:rFonts w:cstheme="minorHAnsi"/>
                <w:color w:val="000000"/>
                <w:sz w:val="20"/>
                <w:szCs w:val="20"/>
              </w:rPr>
              <w:t xml:space="preserve">and </w:t>
            </w:r>
            <w:r w:rsidR="0060170D">
              <w:rPr>
                <w:rFonts w:cstheme="minorHAnsi"/>
                <w:color w:val="000000"/>
                <w:sz w:val="20"/>
                <w:szCs w:val="20"/>
              </w:rPr>
              <w:t>problems such as vibration white fin</w:t>
            </w:r>
            <w:r w:rsidRPr="00EA29E9">
              <w:rPr>
                <w:rFonts w:cstheme="minorHAnsi"/>
                <w:color w:val="000000"/>
                <w:sz w:val="20"/>
                <w:szCs w:val="20"/>
              </w:rPr>
              <w:t>ger (VWF), vibration-related carpal tunnel syndrome, disorders of bones, muscle, joints and sensory nerves</w:t>
            </w:r>
            <w:r w:rsidR="0060170D">
              <w:rPr>
                <w:rFonts w:cstheme="minorHAnsi"/>
                <w:color w:val="000000"/>
                <w:sz w:val="20"/>
                <w:szCs w:val="20"/>
              </w:rPr>
              <w:t>, damage to back and back pain</w:t>
            </w:r>
            <w:r w:rsidRPr="00EA29E9">
              <w:rPr>
                <w:rFonts w:cstheme="minorHAnsi"/>
                <w:color w:val="000000"/>
                <w:sz w:val="20"/>
                <w:szCs w:val="20"/>
              </w:rPr>
              <w:t xml:space="preserve"> </w:t>
            </w:r>
            <w:r w:rsidR="00EA5A00">
              <w:rPr>
                <w:rFonts w:cstheme="minorHAnsi"/>
                <w:color w:val="000000"/>
                <w:sz w:val="20"/>
                <w:szCs w:val="20"/>
              </w:rPr>
              <w:t xml:space="preserve">were </w:t>
            </w:r>
            <w:r w:rsidRPr="00EA29E9">
              <w:rPr>
                <w:rFonts w:cstheme="minorHAnsi"/>
                <w:color w:val="000000"/>
                <w:sz w:val="20"/>
                <w:szCs w:val="20"/>
              </w:rPr>
              <w:t>well established</w:t>
            </w:r>
            <w:r w:rsidR="008360AE">
              <w:rPr>
                <w:rFonts w:cstheme="minorHAnsi"/>
                <w:color w:val="000000"/>
                <w:sz w:val="20"/>
                <w:szCs w:val="20"/>
              </w:rPr>
              <w:t xml:space="preserve"> when the r</w:t>
            </w:r>
            <w:r w:rsidR="00EA5A00">
              <w:rPr>
                <w:rFonts w:cstheme="minorHAnsi"/>
                <w:color w:val="000000"/>
                <w:sz w:val="20"/>
                <w:szCs w:val="20"/>
              </w:rPr>
              <w:t>egulations were introduced</w:t>
            </w:r>
            <w:r w:rsidRPr="00EA29E9">
              <w:rPr>
                <w:rFonts w:cstheme="minorHAnsi"/>
                <w:color w:val="000000"/>
                <w:sz w:val="20"/>
                <w:szCs w:val="20"/>
              </w:rPr>
              <w:t xml:space="preserve">. </w:t>
            </w:r>
            <w:r w:rsidR="00EA5A00">
              <w:rPr>
                <w:rFonts w:cstheme="minorHAnsi"/>
                <w:color w:val="000000"/>
                <w:sz w:val="20"/>
                <w:szCs w:val="20"/>
              </w:rPr>
              <w:t xml:space="preserve">Research at the time suggested </w:t>
            </w:r>
            <w:r w:rsidR="00EA5A00" w:rsidRPr="00EA5A00">
              <w:rPr>
                <w:rFonts w:cstheme="minorHAnsi"/>
                <w:color w:val="000000"/>
                <w:sz w:val="20"/>
                <w:szCs w:val="20"/>
              </w:rPr>
              <w:t xml:space="preserve">that around 2 million people in Britain </w:t>
            </w:r>
            <w:r w:rsidR="00EA5A00">
              <w:rPr>
                <w:rFonts w:cstheme="minorHAnsi"/>
                <w:color w:val="000000"/>
                <w:sz w:val="20"/>
                <w:szCs w:val="20"/>
              </w:rPr>
              <w:t xml:space="preserve">were </w:t>
            </w:r>
            <w:r w:rsidR="00EA5A00" w:rsidRPr="00EA5A00">
              <w:rPr>
                <w:rFonts w:cstheme="minorHAnsi"/>
                <w:color w:val="000000"/>
                <w:sz w:val="20"/>
                <w:szCs w:val="20"/>
              </w:rPr>
              <w:t>exposed to potentially harmful levels of HAV</w:t>
            </w:r>
            <w:r w:rsidR="00EA5A00">
              <w:rPr>
                <w:rFonts w:cstheme="minorHAnsi"/>
                <w:color w:val="000000"/>
                <w:sz w:val="20"/>
                <w:szCs w:val="20"/>
              </w:rPr>
              <w:t xml:space="preserve">. </w:t>
            </w:r>
            <w:r w:rsidR="0060170D">
              <w:rPr>
                <w:rFonts w:cstheme="minorHAnsi"/>
                <w:color w:val="000000"/>
                <w:sz w:val="20"/>
                <w:szCs w:val="20"/>
              </w:rPr>
              <w:t xml:space="preserve">The Health and Safety Executive (HSE) </w:t>
            </w:r>
            <w:r w:rsidRPr="00EA29E9">
              <w:rPr>
                <w:rFonts w:cstheme="minorHAnsi"/>
                <w:color w:val="000000"/>
                <w:sz w:val="20"/>
                <w:szCs w:val="20"/>
              </w:rPr>
              <w:t xml:space="preserve">estimated that exposure at </w:t>
            </w:r>
            <w:r w:rsidR="0060170D">
              <w:rPr>
                <w:rFonts w:cstheme="minorHAnsi"/>
                <w:color w:val="000000"/>
                <w:sz w:val="20"/>
                <w:szCs w:val="20"/>
              </w:rPr>
              <w:t xml:space="preserve">its </w:t>
            </w:r>
            <w:r w:rsidR="00EA5A00">
              <w:rPr>
                <w:rFonts w:cstheme="minorHAnsi"/>
                <w:color w:val="000000"/>
                <w:sz w:val="20"/>
                <w:szCs w:val="20"/>
              </w:rPr>
              <w:t xml:space="preserve">then existing </w:t>
            </w:r>
            <w:r w:rsidR="0060170D">
              <w:rPr>
                <w:rFonts w:cstheme="minorHAnsi"/>
                <w:color w:val="000000"/>
                <w:sz w:val="20"/>
                <w:szCs w:val="20"/>
              </w:rPr>
              <w:t>recom</w:t>
            </w:r>
            <w:r w:rsidRPr="00EA29E9">
              <w:rPr>
                <w:rFonts w:cstheme="minorHAnsi"/>
                <w:color w:val="000000"/>
                <w:sz w:val="20"/>
                <w:szCs w:val="20"/>
              </w:rPr>
              <w:t xml:space="preserve">mended action level </w:t>
            </w:r>
            <w:r w:rsidR="0060170D">
              <w:rPr>
                <w:rFonts w:cstheme="minorHAnsi"/>
                <w:color w:val="000000"/>
                <w:sz w:val="20"/>
                <w:szCs w:val="20"/>
              </w:rPr>
              <w:t xml:space="preserve">for HAV might </w:t>
            </w:r>
            <w:r w:rsidRPr="00EA29E9">
              <w:rPr>
                <w:rFonts w:cstheme="minorHAnsi"/>
                <w:color w:val="000000"/>
                <w:sz w:val="20"/>
                <w:szCs w:val="20"/>
              </w:rPr>
              <w:t>cause finger blanching in about 10% of the vibration-exposed</w:t>
            </w:r>
            <w:r w:rsidR="008360AE">
              <w:rPr>
                <w:rFonts w:cstheme="minorHAnsi"/>
                <w:color w:val="000000"/>
                <w:sz w:val="20"/>
                <w:szCs w:val="20"/>
              </w:rPr>
              <w:t xml:space="preserve"> population after 8 years. The r</w:t>
            </w:r>
            <w:r w:rsidRPr="00EA29E9">
              <w:rPr>
                <w:rFonts w:cstheme="minorHAnsi"/>
                <w:color w:val="000000"/>
                <w:sz w:val="20"/>
                <w:szCs w:val="20"/>
              </w:rPr>
              <w:t>egulations set a more stringent action level together with an exposure limit value above which exposure is not permitted.</w:t>
            </w:r>
            <w:r w:rsidR="0060170D">
              <w:rPr>
                <w:rFonts w:cstheme="minorHAnsi"/>
                <w:color w:val="000000"/>
                <w:sz w:val="20"/>
                <w:szCs w:val="20"/>
              </w:rPr>
              <w:t xml:space="preserve"> </w:t>
            </w:r>
            <w:r w:rsidR="00EA5A00">
              <w:rPr>
                <w:rFonts w:cstheme="minorHAnsi"/>
                <w:color w:val="000000"/>
                <w:sz w:val="20"/>
                <w:szCs w:val="20"/>
              </w:rPr>
              <w:t>A</w:t>
            </w:r>
            <w:r w:rsidR="0060170D">
              <w:rPr>
                <w:rFonts w:cstheme="minorHAnsi"/>
                <w:color w:val="000000"/>
                <w:sz w:val="20"/>
                <w:szCs w:val="20"/>
              </w:rPr>
              <w:t xml:space="preserve"> Medical Research Council </w:t>
            </w:r>
            <w:r w:rsidR="00EA5A00">
              <w:rPr>
                <w:rFonts w:cstheme="minorHAnsi"/>
                <w:color w:val="000000"/>
                <w:sz w:val="20"/>
                <w:szCs w:val="20"/>
              </w:rPr>
              <w:t xml:space="preserve">research report </w:t>
            </w:r>
            <w:r w:rsidR="0060170D">
              <w:rPr>
                <w:rFonts w:cstheme="minorHAnsi"/>
                <w:color w:val="000000"/>
                <w:sz w:val="20"/>
                <w:szCs w:val="20"/>
              </w:rPr>
              <w:t>estimated that 9 million workers were exposed to WBV in Great Britain</w:t>
            </w:r>
            <w:r w:rsidR="00EA5A00">
              <w:rPr>
                <w:rFonts w:cstheme="minorHAnsi"/>
                <w:color w:val="000000"/>
                <w:sz w:val="20"/>
                <w:szCs w:val="20"/>
              </w:rPr>
              <w:t xml:space="preserve"> in the late 1990s</w:t>
            </w:r>
            <w:r w:rsidR="00B10B4E">
              <w:rPr>
                <w:rFonts w:cstheme="minorHAnsi"/>
                <w:color w:val="000000"/>
                <w:sz w:val="20"/>
                <w:szCs w:val="20"/>
              </w:rPr>
              <w:fldChar w:fldCharType="begin"/>
            </w:r>
            <w:r w:rsidR="00BB4F0A">
              <w:rPr>
                <w:rFonts w:cstheme="minorHAnsi"/>
                <w:color w:val="000000"/>
                <w:sz w:val="20"/>
                <w:szCs w:val="20"/>
              </w:rPr>
              <w:instrText xml:space="preserve"> ADDIN EN.CITE &lt;EndNote&gt;&lt;Cite&gt;&lt;Author&gt;Palmer&lt;/Author&gt;&lt;Year&gt;1999&lt;/Year&gt;&lt;RecNum&gt;1641&lt;/RecNum&gt;&lt;DisplayText&gt; (Palmer&lt;style face="italic"&gt; et al.&lt;/style&gt;, 1999)&lt;/DisplayText&gt;&lt;record&gt;&lt;rec-number&gt;1641&lt;/rec-number&gt;&lt;foreign-keys&gt;&lt;key app="EN" db-id="drrvazw0t090vlef0e6praxba2d0xwps0wt0" timestamp="1493733802"&gt;1641&lt;/key&gt;&lt;/foreign-keys&gt;&lt;ref-type name="Report"&gt;27&lt;/ref-type&gt;&lt;contributors&gt;&lt;authors&gt;&lt;author&gt;Palmer, K.T.&lt;/author&gt;&lt;author&gt;Coggon, D.N.&lt;/author&gt;&lt;author&gt;Bendall, H.E.&lt;/author&gt;&lt;author&gt;Pannett, B.&lt;/author&gt;&lt;author&gt;Griffin M.&lt;/author&gt;&lt;author&gt;Haward, B. &lt;/author&gt;&lt;/authors&gt;&lt;tertiary-authors&gt;&lt;author&gt;HMSO&lt;/author&gt;&lt;/tertiary-authors&gt;&lt;/contributors&gt;&lt;titles&gt;&lt;title&gt;Whole-body vibration: Occupational exposures and their health effects in Great Britain&lt;/title&gt;&lt;/titles&gt;&lt;volume&gt;HSE Contract Research Report 233/1999&lt;/volume&gt;&lt;dates&gt;&lt;year&gt;1999&lt;/year&gt;&lt;/dates&gt;&lt;pub-location&gt;London&lt;/pub-location&gt;&lt;publisher&gt;Health and Safety Executive&lt;/publisher&gt;&lt;urls&gt;&lt;related-urls&gt;&lt;url&gt;http://www.hse.gov.uk/research/crr_pdf/1999/crr99233.pdf&lt;/url&gt;&lt;/related-urls&gt;&lt;/urls&gt;&lt;access-date&gt;March 1, 2017&lt;/access-date&gt;&lt;/record&gt;&lt;/Cite&gt;&lt;/EndNote&gt;</w:instrText>
            </w:r>
            <w:r w:rsidR="00B10B4E">
              <w:rPr>
                <w:rFonts w:cstheme="minorHAnsi"/>
                <w:color w:val="000000"/>
                <w:sz w:val="20"/>
                <w:szCs w:val="20"/>
              </w:rPr>
              <w:fldChar w:fldCharType="separate"/>
            </w:r>
            <w:r w:rsidR="00BB4F0A">
              <w:rPr>
                <w:rFonts w:cstheme="minorHAnsi"/>
                <w:noProof/>
                <w:color w:val="000000"/>
                <w:sz w:val="20"/>
                <w:szCs w:val="20"/>
              </w:rPr>
              <w:t xml:space="preserve"> </w:t>
            </w:r>
            <w:hyperlink w:anchor="_ENREF_17" w:tooltip="Palmer, 1999 #1641" w:history="1">
              <w:r w:rsidR="006D11C0">
                <w:rPr>
                  <w:rFonts w:cstheme="minorHAnsi"/>
                  <w:noProof/>
                  <w:color w:val="000000"/>
                  <w:sz w:val="20"/>
                  <w:szCs w:val="20"/>
                </w:rPr>
                <w:t>(Palmer</w:t>
              </w:r>
              <w:r w:rsidR="006D11C0" w:rsidRPr="00BB4F0A">
                <w:rPr>
                  <w:rFonts w:cstheme="minorHAnsi"/>
                  <w:i/>
                  <w:noProof/>
                  <w:color w:val="000000"/>
                  <w:sz w:val="20"/>
                  <w:szCs w:val="20"/>
                </w:rPr>
                <w:t xml:space="preserve"> et al.</w:t>
              </w:r>
              <w:r w:rsidR="006D11C0">
                <w:rPr>
                  <w:rFonts w:cstheme="minorHAnsi"/>
                  <w:noProof/>
                  <w:color w:val="000000"/>
                  <w:sz w:val="20"/>
                  <w:szCs w:val="20"/>
                </w:rPr>
                <w:t>, 1999</w:t>
              </w:r>
            </w:hyperlink>
            <w:r w:rsidR="00BB4F0A">
              <w:rPr>
                <w:rFonts w:cstheme="minorHAnsi"/>
                <w:noProof/>
                <w:color w:val="000000"/>
                <w:sz w:val="20"/>
                <w:szCs w:val="20"/>
              </w:rPr>
              <w:t>)</w:t>
            </w:r>
            <w:r w:rsidR="00B10B4E">
              <w:rPr>
                <w:rFonts w:cstheme="minorHAnsi"/>
                <w:color w:val="000000"/>
                <w:sz w:val="20"/>
                <w:szCs w:val="20"/>
              </w:rPr>
              <w:fldChar w:fldCharType="end"/>
            </w:r>
            <w:r w:rsidR="00EA5A00">
              <w:rPr>
                <w:rFonts w:cstheme="minorHAnsi"/>
                <w:color w:val="000000"/>
                <w:sz w:val="20"/>
                <w:szCs w:val="20"/>
              </w:rPr>
              <w:t xml:space="preserve">, </w:t>
            </w:r>
            <w:r w:rsidR="0060170D">
              <w:rPr>
                <w:rFonts w:cstheme="minorHAnsi"/>
                <w:color w:val="000000"/>
                <w:sz w:val="20"/>
                <w:szCs w:val="20"/>
              </w:rPr>
              <w:t xml:space="preserve">although the </w:t>
            </w:r>
            <w:r w:rsidR="008360AE">
              <w:rPr>
                <w:rFonts w:cstheme="minorHAnsi"/>
                <w:color w:val="000000"/>
                <w:sz w:val="20"/>
                <w:szCs w:val="20"/>
              </w:rPr>
              <w:t xml:space="preserve">contribution </w:t>
            </w:r>
            <w:r w:rsidR="0060170D">
              <w:rPr>
                <w:rFonts w:cstheme="minorHAnsi"/>
                <w:color w:val="000000"/>
                <w:sz w:val="20"/>
                <w:szCs w:val="20"/>
              </w:rPr>
              <w:t xml:space="preserve">of </w:t>
            </w:r>
            <w:r w:rsidR="00EA5A00">
              <w:rPr>
                <w:rFonts w:cstheme="minorHAnsi"/>
                <w:color w:val="000000"/>
                <w:sz w:val="20"/>
                <w:szCs w:val="20"/>
              </w:rPr>
              <w:t xml:space="preserve">this </w:t>
            </w:r>
            <w:r w:rsidR="008360AE">
              <w:rPr>
                <w:rFonts w:cstheme="minorHAnsi"/>
                <w:color w:val="000000"/>
                <w:sz w:val="20"/>
                <w:szCs w:val="20"/>
              </w:rPr>
              <w:t xml:space="preserve">to </w:t>
            </w:r>
            <w:r w:rsidR="0060170D">
              <w:rPr>
                <w:rFonts w:cstheme="minorHAnsi"/>
                <w:color w:val="000000"/>
                <w:sz w:val="20"/>
                <w:szCs w:val="20"/>
              </w:rPr>
              <w:t xml:space="preserve">back pain </w:t>
            </w:r>
            <w:r w:rsidR="008360AE">
              <w:rPr>
                <w:rFonts w:cstheme="minorHAnsi"/>
                <w:color w:val="000000"/>
                <w:sz w:val="20"/>
                <w:szCs w:val="20"/>
              </w:rPr>
              <w:t xml:space="preserve">in the population was </w:t>
            </w:r>
            <w:r w:rsidR="0060170D">
              <w:rPr>
                <w:rFonts w:cstheme="minorHAnsi"/>
                <w:color w:val="000000"/>
                <w:sz w:val="20"/>
                <w:szCs w:val="20"/>
              </w:rPr>
              <w:t>unclear</w:t>
            </w:r>
            <w:r w:rsidR="00B10B4E">
              <w:rPr>
                <w:rFonts w:cstheme="minorHAnsi"/>
                <w:color w:val="000000"/>
                <w:sz w:val="20"/>
                <w:szCs w:val="20"/>
              </w:rPr>
              <w:fldChar w:fldCharType="begin"/>
            </w:r>
            <w:r w:rsidR="00BB4F0A">
              <w:rPr>
                <w:rFonts w:cstheme="minorHAnsi"/>
                <w:color w:val="000000"/>
                <w:sz w:val="20"/>
                <w:szCs w:val="20"/>
              </w:rPr>
              <w:instrText xml:space="preserve"> ADDIN EN.CITE &lt;EndNote&gt;&lt;Cite&gt;&lt;Author&gt;Health and Safety Executive&lt;/Author&gt;&lt;Year&gt;2005&lt;/Year&gt;&lt;RecNum&gt;1642&lt;/RecNum&gt;&lt;DisplayText&gt; (Health and Safety Executive, 2005a)&lt;/DisplayText&gt;&lt;record&gt;&lt;rec-number&gt;1642&lt;/rec-number&gt;&lt;foreign-keys&gt;&lt;key app="EN" db-id="drrvazw0t090vlef0e6praxba2d0xwps0wt0" timestamp="1493735515"&gt;1642&lt;/key&gt;&lt;/foreign-keys&gt;&lt;ref-type name="Report"&gt;27&lt;/ref-type&gt;&lt;contributors&gt;&lt;authors&gt;&lt;author&gt;Health and Safety Executive,&lt;/author&gt;&lt;/authors&gt;&lt;tertiary-authors&gt;&lt;author&gt;Health and Safety Executive&lt;/author&gt;&lt;/tertiary-authors&gt;&lt;/contributors&gt;&lt;titles&gt;&lt;title&gt;Regulatory Impact Assesssment (Full): The Draft Control of Vibration at Work Regulations 2005&lt;/title&gt;&lt;/titles&gt;&lt;dates&gt;&lt;year&gt;2005&lt;/year&gt;&lt;/dates&gt;&lt;pub-location&gt;London&lt;/pub-location&gt;&lt;publisher&gt;Health and Safety Executive&lt;/publisher&gt;&lt;urls&gt;&lt;related-urls&gt;&lt;url&gt;http://www.hse.gov.uk/vibration/ria05.pdf&lt;/url&gt;&lt;/related-urls&gt;&lt;/urls&gt;&lt;access-date&gt;March  1, 2016&lt;/access-date&gt;&lt;/record&gt;&lt;/Cite&gt;&lt;/EndNote&gt;</w:instrText>
            </w:r>
            <w:r w:rsidR="00B10B4E">
              <w:rPr>
                <w:rFonts w:cstheme="minorHAnsi"/>
                <w:color w:val="000000"/>
                <w:sz w:val="20"/>
                <w:szCs w:val="20"/>
              </w:rPr>
              <w:fldChar w:fldCharType="separate"/>
            </w:r>
            <w:r w:rsidR="00BB4F0A">
              <w:rPr>
                <w:rFonts w:cstheme="minorHAnsi"/>
                <w:noProof/>
                <w:color w:val="000000"/>
                <w:sz w:val="20"/>
                <w:szCs w:val="20"/>
              </w:rPr>
              <w:t xml:space="preserve"> </w:t>
            </w:r>
            <w:hyperlink w:anchor="_ENREF_10" w:tooltip="Health and Safety Executive, 2005 #1642" w:history="1">
              <w:r w:rsidR="006D11C0">
                <w:rPr>
                  <w:rFonts w:cstheme="minorHAnsi"/>
                  <w:noProof/>
                  <w:color w:val="000000"/>
                  <w:sz w:val="20"/>
                  <w:szCs w:val="20"/>
                </w:rPr>
                <w:t>(Health and Safety Executive, 2005a</w:t>
              </w:r>
            </w:hyperlink>
            <w:r w:rsidR="00BB4F0A">
              <w:rPr>
                <w:rFonts w:cstheme="minorHAnsi"/>
                <w:noProof/>
                <w:color w:val="000000"/>
                <w:sz w:val="20"/>
                <w:szCs w:val="20"/>
              </w:rPr>
              <w:t>)</w:t>
            </w:r>
            <w:r w:rsidR="00B10B4E">
              <w:rPr>
                <w:rFonts w:cstheme="minorHAnsi"/>
                <w:color w:val="000000"/>
                <w:sz w:val="20"/>
                <w:szCs w:val="20"/>
              </w:rPr>
              <w:fldChar w:fldCharType="end"/>
            </w:r>
            <w:r w:rsidR="0060170D">
              <w:rPr>
                <w:rFonts w:cstheme="minorHAnsi"/>
                <w:color w:val="000000"/>
                <w:sz w:val="20"/>
                <w:szCs w:val="20"/>
              </w:rPr>
              <w:t xml:space="preserve">. </w:t>
            </w:r>
          </w:p>
        </w:tc>
      </w:tr>
      <w:tr w:rsidR="000E4708" w:rsidRPr="001C3290" w14:paraId="319B7C22" w14:textId="77777777" w:rsidTr="00DB7DE5">
        <w:tc>
          <w:tcPr>
            <w:cnfStyle w:val="001000000000" w:firstRow="0" w:lastRow="0" w:firstColumn="1" w:lastColumn="0" w:oddVBand="0" w:evenVBand="0" w:oddHBand="0" w:evenHBand="0" w:firstRowFirstColumn="0" w:firstRowLastColumn="0" w:lastRowFirstColumn="0" w:lastRowLastColumn="0"/>
            <w:tcW w:w="2405" w:type="dxa"/>
          </w:tcPr>
          <w:p w14:paraId="5EEB37E3" w14:textId="5C7A4FAC" w:rsidR="000E4708" w:rsidRPr="007C43DB" w:rsidRDefault="000E4708" w:rsidP="00DB7DE5">
            <w:pPr>
              <w:rPr>
                <w:rFonts w:cstheme="minorHAnsi"/>
                <w:sz w:val="20"/>
                <w:szCs w:val="20"/>
              </w:rPr>
            </w:pPr>
            <w:r w:rsidRPr="007C43DB">
              <w:rPr>
                <w:rFonts w:cstheme="minorHAnsi"/>
                <w:sz w:val="20"/>
                <w:szCs w:val="20"/>
              </w:rPr>
              <w:t>The Working Time (Amendment)</w:t>
            </w:r>
            <w:r w:rsidR="00F7186B" w:rsidRPr="007C43DB">
              <w:rPr>
                <w:rFonts w:cstheme="minorHAnsi"/>
                <w:sz w:val="20"/>
                <w:szCs w:val="20"/>
              </w:rPr>
              <w:t xml:space="preserve"> </w:t>
            </w:r>
            <w:r w:rsidRPr="007C43DB">
              <w:rPr>
                <w:rFonts w:cstheme="minorHAnsi"/>
                <w:sz w:val="20"/>
                <w:szCs w:val="20"/>
              </w:rPr>
              <w:t>Regulations 2002</w:t>
            </w:r>
            <w:r w:rsidR="00DB7DE5" w:rsidRPr="007C43DB">
              <w:rPr>
                <w:rFonts w:cstheme="minorHAnsi"/>
                <w:b w:val="0"/>
                <w:sz w:val="20"/>
                <w:szCs w:val="20"/>
              </w:rPr>
              <w:t xml:space="preserve"> (94/33/EC and 2003/88/EC)</w:t>
            </w:r>
            <w:r w:rsidR="00E16428" w:rsidRPr="007C43DB">
              <w:rPr>
                <w:rFonts w:cstheme="minorHAnsi"/>
                <w:b w:val="0"/>
                <w:sz w:val="20"/>
                <w:szCs w:val="20"/>
              </w:rPr>
              <w:t xml:space="preserve"> (19)</w:t>
            </w:r>
          </w:p>
        </w:tc>
        <w:tc>
          <w:tcPr>
            <w:tcW w:w="12758" w:type="dxa"/>
          </w:tcPr>
          <w:p w14:paraId="00CBF362" w14:textId="345C5937" w:rsidR="000E4708" w:rsidRPr="001C3290" w:rsidRDefault="003862B0" w:rsidP="004E1837">
            <w:pP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2002 R</w:t>
            </w:r>
            <w:r w:rsidR="006C51DA">
              <w:rPr>
                <w:rFonts w:cstheme="minorHAnsi"/>
                <w:color w:val="000000"/>
                <w:sz w:val="20"/>
                <w:szCs w:val="20"/>
              </w:rPr>
              <w:t>egulations e</w:t>
            </w:r>
            <w:r w:rsidR="00DB7DE5">
              <w:rPr>
                <w:rFonts w:cstheme="minorHAnsi"/>
                <w:color w:val="000000"/>
                <w:sz w:val="20"/>
                <w:szCs w:val="20"/>
              </w:rPr>
              <w:t xml:space="preserve">nded the UK’s opt-outs for young workers in relation to the working time and night work provisions of the </w:t>
            </w:r>
            <w:r w:rsidR="006C51DA">
              <w:rPr>
                <w:rFonts w:cstheme="minorHAnsi"/>
                <w:color w:val="000000"/>
                <w:sz w:val="20"/>
                <w:szCs w:val="20"/>
              </w:rPr>
              <w:t xml:space="preserve">EU Council Directive on the protection of young people at work </w:t>
            </w:r>
            <w:r w:rsidR="00DB7DE5">
              <w:rPr>
                <w:rFonts w:cstheme="minorHAnsi"/>
                <w:color w:val="000000"/>
                <w:sz w:val="20"/>
                <w:szCs w:val="20"/>
              </w:rPr>
              <w:t xml:space="preserve">and changed the way that night working hours </w:t>
            </w:r>
            <w:r w:rsidR="00EA5A00">
              <w:rPr>
                <w:rFonts w:cstheme="minorHAnsi"/>
                <w:color w:val="000000"/>
                <w:sz w:val="20"/>
                <w:szCs w:val="20"/>
              </w:rPr>
              <w:t>were</w:t>
            </w:r>
            <w:r w:rsidR="00DB7DE5">
              <w:rPr>
                <w:rFonts w:cstheme="minorHAnsi"/>
                <w:color w:val="000000"/>
                <w:sz w:val="20"/>
                <w:szCs w:val="20"/>
              </w:rPr>
              <w:t xml:space="preserve"> calculated</w:t>
            </w:r>
            <w:r w:rsidR="006C51DA">
              <w:rPr>
                <w:rFonts w:cstheme="minorHAnsi"/>
                <w:color w:val="000000"/>
                <w:sz w:val="20"/>
                <w:szCs w:val="20"/>
              </w:rPr>
              <w:t xml:space="preserve">. </w:t>
            </w:r>
            <w:r w:rsidR="006C51DA" w:rsidRPr="006C51DA">
              <w:rPr>
                <w:rFonts w:cstheme="minorHAnsi"/>
                <w:color w:val="000000"/>
                <w:sz w:val="20"/>
                <w:szCs w:val="20"/>
              </w:rPr>
              <w:t xml:space="preserve">The opt outs covered </w:t>
            </w:r>
            <w:r w:rsidR="000B6898">
              <w:rPr>
                <w:rFonts w:cstheme="minorHAnsi"/>
                <w:color w:val="000000"/>
                <w:sz w:val="20"/>
                <w:szCs w:val="20"/>
              </w:rPr>
              <w:t xml:space="preserve">16 and </w:t>
            </w:r>
            <w:r w:rsidR="002D24BB">
              <w:rPr>
                <w:rFonts w:cstheme="minorHAnsi"/>
                <w:color w:val="000000"/>
                <w:sz w:val="20"/>
                <w:szCs w:val="20"/>
              </w:rPr>
              <w:t>17 year-olds</w:t>
            </w:r>
            <w:r w:rsidR="006C51DA">
              <w:rPr>
                <w:rFonts w:cstheme="minorHAnsi"/>
                <w:color w:val="000000"/>
                <w:sz w:val="20"/>
                <w:szCs w:val="20"/>
              </w:rPr>
              <w:t xml:space="preserve"> </w:t>
            </w:r>
            <w:r w:rsidR="006C51DA" w:rsidRPr="006C51DA">
              <w:rPr>
                <w:rFonts w:cstheme="minorHAnsi"/>
                <w:color w:val="000000"/>
                <w:sz w:val="20"/>
                <w:szCs w:val="20"/>
              </w:rPr>
              <w:t>who</w:t>
            </w:r>
            <w:r w:rsidR="006C51DA">
              <w:rPr>
                <w:rFonts w:cstheme="minorHAnsi"/>
                <w:color w:val="000000"/>
                <w:sz w:val="20"/>
                <w:szCs w:val="20"/>
              </w:rPr>
              <w:t>,</w:t>
            </w:r>
            <w:r w:rsidR="006C51DA" w:rsidRPr="006C51DA">
              <w:rPr>
                <w:rFonts w:cstheme="minorHAnsi"/>
                <w:color w:val="000000"/>
                <w:sz w:val="20"/>
                <w:szCs w:val="20"/>
              </w:rPr>
              <w:t xml:space="preserve"> under the </w:t>
            </w:r>
            <w:r w:rsidR="006C51DA">
              <w:rPr>
                <w:rFonts w:cstheme="minorHAnsi"/>
                <w:color w:val="000000"/>
                <w:sz w:val="20"/>
                <w:szCs w:val="20"/>
              </w:rPr>
              <w:t xml:space="preserve">Directive, would otherwise have been </w:t>
            </w:r>
            <w:r w:rsidR="006C51DA" w:rsidRPr="006C51DA">
              <w:rPr>
                <w:rFonts w:cstheme="minorHAnsi"/>
                <w:color w:val="000000"/>
                <w:sz w:val="20"/>
                <w:szCs w:val="20"/>
              </w:rPr>
              <w:t xml:space="preserve">restricted to working </w:t>
            </w:r>
            <w:r w:rsidR="006C51DA">
              <w:rPr>
                <w:rFonts w:cstheme="minorHAnsi"/>
                <w:color w:val="000000"/>
                <w:sz w:val="20"/>
                <w:szCs w:val="20"/>
              </w:rPr>
              <w:t>a maximum of 40 hours per week (</w:t>
            </w:r>
            <w:r w:rsidR="006C51DA" w:rsidRPr="006C51DA">
              <w:rPr>
                <w:rFonts w:cstheme="minorHAnsi"/>
                <w:color w:val="000000"/>
                <w:sz w:val="20"/>
                <w:szCs w:val="20"/>
              </w:rPr>
              <w:t>with a</w:t>
            </w:r>
            <w:r w:rsidR="006C51DA">
              <w:rPr>
                <w:rFonts w:cstheme="minorHAnsi"/>
                <w:color w:val="000000"/>
                <w:sz w:val="20"/>
                <w:szCs w:val="20"/>
              </w:rPr>
              <w:t xml:space="preserve"> </w:t>
            </w:r>
            <w:r w:rsidR="006C51DA" w:rsidRPr="006C51DA">
              <w:rPr>
                <w:rFonts w:cstheme="minorHAnsi"/>
                <w:color w:val="000000"/>
                <w:sz w:val="20"/>
                <w:szCs w:val="20"/>
              </w:rPr>
              <w:t>maximum working day of 8 hours</w:t>
            </w:r>
            <w:r w:rsidR="006C51DA">
              <w:rPr>
                <w:rFonts w:cstheme="minorHAnsi"/>
                <w:color w:val="000000"/>
                <w:sz w:val="20"/>
                <w:szCs w:val="20"/>
              </w:rPr>
              <w:t>)</w:t>
            </w:r>
            <w:r w:rsidR="006C51DA" w:rsidRPr="006C51DA">
              <w:rPr>
                <w:rFonts w:cstheme="minorHAnsi"/>
                <w:color w:val="000000"/>
                <w:sz w:val="20"/>
                <w:szCs w:val="20"/>
              </w:rPr>
              <w:t xml:space="preserve"> and would not normally be allowed to work at</w:t>
            </w:r>
            <w:r w:rsidR="006C51DA">
              <w:rPr>
                <w:rFonts w:cstheme="minorHAnsi"/>
                <w:color w:val="000000"/>
                <w:sz w:val="20"/>
                <w:szCs w:val="20"/>
              </w:rPr>
              <w:t xml:space="preserve"> </w:t>
            </w:r>
            <w:r w:rsidR="006C51DA" w:rsidRPr="006C51DA">
              <w:rPr>
                <w:rFonts w:cstheme="minorHAnsi"/>
                <w:color w:val="000000"/>
                <w:sz w:val="20"/>
                <w:szCs w:val="20"/>
              </w:rPr>
              <w:t>night between 10pm and 6am (or 11pm to 7am).</w:t>
            </w:r>
            <w:r w:rsidR="006C51DA">
              <w:rPr>
                <w:rFonts w:cstheme="minorHAnsi"/>
                <w:color w:val="000000"/>
                <w:sz w:val="20"/>
                <w:szCs w:val="20"/>
              </w:rPr>
              <w:t xml:space="preserve"> </w:t>
            </w:r>
            <w:r w:rsidR="00E3129D">
              <w:rPr>
                <w:rFonts w:cstheme="minorHAnsi"/>
                <w:color w:val="000000"/>
                <w:sz w:val="20"/>
                <w:szCs w:val="20"/>
              </w:rPr>
              <w:t>P</w:t>
            </w:r>
            <w:r>
              <w:rPr>
                <w:rFonts w:cstheme="minorHAnsi"/>
                <w:color w:val="000000"/>
                <w:sz w:val="20"/>
                <w:szCs w:val="20"/>
              </w:rPr>
              <w:t>rior to the r</w:t>
            </w:r>
            <w:r w:rsidR="00E961D9">
              <w:rPr>
                <w:rFonts w:cstheme="minorHAnsi"/>
                <w:color w:val="000000"/>
                <w:sz w:val="20"/>
                <w:szCs w:val="20"/>
              </w:rPr>
              <w:t>egulations</w:t>
            </w:r>
            <w:r>
              <w:rPr>
                <w:rFonts w:cstheme="minorHAnsi"/>
                <w:color w:val="000000"/>
                <w:sz w:val="20"/>
                <w:szCs w:val="20"/>
              </w:rPr>
              <w:t>,</w:t>
            </w:r>
            <w:r w:rsidR="00E961D9">
              <w:rPr>
                <w:rFonts w:cstheme="minorHAnsi"/>
                <w:color w:val="000000"/>
                <w:sz w:val="20"/>
                <w:szCs w:val="20"/>
              </w:rPr>
              <w:t xml:space="preserve"> calculations for </w:t>
            </w:r>
            <w:r w:rsidR="00E961D9" w:rsidRPr="00E961D9">
              <w:rPr>
                <w:rFonts w:cstheme="minorHAnsi"/>
                <w:color w:val="000000"/>
                <w:sz w:val="20"/>
                <w:szCs w:val="20"/>
              </w:rPr>
              <w:t xml:space="preserve">average night working hours </w:t>
            </w:r>
            <w:r w:rsidR="00E961D9">
              <w:rPr>
                <w:rFonts w:cstheme="minorHAnsi"/>
                <w:color w:val="000000"/>
                <w:sz w:val="20"/>
                <w:szCs w:val="20"/>
              </w:rPr>
              <w:t>excluded</w:t>
            </w:r>
            <w:r w:rsidR="00E961D9" w:rsidRPr="00E961D9">
              <w:rPr>
                <w:rFonts w:cstheme="minorHAnsi"/>
                <w:color w:val="000000"/>
                <w:sz w:val="20"/>
                <w:szCs w:val="20"/>
              </w:rPr>
              <w:t xml:space="preserve"> overtime (unless it </w:t>
            </w:r>
            <w:r w:rsidR="00E3129D">
              <w:rPr>
                <w:rFonts w:cstheme="minorHAnsi"/>
                <w:color w:val="000000"/>
                <w:sz w:val="20"/>
                <w:szCs w:val="20"/>
              </w:rPr>
              <w:t>was</w:t>
            </w:r>
            <w:r w:rsidR="00E961D9" w:rsidRPr="00E961D9">
              <w:rPr>
                <w:rFonts w:cstheme="minorHAnsi"/>
                <w:color w:val="000000"/>
                <w:sz w:val="20"/>
                <w:szCs w:val="20"/>
              </w:rPr>
              <w:t xml:space="preserve"> guaranteed)</w:t>
            </w:r>
            <w:r w:rsidR="00E3129D">
              <w:rPr>
                <w:rFonts w:cstheme="minorHAnsi"/>
                <w:color w:val="000000"/>
                <w:sz w:val="20"/>
                <w:szCs w:val="20"/>
              </w:rPr>
              <w:t xml:space="preserve">. Subsequently, </w:t>
            </w:r>
            <w:r w:rsidR="00E3129D" w:rsidRPr="00E961D9">
              <w:rPr>
                <w:rFonts w:cstheme="minorHAnsi"/>
                <w:color w:val="000000"/>
                <w:sz w:val="20"/>
                <w:szCs w:val="20"/>
              </w:rPr>
              <w:t xml:space="preserve">all overtime </w:t>
            </w:r>
            <w:r w:rsidR="00E3129D">
              <w:rPr>
                <w:rFonts w:cstheme="minorHAnsi"/>
                <w:color w:val="000000"/>
                <w:sz w:val="20"/>
                <w:szCs w:val="20"/>
              </w:rPr>
              <w:t>was</w:t>
            </w:r>
            <w:r w:rsidR="00E3129D" w:rsidRPr="00E961D9">
              <w:rPr>
                <w:rFonts w:cstheme="minorHAnsi"/>
                <w:color w:val="000000"/>
                <w:sz w:val="20"/>
                <w:szCs w:val="20"/>
              </w:rPr>
              <w:t xml:space="preserve"> included when calculating night </w:t>
            </w:r>
            <w:r w:rsidR="00EA5A00" w:rsidRPr="00E961D9">
              <w:rPr>
                <w:rFonts w:cstheme="minorHAnsi"/>
                <w:color w:val="000000"/>
                <w:sz w:val="20"/>
                <w:szCs w:val="20"/>
              </w:rPr>
              <w:t>workers’</w:t>
            </w:r>
            <w:r w:rsidR="004E1837">
              <w:rPr>
                <w:rFonts w:cstheme="minorHAnsi"/>
                <w:color w:val="000000"/>
                <w:sz w:val="20"/>
                <w:szCs w:val="20"/>
              </w:rPr>
              <w:t xml:space="preserve"> </w:t>
            </w:r>
            <w:r w:rsidR="00E3129D" w:rsidRPr="00E961D9">
              <w:rPr>
                <w:rFonts w:cstheme="minorHAnsi"/>
                <w:color w:val="000000"/>
                <w:sz w:val="20"/>
                <w:szCs w:val="20"/>
              </w:rPr>
              <w:t xml:space="preserve">normal hours </w:t>
            </w:r>
            <w:r w:rsidR="00E3129D">
              <w:rPr>
                <w:rFonts w:cstheme="minorHAnsi"/>
                <w:color w:val="000000"/>
                <w:sz w:val="20"/>
                <w:szCs w:val="20"/>
              </w:rPr>
              <w:t>(</w:t>
            </w:r>
            <w:r w:rsidR="00E961D9" w:rsidRPr="00E961D9">
              <w:rPr>
                <w:rFonts w:cstheme="minorHAnsi"/>
                <w:color w:val="000000"/>
                <w:sz w:val="20"/>
                <w:szCs w:val="20"/>
              </w:rPr>
              <w:t xml:space="preserve">not </w:t>
            </w:r>
            <w:r w:rsidR="00A6693A">
              <w:rPr>
                <w:rFonts w:cstheme="minorHAnsi"/>
                <w:color w:val="000000"/>
                <w:sz w:val="20"/>
                <w:szCs w:val="20"/>
              </w:rPr>
              <w:t>to</w:t>
            </w:r>
            <w:r w:rsidR="00EA5A00">
              <w:rPr>
                <w:rFonts w:cstheme="minorHAnsi"/>
                <w:color w:val="000000"/>
                <w:sz w:val="20"/>
                <w:szCs w:val="20"/>
              </w:rPr>
              <w:t xml:space="preserve"> </w:t>
            </w:r>
            <w:r w:rsidR="00E961D9" w:rsidRPr="00E961D9">
              <w:rPr>
                <w:rFonts w:cstheme="minorHAnsi"/>
                <w:color w:val="000000"/>
                <w:sz w:val="20"/>
                <w:szCs w:val="20"/>
              </w:rPr>
              <w:t>exceed an</w:t>
            </w:r>
            <w:r w:rsidR="00E961D9">
              <w:rPr>
                <w:rFonts w:cstheme="minorHAnsi"/>
                <w:color w:val="000000"/>
                <w:sz w:val="20"/>
                <w:szCs w:val="20"/>
              </w:rPr>
              <w:t xml:space="preserve"> </w:t>
            </w:r>
            <w:r w:rsidR="00E961D9" w:rsidRPr="00E961D9">
              <w:rPr>
                <w:rFonts w:cstheme="minorHAnsi"/>
                <w:color w:val="000000"/>
                <w:sz w:val="20"/>
                <w:szCs w:val="20"/>
              </w:rPr>
              <w:t xml:space="preserve">average of eight hours for each </w:t>
            </w:r>
            <w:r w:rsidR="002D24BB">
              <w:rPr>
                <w:rFonts w:cstheme="minorHAnsi"/>
                <w:color w:val="000000"/>
                <w:sz w:val="20"/>
                <w:szCs w:val="20"/>
              </w:rPr>
              <w:t>24-hour period</w:t>
            </w:r>
            <w:r w:rsidR="00EA5A00">
              <w:rPr>
                <w:rFonts w:cstheme="minorHAnsi"/>
                <w:color w:val="000000"/>
                <w:sz w:val="20"/>
                <w:szCs w:val="20"/>
              </w:rPr>
              <w:t xml:space="preserve"> over a </w:t>
            </w:r>
            <w:r w:rsidR="002D24BB">
              <w:rPr>
                <w:rFonts w:cstheme="minorHAnsi"/>
                <w:color w:val="000000"/>
                <w:sz w:val="20"/>
                <w:szCs w:val="20"/>
              </w:rPr>
              <w:t>17-week</w:t>
            </w:r>
            <w:r w:rsidR="00EA5A00">
              <w:rPr>
                <w:rFonts w:cstheme="minorHAnsi"/>
                <w:color w:val="000000"/>
                <w:sz w:val="20"/>
                <w:szCs w:val="20"/>
              </w:rPr>
              <w:t xml:space="preserve"> period </w:t>
            </w:r>
            <w:r w:rsidR="00E961D9" w:rsidRPr="00E961D9">
              <w:rPr>
                <w:rFonts w:cstheme="minorHAnsi"/>
                <w:color w:val="000000"/>
                <w:sz w:val="20"/>
                <w:szCs w:val="20"/>
              </w:rPr>
              <w:t>or longer if agreed by</w:t>
            </w:r>
            <w:r w:rsidR="004E1837">
              <w:rPr>
                <w:rFonts w:cstheme="minorHAnsi"/>
                <w:color w:val="000000"/>
                <w:sz w:val="20"/>
                <w:szCs w:val="20"/>
              </w:rPr>
              <w:t xml:space="preserve"> </w:t>
            </w:r>
            <w:r w:rsidR="00E961D9" w:rsidRPr="00E961D9">
              <w:rPr>
                <w:rFonts w:cstheme="minorHAnsi"/>
                <w:color w:val="000000"/>
                <w:sz w:val="20"/>
                <w:szCs w:val="20"/>
              </w:rPr>
              <w:t>a collective or workforce agreement).</w:t>
            </w:r>
            <w:r w:rsidR="00E3129D">
              <w:rPr>
                <w:rFonts w:cstheme="minorHAnsi"/>
                <w:color w:val="000000"/>
                <w:sz w:val="20"/>
                <w:szCs w:val="20"/>
              </w:rPr>
              <w:t xml:space="preserve"> </w:t>
            </w:r>
            <w:r w:rsidR="006C51DA">
              <w:rPr>
                <w:rFonts w:cstheme="minorHAnsi"/>
                <w:color w:val="000000"/>
                <w:sz w:val="20"/>
                <w:szCs w:val="20"/>
              </w:rPr>
              <w:t xml:space="preserve">Among other things, the </w:t>
            </w:r>
            <w:r>
              <w:rPr>
                <w:rFonts w:cstheme="minorHAnsi"/>
                <w:color w:val="000000"/>
                <w:sz w:val="20"/>
                <w:szCs w:val="20"/>
              </w:rPr>
              <w:t>r</w:t>
            </w:r>
            <w:r w:rsidR="00E3129D">
              <w:rPr>
                <w:rFonts w:cstheme="minorHAnsi"/>
                <w:color w:val="000000"/>
                <w:sz w:val="20"/>
                <w:szCs w:val="20"/>
              </w:rPr>
              <w:t xml:space="preserve">egulations </w:t>
            </w:r>
            <w:r w:rsidR="006C51DA">
              <w:rPr>
                <w:rFonts w:cstheme="minorHAnsi"/>
                <w:color w:val="000000"/>
                <w:sz w:val="20"/>
                <w:szCs w:val="20"/>
              </w:rPr>
              <w:t>a</w:t>
            </w:r>
            <w:r w:rsidR="00E3129D">
              <w:rPr>
                <w:rFonts w:cstheme="minorHAnsi"/>
                <w:color w:val="000000"/>
                <w:sz w:val="20"/>
                <w:szCs w:val="20"/>
              </w:rPr>
              <w:t xml:space="preserve">imed </w:t>
            </w:r>
            <w:r w:rsidR="006C51DA">
              <w:rPr>
                <w:rFonts w:cstheme="minorHAnsi"/>
                <w:color w:val="000000"/>
                <w:sz w:val="20"/>
                <w:szCs w:val="20"/>
              </w:rPr>
              <w:t xml:space="preserve">to ensure a better balance for </w:t>
            </w:r>
            <w:r w:rsidR="00E3129D">
              <w:rPr>
                <w:rFonts w:cstheme="minorHAnsi"/>
                <w:color w:val="000000"/>
                <w:sz w:val="20"/>
                <w:szCs w:val="20"/>
              </w:rPr>
              <w:t>workers</w:t>
            </w:r>
            <w:r w:rsidR="006C51DA">
              <w:rPr>
                <w:rFonts w:cstheme="minorHAnsi"/>
                <w:color w:val="000000"/>
                <w:sz w:val="20"/>
                <w:szCs w:val="20"/>
              </w:rPr>
              <w:t xml:space="preserve"> between work and family life, improvements in occupational health and safety, </w:t>
            </w:r>
            <w:r w:rsidR="002C6D30">
              <w:rPr>
                <w:rFonts w:cstheme="minorHAnsi"/>
                <w:color w:val="000000"/>
                <w:sz w:val="20"/>
                <w:szCs w:val="20"/>
              </w:rPr>
              <w:t xml:space="preserve">and improve </w:t>
            </w:r>
            <w:r w:rsidR="00E3129D">
              <w:rPr>
                <w:rFonts w:cstheme="minorHAnsi"/>
                <w:color w:val="000000"/>
                <w:sz w:val="20"/>
                <w:szCs w:val="20"/>
              </w:rPr>
              <w:t xml:space="preserve">young people’s </w:t>
            </w:r>
            <w:r w:rsidR="002C6D30">
              <w:rPr>
                <w:rFonts w:cstheme="minorHAnsi"/>
                <w:color w:val="000000"/>
                <w:sz w:val="20"/>
                <w:szCs w:val="20"/>
              </w:rPr>
              <w:t>access to education and opportunities for personal development</w:t>
            </w:r>
            <w:r w:rsidR="00B10B4E">
              <w:rPr>
                <w:rFonts w:cstheme="minorHAnsi"/>
                <w:color w:val="000000"/>
                <w:sz w:val="20"/>
                <w:szCs w:val="20"/>
              </w:rPr>
              <w:fldChar w:fldCharType="begin"/>
            </w:r>
            <w:r w:rsidR="00BB4F0A">
              <w:rPr>
                <w:rFonts w:cstheme="minorHAnsi"/>
                <w:color w:val="000000"/>
                <w:sz w:val="20"/>
                <w:szCs w:val="20"/>
              </w:rPr>
              <w:instrText xml:space="preserve"> ADDIN EN.CITE &lt;EndNote&gt;&lt;Cite&gt;&lt;Author&gt;Department of Trade and Industry&lt;/Author&gt;&lt;Year&gt;2002&lt;/Year&gt;&lt;RecNum&gt;1640&lt;/RecNum&gt;&lt;DisplayText&gt; (Department of Trade and Industry, 2002)&lt;/DisplayText&gt;&lt;record&gt;&lt;rec-number&gt;1640&lt;/rec-number&gt;&lt;foreign-keys&gt;&lt;key app="EN" db-id="drrvazw0t090vlef0e6praxba2d0xwps0wt0" timestamp="1493217161"&gt;1640&lt;/key&gt;&lt;/foreign-keys&gt;&lt;ref-type name="Report"&gt;27&lt;/ref-type&gt;&lt;contributors&gt;&lt;authors&gt;&lt;author&gt;Department of Trade and Industry,&lt;/author&gt;&lt;/authors&gt;&lt;tertiary-authors&gt;&lt;author&gt;Department of Trade and Industry&lt;/author&gt;&lt;/tertiary-authors&gt;&lt;/contributors&gt;&lt;titles&gt;&lt;title&gt;Regulatory Impact Assessment: The Working Time (Amendment) Regulations 2002&lt;/title&gt;&lt;/titles&gt;&lt;dates&gt;&lt;year&gt;2002&lt;/year&gt;&lt;/dates&gt;&lt;pub-location&gt;London&lt;/pub-location&gt;&lt;publisher&gt;Department of Trade and Industry&lt;/publisher&gt;&lt;urls&gt;&lt;related-urls&gt;&lt;url&gt;http://collections.europarchive.org/tna/20060213205515/http://dti.gov.uk/access/ria/pdf/workingtime.pdf&lt;/url&gt;&lt;/related-urls&gt;&lt;/urls&gt;&lt;access-date&gt;March 26, 2017&lt;/access-date&gt;&lt;/record&gt;&lt;/Cite&gt;&lt;/EndNote&gt;</w:instrText>
            </w:r>
            <w:r w:rsidR="00B10B4E">
              <w:rPr>
                <w:rFonts w:cstheme="minorHAnsi"/>
                <w:color w:val="000000"/>
                <w:sz w:val="20"/>
                <w:szCs w:val="20"/>
              </w:rPr>
              <w:fldChar w:fldCharType="separate"/>
            </w:r>
            <w:r w:rsidR="00BB4F0A">
              <w:rPr>
                <w:rFonts w:cstheme="minorHAnsi"/>
                <w:noProof/>
                <w:color w:val="000000"/>
                <w:sz w:val="20"/>
                <w:szCs w:val="20"/>
              </w:rPr>
              <w:t xml:space="preserve"> </w:t>
            </w:r>
            <w:hyperlink w:anchor="_ENREF_5" w:tooltip="Department of Trade and Industry, 2002 #1640" w:history="1">
              <w:r w:rsidR="006D11C0">
                <w:rPr>
                  <w:rFonts w:cstheme="minorHAnsi"/>
                  <w:noProof/>
                  <w:color w:val="000000"/>
                  <w:sz w:val="20"/>
                  <w:szCs w:val="20"/>
                </w:rPr>
                <w:t>(Department of Trade and Industry, 2002</w:t>
              </w:r>
            </w:hyperlink>
            <w:r w:rsidR="00BB4F0A">
              <w:rPr>
                <w:rFonts w:cstheme="minorHAnsi"/>
                <w:noProof/>
                <w:color w:val="000000"/>
                <w:sz w:val="20"/>
                <w:szCs w:val="20"/>
              </w:rPr>
              <w:t>)</w:t>
            </w:r>
            <w:r w:rsidR="00B10B4E">
              <w:rPr>
                <w:rFonts w:cstheme="minorHAnsi"/>
                <w:color w:val="000000"/>
                <w:sz w:val="20"/>
                <w:szCs w:val="20"/>
              </w:rPr>
              <w:fldChar w:fldCharType="end"/>
            </w:r>
            <w:r w:rsidR="002C6D30">
              <w:rPr>
                <w:rFonts w:cstheme="minorHAnsi"/>
                <w:color w:val="000000"/>
                <w:sz w:val="20"/>
                <w:szCs w:val="20"/>
              </w:rPr>
              <w:t>.</w:t>
            </w:r>
          </w:p>
        </w:tc>
      </w:tr>
      <w:tr w:rsidR="000E4708" w:rsidRPr="001C3290" w14:paraId="385769F3" w14:textId="77777777" w:rsidTr="00DB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68731FF" w14:textId="7AE418B7" w:rsidR="000E4708" w:rsidRPr="007C43DB" w:rsidRDefault="000E4708" w:rsidP="00F7186B">
            <w:pPr>
              <w:rPr>
                <w:rFonts w:cstheme="minorHAnsi"/>
                <w:b w:val="0"/>
                <w:sz w:val="20"/>
                <w:szCs w:val="20"/>
              </w:rPr>
            </w:pPr>
            <w:r w:rsidRPr="007C43DB">
              <w:rPr>
                <w:rFonts w:cstheme="minorHAnsi"/>
                <w:sz w:val="20"/>
                <w:szCs w:val="20"/>
              </w:rPr>
              <w:t>The Control of Noise at Work</w:t>
            </w:r>
            <w:r w:rsidR="00F7186B" w:rsidRPr="007C43DB">
              <w:rPr>
                <w:rFonts w:cstheme="minorHAnsi"/>
                <w:sz w:val="20"/>
                <w:szCs w:val="20"/>
              </w:rPr>
              <w:t xml:space="preserve"> </w:t>
            </w:r>
            <w:r w:rsidRPr="007C43DB">
              <w:rPr>
                <w:rFonts w:cstheme="minorHAnsi"/>
                <w:sz w:val="20"/>
                <w:szCs w:val="20"/>
              </w:rPr>
              <w:t>Regulations 2005</w:t>
            </w:r>
            <w:r w:rsidR="00F7186B" w:rsidRPr="007C43DB">
              <w:rPr>
                <w:rFonts w:cstheme="minorHAnsi"/>
                <w:b w:val="0"/>
                <w:sz w:val="20"/>
                <w:szCs w:val="20"/>
              </w:rPr>
              <w:t xml:space="preserve"> </w:t>
            </w:r>
            <w:r w:rsidRPr="007C43DB">
              <w:rPr>
                <w:rFonts w:cstheme="minorHAnsi"/>
                <w:b w:val="0"/>
                <w:sz w:val="20"/>
                <w:szCs w:val="20"/>
              </w:rPr>
              <w:t>(2003/10/EC)</w:t>
            </w:r>
            <w:r w:rsidR="00F7186B" w:rsidRPr="007C43DB">
              <w:rPr>
                <w:rFonts w:cstheme="minorHAnsi"/>
                <w:b w:val="0"/>
                <w:sz w:val="20"/>
                <w:szCs w:val="20"/>
              </w:rPr>
              <w:t xml:space="preserve"> </w:t>
            </w:r>
            <w:r w:rsidR="00E16428" w:rsidRPr="007C43DB">
              <w:rPr>
                <w:rFonts w:cstheme="minorHAnsi"/>
                <w:b w:val="0"/>
                <w:sz w:val="20"/>
                <w:szCs w:val="20"/>
              </w:rPr>
              <w:t>(33)</w:t>
            </w:r>
          </w:p>
        </w:tc>
        <w:tc>
          <w:tcPr>
            <w:tcW w:w="12758" w:type="dxa"/>
          </w:tcPr>
          <w:p w14:paraId="2B95C32D" w14:textId="55D76FF7" w:rsidR="000E4708" w:rsidRPr="001C3290" w:rsidRDefault="005760CD" w:rsidP="005A5C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60CD">
              <w:rPr>
                <w:rFonts w:cstheme="minorHAnsi"/>
                <w:sz w:val="20"/>
                <w:szCs w:val="20"/>
              </w:rPr>
              <w:t xml:space="preserve">The </w:t>
            </w:r>
            <w:r>
              <w:rPr>
                <w:rFonts w:cstheme="minorHAnsi"/>
                <w:sz w:val="20"/>
                <w:szCs w:val="20"/>
              </w:rPr>
              <w:t>r</w:t>
            </w:r>
            <w:r w:rsidRPr="005760CD">
              <w:rPr>
                <w:rFonts w:cstheme="minorHAnsi"/>
                <w:sz w:val="20"/>
                <w:szCs w:val="20"/>
              </w:rPr>
              <w:t>egulations aim to protect workers from risks to their health arising from exposure to noise at work.</w:t>
            </w:r>
            <w:r>
              <w:rPr>
                <w:rFonts w:cstheme="minorHAnsi"/>
                <w:sz w:val="20"/>
                <w:szCs w:val="20"/>
              </w:rPr>
              <w:t xml:space="preserve"> </w:t>
            </w:r>
            <w:r w:rsidRPr="005760CD">
              <w:rPr>
                <w:rFonts w:cstheme="minorHAnsi"/>
                <w:sz w:val="20"/>
                <w:szCs w:val="20"/>
              </w:rPr>
              <w:t>The</w:t>
            </w:r>
            <w:r>
              <w:rPr>
                <w:rFonts w:cstheme="minorHAnsi"/>
                <w:sz w:val="20"/>
                <w:szCs w:val="20"/>
              </w:rPr>
              <w:t>y</w:t>
            </w:r>
            <w:r w:rsidRPr="005760CD">
              <w:rPr>
                <w:rFonts w:cstheme="minorHAnsi"/>
                <w:sz w:val="20"/>
                <w:szCs w:val="20"/>
              </w:rPr>
              <w:t xml:space="preserve"> </w:t>
            </w:r>
            <w:r w:rsidR="0047425F">
              <w:rPr>
                <w:rFonts w:cstheme="minorHAnsi"/>
                <w:sz w:val="20"/>
                <w:szCs w:val="20"/>
              </w:rPr>
              <w:t>lowered existing exposure</w:t>
            </w:r>
            <w:r w:rsidRPr="005760CD">
              <w:rPr>
                <w:rFonts w:cstheme="minorHAnsi"/>
                <w:sz w:val="20"/>
                <w:szCs w:val="20"/>
              </w:rPr>
              <w:t xml:space="preserve"> action values </w:t>
            </w:r>
            <w:r w:rsidR="0047425F">
              <w:rPr>
                <w:rFonts w:cstheme="minorHAnsi"/>
                <w:sz w:val="20"/>
                <w:szCs w:val="20"/>
              </w:rPr>
              <w:t xml:space="preserve">by </w:t>
            </w:r>
            <w:r w:rsidRPr="005760CD">
              <w:rPr>
                <w:rFonts w:cstheme="minorHAnsi"/>
                <w:sz w:val="20"/>
                <w:szCs w:val="20"/>
              </w:rPr>
              <w:t xml:space="preserve">5dB(A) </w:t>
            </w:r>
            <w:r w:rsidR="00731A30">
              <w:rPr>
                <w:rFonts w:cstheme="minorHAnsi"/>
                <w:sz w:val="20"/>
                <w:szCs w:val="20"/>
              </w:rPr>
              <w:t xml:space="preserve">(from 90 dB(A) to 85 dB(A)) </w:t>
            </w:r>
            <w:r w:rsidRPr="005760CD">
              <w:rPr>
                <w:rFonts w:cstheme="minorHAnsi"/>
                <w:sz w:val="20"/>
                <w:szCs w:val="20"/>
              </w:rPr>
              <w:t xml:space="preserve">and </w:t>
            </w:r>
            <w:r w:rsidR="0047425F">
              <w:rPr>
                <w:rFonts w:cstheme="minorHAnsi"/>
                <w:sz w:val="20"/>
                <w:szCs w:val="20"/>
              </w:rPr>
              <w:t xml:space="preserve">introduced </w:t>
            </w:r>
            <w:r w:rsidRPr="005760CD">
              <w:rPr>
                <w:rFonts w:cstheme="minorHAnsi"/>
                <w:sz w:val="20"/>
                <w:szCs w:val="20"/>
              </w:rPr>
              <w:t>a new exposure limit value.</w:t>
            </w:r>
            <w:r w:rsidR="0047425F">
              <w:rPr>
                <w:rFonts w:cstheme="minorHAnsi"/>
                <w:sz w:val="20"/>
                <w:szCs w:val="20"/>
              </w:rPr>
              <w:t xml:space="preserve"> They were anticipated to affect firms in</w:t>
            </w:r>
            <w:r w:rsidR="0047425F" w:rsidRPr="0047425F">
              <w:rPr>
                <w:rFonts w:cstheme="minorHAnsi"/>
                <w:sz w:val="20"/>
                <w:szCs w:val="20"/>
              </w:rPr>
              <w:t xml:space="preserve"> agriculture, construction, quarrying, mining, transport, forestry, drinks and packaging, textiles, potteries, glass, rubber, printing, metalworking, woodworking, steel, entertainment, and the armed forces</w:t>
            </w:r>
            <w:r w:rsidR="0047425F">
              <w:rPr>
                <w:rFonts w:cstheme="minorHAnsi"/>
                <w:sz w:val="20"/>
                <w:szCs w:val="20"/>
              </w:rPr>
              <w:t xml:space="preserve"> (and potentially education, teachers,</w:t>
            </w:r>
            <w:r w:rsidR="0047425F" w:rsidRPr="0047425F">
              <w:rPr>
                <w:rFonts w:cstheme="minorHAnsi"/>
                <w:sz w:val="20"/>
                <w:szCs w:val="20"/>
              </w:rPr>
              <w:t xml:space="preserve"> and </w:t>
            </w:r>
            <w:r w:rsidR="0047425F">
              <w:rPr>
                <w:rFonts w:cstheme="minorHAnsi"/>
                <w:sz w:val="20"/>
                <w:szCs w:val="20"/>
              </w:rPr>
              <w:t>call centre workers</w:t>
            </w:r>
            <w:r w:rsidR="0047425F" w:rsidRPr="0047425F">
              <w:rPr>
                <w:rFonts w:cstheme="minorHAnsi"/>
                <w:sz w:val="20"/>
                <w:szCs w:val="20"/>
              </w:rPr>
              <w:t>).</w:t>
            </w:r>
            <w:r w:rsidR="0047425F">
              <w:rPr>
                <w:rFonts w:cstheme="minorHAnsi"/>
                <w:sz w:val="20"/>
                <w:szCs w:val="20"/>
              </w:rPr>
              <w:t xml:space="preserve"> At the time, t</w:t>
            </w:r>
            <w:r w:rsidR="0047425F" w:rsidRPr="0047425F">
              <w:rPr>
                <w:rFonts w:cstheme="minorHAnsi"/>
                <w:sz w:val="20"/>
                <w:szCs w:val="20"/>
              </w:rPr>
              <w:t xml:space="preserve">here </w:t>
            </w:r>
            <w:r w:rsidR="009208A8">
              <w:rPr>
                <w:rFonts w:cstheme="minorHAnsi"/>
                <w:sz w:val="20"/>
                <w:szCs w:val="20"/>
              </w:rPr>
              <w:t>was</w:t>
            </w:r>
            <w:r w:rsidR="0047425F" w:rsidRPr="0047425F">
              <w:rPr>
                <w:rFonts w:cstheme="minorHAnsi"/>
                <w:sz w:val="20"/>
                <w:szCs w:val="20"/>
              </w:rPr>
              <w:t xml:space="preserve"> good evidence of some hazard to hearing from prolonged exposure to noise at levels down to 85 dB(A</w:t>
            </w:r>
            <w:r w:rsidR="0047425F">
              <w:rPr>
                <w:rFonts w:cstheme="minorHAnsi"/>
                <w:sz w:val="20"/>
                <w:szCs w:val="20"/>
              </w:rPr>
              <w:t>) with research suggesting that about 1.1m people were exposed to noise at this level and above (with an estimated 170,000 suffering deadness, tinnitus or other ear conditions as a result</w:t>
            </w:r>
            <w:r w:rsidR="009208A8">
              <w:rPr>
                <w:rFonts w:cstheme="minorHAnsi"/>
                <w:sz w:val="20"/>
                <w:szCs w:val="20"/>
              </w:rPr>
              <w:t>)</w:t>
            </w:r>
            <w:r w:rsidR="0047425F">
              <w:rPr>
                <w:rFonts w:cstheme="minorHAnsi"/>
                <w:sz w:val="20"/>
                <w:szCs w:val="20"/>
              </w:rPr>
              <w:t xml:space="preserve">. </w:t>
            </w:r>
            <w:r w:rsidR="009208A8" w:rsidRPr="009208A8">
              <w:rPr>
                <w:rFonts w:cstheme="minorHAnsi"/>
                <w:sz w:val="20"/>
                <w:szCs w:val="20"/>
              </w:rPr>
              <w:t xml:space="preserve">There is generally a long latency before the effects of damage due to noise exposure </w:t>
            </w:r>
            <w:r w:rsidR="009208A8">
              <w:rPr>
                <w:rFonts w:cstheme="minorHAnsi"/>
                <w:sz w:val="20"/>
                <w:szCs w:val="20"/>
              </w:rPr>
              <w:t>are noticed (</w:t>
            </w:r>
            <w:r w:rsidR="009208A8" w:rsidRPr="009208A8">
              <w:rPr>
                <w:rFonts w:cstheme="minorHAnsi"/>
                <w:sz w:val="20"/>
                <w:szCs w:val="20"/>
              </w:rPr>
              <w:t>continuous occupational exposure to noise at 90 dB(A)</w:t>
            </w:r>
            <w:r w:rsidR="009208A8">
              <w:rPr>
                <w:rFonts w:cstheme="minorHAnsi"/>
                <w:sz w:val="20"/>
                <w:szCs w:val="20"/>
              </w:rPr>
              <w:t>, for example,</w:t>
            </w:r>
            <w:r w:rsidR="009208A8" w:rsidRPr="009208A8">
              <w:rPr>
                <w:rFonts w:cstheme="minorHAnsi"/>
                <w:sz w:val="20"/>
                <w:szCs w:val="20"/>
              </w:rPr>
              <w:t xml:space="preserve"> result</w:t>
            </w:r>
            <w:r w:rsidR="009208A8">
              <w:rPr>
                <w:rFonts w:cstheme="minorHAnsi"/>
                <w:sz w:val="20"/>
                <w:szCs w:val="20"/>
              </w:rPr>
              <w:t>s</w:t>
            </w:r>
            <w:r w:rsidR="009208A8" w:rsidRPr="009208A8">
              <w:rPr>
                <w:rFonts w:cstheme="minorHAnsi"/>
                <w:sz w:val="20"/>
                <w:szCs w:val="20"/>
              </w:rPr>
              <w:t xml:space="preserve"> in about 5% of the population sustaining a 30 dB hearing loss (moder</w:t>
            </w:r>
            <w:r w:rsidR="009208A8">
              <w:rPr>
                <w:rFonts w:cstheme="minorHAnsi"/>
                <w:sz w:val="20"/>
                <w:szCs w:val="20"/>
              </w:rPr>
              <w:t>ate disability) within 10 years. T</w:t>
            </w:r>
            <w:r w:rsidR="009208A8" w:rsidRPr="009208A8">
              <w:rPr>
                <w:rFonts w:cstheme="minorHAnsi"/>
                <w:sz w:val="20"/>
                <w:szCs w:val="20"/>
              </w:rPr>
              <w:t>his rises to approximately 50% over a working lifetime of exposure</w:t>
            </w:r>
            <w:r w:rsidR="00BB4F0A">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Executive&lt;/Author&gt;&lt;Year&gt;2005&lt;/Year&gt;&lt;RecNum&gt;1648&lt;/RecNum&gt;&lt;DisplayText&gt; (Health and Safety Executive, 2005b)&lt;/DisplayText&gt;&lt;record&gt;&lt;rec-number&gt;1648&lt;/rec-number&gt;&lt;foreign-keys&gt;&lt;key app="EN" db-id="drrvazw0t090vlef0e6praxba2d0xwps0wt0" timestamp="1494610128"&gt;1648&lt;/key&gt;&lt;/foreign-keys&gt;&lt;ref-type name="Report"&gt;27&lt;/ref-type&gt;&lt;contributors&gt;&lt;authors&gt;&lt;author&gt;Health and Safety Executive,&lt;/author&gt;&lt;/authors&gt;&lt;tertiary-authors&gt;&lt;author&gt;Health and Safety Executive&lt;/author&gt;&lt;/tertiary-authors&gt;&lt;/contributors&gt;&lt;titles&gt;&lt;title&gt;Final Regulatory Impact Assessment of the Control of Noise at Work Regulations 2005&lt;/title&gt;&lt;/titles&gt;&lt;dates&gt;&lt;year&gt;2005&lt;/year&gt;&lt;/dates&gt;&lt;pub-location&gt;London&lt;/pub-location&gt;&lt;publisher&gt;Health and Safety Executive&lt;/publisher&gt;&lt;urls&gt;&lt;/urls&gt;&lt;/record&gt;&lt;/Cite&gt;&lt;/EndNote&gt;</w:instrText>
            </w:r>
            <w:r w:rsidR="00BB4F0A">
              <w:rPr>
                <w:rFonts w:cstheme="minorHAnsi"/>
                <w:sz w:val="20"/>
                <w:szCs w:val="20"/>
              </w:rPr>
              <w:fldChar w:fldCharType="separate"/>
            </w:r>
            <w:r w:rsidR="00BB4F0A">
              <w:rPr>
                <w:rFonts w:cstheme="minorHAnsi"/>
                <w:noProof/>
                <w:sz w:val="20"/>
                <w:szCs w:val="20"/>
              </w:rPr>
              <w:t xml:space="preserve"> </w:t>
            </w:r>
            <w:hyperlink w:anchor="_ENREF_11" w:tooltip="Health and Safety Executive, 2005 #1648" w:history="1">
              <w:r w:rsidR="006D11C0">
                <w:rPr>
                  <w:rFonts w:cstheme="minorHAnsi"/>
                  <w:noProof/>
                  <w:sz w:val="20"/>
                  <w:szCs w:val="20"/>
                </w:rPr>
                <w:t>(Health and Safety Executive, 2005b</w:t>
              </w:r>
            </w:hyperlink>
            <w:r w:rsidR="00BB4F0A">
              <w:rPr>
                <w:rFonts w:cstheme="minorHAnsi"/>
                <w:noProof/>
                <w:sz w:val="20"/>
                <w:szCs w:val="20"/>
              </w:rPr>
              <w:t>)</w:t>
            </w:r>
            <w:r w:rsidR="00BB4F0A">
              <w:rPr>
                <w:rFonts w:cstheme="minorHAnsi"/>
                <w:sz w:val="20"/>
                <w:szCs w:val="20"/>
              </w:rPr>
              <w:fldChar w:fldCharType="end"/>
            </w:r>
            <w:r w:rsidR="00B10B4E">
              <w:rPr>
                <w:rFonts w:cstheme="minorHAnsi"/>
                <w:sz w:val="20"/>
                <w:szCs w:val="20"/>
              </w:rPr>
              <w:t>.</w:t>
            </w:r>
          </w:p>
        </w:tc>
      </w:tr>
      <w:tr w:rsidR="000E4708" w:rsidRPr="001C3290" w14:paraId="5B836A78" w14:textId="77777777" w:rsidTr="00DB7DE5">
        <w:tc>
          <w:tcPr>
            <w:cnfStyle w:val="001000000000" w:firstRow="0" w:lastRow="0" w:firstColumn="1" w:lastColumn="0" w:oddVBand="0" w:evenVBand="0" w:oddHBand="0" w:evenHBand="0" w:firstRowFirstColumn="0" w:firstRowLastColumn="0" w:lastRowFirstColumn="0" w:lastRowLastColumn="0"/>
            <w:tcW w:w="2405" w:type="dxa"/>
          </w:tcPr>
          <w:p w14:paraId="66A5E78B" w14:textId="72B5176F" w:rsidR="000E4708" w:rsidRPr="007C43DB" w:rsidRDefault="000E4708" w:rsidP="00F7186B">
            <w:pPr>
              <w:rPr>
                <w:rFonts w:cstheme="minorHAnsi"/>
                <w:b w:val="0"/>
                <w:sz w:val="20"/>
                <w:szCs w:val="20"/>
              </w:rPr>
            </w:pPr>
            <w:r w:rsidRPr="007C43DB">
              <w:rPr>
                <w:rFonts w:cstheme="minorHAnsi"/>
                <w:sz w:val="20"/>
                <w:szCs w:val="20"/>
              </w:rPr>
              <w:t>The Work at Height Regulations</w:t>
            </w:r>
            <w:r w:rsidR="00F7186B" w:rsidRPr="007C43DB">
              <w:rPr>
                <w:rFonts w:cstheme="minorHAnsi"/>
                <w:sz w:val="20"/>
                <w:szCs w:val="20"/>
              </w:rPr>
              <w:t xml:space="preserve"> </w:t>
            </w:r>
            <w:r w:rsidRPr="007C43DB">
              <w:rPr>
                <w:rFonts w:cstheme="minorHAnsi"/>
                <w:sz w:val="20"/>
                <w:szCs w:val="20"/>
              </w:rPr>
              <w:t>2005</w:t>
            </w:r>
            <w:r w:rsidRPr="007C43DB">
              <w:rPr>
                <w:rFonts w:cstheme="minorHAnsi"/>
                <w:b w:val="0"/>
                <w:sz w:val="20"/>
                <w:szCs w:val="20"/>
              </w:rPr>
              <w:t xml:space="preserve"> (</w:t>
            </w:r>
            <w:r w:rsidR="00C65E87" w:rsidRPr="007C43DB">
              <w:rPr>
                <w:rFonts w:cstheme="minorHAnsi"/>
                <w:b w:val="0"/>
                <w:sz w:val="20"/>
                <w:szCs w:val="20"/>
              </w:rPr>
              <w:t>2001/45/EC</w:t>
            </w:r>
            <w:r w:rsidRPr="007C43DB">
              <w:rPr>
                <w:rFonts w:cstheme="minorHAnsi"/>
                <w:b w:val="0"/>
                <w:sz w:val="20"/>
                <w:szCs w:val="20"/>
              </w:rPr>
              <w:t>)</w:t>
            </w:r>
            <w:r w:rsidR="00E16428" w:rsidRPr="007C43DB">
              <w:rPr>
                <w:rFonts w:cstheme="minorHAnsi"/>
                <w:b w:val="0"/>
                <w:sz w:val="20"/>
                <w:szCs w:val="20"/>
              </w:rPr>
              <w:t xml:space="preserve"> (37)</w:t>
            </w:r>
          </w:p>
        </w:tc>
        <w:tc>
          <w:tcPr>
            <w:tcW w:w="12758" w:type="dxa"/>
          </w:tcPr>
          <w:p w14:paraId="05B0BCA1" w14:textId="6CB92BA0" w:rsidR="000E4708" w:rsidRPr="001C3290" w:rsidRDefault="003862B0" w:rsidP="0008349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regulations aim</w:t>
            </w:r>
            <w:r w:rsidR="00C65E87">
              <w:rPr>
                <w:rFonts w:cstheme="minorHAnsi"/>
                <w:sz w:val="20"/>
                <w:szCs w:val="20"/>
              </w:rPr>
              <w:t xml:space="preserve"> to minimise the risk </w:t>
            </w:r>
            <w:r w:rsidR="00E64B69">
              <w:rPr>
                <w:rFonts w:cstheme="minorHAnsi"/>
                <w:sz w:val="20"/>
                <w:szCs w:val="20"/>
              </w:rPr>
              <w:t xml:space="preserve">of falls </w:t>
            </w:r>
            <w:r w:rsidR="002D24BB">
              <w:rPr>
                <w:rFonts w:cstheme="minorHAnsi"/>
                <w:sz w:val="20"/>
                <w:szCs w:val="20"/>
              </w:rPr>
              <w:t xml:space="preserve">from </w:t>
            </w:r>
            <w:r w:rsidR="00E64B69">
              <w:rPr>
                <w:rFonts w:cstheme="minorHAnsi"/>
                <w:sz w:val="20"/>
                <w:szCs w:val="20"/>
              </w:rPr>
              <w:t>work</w:t>
            </w:r>
            <w:r w:rsidR="002D24BB">
              <w:rPr>
                <w:rFonts w:cstheme="minorHAnsi"/>
                <w:sz w:val="20"/>
                <w:szCs w:val="20"/>
              </w:rPr>
              <w:t>ing</w:t>
            </w:r>
            <w:r w:rsidR="00E64B69">
              <w:rPr>
                <w:rFonts w:cstheme="minorHAnsi"/>
                <w:sz w:val="20"/>
                <w:szCs w:val="20"/>
              </w:rPr>
              <w:t xml:space="preserve"> at height (</w:t>
            </w:r>
            <w:r w:rsidR="00C65E87">
              <w:rPr>
                <w:rFonts w:cstheme="minorHAnsi"/>
                <w:sz w:val="20"/>
                <w:szCs w:val="20"/>
              </w:rPr>
              <w:t xml:space="preserve">one of the most common causes of </w:t>
            </w:r>
            <w:r w:rsidR="00E64B69">
              <w:rPr>
                <w:rFonts w:cstheme="minorHAnsi"/>
                <w:sz w:val="20"/>
                <w:szCs w:val="20"/>
              </w:rPr>
              <w:t xml:space="preserve">fatalities and injuries at work) by addressing how work at height is planned, organised, and managed and </w:t>
            </w:r>
            <w:r w:rsidR="00EA5A00">
              <w:rPr>
                <w:rFonts w:cstheme="minorHAnsi"/>
                <w:sz w:val="20"/>
                <w:szCs w:val="20"/>
              </w:rPr>
              <w:t xml:space="preserve">by outlining </w:t>
            </w:r>
            <w:r w:rsidR="00E64B69">
              <w:rPr>
                <w:rFonts w:cstheme="minorHAnsi"/>
                <w:sz w:val="20"/>
                <w:szCs w:val="20"/>
              </w:rPr>
              <w:t>training requirements</w:t>
            </w:r>
            <w:r w:rsidR="00E64B69">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Executive&lt;/Author&gt;&lt;Year&gt;2005&lt;/Year&gt;&lt;RecNum&gt;1385&lt;/RecNum&gt;&lt;DisplayText&gt; (Health and Safety Executive, 2005c)&lt;/DisplayText&gt;&lt;record&gt;&lt;rec-number&gt;1385&lt;/rec-number&gt;&lt;foreign-keys&gt;&lt;key app="EN" db-id="drrvazw0t090vlef0e6praxba2d0xwps0wt0" timestamp="1488478174"&gt;1385&lt;/key&gt;&lt;/foreign-keys&gt;&lt;ref-type name="Report"&gt;27&lt;/ref-type&gt;&lt;contributors&gt;&lt;authors&gt;&lt;author&gt;Health and Safety Executive,&lt;/author&gt;&lt;/authors&gt;&lt;tertiary-authors&gt;&lt;author&gt;Health and Safety Executive&lt;/author&gt;&lt;/tertiary-authors&gt;&lt;/contributors&gt;&lt;titles&gt;&lt;title&gt;Work at Height Regulations Regulatory Impact Assessment (Final)&lt;/title&gt;&lt;/titles&gt;&lt;dates&gt;&lt;year&gt;2005&lt;/year&gt;&lt;/dates&gt;&lt;pub-location&gt;London&lt;/pub-location&gt;&lt;publisher&gt;Health and Safety Executive&lt;/publisher&gt;&lt;urls&gt;&lt;related-urls&gt;&lt;url&gt;http://webarchive.nationalarchives.gov.uk/20060810174143/http://hse.gov.uk/ria/wah/ria.pdf&lt;/url&gt;&lt;/related-urls&gt;&lt;/urls&gt;&lt;access-date&gt;April 6, 2016&lt;/access-date&gt;&lt;/record&gt;&lt;/Cite&gt;&lt;/EndNote&gt;</w:instrText>
            </w:r>
            <w:r w:rsidR="00E64B69">
              <w:rPr>
                <w:rFonts w:cstheme="minorHAnsi"/>
                <w:sz w:val="20"/>
                <w:szCs w:val="20"/>
              </w:rPr>
              <w:fldChar w:fldCharType="separate"/>
            </w:r>
            <w:r w:rsidR="00BB4F0A">
              <w:rPr>
                <w:rFonts w:cstheme="minorHAnsi"/>
                <w:noProof/>
                <w:sz w:val="20"/>
                <w:szCs w:val="20"/>
              </w:rPr>
              <w:t xml:space="preserve"> </w:t>
            </w:r>
            <w:hyperlink w:anchor="_ENREF_12" w:tooltip="Health and Safety Executive, 2005 #1385" w:history="1">
              <w:r w:rsidR="006D11C0">
                <w:rPr>
                  <w:rFonts w:cstheme="minorHAnsi"/>
                  <w:noProof/>
                  <w:sz w:val="20"/>
                  <w:szCs w:val="20"/>
                </w:rPr>
                <w:t>(Health and Safety Executive, 2005c</w:t>
              </w:r>
            </w:hyperlink>
            <w:r w:rsidR="00BB4F0A">
              <w:rPr>
                <w:rFonts w:cstheme="minorHAnsi"/>
                <w:noProof/>
                <w:sz w:val="20"/>
                <w:szCs w:val="20"/>
              </w:rPr>
              <w:t>)</w:t>
            </w:r>
            <w:r w:rsidR="00E64B69">
              <w:rPr>
                <w:rFonts w:cstheme="minorHAnsi"/>
                <w:sz w:val="20"/>
                <w:szCs w:val="20"/>
              </w:rPr>
              <w:fldChar w:fldCharType="end"/>
            </w:r>
            <w:r w:rsidR="002D24BB">
              <w:rPr>
                <w:rFonts w:cstheme="minorHAnsi"/>
                <w:sz w:val="20"/>
                <w:szCs w:val="20"/>
              </w:rPr>
              <w:t>.</w:t>
            </w:r>
            <w:r w:rsidR="0008349B">
              <w:rPr>
                <w:rFonts w:cstheme="minorHAnsi"/>
                <w:sz w:val="20"/>
                <w:szCs w:val="20"/>
              </w:rPr>
              <w:t xml:space="preserve"> </w:t>
            </w:r>
            <w:r w:rsidR="0008349B" w:rsidRPr="0008349B">
              <w:rPr>
                <w:rFonts w:cstheme="minorHAnsi"/>
                <w:sz w:val="20"/>
                <w:szCs w:val="20"/>
              </w:rPr>
              <w:t>The</w:t>
            </w:r>
            <w:r w:rsidR="0008349B">
              <w:rPr>
                <w:rFonts w:cstheme="minorHAnsi"/>
                <w:sz w:val="20"/>
                <w:szCs w:val="20"/>
              </w:rPr>
              <w:t>y cover</w:t>
            </w:r>
            <w:r w:rsidR="0008349B" w:rsidRPr="0008349B">
              <w:rPr>
                <w:rFonts w:cstheme="minorHAnsi"/>
                <w:sz w:val="20"/>
                <w:szCs w:val="20"/>
              </w:rPr>
              <w:t xml:space="preserve"> the self-employed and</w:t>
            </w:r>
            <w:r w:rsidR="0008349B">
              <w:rPr>
                <w:rFonts w:cstheme="minorHAnsi"/>
                <w:sz w:val="20"/>
                <w:szCs w:val="20"/>
              </w:rPr>
              <w:t xml:space="preserve"> </w:t>
            </w:r>
            <w:r w:rsidR="0008349B" w:rsidRPr="0008349B">
              <w:rPr>
                <w:rFonts w:cstheme="minorHAnsi"/>
                <w:sz w:val="20"/>
                <w:szCs w:val="20"/>
              </w:rPr>
              <w:t>businesses whose employees use ladders, scaffo</w:t>
            </w:r>
            <w:r w:rsidR="0008349B">
              <w:rPr>
                <w:rFonts w:cstheme="minorHAnsi"/>
                <w:sz w:val="20"/>
                <w:szCs w:val="20"/>
              </w:rPr>
              <w:t xml:space="preserve">lding and rope access equipment (mainly those </w:t>
            </w:r>
            <w:r w:rsidR="0008349B" w:rsidRPr="0008349B">
              <w:rPr>
                <w:rFonts w:cstheme="minorHAnsi"/>
                <w:sz w:val="20"/>
                <w:szCs w:val="20"/>
              </w:rPr>
              <w:t>involved in construction and</w:t>
            </w:r>
            <w:r w:rsidR="0008349B">
              <w:rPr>
                <w:rFonts w:cstheme="minorHAnsi"/>
                <w:sz w:val="20"/>
                <w:szCs w:val="20"/>
              </w:rPr>
              <w:t xml:space="preserve"> </w:t>
            </w:r>
            <w:r w:rsidR="0008349B" w:rsidRPr="0008349B">
              <w:rPr>
                <w:rFonts w:cstheme="minorHAnsi"/>
                <w:sz w:val="20"/>
                <w:szCs w:val="20"/>
              </w:rPr>
              <w:t>steeple jacking, window cleaning, arboriculture, agriculture, utilities, retail, ship</w:t>
            </w:r>
            <w:r w:rsidR="0008349B">
              <w:rPr>
                <w:rFonts w:cstheme="minorHAnsi"/>
                <w:sz w:val="20"/>
                <w:szCs w:val="20"/>
              </w:rPr>
              <w:t xml:space="preserve"> </w:t>
            </w:r>
            <w:r w:rsidR="0008349B" w:rsidRPr="0008349B">
              <w:rPr>
                <w:rFonts w:cstheme="minorHAnsi"/>
                <w:sz w:val="20"/>
                <w:szCs w:val="20"/>
              </w:rPr>
              <w:t>building, manufacturing and the occupational group of maintenance/ industrial</w:t>
            </w:r>
            <w:r w:rsidR="0008349B">
              <w:rPr>
                <w:rFonts w:cstheme="minorHAnsi"/>
                <w:sz w:val="20"/>
                <w:szCs w:val="20"/>
              </w:rPr>
              <w:t xml:space="preserve"> cleaners)</w:t>
            </w:r>
            <w:r w:rsidR="00B10B4E">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Executive&lt;/Author&gt;&lt;Year&gt;2005&lt;/Year&gt;&lt;RecNum&gt;1385&lt;/RecNum&gt;&lt;DisplayText&gt; (Health and Safety Executive, 2005c)&lt;/DisplayText&gt;&lt;record&gt;&lt;rec-number&gt;1385&lt;/rec-number&gt;&lt;foreign-keys&gt;&lt;key app="EN" db-id="drrvazw0t090vlef0e6praxba2d0xwps0wt0" timestamp="1488478174"&gt;1385&lt;/key&gt;&lt;/foreign-keys&gt;&lt;ref-type name="Report"&gt;27&lt;/ref-type&gt;&lt;contributors&gt;&lt;authors&gt;&lt;author&gt;Health and Safety Executive,&lt;/author&gt;&lt;/authors&gt;&lt;tertiary-authors&gt;&lt;author&gt;Health and Safety Executive&lt;/author&gt;&lt;/tertiary-authors&gt;&lt;/contributors&gt;&lt;titles&gt;&lt;title&gt;Work at Height Regulations Regulatory Impact Assessment (Final)&lt;/title&gt;&lt;/titles&gt;&lt;dates&gt;&lt;year&gt;2005&lt;/year&gt;&lt;/dates&gt;&lt;pub-location&gt;London&lt;/pub-location&gt;&lt;publisher&gt;Health and Safety Executive&lt;/publisher&gt;&lt;urls&gt;&lt;related-urls&gt;&lt;url&gt;http://webarchive.nationalarchives.gov.uk/20060810174143/http://hse.gov.uk/ria/wah/ria.pdf&lt;/url&gt;&lt;/related-urls&gt;&lt;/urls&gt;&lt;access-date&gt;April 6, 2016&lt;/access-date&gt;&lt;/record&gt;&lt;/Cite&gt;&lt;/EndNote&gt;</w:instrText>
            </w:r>
            <w:r w:rsidR="00B10B4E">
              <w:rPr>
                <w:rFonts w:cstheme="minorHAnsi"/>
                <w:sz w:val="20"/>
                <w:szCs w:val="20"/>
              </w:rPr>
              <w:fldChar w:fldCharType="separate"/>
            </w:r>
            <w:r w:rsidR="00BB4F0A">
              <w:rPr>
                <w:rFonts w:cstheme="minorHAnsi"/>
                <w:noProof/>
                <w:sz w:val="20"/>
                <w:szCs w:val="20"/>
              </w:rPr>
              <w:t xml:space="preserve"> </w:t>
            </w:r>
            <w:hyperlink w:anchor="_ENREF_12" w:tooltip="Health and Safety Executive, 2005 #1385" w:history="1">
              <w:r w:rsidR="006D11C0">
                <w:rPr>
                  <w:rFonts w:cstheme="minorHAnsi"/>
                  <w:noProof/>
                  <w:sz w:val="20"/>
                  <w:szCs w:val="20"/>
                </w:rPr>
                <w:t>(Health and Safety Executive, 2005c</w:t>
              </w:r>
            </w:hyperlink>
            <w:r w:rsidR="00BB4F0A">
              <w:rPr>
                <w:rFonts w:cstheme="minorHAnsi"/>
                <w:noProof/>
                <w:sz w:val="20"/>
                <w:szCs w:val="20"/>
              </w:rPr>
              <w:t>)</w:t>
            </w:r>
            <w:r w:rsidR="00B10B4E">
              <w:rPr>
                <w:rFonts w:cstheme="minorHAnsi"/>
                <w:sz w:val="20"/>
                <w:szCs w:val="20"/>
              </w:rPr>
              <w:fldChar w:fldCharType="end"/>
            </w:r>
            <w:r w:rsidR="0008349B">
              <w:rPr>
                <w:rFonts w:cstheme="minorHAnsi"/>
                <w:sz w:val="20"/>
                <w:szCs w:val="20"/>
              </w:rPr>
              <w:t>.</w:t>
            </w:r>
            <w:r w:rsidR="00B10B4E" w:rsidRPr="001C3290">
              <w:rPr>
                <w:rFonts w:cstheme="minorHAnsi"/>
                <w:sz w:val="20"/>
                <w:szCs w:val="20"/>
              </w:rPr>
              <w:t xml:space="preserve"> </w:t>
            </w:r>
          </w:p>
        </w:tc>
      </w:tr>
      <w:tr w:rsidR="000E4708" w:rsidRPr="001C3290" w14:paraId="10D15B1D" w14:textId="77777777" w:rsidTr="00DB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6BA03C3" w14:textId="129AB405" w:rsidR="000E4708" w:rsidRPr="007C43DB" w:rsidRDefault="000E4708" w:rsidP="005A5CDB">
            <w:pPr>
              <w:rPr>
                <w:rFonts w:cstheme="minorHAnsi"/>
                <w:b w:val="0"/>
                <w:sz w:val="20"/>
                <w:szCs w:val="20"/>
              </w:rPr>
            </w:pPr>
            <w:r w:rsidRPr="007C43DB">
              <w:rPr>
                <w:rFonts w:cstheme="minorHAnsi"/>
                <w:sz w:val="20"/>
                <w:szCs w:val="20"/>
              </w:rPr>
              <w:t>The Control of Asbestos Regulations 2012</w:t>
            </w:r>
            <w:r w:rsidRPr="007C43DB">
              <w:rPr>
                <w:rFonts w:cstheme="minorHAnsi"/>
                <w:b w:val="0"/>
                <w:sz w:val="20"/>
                <w:szCs w:val="20"/>
              </w:rPr>
              <w:t xml:space="preserve"> (2009/148/EC)</w:t>
            </w:r>
            <w:r w:rsidR="00E16428" w:rsidRPr="007C43DB">
              <w:rPr>
                <w:rFonts w:cstheme="minorHAnsi"/>
                <w:b w:val="0"/>
                <w:sz w:val="20"/>
                <w:szCs w:val="20"/>
              </w:rPr>
              <w:t xml:space="preserve"> (57)</w:t>
            </w:r>
          </w:p>
        </w:tc>
        <w:tc>
          <w:tcPr>
            <w:tcW w:w="12758" w:type="dxa"/>
          </w:tcPr>
          <w:p w14:paraId="592F3837" w14:textId="25CCBF8F" w:rsidR="000E4708" w:rsidRPr="001C3290" w:rsidRDefault="00EA5A00" w:rsidP="004E702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 </w:t>
            </w:r>
            <w:r w:rsidR="003862B0">
              <w:rPr>
                <w:rFonts w:cstheme="minorHAnsi"/>
                <w:sz w:val="20"/>
                <w:szCs w:val="20"/>
              </w:rPr>
              <w:t>r</w:t>
            </w:r>
            <w:r>
              <w:rPr>
                <w:rFonts w:cstheme="minorHAnsi"/>
                <w:sz w:val="20"/>
                <w:szCs w:val="20"/>
              </w:rPr>
              <w:t>egulations update</w:t>
            </w:r>
            <w:r w:rsidR="0063722A">
              <w:rPr>
                <w:rFonts w:cstheme="minorHAnsi"/>
                <w:sz w:val="20"/>
                <w:szCs w:val="20"/>
              </w:rPr>
              <w:t>d</w:t>
            </w:r>
            <w:r w:rsidR="004E702E" w:rsidRPr="001C3290">
              <w:rPr>
                <w:rFonts w:cstheme="minorHAnsi"/>
                <w:sz w:val="20"/>
                <w:szCs w:val="20"/>
              </w:rPr>
              <w:t xml:space="preserve"> previous asbestos regulations to </w:t>
            </w:r>
            <w:r w:rsidR="00297DAB" w:rsidRPr="001C3290">
              <w:rPr>
                <w:rFonts w:cstheme="minorHAnsi"/>
                <w:sz w:val="20"/>
                <w:szCs w:val="20"/>
              </w:rPr>
              <w:t>ensure full implementation of</w:t>
            </w:r>
            <w:r w:rsidR="004E702E" w:rsidRPr="001C3290">
              <w:rPr>
                <w:rFonts w:cstheme="minorHAnsi"/>
                <w:sz w:val="20"/>
                <w:szCs w:val="20"/>
              </w:rPr>
              <w:t xml:space="preserve"> the EU Directive on exposure to asbestos. </w:t>
            </w:r>
            <w:r w:rsidR="003862B0">
              <w:rPr>
                <w:rFonts w:cstheme="minorHAnsi"/>
                <w:sz w:val="20"/>
                <w:szCs w:val="20"/>
              </w:rPr>
              <w:t>They aim</w:t>
            </w:r>
            <w:r w:rsidR="0063722A">
              <w:rPr>
                <w:rFonts w:cstheme="minorHAnsi"/>
                <w:sz w:val="20"/>
                <w:szCs w:val="20"/>
              </w:rPr>
              <w:t xml:space="preserve"> </w:t>
            </w:r>
            <w:r w:rsidR="000E4708" w:rsidRPr="001C3290">
              <w:rPr>
                <w:rFonts w:cstheme="minorHAnsi"/>
                <w:sz w:val="20"/>
                <w:szCs w:val="20"/>
              </w:rPr>
              <w:t>to provide further protection for building maintenance workers and tradespeople who routinely disturb the fabric of buildings and are most at risk of exposure to asbestos due to the legacy of asbestos-containing materials in the UK’s building stock.</w:t>
            </w:r>
            <w:r w:rsidR="004E702E" w:rsidRPr="001C3290">
              <w:rPr>
                <w:rFonts w:cstheme="minorHAnsi"/>
                <w:sz w:val="20"/>
                <w:szCs w:val="20"/>
              </w:rPr>
              <w:t xml:space="preserve"> </w:t>
            </w:r>
            <w:r w:rsidR="0063722A">
              <w:rPr>
                <w:rFonts w:cstheme="minorHAnsi"/>
                <w:sz w:val="20"/>
                <w:szCs w:val="20"/>
              </w:rPr>
              <w:t xml:space="preserve">They also created </w:t>
            </w:r>
            <w:r w:rsidR="004E702E" w:rsidRPr="001C3290">
              <w:rPr>
                <w:rFonts w:cstheme="minorHAnsi"/>
                <w:sz w:val="20"/>
                <w:szCs w:val="20"/>
              </w:rPr>
              <w:t xml:space="preserve">additional requirements </w:t>
            </w:r>
            <w:r w:rsidR="0063722A" w:rsidRPr="001C3290">
              <w:rPr>
                <w:rFonts w:cstheme="minorHAnsi"/>
                <w:sz w:val="20"/>
                <w:szCs w:val="20"/>
              </w:rPr>
              <w:t xml:space="preserve">for some types of non-licensed (lower risk) work with asbestos </w:t>
            </w:r>
            <w:r w:rsidR="004E702E" w:rsidRPr="001C3290">
              <w:rPr>
                <w:rFonts w:cstheme="minorHAnsi"/>
                <w:sz w:val="20"/>
                <w:szCs w:val="20"/>
              </w:rPr>
              <w:t>(</w:t>
            </w:r>
            <w:r w:rsidR="0063722A">
              <w:rPr>
                <w:rFonts w:cstheme="minorHAnsi"/>
                <w:sz w:val="20"/>
                <w:szCs w:val="20"/>
              </w:rPr>
              <w:t xml:space="preserve">specifically, </w:t>
            </w:r>
            <w:r w:rsidR="004E702E" w:rsidRPr="001C3290">
              <w:rPr>
                <w:rFonts w:cstheme="minorHAnsi"/>
                <w:sz w:val="20"/>
                <w:szCs w:val="20"/>
              </w:rPr>
              <w:t>notification of work</w:t>
            </w:r>
            <w:r w:rsidR="00E1053E" w:rsidRPr="001C3290">
              <w:rPr>
                <w:rFonts w:cstheme="minorHAnsi"/>
                <w:sz w:val="20"/>
                <w:szCs w:val="20"/>
              </w:rPr>
              <w:t xml:space="preserve"> to </w:t>
            </w:r>
            <w:r w:rsidR="003862B0">
              <w:rPr>
                <w:rFonts w:cstheme="minorHAnsi"/>
                <w:sz w:val="20"/>
                <w:szCs w:val="20"/>
              </w:rPr>
              <w:t xml:space="preserve">the </w:t>
            </w:r>
            <w:r w:rsidR="00E1053E" w:rsidRPr="001C3290">
              <w:rPr>
                <w:rFonts w:cstheme="minorHAnsi"/>
                <w:sz w:val="20"/>
                <w:szCs w:val="20"/>
              </w:rPr>
              <w:t>relevant enforcing authority</w:t>
            </w:r>
            <w:r w:rsidR="004E702E" w:rsidRPr="001C3290">
              <w:rPr>
                <w:rFonts w:cstheme="minorHAnsi"/>
                <w:sz w:val="20"/>
                <w:szCs w:val="20"/>
              </w:rPr>
              <w:t xml:space="preserve">, </w:t>
            </w:r>
            <w:r w:rsidR="00E1053E" w:rsidRPr="001C3290">
              <w:rPr>
                <w:rFonts w:cstheme="minorHAnsi"/>
                <w:sz w:val="20"/>
                <w:szCs w:val="20"/>
              </w:rPr>
              <w:t>arrangement of medical examinations for worker</w:t>
            </w:r>
            <w:r w:rsidR="0063722A">
              <w:rPr>
                <w:rFonts w:cstheme="minorHAnsi"/>
                <w:sz w:val="20"/>
                <w:szCs w:val="20"/>
              </w:rPr>
              <w:t>s,</w:t>
            </w:r>
            <w:r w:rsidR="00E1053E" w:rsidRPr="001C3290">
              <w:rPr>
                <w:rFonts w:cstheme="minorHAnsi"/>
                <w:sz w:val="20"/>
                <w:szCs w:val="20"/>
              </w:rPr>
              <w:t xml:space="preserve"> </w:t>
            </w:r>
            <w:r w:rsidR="004E702E" w:rsidRPr="001C3290">
              <w:rPr>
                <w:rFonts w:cstheme="minorHAnsi"/>
                <w:sz w:val="20"/>
                <w:szCs w:val="20"/>
              </w:rPr>
              <w:t xml:space="preserve">and </w:t>
            </w:r>
            <w:r w:rsidR="00E1053E" w:rsidRPr="001C3290">
              <w:rPr>
                <w:rFonts w:cstheme="minorHAnsi"/>
                <w:sz w:val="20"/>
                <w:szCs w:val="20"/>
              </w:rPr>
              <w:t xml:space="preserve">maintenance </w:t>
            </w:r>
            <w:r w:rsidR="0063722A">
              <w:rPr>
                <w:rFonts w:cstheme="minorHAnsi"/>
                <w:sz w:val="20"/>
                <w:szCs w:val="20"/>
              </w:rPr>
              <w:t xml:space="preserve">of a register </w:t>
            </w:r>
            <w:r w:rsidR="00E1053E" w:rsidRPr="001C3290">
              <w:rPr>
                <w:rFonts w:cstheme="minorHAnsi"/>
                <w:sz w:val="20"/>
                <w:szCs w:val="20"/>
              </w:rPr>
              <w:t xml:space="preserve">for </w:t>
            </w:r>
            <w:r w:rsidR="003862B0">
              <w:rPr>
                <w:rFonts w:cstheme="minorHAnsi"/>
                <w:sz w:val="20"/>
                <w:szCs w:val="20"/>
              </w:rPr>
              <w:t>individual</w:t>
            </w:r>
            <w:r w:rsidR="00E1053E" w:rsidRPr="001C3290">
              <w:rPr>
                <w:rFonts w:cstheme="minorHAnsi"/>
                <w:sz w:val="20"/>
                <w:szCs w:val="20"/>
              </w:rPr>
              <w:t xml:space="preserve"> work</w:t>
            </w:r>
            <w:r w:rsidR="0063722A">
              <w:rPr>
                <w:rFonts w:cstheme="minorHAnsi"/>
                <w:sz w:val="20"/>
                <w:szCs w:val="20"/>
              </w:rPr>
              <w:t>er</w:t>
            </w:r>
            <w:r w:rsidR="003862B0">
              <w:rPr>
                <w:rFonts w:cstheme="minorHAnsi"/>
                <w:sz w:val="20"/>
                <w:szCs w:val="20"/>
              </w:rPr>
              <w:t>s</w:t>
            </w:r>
            <w:r w:rsidR="00E1053E" w:rsidRPr="001C3290">
              <w:rPr>
                <w:rFonts w:cstheme="minorHAnsi"/>
                <w:sz w:val="20"/>
                <w:szCs w:val="20"/>
              </w:rPr>
              <w:t xml:space="preserve"> </w:t>
            </w:r>
            <w:r w:rsidR="003862B0">
              <w:rPr>
                <w:rFonts w:cstheme="minorHAnsi"/>
                <w:sz w:val="20"/>
                <w:szCs w:val="20"/>
              </w:rPr>
              <w:t xml:space="preserve">covering </w:t>
            </w:r>
            <w:r w:rsidR="00E1053E" w:rsidRPr="001C3290">
              <w:rPr>
                <w:rFonts w:cstheme="minorHAnsi"/>
                <w:sz w:val="20"/>
                <w:szCs w:val="20"/>
              </w:rPr>
              <w:t>the type and duration of work with asbestos</w:t>
            </w:r>
            <w:r w:rsidR="004E702E" w:rsidRPr="001C3290">
              <w:rPr>
                <w:rFonts w:cstheme="minorHAnsi"/>
                <w:sz w:val="20"/>
                <w:szCs w:val="20"/>
              </w:rPr>
              <w:t>)</w:t>
            </w:r>
            <w:r w:rsidR="00BB4F0A">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Executive&lt;/Author&gt;&lt;Year&gt;2011&lt;/Year&gt;&lt;RecNum&gt;1619&lt;/RecNum&gt;&lt;DisplayText&gt; (Health and Safety Executive, 2011)&lt;/DisplayText&gt;&lt;record&gt;&lt;rec-number&gt;1619&lt;/rec-number&gt;&lt;foreign-keys&gt;&lt;key app="EN" db-id="drrvazw0t090vlef0e6praxba2d0xwps0wt0" timestamp="1491493615"&gt;1619&lt;/key&gt;&lt;/foreign-keys&gt;&lt;ref-type name="Report"&gt;27&lt;/ref-type&gt;&lt;contributors&gt;&lt;authors&gt;&lt;author&gt;Health and Safety Executive,&lt;/author&gt;&lt;/authors&gt;&lt;tertiary-authors&gt;&lt;author&gt;HSE&lt;/author&gt;&lt;/tertiary-authors&gt;&lt;/contributors&gt;&lt;titles&gt;&lt;title&gt;Impact Assessment: Control of Asbestos Regulations&lt;/title&gt;&lt;/titles&gt;&lt;dates&gt;&lt;year&gt;2011&lt;/year&gt;&lt;/dates&gt;&lt;pub-location&gt;London&lt;/pub-location&gt;&lt;publisher&gt;HSE&lt;/publisher&gt;&lt;urls&gt;&lt;related-urls&gt;&lt;url&gt;http://www.legislation.gov.uk/ukia/2011/471/pdfs/ukia_20110471_en.pdf&lt;/url&gt;&lt;/related-urls&gt;&lt;/urls&gt;&lt;access-date&gt;March 20, 2017&lt;/access-date&gt;&lt;/record&gt;&lt;/Cite&gt;&lt;/EndNote&gt;</w:instrText>
            </w:r>
            <w:r w:rsidR="00BB4F0A">
              <w:rPr>
                <w:rFonts w:cstheme="minorHAnsi"/>
                <w:sz w:val="20"/>
                <w:szCs w:val="20"/>
              </w:rPr>
              <w:fldChar w:fldCharType="separate"/>
            </w:r>
            <w:r w:rsidR="00BB4F0A">
              <w:rPr>
                <w:rFonts w:cstheme="minorHAnsi"/>
                <w:noProof/>
                <w:sz w:val="20"/>
                <w:szCs w:val="20"/>
              </w:rPr>
              <w:t xml:space="preserve"> </w:t>
            </w:r>
            <w:hyperlink w:anchor="_ENREF_13" w:tooltip="Health and Safety Executive, 2011 #1619" w:history="1">
              <w:r w:rsidR="006D11C0">
                <w:rPr>
                  <w:rFonts w:cstheme="minorHAnsi"/>
                  <w:noProof/>
                  <w:sz w:val="20"/>
                  <w:szCs w:val="20"/>
                </w:rPr>
                <w:t>(Health and Safety Executive, 2011</w:t>
              </w:r>
            </w:hyperlink>
            <w:r w:rsidR="00BB4F0A">
              <w:rPr>
                <w:rFonts w:cstheme="minorHAnsi"/>
                <w:noProof/>
                <w:sz w:val="20"/>
                <w:szCs w:val="20"/>
              </w:rPr>
              <w:t>)</w:t>
            </w:r>
            <w:r w:rsidR="00BB4F0A">
              <w:rPr>
                <w:rFonts w:cstheme="minorHAnsi"/>
                <w:sz w:val="20"/>
                <w:szCs w:val="20"/>
              </w:rPr>
              <w:fldChar w:fldCharType="end"/>
            </w:r>
            <w:r w:rsidR="004E702E" w:rsidRPr="001C3290">
              <w:rPr>
                <w:rFonts w:cstheme="minorHAnsi"/>
                <w:sz w:val="20"/>
                <w:szCs w:val="20"/>
              </w:rPr>
              <w:t>.</w:t>
            </w:r>
          </w:p>
        </w:tc>
      </w:tr>
      <w:tr w:rsidR="000E4708" w:rsidRPr="001C3290" w14:paraId="06A9C038" w14:textId="77777777" w:rsidTr="00DB7DE5">
        <w:tc>
          <w:tcPr>
            <w:cnfStyle w:val="001000000000" w:firstRow="0" w:lastRow="0" w:firstColumn="1" w:lastColumn="0" w:oddVBand="0" w:evenVBand="0" w:oddHBand="0" w:evenHBand="0" w:firstRowFirstColumn="0" w:firstRowLastColumn="0" w:lastRowFirstColumn="0" w:lastRowLastColumn="0"/>
            <w:tcW w:w="2405" w:type="dxa"/>
          </w:tcPr>
          <w:p w14:paraId="56D0FCD0" w14:textId="6B0CE2C6" w:rsidR="000E4708" w:rsidRPr="007C43DB" w:rsidRDefault="000E4708" w:rsidP="00F7186B">
            <w:pPr>
              <w:rPr>
                <w:rFonts w:cstheme="minorHAnsi"/>
                <w:b w:val="0"/>
                <w:sz w:val="20"/>
                <w:szCs w:val="20"/>
              </w:rPr>
            </w:pPr>
            <w:r w:rsidRPr="007C43DB">
              <w:rPr>
                <w:rFonts w:cstheme="minorHAnsi"/>
                <w:sz w:val="20"/>
                <w:szCs w:val="20"/>
              </w:rPr>
              <w:t>The Control of Substances Hazardous to Health (Amendment) Regulations</w:t>
            </w:r>
            <w:r w:rsidR="00F7186B" w:rsidRPr="007C43DB">
              <w:rPr>
                <w:rFonts w:cstheme="minorHAnsi"/>
                <w:sz w:val="20"/>
                <w:szCs w:val="20"/>
              </w:rPr>
              <w:t xml:space="preserve"> </w:t>
            </w:r>
            <w:r w:rsidRPr="007C43DB">
              <w:rPr>
                <w:rFonts w:cstheme="minorHAnsi"/>
                <w:sz w:val="20"/>
                <w:szCs w:val="20"/>
              </w:rPr>
              <w:t>2004</w:t>
            </w:r>
            <w:r w:rsidRPr="007C43DB">
              <w:rPr>
                <w:rFonts w:cstheme="minorHAnsi"/>
                <w:b w:val="0"/>
                <w:sz w:val="20"/>
                <w:szCs w:val="20"/>
              </w:rPr>
              <w:t xml:space="preserve"> (2003/53/EC)</w:t>
            </w:r>
            <w:r w:rsidR="00E16428" w:rsidRPr="007C43DB">
              <w:rPr>
                <w:rFonts w:cstheme="minorHAnsi"/>
                <w:b w:val="0"/>
                <w:sz w:val="20"/>
                <w:szCs w:val="20"/>
              </w:rPr>
              <w:t xml:space="preserve"> (64)</w:t>
            </w:r>
          </w:p>
        </w:tc>
        <w:tc>
          <w:tcPr>
            <w:tcW w:w="12758" w:type="dxa"/>
          </w:tcPr>
          <w:p w14:paraId="2A7F93A7" w14:textId="024C0347" w:rsidR="000E4708" w:rsidRPr="001C3290" w:rsidRDefault="003862B0" w:rsidP="0050156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w:t>
            </w:r>
            <w:r w:rsidR="0063722A">
              <w:rPr>
                <w:rFonts w:cstheme="minorHAnsi"/>
                <w:sz w:val="20"/>
                <w:szCs w:val="20"/>
              </w:rPr>
              <w:t>egulations a</w:t>
            </w:r>
            <w:r w:rsidR="00590ED7">
              <w:rPr>
                <w:rFonts w:cstheme="minorHAnsi"/>
                <w:sz w:val="20"/>
                <w:szCs w:val="20"/>
              </w:rPr>
              <w:t>im</w:t>
            </w:r>
            <w:r w:rsidR="00501568" w:rsidRPr="00501568">
              <w:rPr>
                <w:rFonts w:cstheme="minorHAnsi"/>
                <w:sz w:val="20"/>
                <w:szCs w:val="20"/>
              </w:rPr>
              <w:t xml:space="preserve"> to re</w:t>
            </w:r>
            <w:r w:rsidR="00501568">
              <w:rPr>
                <w:rFonts w:cstheme="minorHAnsi"/>
                <w:sz w:val="20"/>
                <w:szCs w:val="20"/>
              </w:rPr>
              <w:t xml:space="preserve">duce allergic </w:t>
            </w:r>
            <w:r w:rsidR="00501568" w:rsidRPr="00501568">
              <w:rPr>
                <w:rFonts w:cstheme="minorHAnsi"/>
                <w:sz w:val="20"/>
                <w:szCs w:val="20"/>
              </w:rPr>
              <w:t>contact derm</w:t>
            </w:r>
            <w:r w:rsidR="00501568">
              <w:rPr>
                <w:rFonts w:cstheme="minorHAnsi"/>
                <w:sz w:val="20"/>
                <w:szCs w:val="20"/>
              </w:rPr>
              <w:t>atitis</w:t>
            </w:r>
            <w:r w:rsidR="00D4178C">
              <w:rPr>
                <w:rFonts w:cstheme="minorHAnsi"/>
                <w:sz w:val="20"/>
                <w:szCs w:val="20"/>
              </w:rPr>
              <w:t>, which can lead to permanent sensitivity and disability (</w:t>
            </w:r>
            <w:r w:rsidR="00326875">
              <w:rPr>
                <w:rFonts w:cstheme="minorHAnsi"/>
                <w:sz w:val="20"/>
                <w:szCs w:val="20"/>
              </w:rPr>
              <w:t xml:space="preserve">conservatively </w:t>
            </w:r>
            <w:r w:rsidR="00501568" w:rsidRPr="00501568">
              <w:rPr>
                <w:rFonts w:cstheme="minorHAnsi"/>
                <w:sz w:val="20"/>
                <w:szCs w:val="20"/>
              </w:rPr>
              <w:t xml:space="preserve">estimated at 200 to 400 cases per year in Great Britain) </w:t>
            </w:r>
            <w:r w:rsidR="00501568">
              <w:rPr>
                <w:rFonts w:cstheme="minorHAnsi"/>
                <w:sz w:val="20"/>
                <w:szCs w:val="20"/>
              </w:rPr>
              <w:t xml:space="preserve">associated with exposure to </w:t>
            </w:r>
            <w:r w:rsidR="00501568" w:rsidRPr="00501568">
              <w:rPr>
                <w:rFonts w:cstheme="minorHAnsi"/>
                <w:sz w:val="20"/>
                <w:szCs w:val="20"/>
              </w:rPr>
              <w:t>ce</w:t>
            </w:r>
            <w:r w:rsidR="00501568">
              <w:rPr>
                <w:rFonts w:cstheme="minorHAnsi"/>
                <w:sz w:val="20"/>
                <w:szCs w:val="20"/>
              </w:rPr>
              <w:t>m</w:t>
            </w:r>
            <w:r w:rsidR="00501568" w:rsidRPr="00501568">
              <w:rPr>
                <w:rFonts w:cstheme="minorHAnsi"/>
                <w:sz w:val="20"/>
                <w:szCs w:val="20"/>
              </w:rPr>
              <w:t>ent and ce</w:t>
            </w:r>
            <w:r w:rsidR="00501568">
              <w:rPr>
                <w:rFonts w:cstheme="minorHAnsi"/>
                <w:sz w:val="20"/>
                <w:szCs w:val="20"/>
              </w:rPr>
              <w:t xml:space="preserve">ment preparations </w:t>
            </w:r>
            <w:r w:rsidR="00501568" w:rsidRPr="00501568">
              <w:rPr>
                <w:rFonts w:cstheme="minorHAnsi"/>
                <w:sz w:val="20"/>
                <w:szCs w:val="20"/>
              </w:rPr>
              <w:t>containing chromium VI</w:t>
            </w:r>
            <w:r w:rsidR="00501568">
              <w:rPr>
                <w:rFonts w:cstheme="minorHAnsi"/>
                <w:sz w:val="20"/>
                <w:szCs w:val="20"/>
              </w:rPr>
              <w:t xml:space="preserve">. </w:t>
            </w:r>
            <w:r w:rsidR="0063722A">
              <w:rPr>
                <w:rFonts w:cstheme="minorHAnsi"/>
                <w:sz w:val="20"/>
                <w:szCs w:val="20"/>
              </w:rPr>
              <w:t>Construction</w:t>
            </w:r>
            <w:r w:rsidR="00D4178C">
              <w:rPr>
                <w:rFonts w:cstheme="minorHAnsi"/>
                <w:sz w:val="20"/>
                <w:szCs w:val="20"/>
              </w:rPr>
              <w:t xml:space="preserve"> workers exposed to wet cement on a regular basis </w:t>
            </w:r>
            <w:r w:rsidR="0063722A">
              <w:rPr>
                <w:rFonts w:cstheme="minorHAnsi"/>
                <w:sz w:val="20"/>
                <w:szCs w:val="20"/>
              </w:rPr>
              <w:t>were</w:t>
            </w:r>
            <w:r w:rsidR="00D4178C">
              <w:rPr>
                <w:rFonts w:cstheme="minorHAnsi"/>
                <w:sz w:val="20"/>
                <w:szCs w:val="20"/>
              </w:rPr>
              <w:t xml:space="preserve"> most a</w:t>
            </w:r>
            <w:r w:rsidR="006A7831">
              <w:rPr>
                <w:rFonts w:cstheme="minorHAnsi"/>
                <w:sz w:val="20"/>
                <w:szCs w:val="20"/>
              </w:rPr>
              <w:t>t</w:t>
            </w:r>
            <w:r>
              <w:rPr>
                <w:rFonts w:cstheme="minorHAnsi"/>
                <w:sz w:val="20"/>
                <w:szCs w:val="20"/>
              </w:rPr>
              <w:t xml:space="preserve"> risk. The r</w:t>
            </w:r>
            <w:r w:rsidR="00D4178C">
              <w:rPr>
                <w:rFonts w:cstheme="minorHAnsi"/>
                <w:sz w:val="20"/>
                <w:szCs w:val="20"/>
              </w:rPr>
              <w:t>egulations prohibit</w:t>
            </w:r>
            <w:r w:rsidR="0063722A">
              <w:rPr>
                <w:rFonts w:cstheme="minorHAnsi"/>
                <w:sz w:val="20"/>
                <w:szCs w:val="20"/>
              </w:rPr>
              <w:t>ed</w:t>
            </w:r>
            <w:r w:rsidR="00501568" w:rsidRPr="00501568">
              <w:rPr>
                <w:rFonts w:cstheme="minorHAnsi"/>
                <w:sz w:val="20"/>
                <w:szCs w:val="20"/>
              </w:rPr>
              <w:t xml:space="preserve"> marketing and use of these products </w:t>
            </w:r>
            <w:r w:rsidR="00D4178C">
              <w:rPr>
                <w:rFonts w:cstheme="minorHAnsi"/>
                <w:sz w:val="20"/>
                <w:szCs w:val="20"/>
              </w:rPr>
              <w:t xml:space="preserve">(where there </w:t>
            </w:r>
            <w:r>
              <w:rPr>
                <w:rFonts w:cstheme="minorHAnsi"/>
                <w:sz w:val="20"/>
                <w:szCs w:val="20"/>
              </w:rPr>
              <w:t xml:space="preserve">was </w:t>
            </w:r>
            <w:r w:rsidR="00D4178C">
              <w:rPr>
                <w:rFonts w:cstheme="minorHAnsi"/>
                <w:sz w:val="20"/>
                <w:szCs w:val="20"/>
              </w:rPr>
              <w:t xml:space="preserve">the possibility of risk of contact with the skin) </w:t>
            </w:r>
            <w:r w:rsidR="00501568" w:rsidRPr="00501568">
              <w:rPr>
                <w:rFonts w:cstheme="minorHAnsi"/>
                <w:sz w:val="20"/>
                <w:szCs w:val="20"/>
              </w:rPr>
              <w:t xml:space="preserve">if </w:t>
            </w:r>
            <w:r w:rsidR="00501568">
              <w:rPr>
                <w:rFonts w:cstheme="minorHAnsi"/>
                <w:sz w:val="20"/>
                <w:szCs w:val="20"/>
              </w:rPr>
              <w:t>chromium</w:t>
            </w:r>
            <w:r w:rsidR="00501568" w:rsidRPr="00501568">
              <w:rPr>
                <w:rFonts w:cstheme="minorHAnsi"/>
                <w:sz w:val="20"/>
                <w:szCs w:val="20"/>
              </w:rPr>
              <w:t xml:space="preserve"> VI concentratio</w:t>
            </w:r>
            <w:r w:rsidR="0063722A">
              <w:rPr>
                <w:rFonts w:cstheme="minorHAnsi"/>
                <w:sz w:val="20"/>
                <w:szCs w:val="20"/>
              </w:rPr>
              <w:t>n exceeded</w:t>
            </w:r>
            <w:r w:rsidR="00D4178C">
              <w:rPr>
                <w:rFonts w:cstheme="minorHAnsi"/>
                <w:sz w:val="20"/>
                <w:szCs w:val="20"/>
              </w:rPr>
              <w:t xml:space="preserve"> a specified</w:t>
            </w:r>
            <w:r w:rsidR="0063722A">
              <w:rPr>
                <w:rFonts w:cstheme="minorHAnsi"/>
                <w:sz w:val="20"/>
                <w:szCs w:val="20"/>
              </w:rPr>
              <w:t xml:space="preserve"> level; in effect, requiring</w:t>
            </w:r>
            <w:r w:rsidR="00501568" w:rsidRPr="00501568">
              <w:rPr>
                <w:rFonts w:cstheme="minorHAnsi"/>
                <w:sz w:val="20"/>
                <w:szCs w:val="20"/>
              </w:rPr>
              <w:t xml:space="preserve"> manufacturers to lower the concentration by adding a reducing agent</w:t>
            </w:r>
            <w:r>
              <w:rPr>
                <w:rFonts w:cstheme="minorHAnsi"/>
                <w:sz w:val="20"/>
                <w:szCs w:val="20"/>
              </w:rPr>
              <w:t xml:space="preserve"> (ferrous sulphate) to the cement or cement preparation</w:t>
            </w:r>
            <w:r w:rsidR="00501568" w:rsidRPr="00501568">
              <w:rPr>
                <w:rFonts w:cstheme="minorHAnsi"/>
                <w:sz w:val="20"/>
                <w:szCs w:val="20"/>
              </w:rPr>
              <w:t>.</w:t>
            </w:r>
            <w:r w:rsidR="00162C0F">
              <w:rPr>
                <w:rFonts w:cstheme="minorHAnsi"/>
                <w:sz w:val="20"/>
                <w:szCs w:val="20"/>
              </w:rPr>
              <w:t xml:space="preserve"> Studies in EU member states where cement had been chromate-reduced for several years indicated that allergic contact dermatitis would be reduced by between 66</w:t>
            </w:r>
            <w:r w:rsidR="00326875">
              <w:rPr>
                <w:rFonts w:cstheme="minorHAnsi"/>
                <w:sz w:val="20"/>
                <w:szCs w:val="20"/>
              </w:rPr>
              <w:t>%</w:t>
            </w:r>
            <w:r w:rsidR="00162C0F">
              <w:rPr>
                <w:rFonts w:cstheme="minorHAnsi"/>
                <w:sz w:val="20"/>
                <w:szCs w:val="20"/>
              </w:rPr>
              <w:t xml:space="preserve"> and 100% in the construction industry. </w:t>
            </w:r>
            <w:r w:rsidR="00501568" w:rsidRPr="00501568">
              <w:rPr>
                <w:rFonts w:cstheme="minorHAnsi"/>
                <w:sz w:val="20"/>
                <w:szCs w:val="20"/>
              </w:rPr>
              <w:t xml:space="preserve">The </w:t>
            </w:r>
            <w:r w:rsidR="00A12E0C">
              <w:rPr>
                <w:rFonts w:cstheme="minorHAnsi"/>
                <w:sz w:val="20"/>
                <w:szCs w:val="20"/>
              </w:rPr>
              <w:t xml:space="preserve">prohibition does not apply </w:t>
            </w:r>
            <w:r w:rsidR="00501568" w:rsidRPr="00501568">
              <w:rPr>
                <w:rFonts w:cstheme="minorHAnsi"/>
                <w:sz w:val="20"/>
                <w:szCs w:val="20"/>
              </w:rPr>
              <w:t>where material is supplied for use in circumstances where there is mechanical handling with no possibility of skin contact</w:t>
            </w:r>
            <w:r w:rsidR="00BB4F0A">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Executive&lt;/Author&gt;&lt;Year&gt;2003&lt;/Year&gt;&lt;RecNum&gt;1625&lt;/RecNum&gt;&lt;DisplayText&gt; (Health and Safety Executive, 2003)&lt;/DisplayText&gt;&lt;record&gt;&lt;rec-number&gt;1625&lt;/rec-number&gt;&lt;foreign-keys&gt;&lt;key app="EN" db-id="drrvazw0t090vlef0e6praxba2d0xwps0wt0" timestamp="1491764837"&gt;1625&lt;/key&gt;&lt;/foreign-keys&gt;&lt;ref-type name="Report"&gt;27&lt;/ref-type&gt;&lt;contributors&gt;&lt;authors&gt;&lt;author&gt;Health and Safety Executive,&lt;/author&gt;&lt;/authors&gt;&lt;tertiary-authors&gt;&lt;author&gt;Health and Safety Executive&lt;/author&gt;&lt;/tertiary-authors&gt;&lt;/contributors&gt;&lt;titles&gt;&lt;title&gt;Final Regulatory Impact Assessment for Control of Substances Hazardous to Health (Amendment) Rgulations 2004&lt;/title&gt;&lt;/titles&gt;&lt;dates&gt;&lt;year&gt;2003&lt;/year&gt;&lt;/dates&gt;&lt;pub-location&gt;London&lt;/pub-location&gt;&lt;publisher&gt;Health and Safety Executive&lt;/publisher&gt;&lt;urls&gt;&lt;related-urls&gt;&lt;url&gt;http://webarchive.nationalarchives.gov.uk/20060810174143/http://hse.gov.uk/ria/chemical/coshh-cement.pdf&lt;/url&gt;&lt;/related-urls&gt;&lt;/urls&gt;&lt;access-date&gt;March 3, 2017&lt;/access-date&gt;&lt;/record&gt;&lt;/Cite&gt;&lt;/EndNote&gt;</w:instrText>
            </w:r>
            <w:r w:rsidR="00BB4F0A">
              <w:rPr>
                <w:rFonts w:cstheme="minorHAnsi"/>
                <w:sz w:val="20"/>
                <w:szCs w:val="20"/>
              </w:rPr>
              <w:fldChar w:fldCharType="separate"/>
            </w:r>
            <w:r w:rsidR="00BB4F0A">
              <w:rPr>
                <w:rFonts w:cstheme="minorHAnsi"/>
                <w:noProof/>
                <w:sz w:val="20"/>
                <w:szCs w:val="20"/>
              </w:rPr>
              <w:t xml:space="preserve"> </w:t>
            </w:r>
            <w:hyperlink w:anchor="_ENREF_9" w:tooltip="Health and Safety Executive, 2003 #1625" w:history="1">
              <w:r w:rsidR="006D11C0">
                <w:rPr>
                  <w:rFonts w:cstheme="minorHAnsi"/>
                  <w:noProof/>
                  <w:sz w:val="20"/>
                  <w:szCs w:val="20"/>
                </w:rPr>
                <w:t>(Health and Safety Executive, 2003</w:t>
              </w:r>
            </w:hyperlink>
            <w:r w:rsidR="00BB4F0A">
              <w:rPr>
                <w:rFonts w:cstheme="minorHAnsi"/>
                <w:noProof/>
                <w:sz w:val="20"/>
                <w:szCs w:val="20"/>
              </w:rPr>
              <w:t>)</w:t>
            </w:r>
            <w:r w:rsidR="00BB4F0A">
              <w:rPr>
                <w:rFonts w:cstheme="minorHAnsi"/>
                <w:sz w:val="20"/>
                <w:szCs w:val="20"/>
              </w:rPr>
              <w:fldChar w:fldCharType="end"/>
            </w:r>
            <w:r w:rsidR="00501568" w:rsidRPr="00501568">
              <w:rPr>
                <w:rFonts w:cstheme="minorHAnsi"/>
                <w:sz w:val="20"/>
                <w:szCs w:val="20"/>
              </w:rPr>
              <w:t>.</w:t>
            </w:r>
            <w:r w:rsidR="00F00C96">
              <w:rPr>
                <w:rFonts w:cstheme="minorHAnsi"/>
                <w:sz w:val="20"/>
                <w:szCs w:val="20"/>
              </w:rPr>
              <w:t xml:space="preserve"> </w:t>
            </w:r>
          </w:p>
        </w:tc>
      </w:tr>
      <w:tr w:rsidR="000E4708" w:rsidRPr="001C3290" w14:paraId="1D0C2AB2" w14:textId="77777777" w:rsidTr="00DB7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252B8EF" w14:textId="6C99BF66" w:rsidR="000E4708" w:rsidRPr="007C43DB" w:rsidRDefault="000E4708" w:rsidP="00F7186B">
            <w:pPr>
              <w:rPr>
                <w:rFonts w:cstheme="minorHAnsi"/>
                <w:b w:val="0"/>
                <w:sz w:val="20"/>
                <w:szCs w:val="20"/>
              </w:rPr>
            </w:pPr>
            <w:r w:rsidRPr="007C43DB">
              <w:rPr>
                <w:rFonts w:cstheme="minorHAnsi"/>
                <w:sz w:val="20"/>
                <w:szCs w:val="20"/>
              </w:rPr>
              <w:t>Construction (Design and</w:t>
            </w:r>
            <w:r w:rsidR="00F7186B" w:rsidRPr="007C43DB">
              <w:rPr>
                <w:rFonts w:cstheme="minorHAnsi"/>
                <w:sz w:val="20"/>
                <w:szCs w:val="20"/>
              </w:rPr>
              <w:t xml:space="preserve"> </w:t>
            </w:r>
            <w:r w:rsidRPr="007C43DB">
              <w:rPr>
                <w:rFonts w:cstheme="minorHAnsi"/>
                <w:sz w:val="20"/>
                <w:szCs w:val="20"/>
              </w:rPr>
              <w:t xml:space="preserve">Management) </w:t>
            </w:r>
            <w:r w:rsidR="00590ED7" w:rsidRPr="007C43DB">
              <w:rPr>
                <w:rFonts w:cstheme="minorHAnsi"/>
                <w:sz w:val="20"/>
                <w:szCs w:val="20"/>
              </w:rPr>
              <w:t xml:space="preserve">(CDM) </w:t>
            </w:r>
            <w:r w:rsidRPr="007C43DB">
              <w:rPr>
                <w:rFonts w:cstheme="minorHAnsi"/>
                <w:sz w:val="20"/>
                <w:szCs w:val="20"/>
              </w:rPr>
              <w:t>Regulations 2015</w:t>
            </w:r>
            <w:r w:rsidRPr="007C43DB">
              <w:rPr>
                <w:rFonts w:cstheme="minorHAnsi"/>
                <w:b w:val="0"/>
                <w:sz w:val="20"/>
                <w:szCs w:val="20"/>
              </w:rPr>
              <w:t xml:space="preserve"> (92/57/EEC)</w:t>
            </w:r>
            <w:r w:rsidR="00E16428" w:rsidRPr="007C43DB">
              <w:rPr>
                <w:rFonts w:cstheme="minorHAnsi"/>
                <w:b w:val="0"/>
                <w:sz w:val="20"/>
                <w:szCs w:val="20"/>
              </w:rPr>
              <w:t xml:space="preserve"> (66)</w:t>
            </w:r>
          </w:p>
        </w:tc>
        <w:tc>
          <w:tcPr>
            <w:tcW w:w="12758" w:type="dxa"/>
          </w:tcPr>
          <w:p w14:paraId="1A8D8297" w14:textId="1DE6BE92" w:rsidR="00590ED7" w:rsidRPr="001C3290" w:rsidRDefault="003862B0" w:rsidP="0064466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The regulations r</w:t>
            </w:r>
            <w:r w:rsidR="00590ED7" w:rsidRPr="00C76268">
              <w:rPr>
                <w:rFonts w:cstheme="minorHAnsi"/>
                <w:sz w:val="20"/>
                <w:szCs w:val="20"/>
              </w:rPr>
              <w:t>eplace</w:t>
            </w:r>
            <w:r>
              <w:rPr>
                <w:rFonts w:cstheme="minorHAnsi"/>
                <w:sz w:val="20"/>
                <w:szCs w:val="20"/>
              </w:rPr>
              <w:t>d</w:t>
            </w:r>
            <w:r w:rsidR="00590ED7" w:rsidRPr="00C76268">
              <w:rPr>
                <w:rFonts w:cstheme="minorHAnsi"/>
                <w:sz w:val="20"/>
                <w:szCs w:val="20"/>
              </w:rPr>
              <w:t xml:space="preserve"> existing </w:t>
            </w:r>
            <w:r>
              <w:rPr>
                <w:rFonts w:cstheme="minorHAnsi"/>
                <w:sz w:val="20"/>
                <w:szCs w:val="20"/>
              </w:rPr>
              <w:t>r</w:t>
            </w:r>
            <w:r w:rsidR="00590ED7" w:rsidRPr="00C76268">
              <w:rPr>
                <w:rFonts w:cstheme="minorHAnsi"/>
                <w:sz w:val="20"/>
                <w:szCs w:val="20"/>
              </w:rPr>
              <w:t xml:space="preserve">egulations </w:t>
            </w:r>
            <w:r>
              <w:rPr>
                <w:rFonts w:cstheme="minorHAnsi"/>
                <w:sz w:val="20"/>
                <w:szCs w:val="20"/>
              </w:rPr>
              <w:t xml:space="preserve">introduced in </w:t>
            </w:r>
            <w:r w:rsidR="00590ED7" w:rsidRPr="00C76268">
              <w:rPr>
                <w:rFonts w:cstheme="minorHAnsi"/>
                <w:sz w:val="20"/>
                <w:szCs w:val="20"/>
              </w:rPr>
              <w:t>2007</w:t>
            </w:r>
            <w:r>
              <w:rPr>
                <w:rFonts w:cstheme="minorHAnsi"/>
                <w:sz w:val="20"/>
                <w:szCs w:val="20"/>
              </w:rPr>
              <w:t>,</w:t>
            </w:r>
            <w:r w:rsidR="00590ED7" w:rsidRPr="00C76268">
              <w:rPr>
                <w:rFonts w:cstheme="minorHAnsi"/>
                <w:sz w:val="20"/>
                <w:szCs w:val="20"/>
              </w:rPr>
              <w:t xml:space="preserve"> which define</w:t>
            </w:r>
            <w:r>
              <w:rPr>
                <w:rFonts w:cstheme="minorHAnsi"/>
                <w:sz w:val="20"/>
                <w:szCs w:val="20"/>
              </w:rPr>
              <w:t>d</w:t>
            </w:r>
            <w:r w:rsidR="00590ED7" w:rsidRPr="00C76268">
              <w:rPr>
                <w:rFonts w:cstheme="minorHAnsi"/>
                <w:sz w:val="20"/>
                <w:szCs w:val="20"/>
              </w:rPr>
              <w:t xml:space="preserve"> management roles and processes and prescribe</w:t>
            </w:r>
            <w:r>
              <w:rPr>
                <w:rFonts w:cstheme="minorHAnsi"/>
                <w:sz w:val="20"/>
                <w:szCs w:val="20"/>
              </w:rPr>
              <w:t>d</w:t>
            </w:r>
            <w:r w:rsidR="00590ED7" w:rsidRPr="00C76268">
              <w:rPr>
                <w:rFonts w:cstheme="minorHAnsi"/>
                <w:sz w:val="20"/>
                <w:szCs w:val="20"/>
              </w:rPr>
              <w:t xml:space="preserve"> practical health and safety precautions and welfare requirements</w:t>
            </w:r>
            <w:r>
              <w:rPr>
                <w:rFonts w:cstheme="minorHAnsi"/>
                <w:sz w:val="20"/>
                <w:szCs w:val="20"/>
              </w:rPr>
              <w:t xml:space="preserve"> for construction projects. They </w:t>
            </w:r>
            <w:r w:rsidR="00590ED7" w:rsidRPr="00C76268">
              <w:rPr>
                <w:rFonts w:cstheme="minorHAnsi"/>
                <w:sz w:val="20"/>
                <w:szCs w:val="20"/>
              </w:rPr>
              <w:t>were introduced following a post-implementation review (PIR)</w:t>
            </w:r>
            <w:r w:rsidR="00590ED7" w:rsidRPr="00C76268">
              <w:rPr>
                <w:rFonts w:cstheme="minorHAnsi"/>
                <w:sz w:val="20"/>
                <w:szCs w:val="20"/>
              </w:rPr>
              <w:fldChar w:fldCharType="begin"/>
            </w:r>
            <w:r w:rsidR="00BB4F0A">
              <w:rPr>
                <w:rFonts w:cstheme="minorHAnsi"/>
                <w:sz w:val="20"/>
                <w:szCs w:val="20"/>
              </w:rPr>
              <w:instrText xml:space="preserve"> ADDIN EN.CITE &lt;EndNote&gt;&lt;Cite&gt;&lt;Author&gt;Frontline Consultants&lt;/Author&gt;&lt;Year&gt;2012&lt;/Year&gt;&lt;RecNum&gt;1634&lt;/RecNum&gt;&lt;DisplayText&gt; (Frontline Consultants, 2012)&lt;/DisplayText&gt;&lt;record&gt;&lt;rec-number&gt;1634&lt;/rec-number&gt;&lt;foreign-keys&gt;&lt;key app="EN" db-id="drrvazw0t090vlef0e6praxba2d0xwps0wt0" timestamp="1492264339"&gt;1634&lt;/key&gt;&lt;/foreign-keys&gt;&lt;ref-type name="Report"&gt;27&lt;/ref-type&gt;&lt;contributors&gt;&lt;authors&gt;&lt;author&gt;Frontline Consultants,&lt;/author&gt;&lt;/authors&gt;&lt;tertiary-authors&gt;&lt;author&gt;Health and Safety Executive&lt;/author&gt;&lt;/tertiary-authors&gt;&lt;/contributors&gt;&lt;titles&gt;&lt;title&gt;Evaluation of the Construction (Design and Management) Regulations 2007&lt;/title&gt;&lt;/titles&gt;&lt;number&gt;RR920&lt;/number&gt;&lt;dates&gt;&lt;year&gt;2012&lt;/year&gt;&lt;/dates&gt;&lt;pub-location&gt;London&lt;/pub-location&gt;&lt;publisher&gt;Health and Safety Executive&lt;/publisher&gt;&lt;urls&gt;&lt;/urls&gt;&lt;/record&gt;&lt;/Cite&gt;&lt;/EndNote&gt;</w:instrText>
            </w:r>
            <w:r w:rsidR="00590ED7" w:rsidRPr="00C76268">
              <w:rPr>
                <w:rFonts w:cstheme="minorHAnsi"/>
                <w:sz w:val="20"/>
                <w:szCs w:val="20"/>
              </w:rPr>
              <w:fldChar w:fldCharType="separate"/>
            </w:r>
            <w:r w:rsidR="00BB4F0A">
              <w:rPr>
                <w:rFonts w:cstheme="minorHAnsi"/>
                <w:noProof/>
                <w:sz w:val="20"/>
                <w:szCs w:val="20"/>
              </w:rPr>
              <w:t xml:space="preserve"> </w:t>
            </w:r>
            <w:hyperlink w:anchor="_ENREF_8" w:tooltip="Frontline Consultants, 2012 #1634" w:history="1">
              <w:r w:rsidR="006D11C0">
                <w:rPr>
                  <w:rFonts w:cstheme="minorHAnsi"/>
                  <w:noProof/>
                  <w:sz w:val="20"/>
                  <w:szCs w:val="20"/>
                </w:rPr>
                <w:t>(Frontline Consultants, 2012</w:t>
              </w:r>
            </w:hyperlink>
            <w:r w:rsidR="00BB4F0A">
              <w:rPr>
                <w:rFonts w:cstheme="minorHAnsi"/>
                <w:noProof/>
                <w:sz w:val="20"/>
                <w:szCs w:val="20"/>
              </w:rPr>
              <w:t>)</w:t>
            </w:r>
            <w:r w:rsidR="00590ED7" w:rsidRPr="00C76268">
              <w:rPr>
                <w:rFonts w:cstheme="minorHAnsi"/>
                <w:sz w:val="20"/>
                <w:szCs w:val="20"/>
              </w:rPr>
              <w:fldChar w:fldCharType="end"/>
            </w:r>
            <w:r w:rsidR="00326875">
              <w:rPr>
                <w:rFonts w:cstheme="minorHAnsi"/>
                <w:sz w:val="20"/>
                <w:szCs w:val="20"/>
              </w:rPr>
              <w:t>,</w:t>
            </w:r>
            <w:r w:rsidR="00590ED7" w:rsidRPr="00C76268">
              <w:rPr>
                <w:rFonts w:cstheme="minorHAnsi"/>
                <w:sz w:val="20"/>
                <w:szCs w:val="20"/>
              </w:rPr>
              <w:t xml:space="preserve"> </w:t>
            </w:r>
            <w:r>
              <w:rPr>
                <w:rFonts w:cstheme="minorHAnsi"/>
                <w:sz w:val="20"/>
                <w:szCs w:val="20"/>
              </w:rPr>
              <w:t>which</w:t>
            </w:r>
            <w:r w:rsidR="00590ED7" w:rsidRPr="00C76268">
              <w:rPr>
                <w:rFonts w:cstheme="minorHAnsi"/>
                <w:sz w:val="20"/>
                <w:szCs w:val="20"/>
              </w:rPr>
              <w:t xml:space="preserve"> found that</w:t>
            </w:r>
            <w:r>
              <w:rPr>
                <w:rFonts w:cstheme="minorHAnsi"/>
                <w:sz w:val="20"/>
                <w:szCs w:val="20"/>
              </w:rPr>
              <w:t>, in many cases,</w:t>
            </w:r>
            <w:r w:rsidR="00590ED7" w:rsidRPr="00C76268">
              <w:rPr>
                <w:rFonts w:cstheme="minorHAnsi"/>
                <w:sz w:val="20"/>
                <w:szCs w:val="20"/>
              </w:rPr>
              <w:t xml:space="preserve"> </w:t>
            </w:r>
            <w:r>
              <w:rPr>
                <w:rFonts w:cstheme="minorHAnsi"/>
                <w:sz w:val="20"/>
                <w:szCs w:val="20"/>
              </w:rPr>
              <w:t xml:space="preserve">a </w:t>
            </w:r>
            <w:r w:rsidR="00644666">
              <w:rPr>
                <w:rFonts w:cstheme="minorHAnsi"/>
                <w:sz w:val="20"/>
                <w:szCs w:val="20"/>
              </w:rPr>
              <w:t xml:space="preserve">key </w:t>
            </w:r>
            <w:r>
              <w:rPr>
                <w:rFonts w:cstheme="minorHAnsi"/>
                <w:sz w:val="20"/>
                <w:szCs w:val="20"/>
              </w:rPr>
              <w:t xml:space="preserve">position </w:t>
            </w:r>
            <w:r w:rsidR="00326875">
              <w:rPr>
                <w:rFonts w:cstheme="minorHAnsi"/>
                <w:sz w:val="20"/>
                <w:szCs w:val="20"/>
              </w:rPr>
              <w:t>under the previous regulations (</w:t>
            </w:r>
            <w:r w:rsidR="00590ED7" w:rsidRPr="00C76268">
              <w:rPr>
                <w:rFonts w:cstheme="minorHAnsi"/>
                <w:sz w:val="20"/>
                <w:szCs w:val="20"/>
              </w:rPr>
              <w:t xml:space="preserve">the </w:t>
            </w:r>
            <w:r>
              <w:rPr>
                <w:rFonts w:cstheme="minorHAnsi"/>
                <w:sz w:val="20"/>
                <w:szCs w:val="20"/>
              </w:rPr>
              <w:t xml:space="preserve">construction, design, management (CDM) </w:t>
            </w:r>
            <w:r w:rsidR="00590ED7" w:rsidRPr="00C76268">
              <w:rPr>
                <w:rFonts w:cstheme="minorHAnsi"/>
                <w:sz w:val="20"/>
                <w:szCs w:val="20"/>
              </w:rPr>
              <w:t>co</w:t>
            </w:r>
            <w:r w:rsidR="00644666">
              <w:rPr>
                <w:rFonts w:cstheme="minorHAnsi"/>
                <w:sz w:val="20"/>
                <w:szCs w:val="20"/>
              </w:rPr>
              <w:t>-</w:t>
            </w:r>
            <w:r w:rsidR="00590ED7" w:rsidRPr="00C76268">
              <w:rPr>
                <w:rFonts w:cstheme="minorHAnsi"/>
                <w:sz w:val="20"/>
                <w:szCs w:val="20"/>
              </w:rPr>
              <w:t>ordinator</w:t>
            </w:r>
            <w:r w:rsidR="00326875">
              <w:rPr>
                <w:rFonts w:cstheme="minorHAnsi"/>
                <w:sz w:val="20"/>
                <w:szCs w:val="20"/>
              </w:rPr>
              <w:t>)</w:t>
            </w:r>
            <w:r w:rsidR="00590ED7" w:rsidRPr="00C76268">
              <w:rPr>
                <w:rFonts w:cstheme="minorHAnsi"/>
                <w:sz w:val="20"/>
                <w:szCs w:val="20"/>
              </w:rPr>
              <w:t xml:space="preserve"> added </w:t>
            </w:r>
            <w:r w:rsidR="00644666">
              <w:rPr>
                <w:rFonts w:cstheme="minorHAnsi"/>
                <w:sz w:val="20"/>
                <w:szCs w:val="20"/>
              </w:rPr>
              <w:t xml:space="preserve">costs to building projects with </w:t>
            </w:r>
            <w:r w:rsidR="00326875">
              <w:rPr>
                <w:rFonts w:cstheme="minorHAnsi"/>
                <w:sz w:val="20"/>
                <w:szCs w:val="20"/>
              </w:rPr>
              <w:t xml:space="preserve">few </w:t>
            </w:r>
            <w:r w:rsidR="00644666">
              <w:rPr>
                <w:rFonts w:cstheme="minorHAnsi"/>
                <w:sz w:val="20"/>
                <w:szCs w:val="20"/>
              </w:rPr>
              <w:t>measurable benefits</w:t>
            </w:r>
            <w:r w:rsidR="00590ED7" w:rsidRPr="00C76268">
              <w:rPr>
                <w:rFonts w:cstheme="minorHAnsi"/>
                <w:sz w:val="20"/>
                <w:szCs w:val="20"/>
              </w:rPr>
              <w:t xml:space="preserve">. </w:t>
            </w:r>
            <w:r w:rsidR="00644666">
              <w:rPr>
                <w:rFonts w:cstheme="minorHAnsi"/>
                <w:sz w:val="20"/>
                <w:szCs w:val="20"/>
              </w:rPr>
              <w:t xml:space="preserve">One responsibility of </w:t>
            </w:r>
            <w:r w:rsidR="00590ED7" w:rsidRPr="00C76268">
              <w:rPr>
                <w:rFonts w:cstheme="minorHAnsi"/>
                <w:sz w:val="20"/>
                <w:szCs w:val="20"/>
              </w:rPr>
              <w:t xml:space="preserve">the CDM co-ordinator was to provide </w:t>
            </w:r>
            <w:r w:rsidR="00644666">
              <w:rPr>
                <w:rFonts w:cstheme="minorHAnsi"/>
                <w:sz w:val="20"/>
                <w:szCs w:val="20"/>
              </w:rPr>
              <w:t xml:space="preserve">project </w:t>
            </w:r>
            <w:r w:rsidR="00590ED7" w:rsidRPr="00C76268">
              <w:rPr>
                <w:rFonts w:cstheme="minorHAnsi"/>
                <w:sz w:val="20"/>
                <w:szCs w:val="20"/>
              </w:rPr>
              <w:t xml:space="preserve">clients with </w:t>
            </w:r>
            <w:r w:rsidR="00644666">
              <w:rPr>
                <w:rFonts w:cstheme="minorHAnsi"/>
                <w:sz w:val="20"/>
                <w:szCs w:val="20"/>
              </w:rPr>
              <w:t xml:space="preserve">advice on </w:t>
            </w:r>
            <w:r w:rsidR="00590ED7" w:rsidRPr="00C76268">
              <w:rPr>
                <w:rFonts w:cstheme="minorHAnsi"/>
                <w:sz w:val="20"/>
                <w:szCs w:val="20"/>
              </w:rPr>
              <w:t xml:space="preserve">the management of health and safety risks in construction. </w:t>
            </w:r>
            <w:r w:rsidR="00644666">
              <w:rPr>
                <w:rFonts w:cstheme="minorHAnsi"/>
                <w:sz w:val="20"/>
                <w:szCs w:val="20"/>
              </w:rPr>
              <w:t>More generally, i</w:t>
            </w:r>
            <w:r w:rsidR="00590ED7" w:rsidRPr="00C76268">
              <w:rPr>
                <w:rFonts w:cstheme="minorHAnsi"/>
                <w:sz w:val="20"/>
                <w:szCs w:val="20"/>
              </w:rPr>
              <w:t xml:space="preserve">t was intended to assist clients in the selection of competent contractors and the adequacy of management arrangements, to ensure proper co-ordination of the design process, facilitate good communication and co-operation between project team members and prepare a health and safety file. The co-ordinator should have had a pivotal role in the preconstruction phase of a construction project. </w:t>
            </w:r>
            <w:r w:rsidR="00644666">
              <w:rPr>
                <w:rFonts w:cstheme="minorHAnsi"/>
                <w:sz w:val="20"/>
                <w:szCs w:val="20"/>
              </w:rPr>
              <w:t>However, t</w:t>
            </w:r>
            <w:r w:rsidR="00590ED7" w:rsidRPr="00C76268">
              <w:rPr>
                <w:rFonts w:cstheme="minorHAnsi"/>
                <w:sz w:val="20"/>
                <w:szCs w:val="20"/>
              </w:rPr>
              <w:t>he PIR found that co-ordinators were often appointed late in the project</w:t>
            </w:r>
            <w:r w:rsidR="00644666">
              <w:rPr>
                <w:rFonts w:cstheme="minorHAnsi"/>
                <w:sz w:val="20"/>
                <w:szCs w:val="20"/>
              </w:rPr>
              <w:t>, which meant that they were</w:t>
            </w:r>
            <w:r w:rsidR="00590ED7" w:rsidRPr="00C76268">
              <w:rPr>
                <w:rFonts w:cstheme="minorHAnsi"/>
                <w:sz w:val="20"/>
                <w:szCs w:val="20"/>
              </w:rPr>
              <w:t xml:space="preserve"> not </w:t>
            </w:r>
            <w:r w:rsidR="00644666">
              <w:rPr>
                <w:rFonts w:cstheme="minorHAnsi"/>
                <w:sz w:val="20"/>
                <w:szCs w:val="20"/>
              </w:rPr>
              <w:t xml:space="preserve">well </w:t>
            </w:r>
            <w:r w:rsidR="00590ED7" w:rsidRPr="00C76268">
              <w:rPr>
                <w:rFonts w:cstheme="minorHAnsi"/>
                <w:sz w:val="20"/>
                <w:szCs w:val="20"/>
              </w:rPr>
              <w:t>integrated into the project team (designer, client and principal contractor) and</w:t>
            </w:r>
            <w:r w:rsidR="00644666">
              <w:rPr>
                <w:rFonts w:cstheme="minorHAnsi"/>
                <w:sz w:val="20"/>
                <w:szCs w:val="20"/>
              </w:rPr>
              <w:t>, consequently, had few real responsibilities</w:t>
            </w:r>
            <w:r w:rsidR="00590ED7" w:rsidRPr="00C76268">
              <w:rPr>
                <w:rFonts w:cstheme="minorHAnsi"/>
                <w:sz w:val="20"/>
                <w:szCs w:val="20"/>
              </w:rPr>
              <w:t>.</w:t>
            </w:r>
            <w:r w:rsidR="00644666">
              <w:rPr>
                <w:rFonts w:cstheme="minorHAnsi"/>
                <w:sz w:val="20"/>
                <w:szCs w:val="20"/>
              </w:rPr>
              <w:t xml:space="preserve"> </w:t>
            </w:r>
            <w:r w:rsidR="00590ED7" w:rsidRPr="00C76268">
              <w:rPr>
                <w:rFonts w:cstheme="minorHAnsi"/>
                <w:sz w:val="20"/>
                <w:szCs w:val="20"/>
              </w:rPr>
              <w:t xml:space="preserve">The new </w:t>
            </w:r>
            <w:r w:rsidR="00644666">
              <w:rPr>
                <w:rFonts w:cstheme="minorHAnsi"/>
                <w:sz w:val="20"/>
                <w:szCs w:val="20"/>
              </w:rPr>
              <w:t>regulations</w:t>
            </w:r>
            <w:r w:rsidR="00590ED7" w:rsidRPr="00C76268">
              <w:rPr>
                <w:rFonts w:cstheme="minorHAnsi"/>
                <w:sz w:val="20"/>
                <w:szCs w:val="20"/>
              </w:rPr>
              <w:t xml:space="preserve"> removed the pre-construction co-ordination role of the CDM co-ordinator and </w:t>
            </w:r>
            <w:r w:rsidR="00644666">
              <w:rPr>
                <w:rFonts w:cstheme="minorHAnsi"/>
                <w:sz w:val="20"/>
                <w:szCs w:val="20"/>
              </w:rPr>
              <w:t>passed</w:t>
            </w:r>
            <w:r w:rsidR="00590ED7" w:rsidRPr="00C76268">
              <w:rPr>
                <w:rFonts w:cstheme="minorHAnsi"/>
                <w:sz w:val="20"/>
                <w:szCs w:val="20"/>
              </w:rPr>
              <w:t xml:space="preserve"> </w:t>
            </w:r>
            <w:r w:rsidR="00644666">
              <w:rPr>
                <w:rFonts w:cstheme="minorHAnsi"/>
                <w:sz w:val="20"/>
                <w:szCs w:val="20"/>
              </w:rPr>
              <w:t>responsibility to a principal designer. T</w:t>
            </w:r>
            <w:r w:rsidR="00590ED7" w:rsidRPr="00C76268">
              <w:rPr>
                <w:rFonts w:cstheme="minorHAnsi"/>
                <w:sz w:val="20"/>
                <w:szCs w:val="20"/>
              </w:rPr>
              <w:t xml:space="preserve">hey </w:t>
            </w:r>
            <w:r w:rsidR="00644666">
              <w:rPr>
                <w:rFonts w:cstheme="minorHAnsi"/>
                <w:sz w:val="20"/>
                <w:szCs w:val="20"/>
              </w:rPr>
              <w:t xml:space="preserve">also </w:t>
            </w:r>
            <w:r w:rsidR="00590ED7" w:rsidRPr="00C76268">
              <w:rPr>
                <w:rFonts w:cstheme="minorHAnsi"/>
                <w:sz w:val="20"/>
                <w:szCs w:val="20"/>
              </w:rPr>
              <w:t>shorten</w:t>
            </w:r>
            <w:r w:rsidR="00644666">
              <w:rPr>
                <w:rFonts w:cstheme="minorHAnsi"/>
                <w:sz w:val="20"/>
                <w:szCs w:val="20"/>
              </w:rPr>
              <w:t>ed, simplified</w:t>
            </w:r>
            <w:r w:rsidR="00590ED7" w:rsidRPr="00C76268">
              <w:rPr>
                <w:rFonts w:cstheme="minorHAnsi"/>
                <w:sz w:val="20"/>
                <w:szCs w:val="20"/>
              </w:rPr>
              <w:t>, and increase</w:t>
            </w:r>
            <w:r w:rsidR="00644666">
              <w:rPr>
                <w:rFonts w:cstheme="minorHAnsi"/>
                <w:sz w:val="20"/>
                <w:szCs w:val="20"/>
              </w:rPr>
              <w:t>d</w:t>
            </w:r>
            <w:r w:rsidR="00590ED7" w:rsidRPr="00C76268">
              <w:rPr>
                <w:rFonts w:cstheme="minorHAnsi"/>
                <w:sz w:val="20"/>
                <w:szCs w:val="20"/>
              </w:rPr>
              <w:t xml:space="preserve"> the ac</w:t>
            </w:r>
            <w:r w:rsidR="00644666">
              <w:rPr>
                <w:rFonts w:cstheme="minorHAnsi"/>
                <w:sz w:val="20"/>
                <w:szCs w:val="20"/>
              </w:rPr>
              <w:t xml:space="preserve">cessibility of the </w:t>
            </w:r>
            <w:r w:rsidR="00326875">
              <w:rPr>
                <w:rFonts w:cstheme="minorHAnsi"/>
                <w:sz w:val="20"/>
                <w:szCs w:val="20"/>
              </w:rPr>
              <w:t>r</w:t>
            </w:r>
            <w:r w:rsidR="00644666">
              <w:rPr>
                <w:rFonts w:cstheme="minorHAnsi"/>
                <w:sz w:val="20"/>
                <w:szCs w:val="20"/>
              </w:rPr>
              <w:t>egulations, withdre</w:t>
            </w:r>
            <w:r w:rsidR="00590ED7" w:rsidRPr="00C76268">
              <w:rPr>
                <w:rFonts w:cstheme="minorHAnsi"/>
                <w:sz w:val="20"/>
                <w:szCs w:val="20"/>
              </w:rPr>
              <w:t>w</w:t>
            </w:r>
            <w:r w:rsidR="00326875">
              <w:rPr>
                <w:rFonts w:cstheme="minorHAnsi"/>
                <w:sz w:val="20"/>
                <w:szCs w:val="20"/>
              </w:rPr>
              <w:t xml:space="preserve"> an existing</w:t>
            </w:r>
            <w:r w:rsidR="00590ED7" w:rsidRPr="00C76268">
              <w:rPr>
                <w:rFonts w:cstheme="minorHAnsi"/>
                <w:sz w:val="20"/>
                <w:szCs w:val="20"/>
              </w:rPr>
              <w:t xml:space="preserve"> Approved Code of Practice (</w:t>
            </w:r>
            <w:r w:rsidR="00644666">
              <w:rPr>
                <w:rFonts w:cstheme="minorHAnsi"/>
                <w:sz w:val="20"/>
                <w:szCs w:val="20"/>
              </w:rPr>
              <w:t xml:space="preserve">which was </w:t>
            </w:r>
            <w:r w:rsidR="00590ED7" w:rsidRPr="00C76268">
              <w:rPr>
                <w:rFonts w:cstheme="minorHAnsi"/>
                <w:sz w:val="20"/>
                <w:szCs w:val="20"/>
              </w:rPr>
              <w:t>replaced with guidance aimed at</w:t>
            </w:r>
            <w:r w:rsidR="00644666">
              <w:rPr>
                <w:rFonts w:cstheme="minorHAnsi"/>
                <w:sz w:val="20"/>
                <w:szCs w:val="20"/>
              </w:rPr>
              <w:t xml:space="preserve"> specific industry sub-sectors),</w:t>
            </w:r>
            <w:r w:rsidR="00590ED7" w:rsidRPr="00C76268">
              <w:rPr>
                <w:rFonts w:cstheme="minorHAnsi"/>
                <w:sz w:val="20"/>
                <w:szCs w:val="20"/>
              </w:rPr>
              <w:t xml:space="preserve"> remove</w:t>
            </w:r>
            <w:r w:rsidR="00644666">
              <w:rPr>
                <w:rFonts w:cstheme="minorHAnsi"/>
                <w:sz w:val="20"/>
                <w:szCs w:val="20"/>
              </w:rPr>
              <w:t>d</w:t>
            </w:r>
            <w:r w:rsidR="00590ED7" w:rsidRPr="00C76268">
              <w:rPr>
                <w:rFonts w:cstheme="minorHAnsi"/>
                <w:sz w:val="20"/>
                <w:szCs w:val="20"/>
              </w:rPr>
              <w:t xml:space="preserve"> the detailed framework for the assessment of indi</w:t>
            </w:r>
            <w:r w:rsidR="00644666">
              <w:rPr>
                <w:rFonts w:cstheme="minorHAnsi"/>
                <w:sz w:val="20"/>
                <w:szCs w:val="20"/>
              </w:rPr>
              <w:t xml:space="preserve">vidual and corporate competence, </w:t>
            </w:r>
            <w:r w:rsidR="00590ED7" w:rsidRPr="00C76268">
              <w:rPr>
                <w:rFonts w:cstheme="minorHAnsi"/>
                <w:sz w:val="20"/>
                <w:szCs w:val="20"/>
              </w:rPr>
              <w:t>tighten</w:t>
            </w:r>
            <w:r w:rsidR="00644666">
              <w:rPr>
                <w:rFonts w:cstheme="minorHAnsi"/>
                <w:sz w:val="20"/>
                <w:szCs w:val="20"/>
              </w:rPr>
              <w:t>ed</w:t>
            </w:r>
            <w:r w:rsidR="00590ED7" w:rsidRPr="00C76268">
              <w:rPr>
                <w:rFonts w:cstheme="minorHAnsi"/>
                <w:sz w:val="20"/>
                <w:szCs w:val="20"/>
              </w:rPr>
              <w:t xml:space="preserve"> the conditions used to trigger notification of a construction pro</w:t>
            </w:r>
            <w:r w:rsidR="00644666">
              <w:rPr>
                <w:rFonts w:cstheme="minorHAnsi"/>
                <w:sz w:val="20"/>
                <w:szCs w:val="20"/>
              </w:rPr>
              <w:t>ject to the competent authority,</w:t>
            </w:r>
            <w:r w:rsidR="00590ED7" w:rsidRPr="00C76268">
              <w:rPr>
                <w:rFonts w:cstheme="minorHAnsi"/>
                <w:sz w:val="20"/>
                <w:szCs w:val="20"/>
              </w:rPr>
              <w:t xml:space="preserve"> alter</w:t>
            </w:r>
            <w:r w:rsidR="00644666">
              <w:rPr>
                <w:rFonts w:cstheme="minorHAnsi"/>
                <w:sz w:val="20"/>
                <w:szCs w:val="20"/>
              </w:rPr>
              <w:t>ed</w:t>
            </w:r>
            <w:r w:rsidR="00590ED7" w:rsidRPr="00C76268">
              <w:rPr>
                <w:rFonts w:cstheme="minorHAnsi"/>
                <w:sz w:val="20"/>
                <w:szCs w:val="20"/>
              </w:rPr>
              <w:t xml:space="preserve"> the conditions used to trig</w:t>
            </w:r>
            <w:r w:rsidR="00644666">
              <w:rPr>
                <w:rFonts w:cstheme="minorHAnsi"/>
                <w:sz w:val="20"/>
                <w:szCs w:val="20"/>
              </w:rPr>
              <w:t>ger a raft of additional duties, and</w:t>
            </w:r>
            <w:r w:rsidR="00590ED7" w:rsidRPr="00C76268">
              <w:rPr>
                <w:rFonts w:cstheme="minorHAnsi"/>
                <w:sz w:val="20"/>
                <w:szCs w:val="20"/>
              </w:rPr>
              <w:t xml:space="preserve"> remove</w:t>
            </w:r>
            <w:r w:rsidR="00644666">
              <w:rPr>
                <w:rFonts w:cstheme="minorHAnsi"/>
                <w:sz w:val="20"/>
                <w:szCs w:val="20"/>
              </w:rPr>
              <w:t>d</w:t>
            </w:r>
            <w:r w:rsidR="00590ED7" w:rsidRPr="00C76268">
              <w:rPr>
                <w:rFonts w:cstheme="minorHAnsi"/>
                <w:sz w:val="20"/>
                <w:szCs w:val="20"/>
              </w:rPr>
              <w:t xml:space="preserve"> the exemption from client duties for domestic clients (now implemented using a “deeming” approach)</w:t>
            </w:r>
            <w:r w:rsidR="00B10B4E" w:rsidRPr="00C76268">
              <w:rPr>
                <w:rFonts w:cstheme="minorHAnsi"/>
                <w:sz w:val="20"/>
                <w:szCs w:val="20"/>
              </w:rPr>
              <w:fldChar w:fldCharType="begin"/>
            </w:r>
            <w:r w:rsidR="00BB4F0A">
              <w:rPr>
                <w:rFonts w:cstheme="minorHAnsi"/>
                <w:sz w:val="20"/>
                <w:szCs w:val="20"/>
              </w:rPr>
              <w:instrText xml:space="preserve"> ADDIN EN.CITE &lt;EndNote&gt;&lt;Cite&gt;&lt;Author&gt;Health and Safety Executive&lt;/Author&gt;&lt;Year&gt;2014&lt;/Year&gt;&lt;RecNum&gt;1618&lt;/RecNum&gt;&lt;DisplayText&gt; (Health and Safety Executive, 2014)&lt;/DisplayText&gt;&lt;record&gt;&lt;rec-number&gt;1618&lt;/rec-number&gt;&lt;foreign-keys&gt;&lt;key app="EN" db-id="drrvazw0t090vlef0e6praxba2d0xwps0wt0" timestamp="1491490659"&gt;1618&lt;/key&gt;&lt;/foreign-keys&gt;&lt;ref-type name="Report"&gt;27&lt;/ref-type&gt;&lt;contributors&gt;&lt;authors&gt;&lt;author&gt;Health and Safety Executive,&lt;/author&gt;&lt;/authors&gt;&lt;tertiary-authors&gt;&lt;author&gt;HSE&lt;/author&gt;&lt;/tertiary-authors&gt;&lt;/contributors&gt;&lt;titles&gt;&lt;title&gt;Construction (Design and Management) Regulations 2015 (CDM 2015)&lt;/title&gt;&lt;/titles&gt;&lt;dates&gt;&lt;year&gt;2014&lt;/year&gt;&lt;/dates&gt;&lt;pub-location&gt;London&lt;/pub-location&gt;&lt;publisher&gt;HSE&lt;/publisher&gt;&lt;urls&gt;&lt;related-urls&gt;&lt;url&gt;http://www.legislation.gov.uk/ukia/2015/42/pdfs/ukia_20150042_en.pdf&lt;/url&gt;&lt;/related-urls&gt;&lt;/urls&gt;&lt;access-date&gt;March 20, 2017&lt;/access-date&gt;&lt;/record&gt;&lt;/Cite&gt;&lt;/EndNote&gt;</w:instrText>
            </w:r>
            <w:r w:rsidR="00B10B4E" w:rsidRPr="00C76268">
              <w:rPr>
                <w:rFonts w:cstheme="minorHAnsi"/>
                <w:sz w:val="20"/>
                <w:szCs w:val="20"/>
              </w:rPr>
              <w:fldChar w:fldCharType="separate"/>
            </w:r>
            <w:r w:rsidR="00BB4F0A">
              <w:rPr>
                <w:rFonts w:cstheme="minorHAnsi"/>
                <w:noProof/>
                <w:sz w:val="20"/>
                <w:szCs w:val="20"/>
              </w:rPr>
              <w:t xml:space="preserve"> </w:t>
            </w:r>
            <w:hyperlink w:anchor="_ENREF_14" w:tooltip="Health and Safety Executive, 2014 #1618" w:history="1">
              <w:r w:rsidR="006D11C0">
                <w:rPr>
                  <w:rFonts w:cstheme="minorHAnsi"/>
                  <w:noProof/>
                  <w:sz w:val="20"/>
                  <w:szCs w:val="20"/>
                </w:rPr>
                <w:t>(Health and Safety Executive, 2014</w:t>
              </w:r>
            </w:hyperlink>
            <w:r w:rsidR="00BB4F0A">
              <w:rPr>
                <w:rFonts w:cstheme="minorHAnsi"/>
                <w:noProof/>
                <w:sz w:val="20"/>
                <w:szCs w:val="20"/>
              </w:rPr>
              <w:t>)</w:t>
            </w:r>
            <w:r w:rsidR="00B10B4E" w:rsidRPr="00C76268">
              <w:rPr>
                <w:rFonts w:cstheme="minorHAnsi"/>
                <w:sz w:val="20"/>
                <w:szCs w:val="20"/>
              </w:rPr>
              <w:fldChar w:fldCharType="end"/>
            </w:r>
            <w:r w:rsidR="00590ED7" w:rsidRPr="00C76268">
              <w:rPr>
                <w:rFonts w:cstheme="minorHAnsi"/>
                <w:sz w:val="20"/>
                <w:szCs w:val="20"/>
              </w:rPr>
              <w:t xml:space="preserve">. </w:t>
            </w:r>
          </w:p>
        </w:tc>
      </w:tr>
      <w:tr w:rsidR="000E4708" w:rsidRPr="001C3290" w14:paraId="1A04EE7F" w14:textId="77777777" w:rsidTr="00DB7DE5">
        <w:tc>
          <w:tcPr>
            <w:cnfStyle w:val="001000000000" w:firstRow="0" w:lastRow="0" w:firstColumn="1" w:lastColumn="0" w:oddVBand="0" w:evenVBand="0" w:oddHBand="0" w:evenHBand="0" w:firstRowFirstColumn="0" w:firstRowLastColumn="0" w:lastRowFirstColumn="0" w:lastRowLastColumn="0"/>
            <w:tcW w:w="2405" w:type="dxa"/>
          </w:tcPr>
          <w:p w14:paraId="72067B8A" w14:textId="5F61E21F" w:rsidR="000E4708" w:rsidRPr="007C43DB" w:rsidRDefault="000E4708" w:rsidP="000E4708">
            <w:pPr>
              <w:rPr>
                <w:rFonts w:cstheme="minorHAnsi"/>
                <w:b w:val="0"/>
                <w:sz w:val="20"/>
                <w:szCs w:val="20"/>
              </w:rPr>
            </w:pPr>
            <w:r w:rsidRPr="007C43DB">
              <w:rPr>
                <w:rFonts w:cstheme="minorHAnsi"/>
                <w:sz w:val="20"/>
                <w:szCs w:val="20"/>
              </w:rPr>
              <w:t>The Transnational Information and Consultation of Employees (Amendment) Regulations</w:t>
            </w:r>
            <w:r w:rsidRPr="007C43DB">
              <w:rPr>
                <w:rFonts w:cstheme="minorHAnsi"/>
                <w:b w:val="0"/>
                <w:sz w:val="20"/>
                <w:szCs w:val="20"/>
              </w:rPr>
              <w:t xml:space="preserve"> </w:t>
            </w:r>
            <w:r w:rsidRPr="007C43DB">
              <w:rPr>
                <w:rFonts w:cstheme="minorHAnsi"/>
                <w:sz w:val="20"/>
                <w:szCs w:val="20"/>
              </w:rPr>
              <w:t>2010</w:t>
            </w:r>
            <w:r w:rsidRPr="007C43DB">
              <w:rPr>
                <w:rFonts w:cstheme="minorHAnsi"/>
                <w:b w:val="0"/>
                <w:sz w:val="20"/>
                <w:szCs w:val="20"/>
              </w:rPr>
              <w:t xml:space="preserve"> (2009/38/EC)</w:t>
            </w:r>
            <w:r w:rsidR="00E16428" w:rsidRPr="007C43DB">
              <w:rPr>
                <w:rFonts w:cstheme="minorHAnsi"/>
                <w:b w:val="0"/>
                <w:sz w:val="20"/>
                <w:szCs w:val="20"/>
              </w:rPr>
              <w:t xml:space="preserve"> (86)</w:t>
            </w:r>
          </w:p>
        </w:tc>
        <w:tc>
          <w:tcPr>
            <w:tcW w:w="12758" w:type="dxa"/>
          </w:tcPr>
          <w:p w14:paraId="7DBE455B" w14:textId="3829B3B1" w:rsidR="000E4708" w:rsidRPr="001C3290" w:rsidRDefault="00644666" w:rsidP="005A5CD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Regulations a</w:t>
            </w:r>
            <w:r w:rsidR="000E4708" w:rsidRPr="001C3290">
              <w:rPr>
                <w:rFonts w:cstheme="minorHAnsi"/>
                <w:sz w:val="20"/>
                <w:szCs w:val="20"/>
              </w:rPr>
              <w:t>im to strengthen rights of employees to be informed and consulted on significant changes to businesses (where an employer ope</w:t>
            </w:r>
            <w:r w:rsidR="00B10B4E">
              <w:rPr>
                <w:rFonts w:cstheme="minorHAnsi"/>
                <w:sz w:val="20"/>
                <w:szCs w:val="20"/>
              </w:rPr>
              <w:t>rates in two or more EU states)</w:t>
            </w:r>
            <w:r w:rsidR="00BB4F0A">
              <w:rPr>
                <w:rFonts w:cstheme="minorHAnsi"/>
                <w:sz w:val="20"/>
                <w:szCs w:val="20"/>
              </w:rPr>
              <w:fldChar w:fldCharType="begin"/>
            </w:r>
            <w:r w:rsidR="00BB4F0A">
              <w:rPr>
                <w:rFonts w:cstheme="minorHAnsi"/>
                <w:sz w:val="20"/>
                <w:szCs w:val="20"/>
              </w:rPr>
              <w:instrText xml:space="preserve"> ADDIN EN.CITE &lt;EndNote&gt;&lt;Cite&gt;&lt;Author&gt;Department of Trade and Industry&lt;/Author&gt;&lt;Year&gt;2006&lt;/Year&gt;&lt;RecNum&gt;1617&lt;/RecNum&gt;&lt;DisplayText&gt; (Department of Trade and Industry, 2006)&lt;/DisplayText&gt;&lt;record&gt;&lt;rec-number&gt;1617&lt;/rec-number&gt;&lt;foreign-keys&gt;&lt;key app="EN" db-id="drrvazw0t090vlef0e6praxba2d0xwps0wt0" timestamp="1491486857"&gt;1617&lt;/key&gt;&lt;/foreign-keys&gt;&lt;ref-type name="Report"&gt;27&lt;/ref-type&gt;&lt;contributors&gt;&lt;authors&gt;&lt;author&gt;Department of Trade and Industry,&lt;/author&gt;&lt;/authors&gt;&lt;tertiary-authors&gt;&lt;author&gt;DTI&lt;/author&gt;&lt;/tertiary-authors&gt;&lt;/contributors&gt;&lt;titles&gt;&lt;title&gt;1999 Compendium of Regulatory Impact Assessments&lt;/title&gt;&lt;/titles&gt;&lt;dates&gt;&lt;year&gt;2006&lt;/year&gt;&lt;/dates&gt;&lt;pub-location&gt;London&lt;/pub-location&gt;&lt;publisher&gt;DTI&lt;/publisher&gt;&lt;urls&gt;&lt;related-urls&gt;&lt;url&gt;http://webarchive.nationalarchives.gov.uk/20090609003228/http://www.berr.gov.uk/files/file34183.pdf&lt;/url&gt;&lt;/related-urls&gt;&lt;/urls&gt;&lt;access-date&gt;March 20, 2017&lt;/access-date&gt;&lt;/record&gt;&lt;/Cite&gt;&lt;/EndNote&gt;</w:instrText>
            </w:r>
            <w:r w:rsidR="00BB4F0A">
              <w:rPr>
                <w:rFonts w:cstheme="minorHAnsi"/>
                <w:sz w:val="20"/>
                <w:szCs w:val="20"/>
              </w:rPr>
              <w:fldChar w:fldCharType="separate"/>
            </w:r>
            <w:r w:rsidR="00BB4F0A">
              <w:rPr>
                <w:rFonts w:cstheme="minorHAnsi"/>
                <w:noProof/>
                <w:sz w:val="20"/>
                <w:szCs w:val="20"/>
              </w:rPr>
              <w:t xml:space="preserve"> </w:t>
            </w:r>
            <w:hyperlink w:anchor="_ENREF_6" w:tooltip="Department of Trade and Industry, 2006 #1617" w:history="1">
              <w:r w:rsidR="006D11C0">
                <w:rPr>
                  <w:rFonts w:cstheme="minorHAnsi"/>
                  <w:noProof/>
                  <w:sz w:val="20"/>
                  <w:szCs w:val="20"/>
                </w:rPr>
                <w:t>(Department of Trade and Industry, 2006</w:t>
              </w:r>
            </w:hyperlink>
            <w:r w:rsidR="00BB4F0A">
              <w:rPr>
                <w:rFonts w:cstheme="minorHAnsi"/>
                <w:noProof/>
                <w:sz w:val="20"/>
                <w:szCs w:val="20"/>
              </w:rPr>
              <w:t>)</w:t>
            </w:r>
            <w:r w:rsidR="00BB4F0A">
              <w:rPr>
                <w:rFonts w:cstheme="minorHAnsi"/>
                <w:sz w:val="20"/>
                <w:szCs w:val="20"/>
              </w:rPr>
              <w:fldChar w:fldCharType="end"/>
            </w:r>
            <w:r w:rsidR="00B10B4E">
              <w:rPr>
                <w:rFonts w:cstheme="minorHAnsi"/>
                <w:sz w:val="20"/>
                <w:szCs w:val="20"/>
              </w:rPr>
              <w:t>.</w:t>
            </w:r>
          </w:p>
        </w:tc>
      </w:tr>
    </w:tbl>
    <w:p w14:paraId="3D18468B" w14:textId="77777777" w:rsidR="006D11C0" w:rsidRPr="006D11C0" w:rsidRDefault="005A5CDB" w:rsidP="006D11C0">
      <w:pPr>
        <w:pStyle w:val="EndNoteBibliographyTitle"/>
      </w:pPr>
      <w:r w:rsidRPr="001C3290">
        <w:fldChar w:fldCharType="begin"/>
      </w:r>
      <w:r w:rsidRPr="001C3290">
        <w:instrText xml:space="preserve"> ADDIN EN.REFLIST </w:instrText>
      </w:r>
      <w:r w:rsidRPr="001C3290">
        <w:fldChar w:fldCharType="separate"/>
      </w:r>
      <w:r w:rsidR="006D11C0" w:rsidRPr="006D11C0">
        <w:t>References</w:t>
      </w:r>
    </w:p>
    <w:p w14:paraId="13710638" w14:textId="77777777" w:rsidR="006D11C0" w:rsidRPr="006D11C0" w:rsidRDefault="006D11C0" w:rsidP="006D11C0">
      <w:pPr>
        <w:pStyle w:val="EndNoteBibliographyTitle"/>
      </w:pPr>
    </w:p>
    <w:p w14:paraId="249DA8D2" w14:textId="76243EC1" w:rsidR="006D11C0" w:rsidRPr="006D11C0" w:rsidRDefault="006D11C0" w:rsidP="006D11C0">
      <w:pPr>
        <w:pStyle w:val="EndNoteBibliography"/>
        <w:spacing w:after="0"/>
        <w:ind w:left="720" w:hanging="720"/>
      </w:pPr>
      <w:bookmarkStart w:id="0" w:name="_ENREF_1"/>
      <w:r w:rsidRPr="006D11C0">
        <w:t xml:space="preserve">Department for Business Enterprise and Regulatory Reform (2008), </w:t>
      </w:r>
      <w:r w:rsidRPr="006D11C0">
        <w:rPr>
          <w:i/>
        </w:rPr>
        <w:t>Agency working in the UK: A review of the evidence</w:t>
      </w:r>
      <w:r w:rsidRPr="006D11C0">
        <w:t xml:space="preserve">, London: Department for Business Enterprise and Regulatory Reform. </w:t>
      </w:r>
      <w:hyperlink r:id="rId8" w:history="1">
        <w:r w:rsidRPr="006D11C0">
          <w:rPr>
            <w:rStyle w:val="Hyperlink"/>
          </w:rPr>
          <w:t>http://webarchive.nationalarchives.gov.uk/20090609003228/http://www.berr.gov.uk/files/file48720.pdf</w:t>
        </w:r>
      </w:hyperlink>
      <w:r w:rsidRPr="006D11C0">
        <w:t>, accessed March 20, 2017.</w:t>
      </w:r>
      <w:bookmarkEnd w:id="0"/>
    </w:p>
    <w:p w14:paraId="27BB16DB" w14:textId="0DC9C47F" w:rsidR="006D11C0" w:rsidRPr="006D11C0" w:rsidRDefault="006D11C0" w:rsidP="006D11C0">
      <w:pPr>
        <w:pStyle w:val="EndNoteBibliography"/>
        <w:spacing w:after="0"/>
        <w:ind w:left="720" w:hanging="720"/>
      </w:pPr>
      <w:bookmarkStart w:id="1" w:name="_ENREF_2"/>
      <w:r w:rsidRPr="006D11C0">
        <w:t xml:space="preserve">Department for Transport (2002), </w:t>
      </w:r>
      <w:r w:rsidRPr="006D11C0">
        <w:rPr>
          <w:i/>
        </w:rPr>
        <w:t>Final Regulatory Impact Assessment for the Road Transport (Working Time) Regulations</w:t>
      </w:r>
      <w:r w:rsidRPr="006D11C0">
        <w:t xml:space="preserve">, London: Department for Transport. </w:t>
      </w:r>
      <w:hyperlink r:id="rId9" w:history="1">
        <w:r w:rsidRPr="006D11C0">
          <w:rPr>
            <w:rStyle w:val="Hyperlink"/>
          </w:rPr>
          <w:t>http://webarchive.nationalarchives.gov.uk/20051219094446/http://dft.gov.uk/stellent/groups/dft_freight/documents/page/dft_freight_037111.pdf</w:t>
        </w:r>
      </w:hyperlink>
      <w:r w:rsidRPr="006D11C0">
        <w:t>, accessed March 24, 2017.</w:t>
      </w:r>
      <w:bookmarkEnd w:id="1"/>
    </w:p>
    <w:p w14:paraId="4632F5AA" w14:textId="19A74D36" w:rsidR="006D11C0" w:rsidRPr="006D11C0" w:rsidRDefault="006D11C0" w:rsidP="006D11C0">
      <w:pPr>
        <w:pStyle w:val="EndNoteBibliography"/>
        <w:spacing w:after="0"/>
        <w:ind w:left="720" w:hanging="720"/>
      </w:pPr>
      <w:bookmarkStart w:id="2" w:name="_ENREF_3"/>
      <w:r w:rsidRPr="006D11C0">
        <w:t xml:space="preserve">Department for Transport (2011), </w:t>
      </w:r>
      <w:r w:rsidRPr="006D11C0">
        <w:rPr>
          <w:i/>
        </w:rPr>
        <w:t>The Road Transport (Working Time) Amendment Regulations 2012</w:t>
      </w:r>
      <w:r w:rsidRPr="006D11C0">
        <w:t xml:space="preserve">, London: Department for Transport. </w:t>
      </w:r>
      <w:hyperlink r:id="rId10" w:history="1">
        <w:r w:rsidRPr="006D11C0">
          <w:rPr>
            <w:rStyle w:val="Hyperlink"/>
          </w:rPr>
          <w:t>http://www.legislation.gov.uk/ukia/2011/485/pdfs/ukia_20110485_en.pdf</w:t>
        </w:r>
      </w:hyperlink>
      <w:r w:rsidRPr="006D11C0">
        <w:t>, accessed April 14, 2017.</w:t>
      </w:r>
      <w:bookmarkEnd w:id="2"/>
    </w:p>
    <w:p w14:paraId="7E48DB6E" w14:textId="503888A9" w:rsidR="006D11C0" w:rsidRPr="006D11C0" w:rsidRDefault="006D11C0" w:rsidP="006D11C0">
      <w:pPr>
        <w:pStyle w:val="EndNoteBibliography"/>
        <w:spacing w:after="0"/>
        <w:ind w:left="720" w:hanging="720"/>
      </w:pPr>
      <w:bookmarkStart w:id="3" w:name="_ENREF_4"/>
      <w:r w:rsidRPr="006D11C0">
        <w:t xml:space="preserve">Department of Business Innovation and Skills (2010), </w:t>
      </w:r>
      <w:r w:rsidRPr="006D11C0">
        <w:rPr>
          <w:i/>
        </w:rPr>
        <w:t>Impact Assessment of the European Parliament and of the Council Directive on working conditions for temporary agency workers</w:t>
      </w:r>
      <w:r w:rsidRPr="006D11C0">
        <w:t xml:space="preserve">, London: Department of Business, Innovation and Skills. </w:t>
      </w:r>
      <w:hyperlink r:id="rId11" w:history="1">
        <w:r w:rsidRPr="006D11C0">
          <w:rPr>
            <w:rStyle w:val="Hyperlink"/>
          </w:rPr>
          <w:t>http://www.legislation.gov.uk/uksi/2010/93/pdfs/uksiem_20100093_en.pdf</w:t>
        </w:r>
      </w:hyperlink>
      <w:r w:rsidRPr="006D11C0">
        <w:t>, accessed March 20, 2017.</w:t>
      </w:r>
      <w:bookmarkEnd w:id="3"/>
    </w:p>
    <w:p w14:paraId="6CF868FC" w14:textId="4EB411D9" w:rsidR="006D11C0" w:rsidRPr="006D11C0" w:rsidRDefault="006D11C0" w:rsidP="006D11C0">
      <w:pPr>
        <w:pStyle w:val="EndNoteBibliography"/>
        <w:spacing w:after="0"/>
        <w:ind w:left="720" w:hanging="720"/>
      </w:pPr>
      <w:bookmarkStart w:id="4" w:name="_ENREF_5"/>
      <w:r w:rsidRPr="006D11C0">
        <w:t xml:space="preserve">Department of Trade and Industry (2002), </w:t>
      </w:r>
      <w:r w:rsidRPr="006D11C0">
        <w:rPr>
          <w:i/>
        </w:rPr>
        <w:t>Regulatory Impact Assessment: The Working Time (Amendment) Regulations 2002</w:t>
      </w:r>
      <w:r w:rsidRPr="006D11C0">
        <w:t xml:space="preserve">, London: Department of Trade and Industry. </w:t>
      </w:r>
      <w:hyperlink r:id="rId12" w:history="1">
        <w:r w:rsidRPr="006D11C0">
          <w:rPr>
            <w:rStyle w:val="Hyperlink"/>
          </w:rPr>
          <w:t>http://collections.europarchive.org/tna/20060213205515/http://dti.gov.uk/access/ria/pdf/workingtime.pdf</w:t>
        </w:r>
      </w:hyperlink>
      <w:r w:rsidRPr="006D11C0">
        <w:t>, accessed March 26, 2017.</w:t>
      </w:r>
      <w:bookmarkEnd w:id="4"/>
    </w:p>
    <w:p w14:paraId="171C0025" w14:textId="11FC0793" w:rsidR="006D11C0" w:rsidRPr="006D11C0" w:rsidRDefault="006D11C0" w:rsidP="006D11C0">
      <w:pPr>
        <w:pStyle w:val="EndNoteBibliography"/>
        <w:spacing w:after="0"/>
        <w:ind w:left="720" w:hanging="720"/>
      </w:pPr>
      <w:bookmarkStart w:id="5" w:name="_ENREF_6"/>
      <w:r w:rsidRPr="006D11C0">
        <w:t xml:space="preserve">Department of Trade and Industry (2006), </w:t>
      </w:r>
      <w:r w:rsidRPr="006D11C0">
        <w:rPr>
          <w:i/>
        </w:rPr>
        <w:t>1999 Compendium of Regulatory Impact Assessments</w:t>
      </w:r>
      <w:r w:rsidRPr="006D11C0">
        <w:t xml:space="preserve">, London: DTI. </w:t>
      </w:r>
      <w:hyperlink r:id="rId13" w:history="1">
        <w:r w:rsidRPr="006D11C0">
          <w:rPr>
            <w:rStyle w:val="Hyperlink"/>
          </w:rPr>
          <w:t>http://webarchive.nationalarchives.gov.uk/20090609003228/http://www.berr.gov.uk/files/file34183.pdf</w:t>
        </w:r>
      </w:hyperlink>
      <w:r w:rsidRPr="006D11C0">
        <w:t>, accessed March 20, 2017.</w:t>
      </w:r>
      <w:bookmarkEnd w:id="5"/>
    </w:p>
    <w:p w14:paraId="27E76DA6" w14:textId="44243A54" w:rsidR="006D11C0" w:rsidRPr="006D11C0" w:rsidRDefault="006D11C0" w:rsidP="006D11C0">
      <w:pPr>
        <w:pStyle w:val="EndNoteBibliography"/>
        <w:spacing w:after="0"/>
        <w:ind w:left="720" w:hanging="720"/>
      </w:pPr>
      <w:bookmarkStart w:id="6" w:name="_ENREF_7"/>
      <w:r w:rsidRPr="006D11C0">
        <w:t xml:space="preserve">Employment Markets Analysis and Research (2008), </w:t>
      </w:r>
      <w:r w:rsidRPr="006D11C0">
        <w:rPr>
          <w:i/>
        </w:rPr>
        <w:t xml:space="preserve">Agency working in the UK: A review of the evidence </w:t>
      </w:r>
      <w:r w:rsidRPr="006D11C0">
        <w:t xml:space="preserve">London: Department for Business, Enterprise, and Regulatory Reform. </w:t>
      </w:r>
      <w:hyperlink r:id="rId14" w:history="1">
        <w:r w:rsidRPr="006D11C0">
          <w:rPr>
            <w:rStyle w:val="Hyperlink"/>
          </w:rPr>
          <w:t>http://webarchive.nationalarchives.gov.uk/20121212135622/http://www.bis.gov.uk/files/file48720.pdf</w:t>
        </w:r>
      </w:hyperlink>
      <w:r w:rsidRPr="006D11C0">
        <w:t>, accessed December 2, 2016.</w:t>
      </w:r>
      <w:bookmarkEnd w:id="6"/>
    </w:p>
    <w:p w14:paraId="38690305" w14:textId="77777777" w:rsidR="006D11C0" w:rsidRPr="006D11C0" w:rsidRDefault="006D11C0" w:rsidP="006D11C0">
      <w:pPr>
        <w:pStyle w:val="EndNoteBibliography"/>
        <w:spacing w:after="0"/>
        <w:ind w:left="720" w:hanging="720"/>
      </w:pPr>
      <w:bookmarkStart w:id="7" w:name="_ENREF_8"/>
      <w:r w:rsidRPr="006D11C0">
        <w:t xml:space="preserve">Frontline Consultants (2012), </w:t>
      </w:r>
      <w:r w:rsidRPr="006D11C0">
        <w:rPr>
          <w:i/>
        </w:rPr>
        <w:t>Evaluation of the Construction (Design and Management) Regulations 2007</w:t>
      </w:r>
      <w:r w:rsidRPr="006D11C0">
        <w:t>, London: Health and Safety Executive. accessed.</w:t>
      </w:r>
      <w:bookmarkEnd w:id="7"/>
    </w:p>
    <w:p w14:paraId="594D7D31" w14:textId="7249C262" w:rsidR="006D11C0" w:rsidRPr="006D11C0" w:rsidRDefault="006D11C0" w:rsidP="006D11C0">
      <w:pPr>
        <w:pStyle w:val="EndNoteBibliography"/>
        <w:spacing w:after="0"/>
        <w:ind w:left="720" w:hanging="720"/>
      </w:pPr>
      <w:bookmarkStart w:id="8" w:name="_ENREF_9"/>
      <w:r w:rsidRPr="006D11C0">
        <w:t xml:space="preserve">Health and Safety Executive (2003), </w:t>
      </w:r>
      <w:r w:rsidRPr="006D11C0">
        <w:rPr>
          <w:i/>
        </w:rPr>
        <w:t>Final Regulatory Impact Assessment for Control of Substances Hazardous to Health (Amendment) Rgulations 2004</w:t>
      </w:r>
      <w:r w:rsidRPr="006D11C0">
        <w:t xml:space="preserve">, London: Health and Safety Executive. </w:t>
      </w:r>
      <w:hyperlink r:id="rId15" w:history="1">
        <w:r w:rsidRPr="006D11C0">
          <w:rPr>
            <w:rStyle w:val="Hyperlink"/>
          </w:rPr>
          <w:t>http://webarchive.nationalarchives.gov.uk/20060810174143/http://hse.gov.uk/ria/chemical/coshh-cement.pdf</w:t>
        </w:r>
      </w:hyperlink>
      <w:r w:rsidRPr="006D11C0">
        <w:t>, accessed March 3, 2017.</w:t>
      </w:r>
      <w:bookmarkEnd w:id="8"/>
    </w:p>
    <w:p w14:paraId="69F033E2" w14:textId="001FEEB0" w:rsidR="006D11C0" w:rsidRPr="006D11C0" w:rsidRDefault="006D11C0" w:rsidP="006D11C0">
      <w:pPr>
        <w:pStyle w:val="EndNoteBibliography"/>
        <w:spacing w:after="0"/>
        <w:ind w:left="720" w:hanging="720"/>
      </w:pPr>
      <w:bookmarkStart w:id="9" w:name="_ENREF_10"/>
      <w:r w:rsidRPr="006D11C0">
        <w:t xml:space="preserve">Health and Safety Executive (2005a), </w:t>
      </w:r>
      <w:r w:rsidRPr="006D11C0">
        <w:rPr>
          <w:i/>
        </w:rPr>
        <w:t>Regulatory Impact Assesssment (Full): The Draft Control of Vibration at Work Regulations 2005</w:t>
      </w:r>
      <w:r w:rsidRPr="006D11C0">
        <w:t xml:space="preserve">, London: Health and Safety Executive. </w:t>
      </w:r>
      <w:hyperlink r:id="rId16" w:history="1">
        <w:r w:rsidRPr="006D11C0">
          <w:rPr>
            <w:rStyle w:val="Hyperlink"/>
          </w:rPr>
          <w:t>http://www.hse.gov.uk/vibration/ria05.pdf</w:t>
        </w:r>
      </w:hyperlink>
      <w:r w:rsidRPr="006D11C0">
        <w:t>, accessed March  1, 2016.</w:t>
      </w:r>
      <w:bookmarkEnd w:id="9"/>
    </w:p>
    <w:p w14:paraId="6AF2205F" w14:textId="77777777" w:rsidR="006D11C0" w:rsidRPr="006D11C0" w:rsidRDefault="006D11C0" w:rsidP="006D11C0">
      <w:pPr>
        <w:pStyle w:val="EndNoteBibliography"/>
        <w:spacing w:after="0"/>
        <w:ind w:left="720" w:hanging="720"/>
      </w:pPr>
      <w:bookmarkStart w:id="10" w:name="_ENREF_11"/>
      <w:r w:rsidRPr="006D11C0">
        <w:t xml:space="preserve">Health and Safety Executive (2005b), </w:t>
      </w:r>
      <w:r w:rsidRPr="006D11C0">
        <w:rPr>
          <w:i/>
        </w:rPr>
        <w:t>Final Regulatory Impact Assessment of the Control of Noise at Work Regulations 2005</w:t>
      </w:r>
      <w:r w:rsidRPr="006D11C0">
        <w:t>, London: Health and Safety Executive. accessed.</w:t>
      </w:r>
      <w:bookmarkEnd w:id="10"/>
    </w:p>
    <w:p w14:paraId="63335A7A" w14:textId="5601EF21" w:rsidR="006D11C0" w:rsidRPr="006D11C0" w:rsidRDefault="006D11C0" w:rsidP="006D11C0">
      <w:pPr>
        <w:pStyle w:val="EndNoteBibliography"/>
        <w:spacing w:after="0"/>
        <w:ind w:left="720" w:hanging="720"/>
      </w:pPr>
      <w:bookmarkStart w:id="11" w:name="_ENREF_12"/>
      <w:r w:rsidRPr="006D11C0">
        <w:t xml:space="preserve">Health and Safety Executive (2005c), </w:t>
      </w:r>
      <w:r w:rsidRPr="006D11C0">
        <w:rPr>
          <w:i/>
        </w:rPr>
        <w:t>Work at Height Regulations Regulatory Impact Assessment (Final)</w:t>
      </w:r>
      <w:r w:rsidRPr="006D11C0">
        <w:t xml:space="preserve">, London: Health and Safety Executive. </w:t>
      </w:r>
      <w:hyperlink r:id="rId17" w:history="1">
        <w:r w:rsidRPr="006D11C0">
          <w:rPr>
            <w:rStyle w:val="Hyperlink"/>
          </w:rPr>
          <w:t>http://webarchive.nationalarchives.gov.uk/20060810174143/http://hse.gov.uk/ria/wah/ria.pdf</w:t>
        </w:r>
      </w:hyperlink>
      <w:r w:rsidRPr="006D11C0">
        <w:t>, accessed April 6, 2016.</w:t>
      </w:r>
      <w:bookmarkEnd w:id="11"/>
    </w:p>
    <w:p w14:paraId="325F4C5D" w14:textId="4855DB43" w:rsidR="006D11C0" w:rsidRPr="006D11C0" w:rsidRDefault="006D11C0" w:rsidP="006D11C0">
      <w:pPr>
        <w:pStyle w:val="EndNoteBibliography"/>
        <w:spacing w:after="0"/>
        <w:ind w:left="720" w:hanging="720"/>
      </w:pPr>
      <w:bookmarkStart w:id="12" w:name="_ENREF_13"/>
      <w:r w:rsidRPr="006D11C0">
        <w:t xml:space="preserve">Health and Safety Executive (2011), </w:t>
      </w:r>
      <w:r w:rsidRPr="006D11C0">
        <w:rPr>
          <w:i/>
        </w:rPr>
        <w:t>Impact Assessment: Control of Asbestos Regulations</w:t>
      </w:r>
      <w:r w:rsidRPr="006D11C0">
        <w:t xml:space="preserve">, London: HSE. </w:t>
      </w:r>
      <w:hyperlink r:id="rId18" w:history="1">
        <w:r w:rsidRPr="006D11C0">
          <w:rPr>
            <w:rStyle w:val="Hyperlink"/>
          </w:rPr>
          <w:t>http://www.legislation.gov.uk/ukia/2011/471/pdfs/ukia_20110471_en.pdf</w:t>
        </w:r>
      </w:hyperlink>
      <w:r w:rsidRPr="006D11C0">
        <w:t>, accessed March 20, 2017.</w:t>
      </w:r>
      <w:bookmarkEnd w:id="12"/>
    </w:p>
    <w:p w14:paraId="085FAB6A" w14:textId="71EB61C5" w:rsidR="006D11C0" w:rsidRPr="006D11C0" w:rsidRDefault="006D11C0" w:rsidP="006D11C0">
      <w:pPr>
        <w:pStyle w:val="EndNoteBibliography"/>
        <w:spacing w:after="0"/>
        <w:ind w:left="720" w:hanging="720"/>
      </w:pPr>
      <w:bookmarkStart w:id="13" w:name="_ENREF_14"/>
      <w:r w:rsidRPr="006D11C0">
        <w:t xml:space="preserve">Health and Safety Executive (2014), </w:t>
      </w:r>
      <w:r w:rsidRPr="006D11C0">
        <w:rPr>
          <w:i/>
        </w:rPr>
        <w:t>Construction (Design and Management) Regulations 2015 (CDM 2015)</w:t>
      </w:r>
      <w:r w:rsidRPr="006D11C0">
        <w:t xml:space="preserve">, London: HSE. </w:t>
      </w:r>
      <w:hyperlink r:id="rId19" w:history="1">
        <w:r w:rsidRPr="006D11C0">
          <w:rPr>
            <w:rStyle w:val="Hyperlink"/>
          </w:rPr>
          <w:t>http://www.legislation.gov.uk/ukia/2015/42/pdfs/ukia_20150042_en.pdf</w:t>
        </w:r>
      </w:hyperlink>
      <w:r w:rsidRPr="006D11C0">
        <w:t>, accessed March 20, 2017.</w:t>
      </w:r>
      <w:bookmarkEnd w:id="13"/>
    </w:p>
    <w:p w14:paraId="655C95A0" w14:textId="06128E3F" w:rsidR="006D11C0" w:rsidRPr="006D11C0" w:rsidRDefault="006D11C0" w:rsidP="006D11C0">
      <w:pPr>
        <w:pStyle w:val="EndNoteBibliography"/>
        <w:spacing w:after="0"/>
        <w:ind w:left="720" w:hanging="720"/>
      </w:pPr>
      <w:bookmarkStart w:id="14" w:name="_ENREF_15"/>
      <w:r w:rsidRPr="006D11C0">
        <w:t xml:space="preserve">Honey, S., Hillage, J., Jagger, N. and Morris, S. (1996), </w:t>
      </w:r>
      <w:r w:rsidRPr="006D11C0">
        <w:rPr>
          <w:i/>
        </w:rPr>
        <w:t>The Costs and Benefits of the Noise at Work Regulations 1989</w:t>
      </w:r>
      <w:r w:rsidRPr="006D11C0">
        <w:t xml:space="preserve">, Norwich: Health and Safety Executive. </w:t>
      </w:r>
      <w:hyperlink r:id="rId20" w:history="1">
        <w:r w:rsidRPr="006D11C0">
          <w:rPr>
            <w:rStyle w:val="Hyperlink"/>
          </w:rPr>
          <w:t>http://www.hse.gov.uk/research/crr_pdf/1996/crr96116.pdf</w:t>
        </w:r>
      </w:hyperlink>
      <w:r w:rsidRPr="006D11C0">
        <w:t>, accessed April 1, 2017.</w:t>
      </w:r>
      <w:bookmarkEnd w:id="14"/>
    </w:p>
    <w:p w14:paraId="43E1DF4D" w14:textId="7A216B4E" w:rsidR="006D11C0" w:rsidRPr="006D11C0" w:rsidRDefault="006D11C0" w:rsidP="006D11C0">
      <w:pPr>
        <w:pStyle w:val="EndNoteBibliography"/>
        <w:spacing w:after="0"/>
        <w:ind w:left="720" w:hanging="720"/>
      </w:pPr>
      <w:bookmarkStart w:id="15" w:name="_ENREF_16"/>
      <w:r w:rsidRPr="006D11C0">
        <w:t xml:space="preserve">Jackson, P., Hilditch, C., Holmes, A., Reed, N., Merat, N. and Smith, L. (2011), </w:t>
      </w:r>
      <w:r w:rsidRPr="006D11C0">
        <w:rPr>
          <w:i/>
        </w:rPr>
        <w:t>Fatigue and Road Safety: A Critical Review of Recent Evidence</w:t>
      </w:r>
      <w:r w:rsidRPr="006D11C0">
        <w:t xml:space="preserve">, London: Department for Transport. </w:t>
      </w:r>
      <w:hyperlink r:id="rId21" w:history="1">
        <w:r w:rsidRPr="006D11C0">
          <w:rPr>
            <w:rStyle w:val="Hyperlink"/>
          </w:rPr>
          <w:t>http://webarchive.nationalarchives.gov.uk/20121107103953/http://assets.dft.gov.uk/publications/fatigue-and-road-safety-a-critical-analysis-of-recent-evidence/rswp21report.pdf</w:t>
        </w:r>
      </w:hyperlink>
      <w:r w:rsidRPr="006D11C0">
        <w:t>, accessed May 4, 2017.</w:t>
      </w:r>
      <w:bookmarkEnd w:id="15"/>
    </w:p>
    <w:p w14:paraId="467BBEEF" w14:textId="13D5627C" w:rsidR="006D11C0" w:rsidRPr="006D11C0" w:rsidRDefault="006D11C0" w:rsidP="006D11C0">
      <w:pPr>
        <w:pStyle w:val="EndNoteBibliography"/>
        <w:spacing w:after="0"/>
        <w:ind w:left="720" w:hanging="720"/>
      </w:pPr>
      <w:bookmarkStart w:id="16" w:name="_ENREF_17"/>
      <w:r w:rsidRPr="006D11C0">
        <w:t xml:space="preserve">Palmer, K.T., Coggon, D.N., Bendall, H.E., Pannett, B., M., G. and Haward, B. (1999), </w:t>
      </w:r>
      <w:r w:rsidRPr="006D11C0">
        <w:rPr>
          <w:i/>
        </w:rPr>
        <w:t>Whole-body vibration: Occupational exposures and their health effects in Great Britain</w:t>
      </w:r>
      <w:r w:rsidRPr="006D11C0">
        <w:t xml:space="preserve">, London: Health and Safety Executive. </w:t>
      </w:r>
      <w:hyperlink r:id="rId22" w:history="1">
        <w:r w:rsidRPr="006D11C0">
          <w:rPr>
            <w:rStyle w:val="Hyperlink"/>
          </w:rPr>
          <w:t>http://www.hse.gov.uk/research/crr_pdf/1999/crr99233.pdf</w:t>
        </w:r>
      </w:hyperlink>
      <w:r w:rsidRPr="006D11C0">
        <w:t>, accessed March 1, 2017.</w:t>
      </w:r>
      <w:bookmarkEnd w:id="16"/>
    </w:p>
    <w:p w14:paraId="532D64F1" w14:textId="01B0EEE0" w:rsidR="006D11C0" w:rsidRPr="006D11C0" w:rsidRDefault="006D11C0" w:rsidP="006D11C0">
      <w:pPr>
        <w:pStyle w:val="EndNoteBibliography"/>
        <w:spacing w:after="0"/>
        <w:ind w:left="720" w:hanging="720"/>
      </w:pPr>
      <w:bookmarkStart w:id="17" w:name="_ENREF_18"/>
      <w:r w:rsidRPr="006D11C0">
        <w:t xml:space="preserve">Sinclair, A., Tyers, C., Hunt, W., Oakley, J., Pearmain, D., Savage, J., Bust, P. and Gibb, A. (2011), </w:t>
      </w:r>
      <w:r w:rsidRPr="006D11C0">
        <w:rPr>
          <w:i/>
        </w:rPr>
        <w:t>Evaluation of the duty to manage asbestos</w:t>
      </w:r>
      <w:r w:rsidRPr="006D11C0">
        <w:t xml:space="preserve">, Norwich: Health and Safety Executive. </w:t>
      </w:r>
      <w:hyperlink r:id="rId23" w:history="1">
        <w:r w:rsidRPr="006D11C0">
          <w:rPr>
            <w:rStyle w:val="Hyperlink"/>
          </w:rPr>
          <w:t>http://www.hse.gov.uk/research/rrpdf/rr783.pdf</w:t>
        </w:r>
      </w:hyperlink>
      <w:r w:rsidRPr="006D11C0">
        <w:t>, accessed November 3, 2017.</w:t>
      </w:r>
      <w:bookmarkEnd w:id="17"/>
    </w:p>
    <w:p w14:paraId="31F96051" w14:textId="0E52318C" w:rsidR="006D11C0" w:rsidRPr="006D11C0" w:rsidRDefault="006D11C0" w:rsidP="006D11C0">
      <w:pPr>
        <w:pStyle w:val="EndNoteBibliography"/>
        <w:ind w:left="720" w:hanging="720"/>
      </w:pPr>
      <w:bookmarkStart w:id="18" w:name="_ENREF_19"/>
      <w:r w:rsidRPr="006D11C0">
        <w:t xml:space="preserve">Weber, T., Foster, P. and Egriboz, K.L. (2000), </w:t>
      </w:r>
      <w:r w:rsidRPr="006D11C0">
        <w:rPr>
          <w:i/>
        </w:rPr>
        <w:t>Cost and Benefits of the European Works Council Directive</w:t>
      </w:r>
      <w:r w:rsidRPr="006D11C0">
        <w:t xml:space="preserve">, London: Department of Trade and Industry. </w:t>
      </w:r>
      <w:hyperlink r:id="rId24" w:history="1">
        <w:r w:rsidRPr="006D11C0">
          <w:rPr>
            <w:rStyle w:val="Hyperlink"/>
          </w:rPr>
          <w:t>http://webarchive.nationalarchives.gov.uk/20090609003228/http://www.berr.gov.uk/files/file11620.pdf</w:t>
        </w:r>
      </w:hyperlink>
      <w:r w:rsidRPr="006D11C0">
        <w:t>, accessed March 30, 2017.</w:t>
      </w:r>
      <w:bookmarkEnd w:id="18"/>
    </w:p>
    <w:p w14:paraId="069F1C42" w14:textId="2FAD99FE" w:rsidR="00590ED7" w:rsidRDefault="005A5CDB" w:rsidP="00590ED7">
      <w:pPr>
        <w:rPr>
          <w:rFonts w:cstheme="minorHAnsi"/>
        </w:rPr>
      </w:pPr>
      <w:r w:rsidRPr="001C3290">
        <w:rPr>
          <w:rFonts w:cstheme="minorHAnsi"/>
        </w:rPr>
        <w:fldChar w:fldCharType="end"/>
      </w:r>
    </w:p>
    <w:p w14:paraId="1EE798A1" w14:textId="59791080" w:rsidR="009B6065" w:rsidRPr="001C3290" w:rsidRDefault="009B6065" w:rsidP="00590ED7">
      <w:pPr>
        <w:pStyle w:val="Heading2"/>
        <w:numPr>
          <w:ilvl w:val="0"/>
          <w:numId w:val="0"/>
        </w:numPr>
      </w:pPr>
      <w:bookmarkStart w:id="19" w:name="_GoBack"/>
      <w:r w:rsidRPr="001C3290">
        <w:t xml:space="preserve">Table </w:t>
      </w:r>
      <w:r>
        <w:t>3 Select</w:t>
      </w:r>
      <w:r w:rsidR="00C37821">
        <w:t>ed</w:t>
      </w:r>
      <w:r>
        <w:t xml:space="preserve"> Cost and Benefit-Related Data from </w:t>
      </w:r>
      <w:r w:rsidR="00461912">
        <w:t>Sample of Labour-</w:t>
      </w:r>
      <w:r>
        <w:t xml:space="preserve">Related </w:t>
      </w:r>
      <w:r w:rsidR="00461912">
        <w:t xml:space="preserve">Final </w:t>
      </w:r>
      <w:r w:rsidR="00C37821">
        <w:t>Impact Assessments</w:t>
      </w:r>
    </w:p>
    <w:tbl>
      <w:tblPr>
        <w:tblStyle w:val="GridTable4"/>
        <w:tblW w:w="15304" w:type="dxa"/>
        <w:tblLayout w:type="fixed"/>
        <w:tblLook w:val="04A0" w:firstRow="1" w:lastRow="0" w:firstColumn="1" w:lastColumn="0" w:noHBand="0" w:noVBand="1"/>
      </w:tblPr>
      <w:tblGrid>
        <w:gridCol w:w="1406"/>
        <w:gridCol w:w="4632"/>
        <w:gridCol w:w="4633"/>
        <w:gridCol w:w="4633"/>
      </w:tblGrid>
      <w:tr w:rsidR="00644210" w:rsidRPr="001C3290" w14:paraId="133DB10F" w14:textId="77777777" w:rsidTr="00644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bookmarkEnd w:id="19"/>
          <w:p w14:paraId="35D7116F" w14:textId="54BE38F0" w:rsidR="00644210" w:rsidRPr="007C43DB" w:rsidRDefault="00644210" w:rsidP="009C4032">
            <w:pPr>
              <w:rPr>
                <w:rFonts w:cstheme="minorHAnsi"/>
                <w:sz w:val="20"/>
                <w:szCs w:val="20"/>
              </w:rPr>
            </w:pPr>
            <w:r w:rsidRPr="007C43DB">
              <w:rPr>
                <w:rFonts w:cstheme="minorHAnsi"/>
                <w:sz w:val="20"/>
                <w:szCs w:val="20"/>
              </w:rPr>
              <w:t xml:space="preserve">Regulation (originating EU Directive or Regulation) (Government Department responsible for impact assessment) </w:t>
            </w:r>
          </w:p>
        </w:tc>
        <w:tc>
          <w:tcPr>
            <w:tcW w:w="4632" w:type="dxa"/>
          </w:tcPr>
          <w:p w14:paraId="46114E3A" w14:textId="60013F97" w:rsidR="00644210" w:rsidRPr="002C4282" w:rsidRDefault="00644210" w:rsidP="00B96D4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Reported uncertainties and key assumptions concerning c</w:t>
            </w:r>
            <w:r w:rsidRPr="002C4282">
              <w:rPr>
                <w:rFonts w:cstheme="minorHAnsi"/>
                <w:sz w:val="20"/>
                <w:szCs w:val="20"/>
              </w:rPr>
              <w:t xml:space="preserve">ost </w:t>
            </w:r>
            <w:r>
              <w:rPr>
                <w:rFonts w:cstheme="minorHAnsi"/>
                <w:sz w:val="20"/>
                <w:szCs w:val="20"/>
              </w:rPr>
              <w:t>e</w:t>
            </w:r>
            <w:r w:rsidRPr="002C4282">
              <w:rPr>
                <w:rFonts w:cstheme="minorHAnsi"/>
                <w:sz w:val="20"/>
                <w:szCs w:val="20"/>
              </w:rPr>
              <w:t>stimates</w:t>
            </w:r>
            <w:r>
              <w:rPr>
                <w:rFonts w:cstheme="minorHAnsi"/>
                <w:sz w:val="20"/>
                <w:szCs w:val="20"/>
              </w:rPr>
              <w:t xml:space="preserve"> in final impact assessment</w:t>
            </w:r>
          </w:p>
        </w:tc>
        <w:tc>
          <w:tcPr>
            <w:tcW w:w="4633" w:type="dxa"/>
          </w:tcPr>
          <w:p w14:paraId="20F2DE4A" w14:textId="2E2093C5" w:rsidR="00644210" w:rsidRPr="00590ED7" w:rsidRDefault="00644210" w:rsidP="00B96D4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90ED7">
              <w:rPr>
                <w:rFonts w:cstheme="minorHAnsi"/>
                <w:sz w:val="20"/>
                <w:szCs w:val="20"/>
              </w:rPr>
              <w:t xml:space="preserve">Business data relied </w:t>
            </w:r>
            <w:r>
              <w:rPr>
                <w:rFonts w:cstheme="minorHAnsi"/>
                <w:sz w:val="20"/>
                <w:szCs w:val="20"/>
              </w:rPr>
              <w:t>on in respect of costs</w:t>
            </w:r>
          </w:p>
        </w:tc>
        <w:tc>
          <w:tcPr>
            <w:tcW w:w="4633" w:type="dxa"/>
          </w:tcPr>
          <w:p w14:paraId="4BC9AEA4" w14:textId="32D1B6D2" w:rsidR="00644210" w:rsidRPr="002C4282" w:rsidRDefault="00644210" w:rsidP="00B96D47">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Assessment and monetisation of e</w:t>
            </w:r>
            <w:r w:rsidRPr="002C4282">
              <w:rPr>
                <w:rFonts w:cstheme="minorHAnsi"/>
                <w:sz w:val="20"/>
                <w:szCs w:val="20"/>
              </w:rPr>
              <w:t xml:space="preserve">stimated </w:t>
            </w:r>
            <w:r>
              <w:rPr>
                <w:rFonts w:cstheme="minorHAnsi"/>
                <w:sz w:val="20"/>
                <w:szCs w:val="20"/>
              </w:rPr>
              <w:t>b</w:t>
            </w:r>
            <w:r w:rsidRPr="002C4282">
              <w:rPr>
                <w:rFonts w:cstheme="minorHAnsi"/>
                <w:sz w:val="20"/>
                <w:szCs w:val="20"/>
              </w:rPr>
              <w:t>enefits</w:t>
            </w:r>
          </w:p>
        </w:tc>
      </w:tr>
      <w:tr w:rsidR="00644210" w:rsidRPr="001C3290" w14:paraId="3303E41F"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43B8220" w14:textId="64A2E81B" w:rsidR="00644210" w:rsidRPr="007C43DB" w:rsidRDefault="00644210" w:rsidP="00B96D47">
            <w:pPr>
              <w:rPr>
                <w:rFonts w:cstheme="minorHAnsi"/>
                <w:color w:val="000000" w:themeColor="text1"/>
                <w:sz w:val="20"/>
                <w:szCs w:val="20"/>
              </w:rPr>
            </w:pPr>
            <w:r w:rsidRPr="007C43DB">
              <w:rPr>
                <w:rFonts w:cstheme="minorHAnsi"/>
                <w:color w:val="000000" w:themeColor="text1"/>
                <w:sz w:val="20"/>
                <w:szCs w:val="20"/>
              </w:rPr>
              <w:t xml:space="preserve">The Agency Workers Regulations 2010 </w:t>
            </w:r>
            <w:r w:rsidRPr="007C43DB">
              <w:rPr>
                <w:rFonts w:cstheme="minorHAnsi"/>
                <w:b w:val="0"/>
                <w:color w:val="000000" w:themeColor="text1"/>
                <w:sz w:val="20"/>
                <w:szCs w:val="20"/>
              </w:rPr>
              <w:t>(2008/104/EC) (Department of Business, Enterprise, and Regulatory Reform, BERR)</w:t>
            </w:r>
            <w:r w:rsidRPr="007C43DB">
              <w:rPr>
                <w:rFonts w:cstheme="minorHAnsi"/>
                <w:color w:val="000000" w:themeColor="text1"/>
                <w:sz w:val="20"/>
                <w:szCs w:val="20"/>
              </w:rPr>
              <w:fldChar w:fldCharType="begin"/>
            </w:r>
            <w:r w:rsidR="006D11C0">
              <w:rPr>
                <w:rFonts w:cstheme="minorHAnsi"/>
                <w:color w:val="000000" w:themeColor="text1"/>
                <w:sz w:val="20"/>
                <w:szCs w:val="20"/>
              </w:rPr>
              <w:instrText xml:space="preserve"> ADDIN EN.CITE &lt;EndNote&gt;&lt;Cite&gt;&lt;Author&gt;Department of Business Innovation and Skills&lt;/Author&gt;&lt;Year&gt;2010&lt;/Year&gt;&lt;RecNum&gt;1627&lt;/RecNum&gt;&lt;DisplayText&gt; (Department of Business Innovation and Skills, 2010)&lt;/DisplayText&gt;&lt;record&gt;&lt;rec-number&gt;1627&lt;/rec-number&gt;&lt;foreign-keys&gt;&lt;key app="EN" db-id="drrvazw0t090vlef0e6praxba2d0xwps0wt0" timestamp="1492082811"&gt;1627&lt;/key&gt;&lt;/foreign-keys&gt;&lt;ref-type name="Report"&gt;27&lt;/ref-type&gt;&lt;contributors&gt;&lt;authors&gt;&lt;author&gt;Department of Business Innovation and Skills,&lt;/author&gt;&lt;/authors&gt;&lt;tertiary-authors&gt;&lt;author&gt;Department of Business, Innovation and Skills&lt;/author&gt;&lt;/tertiary-authors&gt;&lt;/contributors&gt;&lt;titles&gt;&lt;title&gt;Impact Assessment of the European Parliament and of the Council Directive on working conditions for temporary agency workers&lt;/title&gt;&lt;/titles&gt;&lt;dates&gt;&lt;year&gt;2010&lt;/year&gt;&lt;pub-dates&gt;&lt;date&gt;January&lt;/date&gt;&lt;/pub-dates&gt;&lt;/dates&gt;&lt;pub-location&gt;London&lt;/pub-location&gt;&lt;publisher&gt;Department of Business, Innovation and Skills&lt;/publisher&gt;&lt;urls&gt;&lt;related-urls&gt;&lt;url&gt;http://www.legislation.gov.uk/uksi/2010/93/pdfs/uksiem_20100093_en.pdf&lt;/url&gt;&lt;/related-urls&gt;&lt;/urls&gt;&lt;access-date&gt;March 20, 2017&lt;/access-date&gt;&lt;/record&gt;&lt;/Cite&gt;&lt;/EndNote&gt;</w:instrText>
            </w:r>
            <w:r w:rsidRPr="007C43DB">
              <w:rPr>
                <w:rFonts w:cstheme="minorHAnsi"/>
                <w:color w:val="000000" w:themeColor="text1"/>
                <w:sz w:val="20"/>
                <w:szCs w:val="20"/>
              </w:rPr>
              <w:fldChar w:fldCharType="separate"/>
            </w:r>
            <w:r w:rsidR="006D11C0" w:rsidRPr="006D11C0">
              <w:rPr>
                <w:rFonts w:cstheme="minorHAnsi"/>
                <w:b w:val="0"/>
                <w:noProof/>
                <w:color w:val="000000" w:themeColor="text1"/>
                <w:sz w:val="20"/>
                <w:szCs w:val="20"/>
              </w:rPr>
              <w:t xml:space="preserve"> </w:t>
            </w:r>
            <w:hyperlink w:anchor="_ENREF_4" w:tooltip="Department of Business Innovation and Skills, 2010 #1627" w:history="1">
              <w:r w:rsidR="006D11C0" w:rsidRPr="006D11C0">
                <w:rPr>
                  <w:rFonts w:cstheme="minorHAnsi"/>
                  <w:b w:val="0"/>
                  <w:noProof/>
                  <w:color w:val="000000" w:themeColor="text1"/>
                  <w:sz w:val="20"/>
                  <w:szCs w:val="20"/>
                </w:rPr>
                <w:t>(Department of Business Innovation and Skills, 2010</w:t>
              </w:r>
            </w:hyperlink>
            <w:r w:rsidR="006D11C0" w:rsidRPr="006D11C0">
              <w:rPr>
                <w:rFonts w:cstheme="minorHAnsi"/>
                <w:b w:val="0"/>
                <w:noProof/>
                <w:color w:val="000000" w:themeColor="text1"/>
                <w:sz w:val="20"/>
                <w:szCs w:val="20"/>
              </w:rPr>
              <w:t>)</w:t>
            </w:r>
            <w:r w:rsidRPr="007C43DB">
              <w:rPr>
                <w:rFonts w:cstheme="minorHAnsi"/>
                <w:color w:val="000000" w:themeColor="text1"/>
                <w:sz w:val="20"/>
                <w:szCs w:val="20"/>
              </w:rPr>
              <w:fldChar w:fldCharType="end"/>
            </w:r>
          </w:p>
        </w:tc>
        <w:tc>
          <w:tcPr>
            <w:tcW w:w="4632" w:type="dxa"/>
          </w:tcPr>
          <w:p w14:paraId="70E9A2AC" w14:textId="2234F280" w:rsidR="00644210" w:rsidRDefault="00644210" w:rsidP="009045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Major difficulties in estimating</w:t>
            </w:r>
            <w:r w:rsidRPr="00590ED7">
              <w:rPr>
                <w:rFonts w:cstheme="minorHAnsi"/>
                <w:sz w:val="20"/>
                <w:szCs w:val="20"/>
              </w:rPr>
              <w:t xml:space="preserve"> the number of workers covered by </w:t>
            </w:r>
            <w:r>
              <w:rPr>
                <w:rFonts w:cstheme="minorHAnsi"/>
                <w:sz w:val="20"/>
                <w:szCs w:val="20"/>
              </w:rPr>
              <w:t xml:space="preserve">the proposed regulations were reported. The impact assessment reported that </w:t>
            </w:r>
            <w:r w:rsidRPr="00590ED7">
              <w:rPr>
                <w:rFonts w:cstheme="minorHAnsi"/>
                <w:sz w:val="20"/>
                <w:szCs w:val="20"/>
              </w:rPr>
              <w:t xml:space="preserve">there </w:t>
            </w:r>
            <w:r>
              <w:rPr>
                <w:rFonts w:cstheme="minorHAnsi"/>
                <w:sz w:val="20"/>
                <w:szCs w:val="20"/>
              </w:rPr>
              <w:t>were “</w:t>
            </w:r>
            <w:r w:rsidRPr="00590ED7">
              <w:rPr>
                <w:rFonts w:cstheme="minorHAnsi"/>
                <w:sz w:val="20"/>
                <w:szCs w:val="20"/>
              </w:rPr>
              <w:t>no official statistics or studies that quantify in a robust and comprehensive way the degree of agency working in the UK.</w:t>
            </w:r>
            <w:r>
              <w:rPr>
                <w:rFonts w:cstheme="minorHAnsi"/>
                <w:sz w:val="20"/>
                <w:szCs w:val="20"/>
              </w:rPr>
              <w:t>”</w:t>
            </w:r>
            <w:r w:rsidRPr="00590ED7">
              <w:rPr>
                <w:rFonts w:cstheme="minorHAnsi"/>
                <w:sz w:val="20"/>
                <w:szCs w:val="20"/>
              </w:rPr>
              <w:t xml:space="preserve"> </w:t>
            </w:r>
            <w:r>
              <w:rPr>
                <w:rFonts w:cstheme="minorHAnsi"/>
                <w:sz w:val="20"/>
                <w:szCs w:val="20"/>
              </w:rPr>
              <w:t>Three sources (the Labour Force Survey (LFS), a survey by the Recruitment and</w:t>
            </w:r>
            <w:r w:rsidRPr="00590ED7">
              <w:rPr>
                <w:rFonts w:cstheme="minorHAnsi"/>
                <w:sz w:val="20"/>
                <w:szCs w:val="20"/>
              </w:rPr>
              <w:t xml:space="preserve"> Employment Confederation</w:t>
            </w:r>
            <w:r>
              <w:rPr>
                <w:rFonts w:cstheme="minorHAnsi"/>
                <w:sz w:val="20"/>
                <w:szCs w:val="20"/>
              </w:rPr>
              <w:t xml:space="preserve"> (REC)</w:t>
            </w:r>
            <w:r w:rsidRPr="00590ED7">
              <w:rPr>
                <w:rFonts w:cstheme="minorHAnsi"/>
                <w:sz w:val="20"/>
                <w:szCs w:val="20"/>
              </w:rPr>
              <w:t xml:space="preserve"> </w:t>
            </w:r>
            <w:r>
              <w:rPr>
                <w:rFonts w:cstheme="minorHAnsi"/>
                <w:sz w:val="20"/>
                <w:szCs w:val="20"/>
              </w:rPr>
              <w:t xml:space="preserve">Census, and a </w:t>
            </w:r>
            <w:r w:rsidRPr="00590ED7">
              <w:rPr>
                <w:rFonts w:cstheme="minorHAnsi"/>
                <w:sz w:val="20"/>
                <w:szCs w:val="20"/>
              </w:rPr>
              <w:t xml:space="preserve">BIS Survey of </w:t>
            </w:r>
            <w:r>
              <w:rPr>
                <w:rFonts w:cstheme="minorHAnsi"/>
                <w:sz w:val="20"/>
                <w:szCs w:val="20"/>
              </w:rPr>
              <w:t xml:space="preserve">Recruitment Agencies (SORA)) produced </w:t>
            </w:r>
            <w:r w:rsidRPr="00590ED7">
              <w:rPr>
                <w:rFonts w:cstheme="minorHAnsi"/>
                <w:sz w:val="20"/>
                <w:szCs w:val="20"/>
              </w:rPr>
              <w:t>varying</w:t>
            </w:r>
            <w:r>
              <w:rPr>
                <w:rFonts w:cstheme="minorHAnsi"/>
                <w:sz w:val="20"/>
                <w:szCs w:val="20"/>
              </w:rPr>
              <w:t xml:space="preserve"> estimates (</w:t>
            </w:r>
            <w:r w:rsidRPr="00590ED7">
              <w:rPr>
                <w:rFonts w:cstheme="minorHAnsi"/>
                <w:sz w:val="20"/>
                <w:szCs w:val="20"/>
              </w:rPr>
              <w:t>a quarter of a mill</w:t>
            </w:r>
            <w:r>
              <w:rPr>
                <w:rFonts w:cstheme="minorHAnsi"/>
                <w:sz w:val="20"/>
                <w:szCs w:val="20"/>
              </w:rPr>
              <w:t xml:space="preserve">ion, </w:t>
            </w:r>
            <w:r w:rsidRPr="00590ED7">
              <w:rPr>
                <w:rFonts w:cstheme="minorHAnsi"/>
                <w:sz w:val="20"/>
                <w:szCs w:val="20"/>
              </w:rPr>
              <w:t>1.1 million, 1.5 million</w:t>
            </w:r>
            <w:r>
              <w:rPr>
                <w:rFonts w:cstheme="minorHAnsi"/>
                <w:sz w:val="20"/>
                <w:szCs w:val="20"/>
              </w:rPr>
              <w:t>)</w:t>
            </w:r>
            <w:r w:rsidRPr="00590ED7">
              <w:rPr>
                <w:rFonts w:cstheme="minorHAnsi"/>
                <w:sz w:val="20"/>
                <w:szCs w:val="20"/>
              </w:rPr>
              <w:t xml:space="preserve">. </w:t>
            </w:r>
            <w:r>
              <w:rPr>
                <w:rFonts w:cstheme="minorHAnsi"/>
                <w:sz w:val="20"/>
                <w:szCs w:val="20"/>
              </w:rPr>
              <w:t>The impact assessment took the mean of the latter two surveys as its best estimate, noting that the LFS underestimated</w:t>
            </w:r>
            <w:r w:rsidRPr="00590ED7">
              <w:rPr>
                <w:rFonts w:cstheme="minorHAnsi"/>
                <w:sz w:val="20"/>
                <w:szCs w:val="20"/>
              </w:rPr>
              <w:t xml:space="preserve"> the number of agency workers</w:t>
            </w:r>
            <w:r>
              <w:rPr>
                <w:rFonts w:cstheme="minorHAnsi"/>
                <w:sz w:val="20"/>
                <w:szCs w:val="20"/>
              </w:rPr>
              <w:t xml:space="preserve"> (</w:t>
            </w:r>
            <w:r w:rsidR="00326875">
              <w:rPr>
                <w:rFonts w:cstheme="minorHAnsi"/>
                <w:sz w:val="20"/>
                <w:szCs w:val="20"/>
              </w:rPr>
              <w:t xml:space="preserve">partly, for example, because it </w:t>
            </w:r>
            <w:r w:rsidRPr="009045CB">
              <w:rPr>
                <w:rFonts w:cstheme="minorHAnsi"/>
                <w:sz w:val="20"/>
                <w:szCs w:val="20"/>
              </w:rPr>
              <w:t>self-reported</w:t>
            </w:r>
            <w:r w:rsidR="00326875">
              <w:rPr>
                <w:rFonts w:cstheme="minorHAnsi"/>
                <w:sz w:val="20"/>
                <w:szCs w:val="20"/>
              </w:rPr>
              <w:t xml:space="preserve"> methodology meant that </w:t>
            </w:r>
            <w:r w:rsidRPr="009045CB">
              <w:rPr>
                <w:rFonts w:cstheme="minorHAnsi"/>
                <w:sz w:val="20"/>
                <w:szCs w:val="20"/>
              </w:rPr>
              <w:t xml:space="preserve">respondents </w:t>
            </w:r>
            <w:r w:rsidR="00326875">
              <w:rPr>
                <w:rFonts w:cstheme="minorHAnsi"/>
                <w:sz w:val="20"/>
                <w:szCs w:val="20"/>
              </w:rPr>
              <w:t xml:space="preserve">did </w:t>
            </w:r>
            <w:r w:rsidRPr="009045CB">
              <w:rPr>
                <w:rFonts w:cstheme="minorHAnsi"/>
                <w:sz w:val="20"/>
                <w:szCs w:val="20"/>
              </w:rPr>
              <w:t>not always perceive th</w:t>
            </w:r>
            <w:r>
              <w:rPr>
                <w:rFonts w:cstheme="minorHAnsi"/>
                <w:sz w:val="20"/>
                <w:szCs w:val="20"/>
              </w:rPr>
              <w:t xml:space="preserve">emselves to be “agency workers”, describing themselves, for example, as “casual workers” or </w:t>
            </w:r>
            <w:r w:rsidRPr="009045CB">
              <w:rPr>
                <w:rFonts w:cstheme="minorHAnsi"/>
                <w:sz w:val="20"/>
                <w:szCs w:val="20"/>
              </w:rPr>
              <w:t>“seasonal workers”</w:t>
            </w:r>
            <w:r>
              <w:rPr>
                <w:rFonts w:cstheme="minorHAnsi"/>
                <w:sz w:val="20"/>
                <w:szCs w:val="20"/>
              </w:rPr>
              <w:t>)</w:t>
            </w:r>
            <w:r w:rsidRPr="00590ED7">
              <w:rPr>
                <w:rFonts w:cstheme="minorHAnsi"/>
                <w:sz w:val="20"/>
                <w:szCs w:val="20"/>
              </w:rPr>
              <w:t>.</w:t>
            </w:r>
            <w:r>
              <w:rPr>
                <w:rFonts w:cstheme="minorHAnsi"/>
                <w:sz w:val="20"/>
                <w:szCs w:val="20"/>
              </w:rPr>
              <w:t xml:space="preserve"> </w:t>
            </w:r>
            <w:r w:rsidRPr="00590ED7">
              <w:rPr>
                <w:rFonts w:cstheme="minorHAnsi"/>
                <w:sz w:val="20"/>
                <w:szCs w:val="20"/>
              </w:rPr>
              <w:t xml:space="preserve"> </w:t>
            </w:r>
            <w:r>
              <w:rPr>
                <w:rFonts w:cstheme="minorHAnsi"/>
                <w:sz w:val="20"/>
                <w:szCs w:val="20"/>
              </w:rPr>
              <w:t xml:space="preserve">Both REC and SORA may, however, have </w:t>
            </w:r>
            <w:r w:rsidRPr="00590ED7">
              <w:rPr>
                <w:rFonts w:cstheme="minorHAnsi"/>
                <w:sz w:val="20"/>
                <w:szCs w:val="20"/>
              </w:rPr>
              <w:t>incl</w:t>
            </w:r>
            <w:r>
              <w:rPr>
                <w:rFonts w:cstheme="minorHAnsi"/>
                <w:sz w:val="20"/>
                <w:szCs w:val="20"/>
              </w:rPr>
              <w:t>uded an</w:t>
            </w:r>
            <w:r w:rsidRPr="00590ED7">
              <w:rPr>
                <w:rFonts w:cstheme="minorHAnsi"/>
                <w:sz w:val="20"/>
                <w:szCs w:val="20"/>
              </w:rPr>
              <w:t xml:space="preserve"> element of</w:t>
            </w:r>
            <w:r>
              <w:rPr>
                <w:rFonts w:cstheme="minorHAnsi"/>
                <w:sz w:val="20"/>
                <w:szCs w:val="20"/>
              </w:rPr>
              <w:t xml:space="preserve"> </w:t>
            </w:r>
            <w:r w:rsidRPr="00590ED7">
              <w:rPr>
                <w:rFonts w:cstheme="minorHAnsi"/>
                <w:sz w:val="20"/>
                <w:szCs w:val="20"/>
              </w:rPr>
              <w:t>double counting</w:t>
            </w:r>
            <w:r>
              <w:rPr>
                <w:rFonts w:cstheme="minorHAnsi"/>
                <w:sz w:val="20"/>
                <w:szCs w:val="20"/>
              </w:rPr>
              <w:t>. Although, the impact assessment noted that it was difficult to determine how much, it was assumed that the probability of workers being double counted by SORA was likely to be low</w:t>
            </w:r>
            <w:r w:rsidRPr="00590ED7">
              <w:rPr>
                <w:rFonts w:cstheme="minorHAnsi"/>
                <w:sz w:val="20"/>
                <w:szCs w:val="20"/>
              </w:rPr>
              <w:t xml:space="preserve"> as only 12</w:t>
            </w:r>
            <w:r>
              <w:rPr>
                <w:rFonts w:cstheme="minorHAnsi"/>
                <w:sz w:val="20"/>
                <w:szCs w:val="20"/>
              </w:rPr>
              <w:t>% of establishments were include</w:t>
            </w:r>
            <w:r w:rsidRPr="00590ED7">
              <w:rPr>
                <w:rFonts w:cstheme="minorHAnsi"/>
                <w:sz w:val="20"/>
                <w:szCs w:val="20"/>
              </w:rPr>
              <w:t>d in the survey sample</w:t>
            </w:r>
            <w:r>
              <w:rPr>
                <w:rFonts w:cstheme="minorHAnsi"/>
                <w:sz w:val="20"/>
                <w:szCs w:val="20"/>
              </w:rPr>
              <w:fldChar w:fldCharType="begin"/>
            </w:r>
            <w:r>
              <w:rPr>
                <w:rFonts w:cstheme="minorHAnsi"/>
                <w:sz w:val="20"/>
                <w:szCs w:val="20"/>
              </w:rPr>
              <w:instrText xml:space="preserve"> ADDIN EN.CITE &lt;EndNote&gt;&lt;Cite&gt;&lt;Author&gt;Department for Business Enterprise and Regulatory Reform&lt;/Author&gt;&lt;Year&gt;2008&lt;/Year&gt;&lt;RecNum&gt;1628&lt;/RecNum&gt;&lt;DisplayText&gt; (Department for Business Enterprise and Regulatory Reform, 2008)&lt;/DisplayText&gt;&lt;record&gt;&lt;rec-number&gt;1628&lt;/rec-number&gt;&lt;foreign-keys&gt;&lt;key app="EN" db-id="drrvazw0t090vlef0e6praxba2d0xwps0wt0" timestamp="1492091066"&gt;1628&lt;/key&gt;&lt;/foreign-keys&gt;&lt;ref-type name="Report"&gt;27&lt;/ref-type&gt;&lt;contributors&gt;&lt;authors&gt;&lt;author&gt;Department for Business Enterprise and Regulatory Reform,&lt;/author&gt;&lt;/authors&gt;&lt;tertiary-authors&gt;&lt;author&gt;Department for Business Enterprise and Regulatory Reform&lt;/author&gt;&lt;/tertiary-authors&gt;&lt;/contributors&gt;&lt;titles&gt;&lt;title&gt;Agency working in the UK: A review of the evidence&lt;/title&gt;&lt;/titles&gt;&lt;dates&gt;&lt;year&gt;2008&lt;/year&gt;&lt;/dates&gt;&lt;pub-location&gt;London&lt;/pub-location&gt;&lt;publisher&gt;Department for Business Enterprise and Regulatory Reform&lt;/publisher&gt;&lt;urls&gt;&lt;related-urls&gt;&lt;url&gt;http://webarchive.nationalarchives.gov.uk/20090609003228/http://www.berr.gov.uk/files/file48720.pdf&lt;/url&gt;&lt;/related-urls&gt;&lt;/urls&gt;&lt;access-date&gt;March 20, 2017&lt;/access-date&gt;&lt;/record&gt;&lt;/Cite&gt;&lt;/EndNote&gt;</w:instrText>
            </w:r>
            <w:r>
              <w:rPr>
                <w:rFonts w:cstheme="minorHAnsi"/>
                <w:sz w:val="20"/>
                <w:szCs w:val="20"/>
              </w:rPr>
              <w:fldChar w:fldCharType="separate"/>
            </w:r>
            <w:r>
              <w:rPr>
                <w:rFonts w:cstheme="minorHAnsi"/>
                <w:noProof/>
                <w:sz w:val="20"/>
                <w:szCs w:val="20"/>
              </w:rPr>
              <w:t xml:space="preserve"> </w:t>
            </w:r>
            <w:hyperlink w:anchor="_ENREF_1" w:tooltip="Department for Business Enterprise and Regulatory Reform, 2008 #1628" w:history="1">
              <w:r w:rsidR="006D11C0">
                <w:rPr>
                  <w:rFonts w:cstheme="minorHAnsi"/>
                  <w:noProof/>
                  <w:sz w:val="20"/>
                  <w:szCs w:val="20"/>
                </w:rPr>
                <w:t>(Department for Business Enterprise and Regulatory Reform, 2008</w:t>
              </w:r>
            </w:hyperlink>
            <w:r>
              <w:rPr>
                <w:rFonts w:cstheme="minorHAnsi"/>
                <w:noProof/>
                <w:sz w:val="20"/>
                <w:szCs w:val="20"/>
              </w:rPr>
              <w:t>)</w:t>
            </w:r>
            <w:r>
              <w:rPr>
                <w:rFonts w:cstheme="minorHAnsi"/>
                <w:sz w:val="20"/>
                <w:szCs w:val="20"/>
              </w:rPr>
              <w:fldChar w:fldCharType="end"/>
            </w:r>
            <w:r>
              <w:rPr>
                <w:rFonts w:cstheme="minorHAnsi"/>
                <w:sz w:val="20"/>
                <w:szCs w:val="20"/>
              </w:rPr>
              <w:t xml:space="preserve">. </w:t>
            </w:r>
          </w:p>
          <w:p w14:paraId="3A274312" w14:textId="77777777" w:rsidR="00644210" w:rsidRDefault="00644210" w:rsidP="00E64B69">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098A510" w14:textId="7762BCC4" w:rsidR="00644210" w:rsidRDefault="00644210" w:rsidP="002155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Major difficulties in reliably quantifying the costs associated with changes to behaviour following implementation were reported (dynamic effects). The incentive for employers to</w:t>
            </w:r>
            <w:r w:rsidRPr="009045CB">
              <w:rPr>
                <w:rFonts w:cstheme="minorHAnsi"/>
                <w:sz w:val="20"/>
                <w:szCs w:val="20"/>
              </w:rPr>
              <w:t xml:space="preserve"> switch</w:t>
            </w:r>
            <w:r>
              <w:rPr>
                <w:rFonts w:cstheme="minorHAnsi"/>
                <w:sz w:val="20"/>
                <w:szCs w:val="20"/>
              </w:rPr>
              <w:t xml:space="preserve"> </w:t>
            </w:r>
            <w:r w:rsidRPr="009045CB">
              <w:rPr>
                <w:rFonts w:cstheme="minorHAnsi"/>
                <w:sz w:val="20"/>
                <w:szCs w:val="20"/>
              </w:rPr>
              <w:t xml:space="preserve">assignments lasting less than 12 weeks </w:t>
            </w:r>
            <w:r>
              <w:rPr>
                <w:rFonts w:cstheme="minorHAnsi"/>
                <w:sz w:val="20"/>
                <w:szCs w:val="20"/>
              </w:rPr>
              <w:t xml:space="preserve">to minimise costs was noted (the precise the extent of the change </w:t>
            </w:r>
            <w:r w:rsidRPr="009045CB">
              <w:rPr>
                <w:rFonts w:cstheme="minorHAnsi"/>
                <w:sz w:val="20"/>
                <w:szCs w:val="20"/>
              </w:rPr>
              <w:t>depend</w:t>
            </w:r>
            <w:r>
              <w:rPr>
                <w:rFonts w:cstheme="minorHAnsi"/>
                <w:sz w:val="20"/>
                <w:szCs w:val="20"/>
              </w:rPr>
              <w:t>ing</w:t>
            </w:r>
            <w:r w:rsidRPr="009045CB">
              <w:rPr>
                <w:rFonts w:cstheme="minorHAnsi"/>
                <w:sz w:val="20"/>
                <w:szCs w:val="20"/>
              </w:rPr>
              <w:t xml:space="preserve"> on the degree of extra</w:t>
            </w:r>
            <w:r>
              <w:rPr>
                <w:rFonts w:cstheme="minorHAnsi"/>
                <w:sz w:val="20"/>
                <w:szCs w:val="20"/>
              </w:rPr>
              <w:t xml:space="preserve"> </w:t>
            </w:r>
            <w:r w:rsidRPr="009045CB">
              <w:rPr>
                <w:rFonts w:cstheme="minorHAnsi"/>
                <w:sz w:val="20"/>
                <w:szCs w:val="20"/>
              </w:rPr>
              <w:t xml:space="preserve">cost, </w:t>
            </w:r>
            <w:r>
              <w:rPr>
                <w:rFonts w:cstheme="minorHAnsi"/>
                <w:sz w:val="20"/>
                <w:szCs w:val="20"/>
              </w:rPr>
              <w:t xml:space="preserve">employer sensitivity to </w:t>
            </w:r>
            <w:r w:rsidRPr="009045CB">
              <w:rPr>
                <w:rFonts w:cstheme="minorHAnsi"/>
                <w:sz w:val="20"/>
                <w:szCs w:val="20"/>
              </w:rPr>
              <w:t>cost changes, the overall labour market situation</w:t>
            </w:r>
            <w:r>
              <w:rPr>
                <w:rFonts w:cstheme="minorHAnsi"/>
                <w:sz w:val="20"/>
                <w:szCs w:val="20"/>
              </w:rPr>
              <w:t>,</w:t>
            </w:r>
            <w:r w:rsidRPr="009045CB">
              <w:rPr>
                <w:rFonts w:cstheme="minorHAnsi"/>
                <w:sz w:val="20"/>
                <w:szCs w:val="20"/>
              </w:rPr>
              <w:t xml:space="preserve"> and the</w:t>
            </w:r>
            <w:r>
              <w:rPr>
                <w:rFonts w:cstheme="minorHAnsi"/>
                <w:sz w:val="20"/>
                <w:szCs w:val="20"/>
              </w:rPr>
              <w:t xml:space="preserve"> </w:t>
            </w:r>
            <w:r w:rsidRPr="009045CB">
              <w:rPr>
                <w:rFonts w:cstheme="minorHAnsi"/>
                <w:sz w:val="20"/>
                <w:szCs w:val="20"/>
              </w:rPr>
              <w:t>feasibility of switching to shorter-term placements</w:t>
            </w:r>
            <w:r>
              <w:rPr>
                <w:rFonts w:cstheme="minorHAnsi"/>
                <w:sz w:val="20"/>
                <w:szCs w:val="20"/>
              </w:rPr>
              <w:t>)</w:t>
            </w:r>
            <w:r w:rsidRPr="009045CB">
              <w:rPr>
                <w:rFonts w:cstheme="minorHAnsi"/>
                <w:sz w:val="20"/>
                <w:szCs w:val="20"/>
              </w:rPr>
              <w:t>.</w:t>
            </w:r>
            <w:r>
              <w:rPr>
                <w:rFonts w:cstheme="minorHAnsi"/>
                <w:sz w:val="20"/>
                <w:szCs w:val="20"/>
              </w:rPr>
              <w:t xml:space="preserve"> The impact assessment assumed that </w:t>
            </w:r>
            <w:r w:rsidRPr="009045CB">
              <w:rPr>
                <w:rFonts w:cstheme="minorHAnsi"/>
                <w:sz w:val="20"/>
                <w:szCs w:val="20"/>
              </w:rPr>
              <w:t>25</w:t>
            </w:r>
            <w:r>
              <w:rPr>
                <w:rFonts w:cstheme="minorHAnsi"/>
                <w:sz w:val="20"/>
                <w:szCs w:val="20"/>
              </w:rPr>
              <w:t>%</w:t>
            </w:r>
            <w:r w:rsidRPr="009045CB">
              <w:rPr>
                <w:rFonts w:cstheme="minorHAnsi"/>
                <w:sz w:val="20"/>
                <w:szCs w:val="20"/>
              </w:rPr>
              <w:t xml:space="preserve"> of assignments lasting between 3 and 6 months </w:t>
            </w:r>
            <w:r>
              <w:rPr>
                <w:rFonts w:cstheme="minorHAnsi"/>
                <w:sz w:val="20"/>
                <w:szCs w:val="20"/>
              </w:rPr>
              <w:t xml:space="preserve">would </w:t>
            </w:r>
            <w:r w:rsidRPr="009045CB">
              <w:rPr>
                <w:rFonts w:cstheme="minorHAnsi"/>
                <w:sz w:val="20"/>
                <w:szCs w:val="20"/>
              </w:rPr>
              <w:t>become assignments lasting less than 3 months</w:t>
            </w:r>
            <w:r>
              <w:rPr>
                <w:rFonts w:cstheme="minorHAnsi"/>
                <w:sz w:val="20"/>
                <w:szCs w:val="20"/>
              </w:rPr>
              <w:t xml:space="preserve"> (to calculate that 40% of the total number of agency workers would be affected by the </w:t>
            </w:r>
            <w:r w:rsidRPr="009045CB">
              <w:rPr>
                <w:rFonts w:cstheme="minorHAnsi"/>
                <w:sz w:val="20"/>
                <w:szCs w:val="20"/>
              </w:rPr>
              <w:t>12-week qualifying period</w:t>
            </w:r>
            <w:r>
              <w:rPr>
                <w:rFonts w:cstheme="minorHAnsi"/>
                <w:sz w:val="20"/>
                <w:szCs w:val="20"/>
              </w:rPr>
              <w:t>), but that m</w:t>
            </w:r>
            <w:r w:rsidRPr="0021559E">
              <w:rPr>
                <w:rFonts w:cstheme="minorHAnsi"/>
                <w:sz w:val="20"/>
                <w:szCs w:val="20"/>
              </w:rPr>
              <w:t xml:space="preserve">ore work </w:t>
            </w:r>
            <w:r>
              <w:rPr>
                <w:rFonts w:cstheme="minorHAnsi"/>
                <w:sz w:val="20"/>
                <w:szCs w:val="20"/>
              </w:rPr>
              <w:t xml:space="preserve">would </w:t>
            </w:r>
            <w:r w:rsidRPr="0021559E">
              <w:rPr>
                <w:rFonts w:cstheme="minorHAnsi"/>
                <w:sz w:val="20"/>
                <w:szCs w:val="20"/>
              </w:rPr>
              <w:t>need to be undertaken in the future to assess the extent of switching to shorter-term</w:t>
            </w:r>
            <w:r>
              <w:rPr>
                <w:rFonts w:cstheme="minorHAnsi"/>
                <w:sz w:val="20"/>
                <w:szCs w:val="20"/>
              </w:rPr>
              <w:t xml:space="preserve"> </w:t>
            </w:r>
            <w:r w:rsidRPr="0021559E">
              <w:rPr>
                <w:rFonts w:cstheme="minorHAnsi"/>
                <w:sz w:val="20"/>
                <w:szCs w:val="20"/>
              </w:rPr>
              <w:t>assignments</w:t>
            </w:r>
            <w:r>
              <w:rPr>
                <w:rFonts w:cstheme="minorHAnsi"/>
                <w:sz w:val="20"/>
                <w:szCs w:val="20"/>
              </w:rPr>
              <w:t xml:space="preserve">. </w:t>
            </w:r>
          </w:p>
          <w:p w14:paraId="3EE2E182" w14:textId="20F21F68" w:rsidR="00644210" w:rsidRDefault="00644210" w:rsidP="002155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3AB90D5" w14:textId="5CE75615"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Data relating to the length of agency workers’ assignments (material to calculating the number of workers that would be affected by the 12-week qualifying period) were inconsistent. </w:t>
            </w:r>
            <w:r w:rsidRPr="0021559E">
              <w:rPr>
                <w:rFonts w:cstheme="minorHAnsi"/>
                <w:sz w:val="20"/>
                <w:szCs w:val="20"/>
              </w:rPr>
              <w:t>Data from SORA and the C</w:t>
            </w:r>
            <w:r w:rsidR="003855B6">
              <w:rPr>
                <w:rFonts w:cstheme="minorHAnsi"/>
                <w:sz w:val="20"/>
                <w:szCs w:val="20"/>
              </w:rPr>
              <w:t>onfederation of British Industry’s (CBI)</w:t>
            </w:r>
            <w:r>
              <w:rPr>
                <w:rFonts w:cstheme="minorHAnsi"/>
                <w:sz w:val="20"/>
                <w:szCs w:val="20"/>
              </w:rPr>
              <w:t xml:space="preserve"> Employment Trends Survey</w:t>
            </w:r>
            <w:r w:rsidRPr="0021559E">
              <w:rPr>
                <w:rFonts w:cstheme="minorHAnsi"/>
                <w:sz w:val="20"/>
                <w:szCs w:val="20"/>
              </w:rPr>
              <w:t xml:space="preserve"> indicate</w:t>
            </w:r>
            <w:r>
              <w:rPr>
                <w:rFonts w:cstheme="minorHAnsi"/>
                <w:sz w:val="20"/>
                <w:szCs w:val="20"/>
              </w:rPr>
              <w:t>d</w:t>
            </w:r>
            <w:r w:rsidRPr="0021559E">
              <w:rPr>
                <w:rFonts w:cstheme="minorHAnsi"/>
                <w:sz w:val="20"/>
                <w:szCs w:val="20"/>
              </w:rPr>
              <w:t xml:space="preserve"> that</w:t>
            </w:r>
            <w:r>
              <w:rPr>
                <w:rFonts w:cstheme="minorHAnsi"/>
                <w:sz w:val="20"/>
                <w:szCs w:val="20"/>
              </w:rPr>
              <w:t xml:space="preserve"> </w:t>
            </w:r>
            <w:r w:rsidRPr="0021559E">
              <w:rPr>
                <w:rFonts w:cstheme="minorHAnsi"/>
                <w:sz w:val="20"/>
                <w:szCs w:val="20"/>
              </w:rPr>
              <w:t>between 40</w:t>
            </w:r>
            <w:r>
              <w:rPr>
                <w:rFonts w:cstheme="minorHAnsi"/>
                <w:sz w:val="20"/>
                <w:szCs w:val="20"/>
              </w:rPr>
              <w:t>%</w:t>
            </w:r>
            <w:r w:rsidRPr="0021559E">
              <w:rPr>
                <w:rFonts w:cstheme="minorHAnsi"/>
                <w:sz w:val="20"/>
                <w:szCs w:val="20"/>
              </w:rPr>
              <w:t xml:space="preserve"> and 45</w:t>
            </w:r>
            <w:r>
              <w:rPr>
                <w:rFonts w:cstheme="minorHAnsi"/>
                <w:sz w:val="20"/>
                <w:szCs w:val="20"/>
              </w:rPr>
              <w:t>%</w:t>
            </w:r>
            <w:r w:rsidRPr="0021559E">
              <w:rPr>
                <w:rFonts w:cstheme="minorHAnsi"/>
                <w:sz w:val="20"/>
                <w:szCs w:val="20"/>
              </w:rPr>
              <w:t xml:space="preserve"> of assignments last</w:t>
            </w:r>
            <w:r>
              <w:rPr>
                <w:rFonts w:cstheme="minorHAnsi"/>
                <w:sz w:val="20"/>
                <w:szCs w:val="20"/>
              </w:rPr>
              <w:t>ed</w:t>
            </w:r>
            <w:r w:rsidRPr="0021559E">
              <w:rPr>
                <w:rFonts w:cstheme="minorHAnsi"/>
                <w:sz w:val="20"/>
                <w:szCs w:val="20"/>
              </w:rPr>
              <w:t xml:space="preserve"> more than 3</w:t>
            </w:r>
            <w:r>
              <w:rPr>
                <w:rFonts w:cstheme="minorHAnsi"/>
                <w:sz w:val="20"/>
                <w:szCs w:val="20"/>
              </w:rPr>
              <w:t xml:space="preserve"> months, while the LFS indicated</w:t>
            </w:r>
            <w:r w:rsidRPr="0021559E">
              <w:rPr>
                <w:rFonts w:cstheme="minorHAnsi"/>
                <w:sz w:val="20"/>
                <w:szCs w:val="20"/>
              </w:rPr>
              <w:t xml:space="preserve"> around 70</w:t>
            </w:r>
            <w:r>
              <w:rPr>
                <w:rFonts w:cstheme="minorHAnsi"/>
                <w:sz w:val="20"/>
                <w:szCs w:val="20"/>
              </w:rPr>
              <w:t xml:space="preserve">%. The </w:t>
            </w:r>
            <w:r w:rsidRPr="00480327">
              <w:rPr>
                <w:rFonts w:cstheme="minorHAnsi"/>
                <w:sz w:val="20"/>
                <w:szCs w:val="20"/>
              </w:rPr>
              <w:t>SORA estimates</w:t>
            </w:r>
            <w:r>
              <w:rPr>
                <w:rFonts w:cstheme="minorHAnsi"/>
                <w:sz w:val="20"/>
                <w:szCs w:val="20"/>
              </w:rPr>
              <w:t xml:space="preserve"> were used (45%)</w:t>
            </w:r>
            <w:r w:rsidRPr="00480327">
              <w:rPr>
                <w:rFonts w:cstheme="minorHAnsi"/>
                <w:sz w:val="20"/>
                <w:szCs w:val="20"/>
              </w:rPr>
              <w:t>.</w:t>
            </w:r>
          </w:p>
          <w:p w14:paraId="3B84D1D5" w14:textId="7172A64D"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662D494" w14:textId="29232426"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Data relevant </w:t>
            </w:r>
            <w:r w:rsidRPr="00480327">
              <w:rPr>
                <w:rFonts w:cstheme="minorHAnsi"/>
                <w:sz w:val="20"/>
                <w:szCs w:val="20"/>
              </w:rPr>
              <w:t>to the characteristics of</w:t>
            </w:r>
            <w:r>
              <w:rPr>
                <w:rFonts w:cstheme="minorHAnsi"/>
                <w:sz w:val="20"/>
                <w:szCs w:val="20"/>
              </w:rPr>
              <w:t xml:space="preserve"> </w:t>
            </w:r>
            <w:r w:rsidRPr="00480327">
              <w:rPr>
                <w:rFonts w:cstheme="minorHAnsi"/>
                <w:sz w:val="20"/>
                <w:szCs w:val="20"/>
              </w:rPr>
              <w:t>agency workers</w:t>
            </w:r>
            <w:r>
              <w:rPr>
                <w:rFonts w:cstheme="minorHAnsi"/>
                <w:sz w:val="20"/>
                <w:szCs w:val="20"/>
              </w:rPr>
              <w:t xml:space="preserve"> were also inconsistent.</w:t>
            </w:r>
            <w:r w:rsidRPr="00480327">
              <w:rPr>
                <w:rFonts w:cstheme="minorHAnsi"/>
                <w:sz w:val="20"/>
                <w:szCs w:val="20"/>
              </w:rPr>
              <w:t xml:space="preserve"> SORA found </w:t>
            </w:r>
            <w:r>
              <w:rPr>
                <w:rFonts w:cstheme="minorHAnsi"/>
                <w:sz w:val="20"/>
                <w:szCs w:val="20"/>
              </w:rPr>
              <w:t>57%</w:t>
            </w:r>
            <w:r w:rsidRPr="00480327">
              <w:rPr>
                <w:rFonts w:cstheme="minorHAnsi"/>
                <w:sz w:val="20"/>
                <w:szCs w:val="20"/>
              </w:rPr>
              <w:t xml:space="preserve"> of temporary assignments</w:t>
            </w:r>
            <w:r>
              <w:rPr>
                <w:rFonts w:cstheme="minorHAnsi"/>
                <w:sz w:val="20"/>
                <w:szCs w:val="20"/>
              </w:rPr>
              <w:t xml:space="preserve"> were full-time, whereas the Annual Population (APS) and LFS suggested 75%. The impact assessment assumed the latter.</w:t>
            </w:r>
          </w:p>
          <w:p w14:paraId="29100DE1" w14:textId="67F137FE"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BFE0183" w14:textId="06EDFCCD" w:rsidR="00644210" w:rsidRDefault="00644210" w:rsidP="00B34DC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Cost estimates for training were based on uncertain projections. </w:t>
            </w:r>
            <w:r w:rsidRPr="00461912">
              <w:rPr>
                <w:rFonts w:cstheme="minorHAnsi"/>
                <w:sz w:val="20"/>
                <w:szCs w:val="20"/>
              </w:rPr>
              <w:t xml:space="preserve">LFS data </w:t>
            </w:r>
            <w:r>
              <w:rPr>
                <w:rFonts w:cstheme="minorHAnsi"/>
                <w:sz w:val="20"/>
                <w:szCs w:val="20"/>
              </w:rPr>
              <w:t>were used to estimate the number of affected agency workers (</w:t>
            </w:r>
            <w:r w:rsidRPr="00461912">
              <w:rPr>
                <w:rFonts w:cstheme="minorHAnsi"/>
                <w:sz w:val="20"/>
                <w:szCs w:val="20"/>
              </w:rPr>
              <w:t>41</w:t>
            </w:r>
            <w:r>
              <w:rPr>
                <w:rFonts w:cstheme="minorHAnsi"/>
                <w:sz w:val="20"/>
                <w:szCs w:val="20"/>
              </w:rPr>
              <w:t>%</w:t>
            </w:r>
            <w:r w:rsidRPr="00461912">
              <w:rPr>
                <w:rFonts w:cstheme="minorHAnsi"/>
                <w:sz w:val="20"/>
                <w:szCs w:val="20"/>
              </w:rPr>
              <w:t xml:space="preserve"> of permanent</w:t>
            </w:r>
            <w:r>
              <w:rPr>
                <w:rFonts w:cstheme="minorHAnsi"/>
                <w:sz w:val="20"/>
                <w:szCs w:val="20"/>
              </w:rPr>
              <w:t xml:space="preserve"> </w:t>
            </w:r>
            <w:r w:rsidRPr="00461912">
              <w:rPr>
                <w:rFonts w:cstheme="minorHAnsi"/>
                <w:sz w:val="20"/>
                <w:szCs w:val="20"/>
              </w:rPr>
              <w:t xml:space="preserve">employees had </w:t>
            </w:r>
            <w:r>
              <w:rPr>
                <w:rFonts w:cstheme="minorHAnsi"/>
                <w:sz w:val="20"/>
                <w:szCs w:val="20"/>
              </w:rPr>
              <w:t xml:space="preserve">reported to have </w:t>
            </w:r>
            <w:r w:rsidRPr="00461912">
              <w:rPr>
                <w:rFonts w:cstheme="minorHAnsi"/>
                <w:sz w:val="20"/>
                <w:szCs w:val="20"/>
              </w:rPr>
              <w:t>received job training in t</w:t>
            </w:r>
            <w:r>
              <w:rPr>
                <w:rFonts w:cstheme="minorHAnsi"/>
                <w:sz w:val="20"/>
                <w:szCs w:val="20"/>
              </w:rPr>
              <w:t>he 3 months prior to the survey, compared with 23% of agency workers)</w:t>
            </w:r>
            <w:r w:rsidRPr="00461912">
              <w:rPr>
                <w:rFonts w:cstheme="minorHAnsi"/>
                <w:sz w:val="20"/>
                <w:szCs w:val="20"/>
              </w:rPr>
              <w:t>.</w:t>
            </w:r>
            <w:r>
              <w:rPr>
                <w:rFonts w:cstheme="minorHAnsi"/>
                <w:sz w:val="20"/>
                <w:szCs w:val="20"/>
              </w:rPr>
              <w:t xml:space="preserve"> The impact assessment then </w:t>
            </w:r>
            <w:r w:rsidRPr="00461912">
              <w:rPr>
                <w:rFonts w:cstheme="minorHAnsi"/>
                <w:sz w:val="20"/>
                <w:szCs w:val="20"/>
              </w:rPr>
              <w:t>assume</w:t>
            </w:r>
            <w:r>
              <w:rPr>
                <w:rFonts w:cstheme="minorHAnsi"/>
                <w:sz w:val="20"/>
                <w:szCs w:val="20"/>
              </w:rPr>
              <w:t>d</w:t>
            </w:r>
            <w:r w:rsidRPr="00461912">
              <w:rPr>
                <w:rFonts w:cstheme="minorHAnsi"/>
                <w:sz w:val="20"/>
                <w:szCs w:val="20"/>
              </w:rPr>
              <w:t xml:space="preserve"> </w:t>
            </w:r>
            <w:r>
              <w:rPr>
                <w:rFonts w:cstheme="minorHAnsi"/>
                <w:sz w:val="20"/>
                <w:szCs w:val="20"/>
              </w:rPr>
              <w:t xml:space="preserve">that </w:t>
            </w:r>
            <w:r w:rsidRPr="00461912">
              <w:rPr>
                <w:rFonts w:cstheme="minorHAnsi"/>
                <w:sz w:val="20"/>
                <w:szCs w:val="20"/>
              </w:rPr>
              <w:t>the affected agency workers would on average receive an additional 2½ days’ tr</w:t>
            </w:r>
            <w:r>
              <w:rPr>
                <w:rFonts w:cstheme="minorHAnsi"/>
                <w:sz w:val="20"/>
                <w:szCs w:val="20"/>
              </w:rPr>
              <w:t>aining per year at an average cost of £200 per day.</w:t>
            </w:r>
          </w:p>
          <w:p w14:paraId="73080402" w14:textId="158EC221" w:rsidR="00644210" w:rsidRDefault="00644210" w:rsidP="00B34DC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0BA3A24" w14:textId="05322282" w:rsidR="00644210" w:rsidRDefault="00644210" w:rsidP="00CA4E3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Difficulties in accurately quantifying the financial effects of increased administration associated with the regulations (e.g. calculating equal treatment for pay and holiday entitlements) were reported. A number of assumptions about the time taken to perform these administrative tasks were taken in the absence of any clear evidence (other than for the hourly wages of personnel performing these tasks which were taken from the </w:t>
            </w:r>
            <w:r w:rsidRPr="00CC4BCF">
              <w:rPr>
                <w:rFonts w:cstheme="minorHAnsi"/>
                <w:sz w:val="20"/>
                <w:szCs w:val="20"/>
              </w:rPr>
              <w:t>Annual</w:t>
            </w:r>
            <w:r>
              <w:rPr>
                <w:rFonts w:cstheme="minorHAnsi"/>
                <w:sz w:val="20"/>
                <w:szCs w:val="20"/>
              </w:rPr>
              <w:t xml:space="preserve"> </w:t>
            </w:r>
            <w:r w:rsidRPr="00CC4BCF">
              <w:rPr>
                <w:rFonts w:cstheme="minorHAnsi"/>
                <w:sz w:val="20"/>
                <w:szCs w:val="20"/>
              </w:rPr>
              <w:t xml:space="preserve">Survey of </w:t>
            </w:r>
            <w:r>
              <w:rPr>
                <w:rFonts w:cstheme="minorHAnsi"/>
                <w:sz w:val="20"/>
                <w:szCs w:val="20"/>
              </w:rPr>
              <w:t>Hours and Earnings, ASHE). In addition, the impact assessment noted that official data of the total number of agency assignments likely to be covered by the regulations (and necessary to calculate these costs) did not exist and, consequently, made assumptions on the back of SORA data for the total number of assignments.</w:t>
            </w:r>
          </w:p>
          <w:p w14:paraId="2D0B80CE" w14:textId="2D5922DF" w:rsidR="00644210" w:rsidRDefault="00644210" w:rsidP="00CA4E35">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F9B9C27" w14:textId="0375E210" w:rsidR="00644210" w:rsidRDefault="00644210" w:rsidP="00CA4E35">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The impact assessment provided a conservative estimate based on no apparent evide</w:t>
            </w:r>
            <w:r w:rsidR="00812A60">
              <w:rPr>
                <w:rFonts w:cstheme="minorHAnsi"/>
                <w:sz w:val="20"/>
                <w:szCs w:val="20"/>
              </w:rPr>
              <w:t>nce for the one-off transition</w:t>
            </w:r>
            <w:r>
              <w:rPr>
                <w:rFonts w:cstheme="minorHAnsi"/>
                <w:sz w:val="20"/>
                <w:szCs w:val="20"/>
              </w:rPr>
              <w:t xml:space="preserve"> costs that would be incurred (as a result of changes associated with IT systems, staff training, legal advice).</w:t>
            </w:r>
          </w:p>
          <w:p w14:paraId="2A7B0F99" w14:textId="77777777"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EC07D22" w14:textId="54C19440" w:rsidR="00644210" w:rsidRPr="003D1A55"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Dynamic effects: </w:t>
            </w:r>
            <w:r>
              <w:rPr>
                <w:rFonts w:cstheme="minorHAnsi"/>
                <w:sz w:val="20"/>
                <w:szCs w:val="20"/>
              </w:rPr>
              <w:t xml:space="preserve">some dynamic effects (see above and adjacent cell under </w:t>
            </w:r>
            <w:r>
              <w:rPr>
                <w:rFonts w:cstheme="minorHAnsi"/>
                <w:i/>
                <w:sz w:val="20"/>
                <w:szCs w:val="20"/>
              </w:rPr>
              <w:t>summary of business views</w:t>
            </w:r>
            <w:r>
              <w:rPr>
                <w:rFonts w:cstheme="minorHAnsi"/>
                <w:sz w:val="20"/>
                <w:szCs w:val="20"/>
              </w:rPr>
              <w:t>) were considered and integrated into estimates (however, the impact assessment noted that it was “very difficult” to quantify these “with any reliability”).</w:t>
            </w:r>
          </w:p>
          <w:p w14:paraId="05A16B79" w14:textId="77777777" w:rsidR="00644210" w:rsidRDefault="00644210" w:rsidP="0048032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E796CBF" w14:textId="28C8FCB0" w:rsidR="00644210" w:rsidRPr="00ED2083" w:rsidRDefault="00644210" w:rsidP="002155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full compliance assumed.</w:t>
            </w:r>
          </w:p>
        </w:tc>
        <w:tc>
          <w:tcPr>
            <w:tcW w:w="4633" w:type="dxa"/>
          </w:tcPr>
          <w:p w14:paraId="05D556EA" w14:textId="4AC9246F" w:rsidR="00644210" w:rsidRDefault="00644210" w:rsidP="0049039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3855B6">
              <w:rPr>
                <w:rFonts w:cstheme="minorHAnsi"/>
                <w:sz w:val="20"/>
                <w:szCs w:val="20"/>
              </w:rPr>
              <w:t>O</w:t>
            </w:r>
            <w:r>
              <w:rPr>
                <w:rFonts w:cstheme="minorHAnsi"/>
                <w:sz w:val="20"/>
                <w:szCs w:val="20"/>
              </w:rPr>
              <w:t xml:space="preserve">fficial data sources (the LFS, the Annual Population Survey, the </w:t>
            </w:r>
            <w:r w:rsidRPr="00CC4BCF">
              <w:rPr>
                <w:rFonts w:cstheme="minorHAnsi"/>
                <w:sz w:val="20"/>
                <w:szCs w:val="20"/>
              </w:rPr>
              <w:t>A</w:t>
            </w:r>
            <w:r w:rsidR="003855B6">
              <w:rPr>
                <w:rFonts w:cstheme="minorHAnsi"/>
                <w:sz w:val="20"/>
                <w:szCs w:val="20"/>
              </w:rPr>
              <w:t>SHE). G</w:t>
            </w:r>
            <w:r>
              <w:rPr>
                <w:rFonts w:cstheme="minorHAnsi"/>
                <w:sz w:val="20"/>
                <w:szCs w:val="20"/>
              </w:rPr>
              <w:t>overnment sponsored surveys of business (i.e. SORA) and reviews of the evidence</w:t>
            </w:r>
            <w:r>
              <w:rPr>
                <w:rFonts w:cstheme="minorHAnsi"/>
                <w:sz w:val="20"/>
                <w:szCs w:val="20"/>
              </w:rPr>
              <w:fldChar w:fldCharType="begin"/>
            </w:r>
            <w:r>
              <w:rPr>
                <w:rFonts w:cstheme="minorHAnsi"/>
                <w:sz w:val="20"/>
                <w:szCs w:val="20"/>
              </w:rPr>
              <w:instrText xml:space="preserve"> ADDIN EN.CITE &lt;EndNote&gt;&lt;Cite&gt;&lt;Author&gt;Employment Markets Analysis and Research&lt;/Author&gt;&lt;Year&gt;2008&lt;/Year&gt;&lt;RecNum&gt;1645&lt;/RecNum&gt;&lt;DisplayText&gt; (Employment Markets Analysis and Research, 2008)&lt;/DisplayText&gt;&lt;record&gt;&lt;rec-number&gt;1645&lt;/rec-number&gt;&lt;foreign-keys&gt;&lt;key app="EN" db-id="drrvazw0t090vlef0e6praxba2d0xwps0wt0" timestamp="1494154147"&gt;1645&lt;/key&gt;&lt;/foreign-keys&gt;&lt;ref-type name="Report"&gt;27&lt;/ref-type&gt;&lt;contributors&gt;&lt;authors&gt;&lt;author&gt;Employment Markets Analysis and Research,&lt;/author&gt;&lt;/authors&gt;&lt;tertiary-authors&gt;&lt;author&gt;Department for Business, Enterprise, and Regulatory Reform&lt;/author&gt;&lt;/tertiary-authors&gt;&lt;/contributors&gt;&lt;titles&gt;&lt;title&gt;Agency working in the UK: A review of the evidence &lt;/title&gt;&lt;/titles&gt;&lt;num-vols&gt;Employment Relations Research Series No.93&lt;/num-vols&gt;&lt;dates&gt;&lt;year&gt;2008&lt;/year&gt;&lt;/dates&gt;&lt;pub-location&gt;London&lt;/pub-location&gt;&lt;publisher&gt;Department for Business, Enterprise, and Regulatory Reform&lt;/publisher&gt;&lt;urls&gt;&lt;related-urls&gt;&lt;url&gt;http://webarchive.nationalarchives.gov.uk/20121212135622/http://www.bis.gov.uk/files/file48720.pdf&lt;/url&gt;&lt;/related-urls&gt;&lt;/urls&gt;&lt;access-date&gt;December 2, 2016&lt;/access-date&gt;&lt;/record&gt;&lt;/Cite&gt;&lt;/EndNote&gt;</w:instrText>
            </w:r>
            <w:r>
              <w:rPr>
                <w:rFonts w:cstheme="minorHAnsi"/>
                <w:sz w:val="20"/>
                <w:szCs w:val="20"/>
              </w:rPr>
              <w:fldChar w:fldCharType="separate"/>
            </w:r>
            <w:r>
              <w:rPr>
                <w:rFonts w:cstheme="minorHAnsi"/>
                <w:noProof/>
                <w:sz w:val="20"/>
                <w:szCs w:val="20"/>
              </w:rPr>
              <w:t xml:space="preserve"> </w:t>
            </w:r>
            <w:hyperlink w:anchor="_ENREF_7" w:tooltip="Employment Markets Analysis and Research, 2008 #1645" w:history="1">
              <w:r w:rsidR="006D11C0">
                <w:rPr>
                  <w:rFonts w:cstheme="minorHAnsi"/>
                  <w:noProof/>
                  <w:sz w:val="20"/>
                  <w:szCs w:val="20"/>
                </w:rPr>
                <w:t>(Employment Markets Analysis and Research, 2008</w:t>
              </w:r>
            </w:hyperlink>
            <w:r>
              <w:rPr>
                <w:rFonts w:cstheme="minorHAnsi"/>
                <w:noProof/>
                <w:sz w:val="20"/>
                <w:szCs w:val="20"/>
              </w:rPr>
              <w:t>)</w:t>
            </w:r>
            <w:r>
              <w:rPr>
                <w:rFonts w:cstheme="minorHAnsi"/>
                <w:sz w:val="20"/>
                <w:szCs w:val="20"/>
              </w:rPr>
              <w:fldChar w:fldCharType="end"/>
            </w:r>
            <w:r w:rsidR="003855B6">
              <w:rPr>
                <w:rFonts w:cstheme="minorHAnsi"/>
                <w:sz w:val="20"/>
                <w:szCs w:val="20"/>
              </w:rPr>
              <w:t>. B</w:t>
            </w:r>
            <w:r>
              <w:rPr>
                <w:rFonts w:cstheme="minorHAnsi"/>
                <w:sz w:val="20"/>
                <w:szCs w:val="20"/>
              </w:rPr>
              <w:t>usiness data (e.g. REC,</w:t>
            </w:r>
            <w:r w:rsidR="00812A60">
              <w:rPr>
                <w:rFonts w:cstheme="minorHAnsi"/>
                <w:sz w:val="20"/>
                <w:szCs w:val="20"/>
              </w:rPr>
              <w:t xml:space="preserve"> CBI Employment Trends Survey).</w:t>
            </w:r>
          </w:p>
          <w:p w14:paraId="4EF81E98" w14:textId="77777777" w:rsidR="00644210" w:rsidRDefault="00644210" w:rsidP="00B96D4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536CFC2" w14:textId="77777777" w:rsidR="003855B6" w:rsidRDefault="00644210"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3855B6">
              <w:rPr>
                <w:rFonts w:cstheme="minorHAnsi"/>
                <w:sz w:val="20"/>
                <w:szCs w:val="20"/>
              </w:rPr>
              <w:t>T</w:t>
            </w:r>
            <w:r>
              <w:rPr>
                <w:rFonts w:cstheme="minorHAnsi"/>
                <w:sz w:val="20"/>
                <w:szCs w:val="20"/>
              </w:rPr>
              <w:t xml:space="preserve">he consultation aimed to collate data </w:t>
            </w:r>
            <w:r w:rsidR="003855B6">
              <w:rPr>
                <w:rFonts w:cstheme="minorHAnsi"/>
                <w:sz w:val="20"/>
                <w:szCs w:val="20"/>
              </w:rPr>
              <w:t xml:space="preserve">from industry </w:t>
            </w:r>
            <w:r>
              <w:rPr>
                <w:rFonts w:cstheme="minorHAnsi"/>
                <w:sz w:val="20"/>
                <w:szCs w:val="20"/>
              </w:rPr>
              <w:t>on potential dynamic effects (so that they could be quantified), although the impact assessment reported few detailed responses (and, consequently, noted that it was “very difficult to try and quantify with any reliability what the vari</w:t>
            </w:r>
            <w:r w:rsidR="003855B6">
              <w:rPr>
                <w:rFonts w:cstheme="minorHAnsi"/>
                <w:sz w:val="20"/>
                <w:szCs w:val="20"/>
              </w:rPr>
              <w:t xml:space="preserve">ous responses might add up to”). </w:t>
            </w:r>
          </w:p>
          <w:p w14:paraId="2CF314C1" w14:textId="77777777" w:rsidR="003855B6" w:rsidRDefault="003855B6"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59A3115" w14:textId="77777777" w:rsidR="003855B6" w:rsidRDefault="003855B6"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w:t>
            </w:r>
            <w:r w:rsidR="00644210">
              <w:rPr>
                <w:rFonts w:cstheme="minorHAnsi"/>
                <w:sz w:val="20"/>
                <w:szCs w:val="20"/>
              </w:rPr>
              <w:t xml:space="preserve">he REC survey and a CBI Employment Trends Survey (2007) were cited (in the context of calculating dynamic effects) to highlight how the regulations may reduce the use of temporary workers, trigger an increase in workload and reduction in benefits for permanent staff, lead to an increase in recruitment of permanent </w:t>
            </w:r>
            <w:r>
              <w:rPr>
                <w:rFonts w:cstheme="minorHAnsi"/>
                <w:sz w:val="20"/>
                <w:szCs w:val="20"/>
              </w:rPr>
              <w:t xml:space="preserve">staff. </w:t>
            </w:r>
          </w:p>
          <w:p w14:paraId="6EF6DBDF" w14:textId="77777777" w:rsidR="003855B6" w:rsidRDefault="003855B6"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FE3E832" w14:textId="1759E6C5" w:rsidR="00644210" w:rsidRDefault="003855B6"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S</w:t>
            </w:r>
            <w:r w:rsidR="00644210">
              <w:rPr>
                <w:rFonts w:cstheme="minorHAnsi"/>
                <w:sz w:val="20"/>
                <w:szCs w:val="20"/>
              </w:rPr>
              <w:t xml:space="preserve">ee also adjacent cell under </w:t>
            </w:r>
            <w:r w:rsidR="00644210">
              <w:rPr>
                <w:rFonts w:cstheme="minorHAnsi"/>
                <w:i/>
                <w:sz w:val="20"/>
                <w:szCs w:val="20"/>
              </w:rPr>
              <w:t xml:space="preserve">material </w:t>
            </w:r>
            <w:r w:rsidR="00644210" w:rsidRPr="003D1A55">
              <w:rPr>
                <w:rFonts w:cstheme="minorHAnsi"/>
                <w:i/>
                <w:sz w:val="20"/>
                <w:szCs w:val="20"/>
              </w:rPr>
              <w:t>cost</w:t>
            </w:r>
            <w:r w:rsidR="00644210" w:rsidRPr="003D1A55">
              <w:rPr>
                <w:rFonts w:cstheme="minorHAnsi"/>
                <w:b/>
                <w:i/>
                <w:sz w:val="20"/>
                <w:szCs w:val="20"/>
              </w:rPr>
              <w:t>-</w:t>
            </w:r>
            <w:r w:rsidR="00644210" w:rsidRPr="003D1A55">
              <w:rPr>
                <w:rFonts w:cstheme="minorHAnsi"/>
                <w:i/>
                <w:sz w:val="20"/>
                <w:szCs w:val="20"/>
              </w:rPr>
              <w:t>relevant</w:t>
            </w:r>
            <w:r w:rsidR="00644210">
              <w:rPr>
                <w:rFonts w:cstheme="minorHAnsi"/>
                <w:i/>
                <w:sz w:val="20"/>
                <w:szCs w:val="20"/>
              </w:rPr>
              <w:t xml:space="preserve"> assumptions</w:t>
            </w:r>
            <w:r w:rsidR="00644210">
              <w:rPr>
                <w:rFonts w:cstheme="minorHAnsi"/>
                <w:sz w:val="20"/>
                <w:szCs w:val="20"/>
              </w:rPr>
              <w:t>.</w:t>
            </w:r>
          </w:p>
          <w:p w14:paraId="5F355474" w14:textId="77777777" w:rsidR="00644210" w:rsidRPr="00D12411" w:rsidRDefault="00644210" w:rsidP="00E15B61">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47B4A0A" w14:textId="77777777" w:rsidR="003855B6" w:rsidRDefault="00644210" w:rsidP="0017741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sidR="003855B6">
              <w:rPr>
                <w:rFonts w:cstheme="minorHAnsi"/>
                <w:sz w:val="20"/>
                <w:szCs w:val="20"/>
              </w:rPr>
              <w:t>S</w:t>
            </w:r>
            <w:r w:rsidRPr="0017741B">
              <w:rPr>
                <w:rFonts w:cstheme="minorHAnsi"/>
                <w:sz w:val="20"/>
                <w:szCs w:val="20"/>
              </w:rPr>
              <w:t>ee adjacent cell</w:t>
            </w:r>
            <w:r>
              <w:rPr>
                <w:rFonts w:cstheme="minorHAnsi"/>
                <w:sz w:val="20"/>
                <w:szCs w:val="20"/>
              </w:rPr>
              <w:t xml:space="preserve"> under </w:t>
            </w:r>
            <w:r>
              <w:rPr>
                <w:rFonts w:cstheme="minorHAnsi"/>
                <w:i/>
                <w:sz w:val="20"/>
                <w:szCs w:val="20"/>
              </w:rPr>
              <w:t xml:space="preserve">material cost-relevant assumptions </w:t>
            </w:r>
            <w:r>
              <w:rPr>
                <w:rFonts w:cstheme="minorHAnsi"/>
                <w:sz w:val="20"/>
                <w:szCs w:val="20"/>
              </w:rPr>
              <w:t xml:space="preserve">concerning </w:t>
            </w:r>
            <w:r w:rsidR="003855B6">
              <w:rPr>
                <w:rFonts w:cstheme="minorHAnsi"/>
                <w:sz w:val="20"/>
                <w:szCs w:val="20"/>
              </w:rPr>
              <w:t>the use of business survey data.</w:t>
            </w:r>
          </w:p>
          <w:p w14:paraId="4DEF65AD" w14:textId="77777777" w:rsidR="003855B6" w:rsidRDefault="003855B6" w:rsidP="0017741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41E5BD" w14:textId="77777777" w:rsidR="003855B6" w:rsidRDefault="003855B6" w:rsidP="0017741B">
            <w:pPr>
              <w:cnfStyle w:val="000000100000" w:firstRow="0" w:lastRow="0" w:firstColumn="0" w:lastColumn="0" w:oddVBand="0" w:evenVBand="0" w:oddHBand="1" w:evenHBand="0" w:firstRowFirstColumn="0" w:firstRowLastColumn="0" w:lastRowFirstColumn="0" w:lastRowLastColumn="0"/>
              <w:rPr>
                <w:sz w:val="20"/>
                <w:szCs w:val="20"/>
              </w:rPr>
            </w:pPr>
            <w:r>
              <w:rPr>
                <w:rFonts w:cstheme="minorHAnsi"/>
                <w:sz w:val="20"/>
                <w:szCs w:val="20"/>
              </w:rPr>
              <w:t>I</w:t>
            </w:r>
            <w:r w:rsidR="00644210">
              <w:rPr>
                <w:rFonts w:cstheme="minorHAnsi"/>
                <w:sz w:val="20"/>
                <w:szCs w:val="20"/>
              </w:rPr>
              <w:t xml:space="preserve">t was reported that </w:t>
            </w:r>
            <w:r w:rsidR="00644210" w:rsidRPr="0017741B">
              <w:rPr>
                <w:rFonts w:cstheme="minorHAnsi"/>
                <w:sz w:val="20"/>
                <w:szCs w:val="20"/>
              </w:rPr>
              <w:t xml:space="preserve">no evidence emerged though the </w:t>
            </w:r>
            <w:r w:rsidR="00644210" w:rsidRPr="0017741B">
              <w:rPr>
                <w:sz w:val="20"/>
                <w:szCs w:val="20"/>
              </w:rPr>
              <w:t>consultation to radically change the key assumptions used within the pre-consultation analysis of costs and benefit</w:t>
            </w:r>
            <w:r w:rsidR="00812A60">
              <w:rPr>
                <w:sz w:val="20"/>
                <w:szCs w:val="20"/>
              </w:rPr>
              <w:t>s</w:t>
            </w:r>
            <w:r w:rsidR="00644210">
              <w:rPr>
                <w:sz w:val="20"/>
                <w:szCs w:val="20"/>
              </w:rPr>
              <w:t xml:space="preserve"> (</w:t>
            </w:r>
            <w:r w:rsidR="00812A60">
              <w:rPr>
                <w:sz w:val="20"/>
                <w:szCs w:val="20"/>
              </w:rPr>
              <w:t xml:space="preserve">feedback </w:t>
            </w:r>
            <w:r w:rsidR="00644210">
              <w:rPr>
                <w:sz w:val="20"/>
                <w:szCs w:val="20"/>
              </w:rPr>
              <w:t>in relation to dynamic</w:t>
            </w:r>
            <w:r w:rsidR="00812A60">
              <w:rPr>
                <w:sz w:val="20"/>
                <w:szCs w:val="20"/>
              </w:rPr>
              <w:t xml:space="preserve"> effect</w:t>
            </w:r>
            <w:r w:rsidR="00644210">
              <w:rPr>
                <w:sz w:val="20"/>
                <w:szCs w:val="20"/>
              </w:rPr>
              <w:t>s were noted to be of a qualitative, r</w:t>
            </w:r>
            <w:r>
              <w:rPr>
                <w:sz w:val="20"/>
                <w:szCs w:val="20"/>
              </w:rPr>
              <w:t>ather than quantitative nature).</w:t>
            </w:r>
          </w:p>
          <w:p w14:paraId="5748A1BE" w14:textId="77777777" w:rsidR="003855B6" w:rsidRDefault="003855B6" w:rsidP="0017741B">
            <w:pPr>
              <w:cnfStyle w:val="000000100000" w:firstRow="0" w:lastRow="0" w:firstColumn="0" w:lastColumn="0" w:oddVBand="0" w:evenVBand="0" w:oddHBand="1" w:evenHBand="0" w:firstRowFirstColumn="0" w:firstRowLastColumn="0" w:lastRowFirstColumn="0" w:lastRowLastColumn="0"/>
              <w:rPr>
                <w:sz w:val="20"/>
                <w:szCs w:val="20"/>
              </w:rPr>
            </w:pPr>
          </w:p>
          <w:p w14:paraId="3BD1C009" w14:textId="54A64C16" w:rsidR="00644210" w:rsidRPr="0017741B" w:rsidRDefault="003855B6" w:rsidP="0017741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w:t>
            </w:r>
            <w:r w:rsidR="00644210">
              <w:rPr>
                <w:sz w:val="20"/>
                <w:szCs w:val="20"/>
              </w:rPr>
              <w:t>usiness survey data on potential dynamic effects (see above) were considered too br</w:t>
            </w:r>
            <w:r w:rsidR="00E25C08">
              <w:rPr>
                <w:sz w:val="20"/>
                <w:szCs w:val="20"/>
              </w:rPr>
              <w:t>oad/vague to support estimates.</w:t>
            </w:r>
          </w:p>
          <w:p w14:paraId="434DC2B7" w14:textId="0267E3B3" w:rsidR="00644210" w:rsidRPr="002C4282" w:rsidRDefault="00644210" w:rsidP="0028070A">
            <w:pPr>
              <w:pStyle w:val="CommentText"/>
              <w:cnfStyle w:val="000000100000" w:firstRow="0" w:lastRow="0" w:firstColumn="0" w:lastColumn="0" w:oddVBand="0" w:evenVBand="0" w:oddHBand="1" w:evenHBand="0" w:firstRowFirstColumn="0" w:firstRowLastColumn="0" w:lastRowFirstColumn="0" w:lastRowLastColumn="0"/>
              <w:rPr>
                <w:rFonts w:cstheme="minorHAnsi"/>
              </w:rPr>
            </w:pPr>
          </w:p>
        </w:tc>
        <w:tc>
          <w:tcPr>
            <w:tcW w:w="4633" w:type="dxa"/>
          </w:tcPr>
          <w:p w14:paraId="0E008604" w14:textId="44A2D042"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(worker</w:t>
            </w:r>
            <w:r w:rsidR="000A3AF9">
              <w:rPr>
                <w:rFonts w:cstheme="minorHAnsi"/>
                <w:b/>
                <w:sz w:val="20"/>
                <w:szCs w:val="20"/>
              </w:rPr>
              <w:t>s</w:t>
            </w:r>
            <w:r>
              <w:rPr>
                <w:rFonts w:cstheme="minorHAnsi"/>
                <w:b/>
                <w:sz w:val="20"/>
                <w:szCs w:val="20"/>
              </w:rPr>
              <w:t xml:space="preserve">): </w:t>
            </w:r>
            <w:r>
              <w:rPr>
                <w:rFonts w:cstheme="minorHAnsi"/>
                <w:sz w:val="20"/>
                <w:szCs w:val="20"/>
              </w:rPr>
              <w:t>wage increases for agency workers; increased security for agency workers transitioning to permanent contra</w:t>
            </w:r>
            <w:r w:rsidR="003855B6">
              <w:rPr>
                <w:rFonts w:cstheme="minorHAnsi"/>
                <w:sz w:val="20"/>
                <w:szCs w:val="20"/>
              </w:rPr>
              <w:t>cts (a predicted effect of the r</w:t>
            </w:r>
            <w:r>
              <w:rPr>
                <w:rFonts w:cstheme="minorHAnsi"/>
                <w:sz w:val="20"/>
                <w:szCs w:val="20"/>
              </w:rPr>
              <w:t>egulations); improved working conditions for all agency workers (improvements in breaks and rest periods, access to child care facilities, provision of transport services, right to be informed of vacancies, paid holiday, improved access to training, payment for overtime, shift allowances, unsocial hours premiums/bonuses, bonuses related to personal and individual performance); improved conditions for pregnant workers (such as the right to be</w:t>
            </w:r>
            <w:r w:rsidRPr="00590ED7">
              <w:rPr>
                <w:rFonts w:cstheme="minorHAnsi"/>
                <w:sz w:val="20"/>
                <w:szCs w:val="20"/>
              </w:rPr>
              <w:t xml:space="preserve"> offered alternative work or hours if there is a health and safety risk</w:t>
            </w:r>
            <w:r>
              <w:rPr>
                <w:rFonts w:cstheme="minorHAnsi"/>
                <w:sz w:val="20"/>
                <w:szCs w:val="20"/>
              </w:rPr>
              <w:t xml:space="preserve">, </w:t>
            </w:r>
            <w:r w:rsidRPr="00590ED7">
              <w:rPr>
                <w:rFonts w:cstheme="minorHAnsi"/>
                <w:sz w:val="20"/>
                <w:szCs w:val="20"/>
              </w:rPr>
              <w:t>the right to be suspended on full pay if alternative arran</w:t>
            </w:r>
            <w:r>
              <w:rPr>
                <w:rFonts w:cstheme="minorHAnsi"/>
                <w:sz w:val="20"/>
                <w:szCs w:val="20"/>
              </w:rPr>
              <w:t xml:space="preserve">gements cannot be put in place, </w:t>
            </w:r>
            <w:r w:rsidRPr="00590ED7">
              <w:rPr>
                <w:rFonts w:cstheme="minorHAnsi"/>
                <w:sz w:val="20"/>
                <w:szCs w:val="20"/>
              </w:rPr>
              <w:t>and paid time off for ante-natal appointments</w:t>
            </w:r>
            <w:r>
              <w:rPr>
                <w:rFonts w:cstheme="minorHAnsi"/>
                <w:sz w:val="20"/>
                <w:szCs w:val="20"/>
              </w:rPr>
              <w:t>).</w:t>
            </w:r>
          </w:p>
          <w:p w14:paraId="3D821F6A" w14:textId="43FBF562"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DED5E77" w14:textId="63836D7B" w:rsidR="00E25C08"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(employer</w:t>
            </w:r>
            <w:r w:rsidR="000A3AF9">
              <w:rPr>
                <w:rFonts w:cstheme="minorHAnsi"/>
                <w:b/>
                <w:sz w:val="20"/>
                <w:szCs w:val="20"/>
              </w:rPr>
              <w:t>s</w:t>
            </w:r>
            <w:r>
              <w:rPr>
                <w:rFonts w:cstheme="minorHAnsi"/>
                <w:b/>
                <w:sz w:val="20"/>
                <w:szCs w:val="20"/>
              </w:rPr>
              <w:t xml:space="preserve">): </w:t>
            </w:r>
            <w:r>
              <w:rPr>
                <w:rFonts w:cstheme="minorHAnsi"/>
                <w:sz w:val="20"/>
                <w:szCs w:val="20"/>
              </w:rPr>
              <w:t>increased worker productivity resulting from greater access to training for workers; greater ease in filling vacancies (assuming the regulations increase</w:t>
            </w:r>
            <w:r w:rsidR="00812A60">
              <w:rPr>
                <w:rFonts w:cstheme="minorHAnsi"/>
                <w:sz w:val="20"/>
                <w:szCs w:val="20"/>
              </w:rPr>
              <w:t>d</w:t>
            </w:r>
            <w:r>
              <w:rPr>
                <w:rFonts w:cstheme="minorHAnsi"/>
                <w:sz w:val="20"/>
                <w:szCs w:val="20"/>
              </w:rPr>
              <w:t xml:space="preserve"> the attractiveness of agency working and, therefore, supply of agency workers).</w:t>
            </w:r>
          </w:p>
          <w:p w14:paraId="04251B80" w14:textId="2A0C1E26" w:rsidR="00644210" w:rsidRPr="00261692"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(government</w:t>
            </w:r>
            <w:r w:rsidR="000A3AF9">
              <w:rPr>
                <w:rFonts w:cstheme="minorHAnsi"/>
                <w:b/>
                <w:sz w:val="20"/>
                <w:szCs w:val="20"/>
              </w:rPr>
              <w:t>s</w:t>
            </w:r>
            <w:r>
              <w:rPr>
                <w:rFonts w:cstheme="minorHAnsi"/>
                <w:b/>
                <w:sz w:val="20"/>
                <w:szCs w:val="20"/>
              </w:rPr>
              <w:t>):</w:t>
            </w:r>
            <w:r>
              <w:rPr>
                <w:rFonts w:cstheme="minorHAnsi"/>
                <w:sz w:val="20"/>
                <w:szCs w:val="20"/>
              </w:rPr>
              <w:t xml:space="preserve"> increased government revenue as a result of increased tax and national insurance contributions.</w:t>
            </w:r>
          </w:p>
          <w:p w14:paraId="4742E36D" w14:textId="77777777"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3176A7A" w14:textId="0B228455"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(worker</w:t>
            </w:r>
            <w:r w:rsidR="000A3AF9">
              <w:rPr>
                <w:rFonts w:cstheme="minorHAnsi"/>
                <w:b/>
                <w:sz w:val="20"/>
                <w:szCs w:val="20"/>
              </w:rPr>
              <w:t>s</w:t>
            </w:r>
            <w:r>
              <w:rPr>
                <w:rFonts w:cstheme="minorHAnsi"/>
                <w:b/>
                <w:sz w:val="20"/>
                <w:szCs w:val="20"/>
              </w:rPr>
              <w:t xml:space="preserve">): </w:t>
            </w:r>
            <w:r>
              <w:rPr>
                <w:rFonts w:cstheme="minorHAnsi"/>
                <w:sz w:val="20"/>
                <w:szCs w:val="20"/>
              </w:rPr>
              <w:t>potential health benefits associated with increased pay, a shift in employment patterns from temporary to permanent, improved conditions for pregnant workers, working time provisions such as breaks and rest periods, access to child care facilities, the provision of transport services, the right to be informed of vacancies, paid holiday, improved access to training, payment for overtime, shift allowances, unsocial hours premiums/bonuses, bonuses related to personal and individual performance, liability and dispute resolution.</w:t>
            </w:r>
          </w:p>
          <w:p w14:paraId="0434EFEE" w14:textId="7DE51D9A"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AD9A39" w14:textId="463B640E" w:rsidR="00644210" w:rsidRPr="004E25B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(employer</w:t>
            </w:r>
            <w:r w:rsidR="000A3AF9">
              <w:rPr>
                <w:rFonts w:cstheme="minorHAnsi"/>
                <w:b/>
                <w:sz w:val="20"/>
                <w:szCs w:val="20"/>
              </w:rPr>
              <w:t>s</w:t>
            </w:r>
            <w:r>
              <w:rPr>
                <w:rFonts w:cstheme="minorHAnsi"/>
                <w:b/>
                <w:sz w:val="20"/>
                <w:szCs w:val="20"/>
              </w:rPr>
              <w:t>):</w:t>
            </w:r>
            <w:r>
              <w:rPr>
                <w:rFonts w:cstheme="minorHAnsi"/>
                <w:sz w:val="20"/>
                <w:szCs w:val="20"/>
              </w:rPr>
              <w:t xml:space="preserve"> potential improved worker productivity as a consequence of non-reported health benefits to workers above (except training, where productivity benefits were reported).</w:t>
            </w:r>
          </w:p>
          <w:p w14:paraId="0708C597" w14:textId="7690D512"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D4AFB9E" w14:textId="34A2DF91" w:rsidR="00644210" w:rsidRPr="004E25B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(government):</w:t>
            </w:r>
            <w:r>
              <w:rPr>
                <w:rFonts w:cstheme="minorHAnsi"/>
                <w:sz w:val="20"/>
                <w:szCs w:val="20"/>
              </w:rPr>
              <w:t xml:space="preserve"> potential cost savings to health service as a consequence of health benefits reported </w:t>
            </w:r>
            <w:r w:rsidR="00AF5AC7">
              <w:rPr>
                <w:rFonts w:cstheme="minorHAnsi"/>
                <w:sz w:val="20"/>
                <w:szCs w:val="20"/>
              </w:rPr>
              <w:t>under</w:t>
            </w:r>
            <w:r>
              <w:rPr>
                <w:rFonts w:cstheme="minorHAnsi"/>
                <w:sz w:val="20"/>
                <w:szCs w:val="20"/>
              </w:rPr>
              <w:t xml:space="preserve"> </w:t>
            </w:r>
            <w:r w:rsidRPr="00AF5AC7">
              <w:rPr>
                <w:rFonts w:cstheme="minorHAnsi"/>
                <w:i/>
                <w:sz w:val="20"/>
                <w:szCs w:val="20"/>
              </w:rPr>
              <w:t>non-reported</w:t>
            </w:r>
            <w:r>
              <w:rPr>
                <w:rFonts w:cstheme="minorHAnsi"/>
                <w:sz w:val="20"/>
                <w:szCs w:val="20"/>
              </w:rPr>
              <w:t xml:space="preserve"> </w:t>
            </w:r>
            <w:r w:rsidRPr="00AF5AC7">
              <w:rPr>
                <w:rFonts w:cstheme="minorHAnsi"/>
                <w:i/>
                <w:sz w:val="20"/>
                <w:szCs w:val="20"/>
              </w:rPr>
              <w:t>benefits</w:t>
            </w:r>
            <w:r w:rsidR="00AF5AC7">
              <w:rPr>
                <w:rFonts w:cstheme="minorHAnsi"/>
                <w:i/>
                <w:sz w:val="20"/>
                <w:szCs w:val="20"/>
              </w:rPr>
              <w:t xml:space="preserve"> (worker)</w:t>
            </w:r>
            <w:r>
              <w:rPr>
                <w:rFonts w:cstheme="minorHAnsi"/>
                <w:sz w:val="20"/>
                <w:szCs w:val="20"/>
              </w:rPr>
              <w:t xml:space="preserve"> above.</w:t>
            </w:r>
          </w:p>
          <w:p w14:paraId="4D40F226" w14:textId="3A60D0B3"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B7D6934" w14:textId="3B97136A" w:rsidR="00644210" w:rsidRDefault="00644210" w:rsidP="00B96D4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Monetised Benefits (worker</w:t>
            </w:r>
            <w:r w:rsidR="000A3AF9">
              <w:rPr>
                <w:rFonts w:cstheme="minorHAnsi"/>
                <w:b/>
                <w:sz w:val="20"/>
                <w:szCs w:val="20"/>
              </w:rPr>
              <w:t>s</w:t>
            </w:r>
            <w:r>
              <w:rPr>
                <w:rFonts w:cstheme="minorHAnsi"/>
                <w:b/>
                <w:sz w:val="20"/>
                <w:szCs w:val="20"/>
              </w:rPr>
              <w:t xml:space="preserve">): </w:t>
            </w:r>
            <w:r>
              <w:rPr>
                <w:rFonts w:cstheme="minorHAnsi"/>
                <w:sz w:val="20"/>
                <w:szCs w:val="20"/>
              </w:rPr>
              <w:t xml:space="preserve">wage </w:t>
            </w:r>
            <w:r w:rsidR="00A75EF9">
              <w:rPr>
                <w:rFonts w:cstheme="minorHAnsi"/>
                <w:sz w:val="20"/>
                <w:szCs w:val="20"/>
              </w:rPr>
              <w:t xml:space="preserve">and paid holiday </w:t>
            </w:r>
            <w:r>
              <w:rPr>
                <w:rFonts w:cstheme="minorHAnsi"/>
                <w:sz w:val="20"/>
                <w:szCs w:val="20"/>
              </w:rPr>
              <w:t>increases for agency workers.</w:t>
            </w:r>
          </w:p>
          <w:p w14:paraId="7D202A0D" w14:textId="77777777" w:rsidR="00644210" w:rsidRDefault="00644210" w:rsidP="00B96D4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0C3B73D" w14:textId="38A72D27" w:rsidR="00644210" w:rsidRDefault="00644210" w:rsidP="0026169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Monetised Benefits (employer</w:t>
            </w:r>
            <w:r w:rsidR="000A3AF9">
              <w:rPr>
                <w:rFonts w:cstheme="minorHAnsi"/>
                <w:b/>
                <w:sz w:val="20"/>
                <w:szCs w:val="20"/>
              </w:rPr>
              <w:t>s</w:t>
            </w:r>
            <w:r>
              <w:rPr>
                <w:rFonts w:cstheme="minorHAnsi"/>
                <w:b/>
                <w:sz w:val="20"/>
                <w:szCs w:val="20"/>
              </w:rPr>
              <w:t xml:space="preserve">): </w:t>
            </w:r>
            <w:r>
              <w:rPr>
                <w:rFonts w:cstheme="minorHAnsi"/>
                <w:sz w:val="20"/>
                <w:szCs w:val="20"/>
              </w:rPr>
              <w:t xml:space="preserve">none </w:t>
            </w:r>
            <w:r w:rsidR="00A75EF9">
              <w:rPr>
                <w:rFonts w:cstheme="minorHAnsi"/>
                <w:sz w:val="20"/>
                <w:szCs w:val="20"/>
              </w:rPr>
              <w:t>quantified</w:t>
            </w:r>
            <w:r>
              <w:rPr>
                <w:rFonts w:cstheme="minorHAnsi"/>
                <w:sz w:val="20"/>
                <w:szCs w:val="20"/>
              </w:rPr>
              <w:t>.</w:t>
            </w:r>
          </w:p>
          <w:p w14:paraId="6EDAB46A" w14:textId="77777777" w:rsidR="00E25C08" w:rsidRPr="004842C3" w:rsidRDefault="00E25C08" w:rsidP="0026169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F599984" w14:textId="053A7820" w:rsidR="00644210" w:rsidRPr="00261692" w:rsidRDefault="00644210" w:rsidP="0026169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Monetised Benefits (government): </w:t>
            </w:r>
            <w:r>
              <w:rPr>
                <w:rFonts w:cstheme="minorHAnsi"/>
                <w:sz w:val="20"/>
                <w:szCs w:val="20"/>
              </w:rPr>
              <w:t xml:space="preserve">increased government revenue as </w:t>
            </w:r>
            <w:r w:rsidR="00A75EF9">
              <w:rPr>
                <w:rFonts w:cstheme="minorHAnsi"/>
                <w:sz w:val="20"/>
                <w:szCs w:val="20"/>
              </w:rPr>
              <w:t xml:space="preserve">a result </w:t>
            </w:r>
            <w:r>
              <w:rPr>
                <w:rFonts w:cstheme="minorHAnsi"/>
                <w:sz w:val="20"/>
                <w:szCs w:val="20"/>
              </w:rPr>
              <w:t>increased tax and national insurance contributions.</w:t>
            </w:r>
          </w:p>
          <w:p w14:paraId="53BEFB83" w14:textId="77777777" w:rsidR="00644210" w:rsidRPr="00261692" w:rsidRDefault="00644210" w:rsidP="00B96D4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841E068" w14:textId="3ED4B51B" w:rsidR="00644210" w:rsidRPr="00B96D43" w:rsidRDefault="00644210" w:rsidP="009045CB">
            <w:pPr>
              <w:pStyle w:val="CommentT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b/>
              </w:rPr>
              <w:t>Non-monetised benefits (worker</w:t>
            </w:r>
            <w:r w:rsidR="000A3AF9">
              <w:rPr>
                <w:rFonts w:cstheme="minorHAnsi"/>
                <w:b/>
              </w:rPr>
              <w:t>s</w:t>
            </w:r>
            <w:r>
              <w:rPr>
                <w:rFonts w:cstheme="minorHAnsi"/>
                <w:b/>
              </w:rPr>
              <w:t xml:space="preserve">): </w:t>
            </w:r>
            <w:r w:rsidR="00E94C70">
              <w:rPr>
                <w:rFonts w:cstheme="minorHAnsi"/>
              </w:rPr>
              <w:t>increased security for agency workers transitioning to permanent contracts (a predicted effect of the regulations); improved working conditions for all agency workers (improvements in breaks and rest periods, access to child care facilities, provision of transport services, right to be informed of vacancies, paid holiday, improved access to training, payment for overtime, shift allowances, unsocial hours premiums/bonuses, bonuses related to personal and individual performance); improved conditions for pregnant workers (such as the right to be</w:t>
            </w:r>
            <w:r w:rsidR="00E94C70" w:rsidRPr="00590ED7">
              <w:rPr>
                <w:rFonts w:cstheme="minorHAnsi"/>
              </w:rPr>
              <w:t xml:space="preserve"> offered alternative work or hours if there is a health and safety risk</w:t>
            </w:r>
            <w:r w:rsidR="00E94C70">
              <w:rPr>
                <w:rFonts w:cstheme="minorHAnsi"/>
              </w:rPr>
              <w:t xml:space="preserve">, </w:t>
            </w:r>
            <w:r w:rsidR="00E94C70" w:rsidRPr="00590ED7">
              <w:rPr>
                <w:rFonts w:cstheme="minorHAnsi"/>
              </w:rPr>
              <w:t>the right to be suspended on full pay if alternative arran</w:t>
            </w:r>
            <w:r w:rsidR="00E94C70">
              <w:rPr>
                <w:rFonts w:cstheme="minorHAnsi"/>
              </w:rPr>
              <w:t xml:space="preserve">gements cannot be put in place, </w:t>
            </w:r>
            <w:r w:rsidR="00E94C70" w:rsidRPr="00590ED7">
              <w:rPr>
                <w:rFonts w:cstheme="minorHAnsi"/>
              </w:rPr>
              <w:t>and paid time off for ante-natal appointments</w:t>
            </w:r>
            <w:r w:rsidR="00E94C70">
              <w:rPr>
                <w:rFonts w:cstheme="minorHAnsi"/>
              </w:rPr>
              <w:t xml:space="preserve">); </w:t>
            </w:r>
            <w:r>
              <w:rPr>
                <w:rFonts w:cstheme="minorHAnsi"/>
              </w:rPr>
              <w:t xml:space="preserve">see </w:t>
            </w:r>
            <w:r w:rsidR="00E94C70">
              <w:rPr>
                <w:rFonts w:cstheme="minorHAnsi"/>
              </w:rPr>
              <w:t xml:space="preserve">also </w:t>
            </w:r>
            <w:r>
              <w:rPr>
                <w:rFonts w:cstheme="minorHAnsi"/>
              </w:rPr>
              <w:t>non-reported benefits above.</w:t>
            </w:r>
            <w:r w:rsidRPr="00B96D43">
              <w:rPr>
                <w:rFonts w:cstheme="minorHAnsi"/>
              </w:rPr>
              <w:t xml:space="preserve"> </w:t>
            </w:r>
          </w:p>
          <w:p w14:paraId="799249BF" w14:textId="77777777"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A65786D" w14:textId="02915C64" w:rsidR="00644210" w:rsidRPr="004842C3"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61692">
              <w:rPr>
                <w:rFonts w:cstheme="minorHAnsi"/>
                <w:b/>
                <w:sz w:val="20"/>
                <w:szCs w:val="20"/>
              </w:rPr>
              <w:t>Non-monetised benefits (</w:t>
            </w:r>
            <w:r>
              <w:rPr>
                <w:rFonts w:cstheme="minorHAnsi"/>
                <w:b/>
                <w:sz w:val="20"/>
                <w:szCs w:val="20"/>
              </w:rPr>
              <w:t>employer</w:t>
            </w:r>
            <w:r w:rsidR="000A3AF9">
              <w:rPr>
                <w:rFonts w:cstheme="minorHAnsi"/>
                <w:b/>
                <w:sz w:val="20"/>
                <w:szCs w:val="20"/>
              </w:rPr>
              <w:t>s</w:t>
            </w:r>
            <w:r w:rsidRPr="00261692">
              <w:rPr>
                <w:rFonts w:cstheme="minorHAnsi"/>
                <w:b/>
                <w:sz w:val="20"/>
                <w:szCs w:val="20"/>
              </w:rPr>
              <w:t>):</w:t>
            </w:r>
            <w:r>
              <w:rPr>
                <w:rFonts w:cstheme="minorHAnsi"/>
                <w:b/>
                <w:sz w:val="20"/>
                <w:szCs w:val="20"/>
              </w:rPr>
              <w:t xml:space="preserve"> </w:t>
            </w:r>
            <w:r>
              <w:rPr>
                <w:rFonts w:cstheme="minorHAnsi"/>
                <w:sz w:val="20"/>
                <w:szCs w:val="20"/>
              </w:rPr>
              <w:t>productivity benefits of increased worker access to training; greater ease in filling vacancies; see also non-reported benefits above.</w:t>
            </w:r>
          </w:p>
          <w:p w14:paraId="5733CB91" w14:textId="77777777"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E6EFD9A" w14:textId="1D920F85" w:rsidR="00644210" w:rsidRPr="004E25B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61692">
              <w:rPr>
                <w:rFonts w:cstheme="minorHAnsi"/>
                <w:b/>
                <w:sz w:val="20"/>
                <w:szCs w:val="20"/>
              </w:rPr>
              <w:t>Non-monetised benefits (</w:t>
            </w:r>
            <w:r>
              <w:rPr>
                <w:rFonts w:cstheme="minorHAnsi"/>
                <w:b/>
                <w:sz w:val="20"/>
                <w:szCs w:val="20"/>
              </w:rPr>
              <w:t>government</w:t>
            </w:r>
            <w:r w:rsidR="000A3AF9">
              <w:rPr>
                <w:rFonts w:cstheme="minorHAnsi"/>
                <w:b/>
                <w:sz w:val="20"/>
                <w:szCs w:val="20"/>
              </w:rPr>
              <w:t>s</w:t>
            </w:r>
            <w:r w:rsidRPr="00261692">
              <w:rPr>
                <w:rFonts w:cstheme="minorHAnsi"/>
                <w:b/>
                <w:sz w:val="20"/>
                <w:szCs w:val="20"/>
              </w:rPr>
              <w:t>):</w:t>
            </w:r>
            <w:r>
              <w:rPr>
                <w:rFonts w:cstheme="minorHAnsi"/>
                <w:b/>
                <w:sz w:val="20"/>
                <w:szCs w:val="20"/>
              </w:rPr>
              <w:t xml:space="preserve"> </w:t>
            </w:r>
            <w:r>
              <w:rPr>
                <w:rFonts w:cstheme="minorHAnsi"/>
                <w:sz w:val="20"/>
                <w:szCs w:val="20"/>
              </w:rPr>
              <w:t>see non-reported benefits above.</w:t>
            </w:r>
          </w:p>
        </w:tc>
      </w:tr>
      <w:tr w:rsidR="00644210" w:rsidRPr="001C3290" w14:paraId="2FDE0105" w14:textId="77777777" w:rsidTr="00644210">
        <w:tc>
          <w:tcPr>
            <w:cnfStyle w:val="001000000000" w:firstRow="0" w:lastRow="0" w:firstColumn="1" w:lastColumn="0" w:oddVBand="0" w:evenVBand="0" w:oddHBand="0" w:evenHBand="0" w:firstRowFirstColumn="0" w:firstRowLastColumn="0" w:lastRowFirstColumn="0" w:lastRowLastColumn="0"/>
            <w:tcW w:w="1406" w:type="dxa"/>
          </w:tcPr>
          <w:p w14:paraId="0BD0DF0C" w14:textId="5317F471" w:rsidR="00644210" w:rsidRPr="007C43DB" w:rsidRDefault="00644210" w:rsidP="00590ED7">
            <w:pPr>
              <w:rPr>
                <w:rFonts w:cstheme="minorHAnsi"/>
                <w:b w:val="0"/>
                <w:color w:val="000000" w:themeColor="text1"/>
                <w:sz w:val="20"/>
                <w:szCs w:val="20"/>
              </w:rPr>
            </w:pPr>
            <w:r w:rsidRPr="007C43DB">
              <w:rPr>
                <w:rFonts w:cstheme="minorHAnsi"/>
                <w:color w:val="000000" w:themeColor="text1"/>
                <w:sz w:val="20"/>
                <w:szCs w:val="20"/>
              </w:rPr>
              <w:t xml:space="preserve">The Road Transport (Working Time) Regulations 2005 </w:t>
            </w:r>
            <w:r w:rsidRPr="007C43DB">
              <w:rPr>
                <w:rFonts w:cstheme="minorHAnsi"/>
                <w:b w:val="0"/>
                <w:color w:val="000000" w:themeColor="text1"/>
                <w:sz w:val="20"/>
                <w:szCs w:val="20"/>
              </w:rPr>
              <w:t>(2002/15/EC) (Department for Transport, DfT)</w:t>
            </w:r>
            <w:r w:rsidR="007C43DB">
              <w:rPr>
                <w:rFonts w:cstheme="minorHAnsi"/>
                <w:b w:val="0"/>
                <w:color w:val="000000" w:themeColor="text1"/>
                <w:sz w:val="20"/>
                <w:szCs w:val="20"/>
              </w:rPr>
              <w:t xml:space="preserve"> </w:t>
            </w:r>
            <w:r w:rsidR="00830DFD" w:rsidRPr="00830DFD">
              <w:rPr>
                <w:rFonts w:cstheme="minorHAnsi"/>
                <w:b w:val="0"/>
                <w:noProof/>
                <w:sz w:val="20"/>
                <w:szCs w:val="20"/>
              </w:rPr>
              <w:t>(Department for Transport, 2002)</w:t>
            </w:r>
          </w:p>
          <w:p w14:paraId="375357BF" w14:textId="40DDDC80" w:rsidR="00644210" w:rsidRPr="007C43DB" w:rsidRDefault="00644210" w:rsidP="00E10059">
            <w:pPr>
              <w:rPr>
                <w:rFonts w:cstheme="minorHAnsi"/>
                <w:color w:val="000000" w:themeColor="text1"/>
                <w:sz w:val="20"/>
                <w:szCs w:val="20"/>
              </w:rPr>
            </w:pPr>
          </w:p>
        </w:tc>
        <w:tc>
          <w:tcPr>
            <w:tcW w:w="4632" w:type="dxa"/>
          </w:tcPr>
          <w:p w14:paraId="4377316B" w14:textId="124E6BE9"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 xml:space="preserve">Difficulties were reported in estimating the number of workers that would be covered by the regulations (partly because their activities take place in different sectors of the economy). </w:t>
            </w:r>
            <w:r w:rsidR="00313D87">
              <w:rPr>
                <w:rFonts w:cstheme="minorHAnsi"/>
                <w:sz w:val="20"/>
                <w:szCs w:val="20"/>
              </w:rPr>
              <w:t>For</w:t>
            </w:r>
            <w:r>
              <w:rPr>
                <w:rFonts w:cstheme="minorHAnsi"/>
                <w:sz w:val="20"/>
                <w:szCs w:val="20"/>
              </w:rPr>
              <w:t xml:space="preserve"> drivers of vehicles over 3.5 tonnes,</w:t>
            </w:r>
            <w:r>
              <w:rPr>
                <w:rFonts w:cstheme="minorHAnsi"/>
                <w:b/>
                <w:sz w:val="20"/>
                <w:szCs w:val="20"/>
              </w:rPr>
              <w:t xml:space="preserve"> </w:t>
            </w:r>
            <w:r>
              <w:rPr>
                <w:rFonts w:cstheme="minorHAnsi"/>
                <w:sz w:val="20"/>
                <w:szCs w:val="20"/>
              </w:rPr>
              <w:t>two sources of data were available: a survey by the Industry Training Council (ITC) and the Labour Force Survey (LFS). The ITC survey had estimated that around 550,000 heavy good vehicle (HGV) licence holders used their licences vocationally. However, neither its coverage nor the degree to which it represented all activities covered by the proposed regulations were clear. Equa</w:t>
            </w:r>
            <w:r w:rsidR="00830DFD">
              <w:rPr>
                <w:rFonts w:cstheme="minorHAnsi"/>
                <w:sz w:val="20"/>
                <w:szCs w:val="20"/>
              </w:rPr>
              <w:t>lly, although the LFS identified</w:t>
            </w:r>
            <w:r>
              <w:rPr>
                <w:rFonts w:cstheme="minorHAnsi"/>
                <w:sz w:val="20"/>
                <w:szCs w:val="20"/>
              </w:rPr>
              <w:t xml:space="preserve"> employment by industry and occupation, these did not match exactly the definitions in the regulations (it recorded drivers of HGVs, over 7.5 tonnes, 319,000, and those of smaller goods vehicles, 192,000, but not those of goods vehicles between 3.5 and 7.5 tonnes</w:t>
            </w:r>
            <w:r w:rsidR="00313D87">
              <w:rPr>
                <w:rFonts w:cstheme="minorHAnsi"/>
                <w:sz w:val="20"/>
                <w:szCs w:val="20"/>
              </w:rPr>
              <w:t>)</w:t>
            </w:r>
            <w:r>
              <w:rPr>
                <w:rFonts w:cstheme="minorHAnsi"/>
                <w:sz w:val="20"/>
                <w:szCs w:val="20"/>
              </w:rPr>
              <w:t>. The</w:t>
            </w:r>
            <w:r w:rsidR="00830DFD">
              <w:rPr>
                <w:rFonts w:cstheme="minorHAnsi"/>
                <w:sz w:val="20"/>
                <w:szCs w:val="20"/>
              </w:rPr>
              <w:t xml:space="preserve"> DfT</w:t>
            </w:r>
            <w:r>
              <w:rPr>
                <w:rFonts w:cstheme="minorHAnsi"/>
                <w:sz w:val="20"/>
                <w:szCs w:val="20"/>
              </w:rPr>
              <w:t>, therefore, estimated a figure of 470,000 employee drivers likely to</w:t>
            </w:r>
            <w:r w:rsidR="00313D87">
              <w:rPr>
                <w:rFonts w:cstheme="minorHAnsi"/>
                <w:sz w:val="20"/>
                <w:szCs w:val="20"/>
              </w:rPr>
              <w:t xml:space="preserve"> be covered by the regulations (</w:t>
            </w:r>
            <w:r>
              <w:rPr>
                <w:rFonts w:cstheme="minorHAnsi"/>
                <w:sz w:val="20"/>
                <w:szCs w:val="20"/>
              </w:rPr>
              <w:t>using the ITC survey and data on the number of vehicles to justify the reasonableness of its assumption</w:t>
            </w:r>
            <w:r w:rsidR="00313D87">
              <w:rPr>
                <w:rFonts w:cstheme="minorHAnsi"/>
                <w:sz w:val="20"/>
                <w:szCs w:val="20"/>
              </w:rPr>
              <w:t>)</w:t>
            </w:r>
            <w:r>
              <w:rPr>
                <w:rFonts w:cstheme="minorHAnsi"/>
                <w:sz w:val="20"/>
                <w:szCs w:val="20"/>
              </w:rPr>
              <w:t>. Likewise, LFS data indicated that there were 121,000 bus and coach drivers, but there was no data indicating how many of them would be affected by the regulations. Taking into account that local bus services are not subject to EU drivers’ hours rules, the impact assessment simply assumed that half (60,000) would be affected.</w:t>
            </w:r>
            <w:r w:rsidR="00313D87">
              <w:rPr>
                <w:rFonts w:cstheme="minorHAnsi"/>
                <w:sz w:val="20"/>
                <w:szCs w:val="20"/>
              </w:rPr>
              <w:t xml:space="preserve"> </w:t>
            </w:r>
          </w:p>
          <w:p w14:paraId="46485421" w14:textId="5FD052E6"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6092462" w14:textId="5B489A9D"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LFS had also identified about 20,000 drivers who either had second jobs in another occupation or were drivers in their second occupations. The extra hours concerned may, under certain circumstances, have counted against the hours limits in the regulations. The </w:t>
            </w:r>
            <w:r w:rsidR="00830DFD">
              <w:rPr>
                <w:rFonts w:cstheme="minorHAnsi"/>
                <w:sz w:val="20"/>
                <w:szCs w:val="20"/>
              </w:rPr>
              <w:t>DfT</w:t>
            </w:r>
            <w:r>
              <w:rPr>
                <w:rFonts w:cstheme="minorHAnsi"/>
                <w:sz w:val="20"/>
                <w:szCs w:val="20"/>
              </w:rPr>
              <w:t xml:space="preserve"> reported that it did not know how many hours were being performed in these second jobs, nor whether they were relevant to the regulations.</w:t>
            </w:r>
          </w:p>
          <w:p w14:paraId="4F1F03D6" w14:textId="73E315EA"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0FB578" w14:textId="5697BA60" w:rsidR="00644210" w:rsidRDefault="00644210" w:rsidP="00E56D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impact assessment simply assumed that</w:t>
            </w:r>
            <w:r w:rsidRPr="00E56D19">
              <w:rPr>
                <w:rFonts w:cstheme="minorHAnsi"/>
                <w:sz w:val="20"/>
                <w:szCs w:val="20"/>
              </w:rPr>
              <w:t xml:space="preserve"> 50% of excess hours </w:t>
            </w:r>
            <w:r>
              <w:rPr>
                <w:rFonts w:cstheme="minorHAnsi"/>
                <w:sz w:val="20"/>
                <w:szCs w:val="20"/>
              </w:rPr>
              <w:t xml:space="preserve">would be </w:t>
            </w:r>
            <w:r w:rsidRPr="00E56D19">
              <w:rPr>
                <w:rFonts w:cstheme="minorHAnsi"/>
                <w:sz w:val="20"/>
                <w:szCs w:val="20"/>
              </w:rPr>
              <w:t>covered by drivers working longer, or by</w:t>
            </w:r>
            <w:r>
              <w:rPr>
                <w:rFonts w:cstheme="minorHAnsi"/>
                <w:sz w:val="20"/>
                <w:szCs w:val="20"/>
              </w:rPr>
              <w:t xml:space="preserve"> employers </w:t>
            </w:r>
            <w:r w:rsidRPr="00E56D19">
              <w:rPr>
                <w:rFonts w:cstheme="minorHAnsi"/>
                <w:sz w:val="20"/>
                <w:szCs w:val="20"/>
              </w:rPr>
              <w:t>reallocating non-driving duties to other staff,</w:t>
            </w:r>
            <w:r>
              <w:rPr>
                <w:rFonts w:cstheme="minorHAnsi"/>
                <w:sz w:val="20"/>
                <w:szCs w:val="20"/>
              </w:rPr>
              <w:t xml:space="preserve"> leaving the </w:t>
            </w:r>
            <w:r w:rsidRPr="00E56D19">
              <w:rPr>
                <w:rFonts w:cstheme="minorHAnsi"/>
                <w:sz w:val="20"/>
                <w:szCs w:val="20"/>
              </w:rPr>
              <w:t xml:space="preserve">remaining 50% </w:t>
            </w:r>
            <w:r>
              <w:rPr>
                <w:rFonts w:cstheme="minorHAnsi"/>
                <w:sz w:val="20"/>
                <w:szCs w:val="20"/>
              </w:rPr>
              <w:t xml:space="preserve">to </w:t>
            </w:r>
            <w:r w:rsidRPr="00E56D19">
              <w:rPr>
                <w:rFonts w:cstheme="minorHAnsi"/>
                <w:sz w:val="20"/>
                <w:szCs w:val="20"/>
              </w:rPr>
              <w:t>come from</w:t>
            </w:r>
            <w:r w:rsidR="00830DFD">
              <w:rPr>
                <w:rFonts w:cstheme="minorHAnsi"/>
                <w:sz w:val="20"/>
                <w:szCs w:val="20"/>
              </w:rPr>
              <w:t xml:space="preserve"> </w:t>
            </w:r>
            <w:r>
              <w:rPr>
                <w:rFonts w:cstheme="minorHAnsi"/>
                <w:sz w:val="20"/>
                <w:szCs w:val="20"/>
              </w:rPr>
              <w:t>new recruits.</w:t>
            </w:r>
          </w:p>
          <w:p w14:paraId="57893119" w14:textId="77777777" w:rsidR="00644210" w:rsidRDefault="00644210" w:rsidP="00E56D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CA95674" w14:textId="14841486" w:rsidR="00644210" w:rsidRPr="00E56D19" w:rsidRDefault="00644210" w:rsidP="002873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Estimates relating to the degree to which</w:t>
            </w:r>
            <w:r w:rsidRPr="00E56D19">
              <w:rPr>
                <w:rFonts w:cstheme="minorHAnsi"/>
                <w:sz w:val="20"/>
                <w:szCs w:val="20"/>
              </w:rPr>
              <w:t xml:space="preserve"> wage rates </w:t>
            </w:r>
            <w:r>
              <w:rPr>
                <w:rFonts w:cstheme="minorHAnsi"/>
                <w:sz w:val="20"/>
                <w:szCs w:val="20"/>
              </w:rPr>
              <w:t xml:space="preserve">would </w:t>
            </w:r>
            <w:r w:rsidRPr="00E56D19">
              <w:rPr>
                <w:rFonts w:cstheme="minorHAnsi"/>
                <w:sz w:val="20"/>
                <w:szCs w:val="20"/>
              </w:rPr>
              <w:t>have to be increased to</w:t>
            </w:r>
            <w:r w:rsidR="00830DFD">
              <w:rPr>
                <w:rFonts w:cstheme="minorHAnsi"/>
                <w:sz w:val="20"/>
                <w:szCs w:val="20"/>
              </w:rPr>
              <w:t xml:space="preserve"> </w:t>
            </w:r>
            <w:r w:rsidRPr="00E56D19">
              <w:rPr>
                <w:rFonts w:cstheme="minorHAnsi"/>
                <w:sz w:val="20"/>
                <w:szCs w:val="20"/>
              </w:rPr>
              <w:t xml:space="preserve">attract </w:t>
            </w:r>
            <w:r>
              <w:rPr>
                <w:rFonts w:cstheme="minorHAnsi"/>
                <w:sz w:val="20"/>
                <w:szCs w:val="20"/>
              </w:rPr>
              <w:t xml:space="preserve">the </w:t>
            </w:r>
            <w:r w:rsidRPr="00E56D19">
              <w:rPr>
                <w:rFonts w:cstheme="minorHAnsi"/>
                <w:sz w:val="20"/>
                <w:szCs w:val="20"/>
              </w:rPr>
              <w:t xml:space="preserve">extra hours </w:t>
            </w:r>
            <w:r>
              <w:rPr>
                <w:rFonts w:cstheme="minorHAnsi"/>
                <w:sz w:val="20"/>
                <w:szCs w:val="20"/>
              </w:rPr>
              <w:t>created by the regulations (</w:t>
            </w:r>
            <w:r w:rsidRPr="00E56D19">
              <w:rPr>
                <w:rFonts w:cstheme="minorHAnsi"/>
                <w:sz w:val="20"/>
                <w:szCs w:val="20"/>
              </w:rPr>
              <w:t>either from existing workers or from new workers</w:t>
            </w:r>
            <w:r>
              <w:rPr>
                <w:rFonts w:cstheme="minorHAnsi"/>
                <w:sz w:val="20"/>
                <w:szCs w:val="20"/>
              </w:rPr>
              <w:t>) were undermined by weak data</w:t>
            </w:r>
            <w:r w:rsidRPr="00E56D19">
              <w:rPr>
                <w:rFonts w:cstheme="minorHAnsi"/>
                <w:sz w:val="20"/>
                <w:szCs w:val="20"/>
              </w:rPr>
              <w:t xml:space="preserve">. </w:t>
            </w:r>
            <w:r>
              <w:rPr>
                <w:rFonts w:cstheme="minorHAnsi"/>
                <w:sz w:val="20"/>
                <w:szCs w:val="20"/>
              </w:rPr>
              <w:t xml:space="preserve">A large US study had failed to </w:t>
            </w:r>
            <w:r w:rsidRPr="00E56D19">
              <w:rPr>
                <w:rFonts w:cstheme="minorHAnsi"/>
                <w:sz w:val="20"/>
                <w:szCs w:val="20"/>
              </w:rPr>
              <w:t>find a definitive answer</w:t>
            </w:r>
            <w:r w:rsidR="002B36DE">
              <w:rPr>
                <w:rFonts w:cstheme="minorHAnsi"/>
                <w:sz w:val="20"/>
                <w:szCs w:val="20"/>
              </w:rPr>
              <w:t>,</w:t>
            </w:r>
            <w:r w:rsidRPr="00E56D19">
              <w:rPr>
                <w:rFonts w:cstheme="minorHAnsi"/>
                <w:sz w:val="20"/>
                <w:szCs w:val="20"/>
              </w:rPr>
              <w:t xml:space="preserve"> </w:t>
            </w:r>
            <w:r>
              <w:rPr>
                <w:rFonts w:cstheme="minorHAnsi"/>
                <w:sz w:val="20"/>
                <w:szCs w:val="20"/>
              </w:rPr>
              <w:t xml:space="preserve">concluding that the </w:t>
            </w:r>
            <w:r w:rsidRPr="00E56D19">
              <w:rPr>
                <w:rFonts w:cstheme="minorHAnsi"/>
                <w:sz w:val="20"/>
                <w:szCs w:val="20"/>
              </w:rPr>
              <w:t>labour</w:t>
            </w:r>
            <w:r>
              <w:rPr>
                <w:rFonts w:cstheme="minorHAnsi"/>
                <w:sz w:val="20"/>
                <w:szCs w:val="20"/>
              </w:rPr>
              <w:t xml:space="preserve"> market was elastic (</w:t>
            </w:r>
            <w:r w:rsidRPr="00E56D19">
              <w:rPr>
                <w:rFonts w:cstheme="minorHAnsi"/>
                <w:sz w:val="20"/>
                <w:szCs w:val="20"/>
              </w:rPr>
              <w:t xml:space="preserve">so the financial burden of restricting hours </w:t>
            </w:r>
            <w:r>
              <w:rPr>
                <w:rFonts w:cstheme="minorHAnsi"/>
                <w:sz w:val="20"/>
                <w:szCs w:val="20"/>
              </w:rPr>
              <w:t xml:space="preserve">would fall </w:t>
            </w:r>
            <w:r w:rsidRPr="00E56D19">
              <w:rPr>
                <w:rFonts w:cstheme="minorHAnsi"/>
                <w:sz w:val="20"/>
                <w:szCs w:val="20"/>
              </w:rPr>
              <w:t>mainly on</w:t>
            </w:r>
            <w:r>
              <w:rPr>
                <w:rFonts w:cstheme="minorHAnsi"/>
                <w:sz w:val="20"/>
                <w:szCs w:val="20"/>
              </w:rPr>
              <w:t xml:space="preserve"> drivers</w:t>
            </w:r>
            <w:r w:rsidR="002B36DE">
              <w:rPr>
                <w:rFonts w:cstheme="minorHAnsi"/>
                <w:sz w:val="20"/>
                <w:szCs w:val="20"/>
              </w:rPr>
              <w:t>,</w:t>
            </w:r>
            <w:r>
              <w:rPr>
                <w:rFonts w:cstheme="minorHAnsi"/>
                <w:sz w:val="20"/>
                <w:szCs w:val="20"/>
              </w:rPr>
              <w:t xml:space="preserve"> as employers would only have to increase wages at the margins </w:t>
            </w:r>
            <w:r w:rsidRPr="00E56D19">
              <w:rPr>
                <w:rFonts w:cstheme="minorHAnsi"/>
                <w:sz w:val="20"/>
                <w:szCs w:val="20"/>
              </w:rPr>
              <w:t>to cover the extra hours</w:t>
            </w:r>
            <w:r>
              <w:rPr>
                <w:rFonts w:cstheme="minorHAnsi"/>
                <w:sz w:val="20"/>
                <w:szCs w:val="20"/>
              </w:rPr>
              <w:t>)</w:t>
            </w:r>
            <w:r w:rsidRPr="00E56D19">
              <w:rPr>
                <w:rFonts w:cstheme="minorHAnsi"/>
                <w:sz w:val="20"/>
                <w:szCs w:val="20"/>
              </w:rPr>
              <w:t>.</w:t>
            </w:r>
            <w:r>
              <w:rPr>
                <w:rFonts w:cstheme="minorHAnsi"/>
                <w:sz w:val="20"/>
                <w:szCs w:val="20"/>
              </w:rPr>
              <w:t xml:space="preserve"> The impact assessment noted that t</w:t>
            </w:r>
            <w:r w:rsidRPr="00E56D19">
              <w:rPr>
                <w:rFonts w:cstheme="minorHAnsi"/>
                <w:sz w:val="20"/>
                <w:szCs w:val="20"/>
              </w:rPr>
              <w:t xml:space="preserve">he US data would not necessarily apply to the UK, but </w:t>
            </w:r>
            <w:r>
              <w:rPr>
                <w:rFonts w:cstheme="minorHAnsi"/>
                <w:sz w:val="20"/>
                <w:szCs w:val="20"/>
              </w:rPr>
              <w:t xml:space="preserve">concluded that </w:t>
            </w:r>
            <w:r w:rsidRPr="00E56D19">
              <w:rPr>
                <w:rFonts w:cstheme="minorHAnsi"/>
                <w:sz w:val="20"/>
                <w:szCs w:val="20"/>
              </w:rPr>
              <w:t>in the absence of any other</w:t>
            </w:r>
            <w:r>
              <w:rPr>
                <w:rFonts w:cstheme="minorHAnsi"/>
                <w:sz w:val="20"/>
                <w:szCs w:val="20"/>
              </w:rPr>
              <w:t xml:space="preserve"> </w:t>
            </w:r>
            <w:r w:rsidRPr="00E56D19">
              <w:rPr>
                <w:rFonts w:cstheme="minorHAnsi"/>
                <w:sz w:val="20"/>
                <w:szCs w:val="20"/>
              </w:rPr>
              <w:t xml:space="preserve">relevant labour market evidence, it </w:t>
            </w:r>
            <w:r>
              <w:rPr>
                <w:rFonts w:cstheme="minorHAnsi"/>
                <w:sz w:val="20"/>
                <w:szCs w:val="20"/>
              </w:rPr>
              <w:t xml:space="preserve">at least </w:t>
            </w:r>
            <w:r w:rsidRPr="00E56D19">
              <w:rPr>
                <w:rFonts w:cstheme="minorHAnsi"/>
                <w:sz w:val="20"/>
                <w:szCs w:val="20"/>
              </w:rPr>
              <w:t>suggest</w:t>
            </w:r>
            <w:r>
              <w:rPr>
                <w:rFonts w:cstheme="minorHAnsi"/>
                <w:sz w:val="20"/>
                <w:szCs w:val="20"/>
              </w:rPr>
              <w:t>ed</w:t>
            </w:r>
            <w:r w:rsidRPr="00E56D19">
              <w:rPr>
                <w:rFonts w:cstheme="minorHAnsi"/>
                <w:sz w:val="20"/>
                <w:szCs w:val="20"/>
              </w:rPr>
              <w:t xml:space="preserve"> </w:t>
            </w:r>
            <w:r>
              <w:rPr>
                <w:rFonts w:cstheme="minorHAnsi"/>
                <w:sz w:val="20"/>
                <w:szCs w:val="20"/>
              </w:rPr>
              <w:t xml:space="preserve">that both drivers and employers would </w:t>
            </w:r>
            <w:r w:rsidRPr="00E56D19">
              <w:rPr>
                <w:rFonts w:cstheme="minorHAnsi"/>
                <w:sz w:val="20"/>
                <w:szCs w:val="20"/>
              </w:rPr>
              <w:t>share</w:t>
            </w:r>
            <w:r>
              <w:rPr>
                <w:rFonts w:cstheme="minorHAnsi"/>
                <w:sz w:val="20"/>
                <w:szCs w:val="20"/>
              </w:rPr>
              <w:t xml:space="preserve"> </w:t>
            </w:r>
            <w:r w:rsidRPr="00E56D19">
              <w:rPr>
                <w:rFonts w:cstheme="minorHAnsi"/>
                <w:sz w:val="20"/>
                <w:szCs w:val="20"/>
              </w:rPr>
              <w:t xml:space="preserve">the burden. </w:t>
            </w:r>
            <w:r>
              <w:rPr>
                <w:rFonts w:cstheme="minorHAnsi"/>
                <w:sz w:val="20"/>
                <w:szCs w:val="20"/>
              </w:rPr>
              <w:t xml:space="preserve">A survey of employers (see adjacent cell) suggested that </w:t>
            </w:r>
            <w:r w:rsidRPr="00E56D19">
              <w:rPr>
                <w:rFonts w:cstheme="minorHAnsi"/>
                <w:sz w:val="20"/>
                <w:szCs w:val="20"/>
              </w:rPr>
              <w:t xml:space="preserve">employers </w:t>
            </w:r>
            <w:r>
              <w:rPr>
                <w:rFonts w:cstheme="minorHAnsi"/>
                <w:sz w:val="20"/>
                <w:szCs w:val="20"/>
              </w:rPr>
              <w:t xml:space="preserve">would </w:t>
            </w:r>
            <w:r w:rsidRPr="00E56D19">
              <w:rPr>
                <w:rFonts w:cstheme="minorHAnsi"/>
                <w:sz w:val="20"/>
                <w:szCs w:val="20"/>
              </w:rPr>
              <w:t>absorb</w:t>
            </w:r>
            <w:r>
              <w:rPr>
                <w:rFonts w:cstheme="minorHAnsi"/>
                <w:sz w:val="20"/>
                <w:szCs w:val="20"/>
              </w:rPr>
              <w:t xml:space="preserve"> </w:t>
            </w:r>
            <w:r w:rsidRPr="00E56D19">
              <w:rPr>
                <w:rFonts w:cstheme="minorHAnsi"/>
                <w:sz w:val="20"/>
                <w:szCs w:val="20"/>
              </w:rPr>
              <w:t xml:space="preserve">most (but not all) of the burden. </w:t>
            </w:r>
            <w:r>
              <w:rPr>
                <w:rFonts w:cstheme="minorHAnsi"/>
                <w:sz w:val="20"/>
                <w:szCs w:val="20"/>
              </w:rPr>
              <w:t xml:space="preserve">On the back of the US data, however, the impact assessment </w:t>
            </w:r>
            <w:r w:rsidRPr="00E56D19">
              <w:rPr>
                <w:rFonts w:cstheme="minorHAnsi"/>
                <w:sz w:val="20"/>
                <w:szCs w:val="20"/>
              </w:rPr>
              <w:t xml:space="preserve">split the costs 50:50 between employers and drivers. </w:t>
            </w:r>
          </w:p>
          <w:p w14:paraId="2592DC6C" w14:textId="77777777" w:rsidR="00644210" w:rsidRDefault="00644210" w:rsidP="00602A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9C87159" w14:textId="385FC1BE" w:rsidR="00644210" w:rsidRDefault="00644210" w:rsidP="00602A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impact assessment noted that it was “not clear” whether the a</w:t>
            </w:r>
            <w:r w:rsidRPr="000B2F40">
              <w:rPr>
                <w:rFonts w:cstheme="minorHAnsi"/>
                <w:sz w:val="20"/>
                <w:szCs w:val="20"/>
              </w:rPr>
              <w:t xml:space="preserve">dditional drivers </w:t>
            </w:r>
            <w:r>
              <w:rPr>
                <w:rFonts w:cstheme="minorHAnsi"/>
                <w:sz w:val="20"/>
                <w:szCs w:val="20"/>
              </w:rPr>
              <w:t>employed in the wake of the regulations would use existing or new vehicles (see adjacent cell for how this was resolved).</w:t>
            </w:r>
            <w:r w:rsidR="002B36DE">
              <w:rPr>
                <w:rFonts w:cstheme="minorHAnsi"/>
                <w:sz w:val="20"/>
                <w:szCs w:val="20"/>
              </w:rPr>
              <w:t xml:space="preserve"> </w:t>
            </w:r>
            <w:r>
              <w:rPr>
                <w:rFonts w:cstheme="minorHAnsi"/>
                <w:sz w:val="20"/>
                <w:szCs w:val="20"/>
              </w:rPr>
              <w:t xml:space="preserve">The basis of </w:t>
            </w:r>
            <w:r w:rsidR="002B36DE">
              <w:rPr>
                <w:rFonts w:cstheme="minorHAnsi"/>
                <w:sz w:val="20"/>
                <w:szCs w:val="20"/>
              </w:rPr>
              <w:t xml:space="preserve">its </w:t>
            </w:r>
            <w:r>
              <w:rPr>
                <w:rFonts w:cstheme="minorHAnsi"/>
                <w:sz w:val="20"/>
                <w:szCs w:val="20"/>
              </w:rPr>
              <w:t xml:space="preserve">assumptions for the </w:t>
            </w:r>
            <w:r w:rsidR="002B36DE">
              <w:rPr>
                <w:rFonts w:cstheme="minorHAnsi"/>
                <w:sz w:val="20"/>
                <w:szCs w:val="20"/>
              </w:rPr>
              <w:t xml:space="preserve">level of </w:t>
            </w:r>
            <w:r>
              <w:rPr>
                <w:rFonts w:cstheme="minorHAnsi"/>
                <w:sz w:val="20"/>
                <w:szCs w:val="20"/>
              </w:rPr>
              <w:t xml:space="preserve">demand for additional vehicles following the introduction of the regulations (see adjacent cell) </w:t>
            </w:r>
            <w:r w:rsidR="002B36DE">
              <w:rPr>
                <w:rFonts w:cstheme="minorHAnsi"/>
                <w:sz w:val="20"/>
                <w:szCs w:val="20"/>
              </w:rPr>
              <w:t xml:space="preserve">is </w:t>
            </w:r>
            <w:r>
              <w:rPr>
                <w:rFonts w:cstheme="minorHAnsi"/>
                <w:sz w:val="20"/>
                <w:szCs w:val="20"/>
              </w:rPr>
              <w:t xml:space="preserve">unclear. </w:t>
            </w:r>
          </w:p>
          <w:p w14:paraId="3F67720D" w14:textId="77777777" w:rsidR="00644210" w:rsidRDefault="00644210" w:rsidP="00602A4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33397D" w14:textId="3F9817CE" w:rsidR="00644210" w:rsidRPr="00863538" w:rsidRDefault="00644210" w:rsidP="00DA63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Dynamic effects:</w:t>
            </w:r>
            <w:r>
              <w:rPr>
                <w:rFonts w:cstheme="minorHAnsi"/>
                <w:sz w:val="20"/>
                <w:szCs w:val="20"/>
              </w:rPr>
              <w:t xml:space="preserve"> dynamic effects reported and integrated into estimates of costs.</w:t>
            </w:r>
          </w:p>
          <w:p w14:paraId="69FF718F" w14:textId="77777777" w:rsidR="00644210" w:rsidRPr="00ED2083" w:rsidRDefault="00644210" w:rsidP="00DA63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C8AC2F3" w14:textId="640C035B" w:rsidR="00644210" w:rsidRPr="00863538" w:rsidRDefault="00644210" w:rsidP="00DA638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sz w:val="20"/>
                <w:szCs w:val="20"/>
              </w:rPr>
              <w:t xml:space="preserve"> </w:t>
            </w:r>
            <w:r w:rsidR="00830DFD">
              <w:rPr>
                <w:rFonts w:cstheme="minorHAnsi"/>
                <w:sz w:val="20"/>
                <w:szCs w:val="20"/>
              </w:rPr>
              <w:t>full compliance assumed.</w:t>
            </w:r>
          </w:p>
          <w:p w14:paraId="33831154" w14:textId="5CAD5387"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A397AF" w14:textId="213CB582" w:rsidR="00644210" w:rsidRPr="00D37FAD" w:rsidRDefault="00644210" w:rsidP="006663B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33" w:type="dxa"/>
          </w:tcPr>
          <w:p w14:paraId="043A095A" w14:textId="5F5D198A" w:rsidR="00644210" w:rsidRDefault="00644210" w:rsidP="00F2264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2B36DE">
              <w:rPr>
                <w:rFonts w:cstheme="minorHAnsi"/>
                <w:sz w:val="20"/>
                <w:szCs w:val="20"/>
              </w:rPr>
              <w:t>O</w:t>
            </w:r>
            <w:r w:rsidR="007F1F28">
              <w:rPr>
                <w:rFonts w:cstheme="minorHAnsi"/>
                <w:sz w:val="20"/>
                <w:szCs w:val="20"/>
              </w:rPr>
              <w:t>fficial</w:t>
            </w:r>
            <w:r w:rsidRPr="00E10059">
              <w:rPr>
                <w:rFonts w:cstheme="minorHAnsi"/>
                <w:sz w:val="20"/>
                <w:szCs w:val="20"/>
              </w:rPr>
              <w:t xml:space="preserve"> data</w:t>
            </w:r>
            <w:r>
              <w:rPr>
                <w:rFonts w:cstheme="minorHAnsi"/>
                <w:sz w:val="20"/>
                <w:szCs w:val="20"/>
              </w:rPr>
              <w:t xml:space="preserve"> </w:t>
            </w:r>
            <w:r w:rsidR="00E94C70">
              <w:rPr>
                <w:rFonts w:cstheme="minorHAnsi"/>
                <w:sz w:val="20"/>
                <w:szCs w:val="20"/>
              </w:rPr>
              <w:t xml:space="preserve">sources </w:t>
            </w:r>
            <w:r>
              <w:rPr>
                <w:rFonts w:cstheme="minorHAnsi"/>
                <w:sz w:val="20"/>
                <w:szCs w:val="20"/>
              </w:rPr>
              <w:t>(the LFS and New Earnings Survey)</w:t>
            </w:r>
            <w:r w:rsidR="002B36DE">
              <w:rPr>
                <w:rFonts w:cstheme="minorHAnsi"/>
                <w:sz w:val="20"/>
                <w:szCs w:val="20"/>
              </w:rPr>
              <w:t>. B</w:t>
            </w:r>
            <w:r w:rsidR="007F1F28">
              <w:rPr>
                <w:rFonts w:cstheme="minorHAnsi"/>
                <w:sz w:val="20"/>
                <w:szCs w:val="20"/>
              </w:rPr>
              <w:t>usiness data</w:t>
            </w:r>
            <w:r w:rsidRPr="00E10059">
              <w:rPr>
                <w:rFonts w:cstheme="minorHAnsi"/>
                <w:sz w:val="20"/>
                <w:szCs w:val="20"/>
              </w:rPr>
              <w:t xml:space="preserve"> </w:t>
            </w:r>
            <w:r w:rsidR="007F1F28">
              <w:rPr>
                <w:rFonts w:cstheme="minorHAnsi"/>
                <w:sz w:val="20"/>
                <w:szCs w:val="20"/>
              </w:rPr>
              <w:t>included</w:t>
            </w:r>
            <w:r w:rsidR="002B36DE">
              <w:rPr>
                <w:rFonts w:cstheme="minorHAnsi"/>
                <w:sz w:val="20"/>
                <w:szCs w:val="20"/>
              </w:rPr>
              <w:t>:</w:t>
            </w:r>
            <w:r w:rsidR="007F1F28">
              <w:rPr>
                <w:rFonts w:cstheme="minorHAnsi"/>
                <w:sz w:val="20"/>
                <w:szCs w:val="20"/>
              </w:rPr>
              <w:t xml:space="preserve"> findings of a </w:t>
            </w:r>
            <w:r w:rsidRPr="00E10059">
              <w:rPr>
                <w:rFonts w:cstheme="minorHAnsi"/>
                <w:sz w:val="20"/>
                <w:szCs w:val="20"/>
              </w:rPr>
              <w:t>survey circulated to members of The Freight Transport Association, Road Haulage Association and the British Association of Removers</w:t>
            </w:r>
            <w:r>
              <w:rPr>
                <w:rFonts w:cstheme="minorHAnsi"/>
                <w:sz w:val="20"/>
                <w:szCs w:val="20"/>
              </w:rPr>
              <w:t xml:space="preserve"> </w:t>
            </w:r>
            <w:r w:rsidRPr="00E10059">
              <w:rPr>
                <w:rFonts w:cstheme="minorHAnsi"/>
                <w:sz w:val="20"/>
                <w:szCs w:val="20"/>
              </w:rPr>
              <w:t xml:space="preserve">by a group of key stakeholders </w:t>
            </w:r>
            <w:r>
              <w:rPr>
                <w:rFonts w:cstheme="minorHAnsi"/>
                <w:sz w:val="20"/>
                <w:szCs w:val="20"/>
              </w:rPr>
              <w:t xml:space="preserve">(Impact Group) </w:t>
            </w:r>
            <w:r w:rsidRPr="00E10059">
              <w:rPr>
                <w:rFonts w:cstheme="minorHAnsi"/>
                <w:sz w:val="20"/>
                <w:szCs w:val="20"/>
              </w:rPr>
              <w:t xml:space="preserve">who had been invited by the </w:t>
            </w:r>
            <w:r w:rsidR="007F1F28">
              <w:rPr>
                <w:rFonts w:cstheme="minorHAnsi"/>
                <w:sz w:val="20"/>
                <w:szCs w:val="20"/>
              </w:rPr>
              <w:t>DfT</w:t>
            </w:r>
            <w:r w:rsidRPr="00E10059">
              <w:rPr>
                <w:rFonts w:cstheme="minorHAnsi"/>
                <w:sz w:val="20"/>
                <w:szCs w:val="20"/>
              </w:rPr>
              <w:t xml:space="preserve"> to provide their views on the assumptions, methodology, costs, and benefits of an earlier impact</w:t>
            </w:r>
            <w:r>
              <w:rPr>
                <w:rFonts w:cstheme="minorHAnsi"/>
                <w:sz w:val="20"/>
                <w:szCs w:val="20"/>
              </w:rPr>
              <w:t xml:space="preserve"> </w:t>
            </w:r>
            <w:r w:rsidRPr="00E10059">
              <w:rPr>
                <w:rFonts w:cstheme="minorHAnsi"/>
                <w:sz w:val="20"/>
                <w:szCs w:val="20"/>
              </w:rPr>
              <w:t xml:space="preserve">assessment </w:t>
            </w:r>
            <w:r w:rsidR="007F1F28">
              <w:rPr>
                <w:rFonts w:cstheme="minorHAnsi"/>
                <w:sz w:val="20"/>
                <w:szCs w:val="20"/>
              </w:rPr>
              <w:t>(</w:t>
            </w:r>
            <w:r w:rsidRPr="00E10059">
              <w:rPr>
                <w:rFonts w:cstheme="minorHAnsi"/>
                <w:sz w:val="20"/>
                <w:szCs w:val="20"/>
              </w:rPr>
              <w:t>designed to “plug some gaps in their knowledge”</w:t>
            </w:r>
            <w:r w:rsidR="002B36DE">
              <w:rPr>
                <w:rFonts w:cstheme="minorHAnsi"/>
                <w:sz w:val="20"/>
                <w:szCs w:val="20"/>
              </w:rPr>
              <w:t>);</w:t>
            </w:r>
            <w:r>
              <w:rPr>
                <w:rFonts w:cstheme="minorHAnsi"/>
                <w:sz w:val="20"/>
                <w:szCs w:val="20"/>
              </w:rPr>
              <w:t xml:space="preserve"> a survey by the Industry Train</w:t>
            </w:r>
            <w:r w:rsidR="007F1F28">
              <w:rPr>
                <w:rFonts w:cstheme="minorHAnsi"/>
                <w:sz w:val="20"/>
                <w:szCs w:val="20"/>
              </w:rPr>
              <w:t>ing Coun</w:t>
            </w:r>
            <w:r w:rsidR="002B36DE">
              <w:rPr>
                <w:rFonts w:cstheme="minorHAnsi"/>
                <w:sz w:val="20"/>
                <w:szCs w:val="20"/>
              </w:rPr>
              <w:t>cil (see adjacent cell);</w:t>
            </w:r>
            <w:r w:rsidR="007F1F28">
              <w:rPr>
                <w:rFonts w:cstheme="minorHAnsi"/>
                <w:sz w:val="20"/>
                <w:szCs w:val="20"/>
              </w:rPr>
              <w:t xml:space="preserve"> estimates </w:t>
            </w:r>
            <w:r w:rsidR="002B36DE">
              <w:rPr>
                <w:rFonts w:cstheme="minorHAnsi"/>
                <w:sz w:val="20"/>
                <w:szCs w:val="20"/>
              </w:rPr>
              <w:t xml:space="preserve">(via the public consultation) </w:t>
            </w:r>
            <w:r w:rsidR="007F1F28">
              <w:rPr>
                <w:rFonts w:cstheme="minorHAnsi"/>
                <w:sz w:val="20"/>
                <w:szCs w:val="20"/>
              </w:rPr>
              <w:t xml:space="preserve">by </w:t>
            </w:r>
            <w:r>
              <w:rPr>
                <w:rFonts w:cstheme="minorHAnsi"/>
                <w:sz w:val="20"/>
                <w:szCs w:val="20"/>
              </w:rPr>
              <w:t xml:space="preserve">several hauliers on how much the regulation would cost their </w:t>
            </w:r>
            <w:r w:rsidR="002B36DE">
              <w:rPr>
                <w:rFonts w:cstheme="minorHAnsi"/>
                <w:sz w:val="20"/>
                <w:szCs w:val="20"/>
              </w:rPr>
              <w:t>firms;</w:t>
            </w:r>
            <w:r w:rsidR="007F1F28">
              <w:rPr>
                <w:rFonts w:cstheme="minorHAnsi"/>
                <w:sz w:val="20"/>
                <w:szCs w:val="20"/>
              </w:rPr>
              <w:t xml:space="preserve"> detailed figures </w:t>
            </w:r>
            <w:r w:rsidR="002B36DE">
              <w:rPr>
                <w:rFonts w:cstheme="minorHAnsi"/>
                <w:sz w:val="20"/>
                <w:szCs w:val="20"/>
              </w:rPr>
              <w:t xml:space="preserve">(supplied via the public consultation) </w:t>
            </w:r>
            <w:r w:rsidR="007F1F28">
              <w:rPr>
                <w:rFonts w:cstheme="minorHAnsi"/>
                <w:sz w:val="20"/>
                <w:szCs w:val="20"/>
              </w:rPr>
              <w:t xml:space="preserve">by </w:t>
            </w:r>
            <w:r w:rsidRPr="00F22646">
              <w:rPr>
                <w:rFonts w:cstheme="minorHAnsi"/>
                <w:sz w:val="20"/>
                <w:szCs w:val="20"/>
              </w:rPr>
              <w:t>the Quarry Products Association ab</w:t>
            </w:r>
            <w:r w:rsidR="003855B6">
              <w:rPr>
                <w:rFonts w:cstheme="minorHAnsi"/>
                <w:sz w:val="20"/>
                <w:szCs w:val="20"/>
              </w:rPr>
              <w:t>out the impact on their members;</w:t>
            </w:r>
            <w:r w:rsidR="007F1F28">
              <w:rPr>
                <w:rFonts w:cstheme="minorHAnsi"/>
                <w:sz w:val="20"/>
                <w:szCs w:val="20"/>
              </w:rPr>
              <w:t xml:space="preserve"> detailed commentary </w:t>
            </w:r>
            <w:r w:rsidR="003855B6">
              <w:rPr>
                <w:rFonts w:cstheme="minorHAnsi"/>
                <w:sz w:val="20"/>
                <w:szCs w:val="20"/>
              </w:rPr>
              <w:t xml:space="preserve">(via the public consultation) </w:t>
            </w:r>
            <w:r w:rsidR="007F1F28">
              <w:rPr>
                <w:rFonts w:cstheme="minorHAnsi"/>
                <w:sz w:val="20"/>
                <w:szCs w:val="20"/>
              </w:rPr>
              <w:t xml:space="preserve">on the figures in the pre-consultation impact assessment by </w:t>
            </w:r>
            <w:r w:rsidRPr="00F22646">
              <w:rPr>
                <w:rFonts w:cstheme="minorHAnsi"/>
                <w:sz w:val="20"/>
                <w:szCs w:val="20"/>
              </w:rPr>
              <w:t xml:space="preserve">the Freight Transport Association </w:t>
            </w:r>
            <w:r w:rsidR="003855B6">
              <w:rPr>
                <w:rFonts w:cstheme="minorHAnsi"/>
                <w:sz w:val="20"/>
                <w:szCs w:val="20"/>
              </w:rPr>
              <w:t>consultation impact assessment;</w:t>
            </w:r>
            <w:r w:rsidR="007F1F28">
              <w:rPr>
                <w:rFonts w:cstheme="minorHAnsi"/>
                <w:sz w:val="20"/>
                <w:szCs w:val="20"/>
              </w:rPr>
              <w:t xml:space="preserve"> </w:t>
            </w:r>
            <w:r>
              <w:rPr>
                <w:rFonts w:cstheme="minorHAnsi"/>
                <w:sz w:val="20"/>
                <w:szCs w:val="20"/>
              </w:rPr>
              <w:t>“anecdotal evidence” and estimates from “the road haulage industry” concerning</w:t>
            </w:r>
            <w:r w:rsidR="003855B6">
              <w:rPr>
                <w:rFonts w:cstheme="minorHAnsi"/>
                <w:sz w:val="20"/>
                <w:szCs w:val="20"/>
              </w:rPr>
              <w:t xml:space="preserve"> the labour market for drivers.</w:t>
            </w:r>
          </w:p>
          <w:p w14:paraId="359CC54C" w14:textId="77777777" w:rsidR="00644210" w:rsidRDefault="00644210" w:rsidP="00F2264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12EF22D" w14:textId="5BB4FB4B" w:rsidR="00644210" w:rsidRDefault="00644210" w:rsidP="000B15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w:t>
            </w:r>
            <w:r>
              <w:rPr>
                <w:rFonts w:cstheme="minorHAnsi"/>
                <w:sz w:val="20"/>
                <w:szCs w:val="20"/>
              </w:rPr>
              <w:t xml:space="preserve"> responses to </w:t>
            </w:r>
            <w:r w:rsidR="007F1F28">
              <w:rPr>
                <w:rFonts w:cstheme="minorHAnsi"/>
                <w:sz w:val="20"/>
                <w:szCs w:val="20"/>
              </w:rPr>
              <w:t xml:space="preserve">Impact Group </w:t>
            </w:r>
            <w:r>
              <w:rPr>
                <w:rFonts w:cstheme="minorHAnsi"/>
                <w:sz w:val="20"/>
                <w:szCs w:val="20"/>
              </w:rPr>
              <w:t xml:space="preserve">survey indicated </w:t>
            </w:r>
            <w:r w:rsidR="007F1F28">
              <w:rPr>
                <w:rFonts w:cstheme="minorHAnsi"/>
                <w:sz w:val="20"/>
                <w:szCs w:val="20"/>
              </w:rPr>
              <w:t xml:space="preserve">DfT </w:t>
            </w:r>
            <w:r>
              <w:rPr>
                <w:rFonts w:cstheme="minorHAnsi"/>
                <w:sz w:val="20"/>
                <w:szCs w:val="20"/>
              </w:rPr>
              <w:t>c</w:t>
            </w:r>
            <w:r w:rsidR="007F1F28">
              <w:rPr>
                <w:rFonts w:cstheme="minorHAnsi"/>
                <w:sz w:val="20"/>
                <w:szCs w:val="20"/>
              </w:rPr>
              <w:t>ost estimates were conservative;</w:t>
            </w:r>
            <w:r w:rsidRPr="00E10059">
              <w:rPr>
                <w:rFonts w:cstheme="minorHAnsi"/>
                <w:sz w:val="20"/>
                <w:szCs w:val="20"/>
              </w:rPr>
              <w:t xml:space="preserve"> Freight Transport Association</w:t>
            </w:r>
            <w:r>
              <w:rPr>
                <w:rFonts w:cstheme="minorHAnsi"/>
                <w:sz w:val="20"/>
                <w:szCs w:val="20"/>
              </w:rPr>
              <w:t xml:space="preserve">’s analysis suggested that </w:t>
            </w:r>
            <w:r w:rsidR="007F1F28">
              <w:rPr>
                <w:rFonts w:cstheme="minorHAnsi"/>
                <w:sz w:val="20"/>
                <w:szCs w:val="20"/>
              </w:rPr>
              <w:t xml:space="preserve">DfT </w:t>
            </w:r>
            <w:r>
              <w:rPr>
                <w:rFonts w:cstheme="minorHAnsi"/>
                <w:sz w:val="20"/>
                <w:szCs w:val="20"/>
              </w:rPr>
              <w:t>had</w:t>
            </w:r>
            <w:r w:rsidRPr="002873F1">
              <w:rPr>
                <w:rFonts w:cstheme="minorHAnsi"/>
                <w:sz w:val="20"/>
                <w:szCs w:val="20"/>
              </w:rPr>
              <w:t xml:space="preserve"> under-estimated the cost on</w:t>
            </w:r>
            <w:r>
              <w:rPr>
                <w:rFonts w:cstheme="minorHAnsi"/>
                <w:sz w:val="20"/>
                <w:szCs w:val="20"/>
              </w:rPr>
              <w:t xml:space="preserve"> industry by between 15 and</w:t>
            </w:r>
            <w:r w:rsidRPr="002873F1">
              <w:rPr>
                <w:rFonts w:cstheme="minorHAnsi"/>
                <w:sz w:val="20"/>
                <w:szCs w:val="20"/>
              </w:rPr>
              <w:t xml:space="preserve"> 65%.</w:t>
            </w:r>
          </w:p>
          <w:p w14:paraId="6EF9A562" w14:textId="77777777" w:rsidR="00644210" w:rsidRDefault="00644210" w:rsidP="000B15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A5C22E" w14:textId="5DC7911D" w:rsidR="00644210" w:rsidRDefault="00644210" w:rsidP="000B2F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Pr>
                <w:rFonts w:cstheme="minorHAnsi"/>
                <w:sz w:val="20"/>
                <w:szCs w:val="20"/>
              </w:rPr>
              <w:t>Limited weight was attached to the Impact Group survey where it appeared to contradict other evidence and estimates were adjusted downwards accordingly. For instance, the survey suggested that costs could be shared between employers and drivers 60:40, but the impact assessment assumed at 50:50 split (see adjacent cell for further commentary). Similarly, the s</w:t>
            </w:r>
            <w:r w:rsidRPr="000B2F40">
              <w:rPr>
                <w:rFonts w:cstheme="minorHAnsi"/>
                <w:sz w:val="20"/>
                <w:szCs w:val="20"/>
              </w:rPr>
              <w:t>urvey</w:t>
            </w:r>
            <w:r>
              <w:rPr>
                <w:rFonts w:cstheme="minorHAnsi"/>
                <w:sz w:val="20"/>
                <w:szCs w:val="20"/>
              </w:rPr>
              <w:t xml:space="preserve"> reported </w:t>
            </w:r>
            <w:r w:rsidRPr="000B2F40">
              <w:rPr>
                <w:rFonts w:cstheme="minorHAnsi"/>
                <w:sz w:val="20"/>
                <w:szCs w:val="20"/>
              </w:rPr>
              <w:t xml:space="preserve">that 45% of operators </w:t>
            </w:r>
            <w:r>
              <w:rPr>
                <w:rFonts w:cstheme="minorHAnsi"/>
                <w:sz w:val="20"/>
                <w:szCs w:val="20"/>
              </w:rPr>
              <w:t>felt</w:t>
            </w:r>
            <w:r w:rsidRPr="000B2F40">
              <w:rPr>
                <w:rFonts w:cstheme="minorHAnsi"/>
                <w:sz w:val="20"/>
                <w:szCs w:val="20"/>
              </w:rPr>
              <w:t xml:space="preserve"> they would require more equipment or</w:t>
            </w:r>
            <w:r>
              <w:rPr>
                <w:rFonts w:cstheme="minorHAnsi"/>
                <w:sz w:val="20"/>
                <w:szCs w:val="20"/>
              </w:rPr>
              <w:t xml:space="preserve"> </w:t>
            </w:r>
            <w:r w:rsidRPr="000B2F40">
              <w:rPr>
                <w:rFonts w:cstheme="minorHAnsi"/>
                <w:sz w:val="20"/>
                <w:szCs w:val="20"/>
              </w:rPr>
              <w:t>vehicles</w:t>
            </w:r>
            <w:r>
              <w:rPr>
                <w:rFonts w:cstheme="minorHAnsi"/>
                <w:sz w:val="20"/>
                <w:szCs w:val="20"/>
              </w:rPr>
              <w:t xml:space="preserve"> following the introduction of the regulations</w:t>
            </w:r>
            <w:r w:rsidRPr="000B2F40">
              <w:rPr>
                <w:rFonts w:cstheme="minorHAnsi"/>
                <w:sz w:val="20"/>
                <w:szCs w:val="20"/>
              </w:rPr>
              <w:t xml:space="preserve">. </w:t>
            </w:r>
            <w:r w:rsidR="00BC1E55">
              <w:rPr>
                <w:rFonts w:cstheme="minorHAnsi"/>
                <w:sz w:val="20"/>
                <w:szCs w:val="20"/>
              </w:rPr>
              <w:t xml:space="preserve">This was described as </w:t>
            </w:r>
            <w:r>
              <w:rPr>
                <w:rFonts w:cstheme="minorHAnsi"/>
                <w:sz w:val="20"/>
                <w:szCs w:val="20"/>
              </w:rPr>
              <w:t>“</w:t>
            </w:r>
            <w:r w:rsidRPr="000B2F40">
              <w:rPr>
                <w:rFonts w:cstheme="minorHAnsi"/>
                <w:sz w:val="20"/>
                <w:szCs w:val="20"/>
              </w:rPr>
              <w:t>a little pessimistic</w:t>
            </w:r>
            <w:r>
              <w:rPr>
                <w:rFonts w:cstheme="minorHAnsi"/>
                <w:sz w:val="20"/>
                <w:szCs w:val="20"/>
              </w:rPr>
              <w:t>” as most companies had a</w:t>
            </w:r>
            <w:r w:rsidRPr="000B2F40">
              <w:rPr>
                <w:rFonts w:cstheme="minorHAnsi"/>
                <w:sz w:val="20"/>
                <w:szCs w:val="20"/>
              </w:rPr>
              <w:t xml:space="preserve"> financial incentive to</w:t>
            </w:r>
            <w:r>
              <w:rPr>
                <w:rFonts w:cstheme="minorHAnsi"/>
                <w:sz w:val="20"/>
                <w:szCs w:val="20"/>
              </w:rPr>
              <w:t xml:space="preserve"> </w:t>
            </w:r>
            <w:r w:rsidRPr="000B2F40">
              <w:rPr>
                <w:rFonts w:cstheme="minorHAnsi"/>
                <w:sz w:val="20"/>
                <w:szCs w:val="20"/>
              </w:rPr>
              <w:t>ensure additional drivers use</w:t>
            </w:r>
            <w:r>
              <w:rPr>
                <w:rFonts w:cstheme="minorHAnsi"/>
                <w:sz w:val="20"/>
                <w:szCs w:val="20"/>
              </w:rPr>
              <w:t>d</w:t>
            </w:r>
            <w:r w:rsidRPr="000B2F40">
              <w:rPr>
                <w:rFonts w:cstheme="minorHAnsi"/>
                <w:sz w:val="20"/>
                <w:szCs w:val="20"/>
              </w:rPr>
              <w:t xml:space="preserve"> existing vehicles wherever possible. </w:t>
            </w:r>
            <w:r>
              <w:rPr>
                <w:rFonts w:cstheme="minorHAnsi"/>
                <w:sz w:val="20"/>
                <w:szCs w:val="20"/>
              </w:rPr>
              <w:t xml:space="preserve">Nonetheless, it accepted that </w:t>
            </w:r>
            <w:r w:rsidRPr="000B2F40">
              <w:rPr>
                <w:rFonts w:cstheme="minorHAnsi"/>
                <w:sz w:val="20"/>
                <w:szCs w:val="20"/>
              </w:rPr>
              <w:t xml:space="preserve">there may be occasions when additional vehicles </w:t>
            </w:r>
            <w:r>
              <w:rPr>
                <w:rFonts w:cstheme="minorHAnsi"/>
                <w:sz w:val="20"/>
                <w:szCs w:val="20"/>
              </w:rPr>
              <w:t xml:space="preserve">were </w:t>
            </w:r>
            <w:r w:rsidRPr="000B2F40">
              <w:rPr>
                <w:rFonts w:cstheme="minorHAnsi"/>
                <w:sz w:val="20"/>
                <w:szCs w:val="20"/>
              </w:rPr>
              <w:t>necessary</w:t>
            </w:r>
            <w:r>
              <w:rPr>
                <w:rFonts w:cstheme="minorHAnsi"/>
                <w:sz w:val="20"/>
                <w:szCs w:val="20"/>
              </w:rPr>
              <w:t xml:space="preserve"> and included an “illustrative” cost of between £0-35m for additional</w:t>
            </w:r>
            <w:r w:rsidRPr="000B2F40">
              <w:rPr>
                <w:rFonts w:cstheme="minorHAnsi"/>
                <w:sz w:val="20"/>
                <w:szCs w:val="20"/>
              </w:rPr>
              <w:t xml:space="preserve"> equipment</w:t>
            </w:r>
            <w:r>
              <w:rPr>
                <w:rFonts w:cstheme="minorHAnsi"/>
                <w:sz w:val="20"/>
                <w:szCs w:val="20"/>
              </w:rPr>
              <w:t xml:space="preserve"> (which assumed an extra 1</w:t>
            </w:r>
            <w:r w:rsidRPr="000B2F40">
              <w:rPr>
                <w:rFonts w:cstheme="minorHAnsi"/>
                <w:sz w:val="20"/>
                <w:szCs w:val="20"/>
              </w:rPr>
              <w:t xml:space="preserve">2,600 vehicles </w:t>
            </w:r>
            <w:r>
              <w:rPr>
                <w:rFonts w:cstheme="minorHAnsi"/>
                <w:sz w:val="20"/>
                <w:szCs w:val="20"/>
              </w:rPr>
              <w:t xml:space="preserve">would be </w:t>
            </w:r>
            <w:r w:rsidRPr="000B2F40">
              <w:rPr>
                <w:rFonts w:cstheme="minorHAnsi"/>
                <w:sz w:val="20"/>
                <w:szCs w:val="20"/>
              </w:rPr>
              <w:t>required, each</w:t>
            </w:r>
            <w:r>
              <w:rPr>
                <w:rFonts w:cstheme="minorHAnsi"/>
                <w:sz w:val="20"/>
                <w:szCs w:val="20"/>
              </w:rPr>
              <w:t xml:space="preserve"> leased for 6 months (</w:t>
            </w:r>
            <w:r w:rsidRPr="000B2F40">
              <w:rPr>
                <w:rFonts w:cstheme="minorHAnsi"/>
                <w:sz w:val="20"/>
                <w:szCs w:val="20"/>
              </w:rPr>
              <w:t>for the busiest period</w:t>
            </w:r>
            <w:r>
              <w:rPr>
                <w:rFonts w:cstheme="minorHAnsi"/>
                <w:sz w:val="20"/>
                <w:szCs w:val="20"/>
              </w:rPr>
              <w:t>s</w:t>
            </w:r>
            <w:r w:rsidRPr="000B2F40">
              <w:rPr>
                <w:rFonts w:cstheme="minorHAnsi"/>
                <w:sz w:val="20"/>
                <w:szCs w:val="20"/>
              </w:rPr>
              <w:t>) at £500 per month.</w:t>
            </w:r>
          </w:p>
          <w:p w14:paraId="601E40CA" w14:textId="77777777" w:rsidR="00644210" w:rsidRDefault="00644210" w:rsidP="000B2F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D34ED6F" w14:textId="300AAF05" w:rsidR="00644210" w:rsidRDefault="00644210" w:rsidP="000B2F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other cases, the impact assessment preferred the LFS (despite its weaknesses) to industry data (see the discussion of the Industry Training Council survey in the adjacent cell).</w:t>
            </w:r>
          </w:p>
          <w:p w14:paraId="24E92E28" w14:textId="209C781E" w:rsidR="00644210" w:rsidRDefault="00644210" w:rsidP="000B2F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13A2F3C" w14:textId="275004FC" w:rsidR="00644210" w:rsidRDefault="00644210" w:rsidP="009A77D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Both the anecdotal evidence and evidence from the road haulage industry on the labour market indicated a shortage of drivers, which was potentially relevant to the effect of the regulation on wages. The road haulage industry estimated that there was a shortage of drivers of around 50,000 (about 10% of the existing workforce). However, the impact assessment noted that was “</w:t>
            </w:r>
            <w:r w:rsidRPr="009A77DE">
              <w:rPr>
                <w:rFonts w:cstheme="minorHAnsi"/>
                <w:sz w:val="20"/>
                <w:szCs w:val="20"/>
              </w:rPr>
              <w:t>not clear how this shortage</w:t>
            </w:r>
            <w:r w:rsidR="00BC1E55">
              <w:rPr>
                <w:rFonts w:cstheme="minorHAnsi"/>
                <w:sz w:val="20"/>
                <w:szCs w:val="20"/>
              </w:rPr>
              <w:t xml:space="preserve"> </w:t>
            </w:r>
            <w:r w:rsidRPr="009A77DE">
              <w:rPr>
                <w:rFonts w:cstheme="minorHAnsi"/>
                <w:sz w:val="20"/>
                <w:szCs w:val="20"/>
              </w:rPr>
              <w:t>manifests itself</w:t>
            </w:r>
            <w:r>
              <w:rPr>
                <w:rFonts w:cstheme="minorHAnsi"/>
                <w:sz w:val="20"/>
                <w:szCs w:val="20"/>
              </w:rPr>
              <w:t xml:space="preserve">” </w:t>
            </w:r>
            <w:r w:rsidRPr="009A77DE">
              <w:rPr>
                <w:rFonts w:cstheme="minorHAnsi"/>
                <w:sz w:val="20"/>
                <w:szCs w:val="20"/>
              </w:rPr>
              <w:t>(e.g. whether freight is not moved, or is delayed or moved less</w:t>
            </w:r>
            <w:r>
              <w:rPr>
                <w:rFonts w:cstheme="minorHAnsi"/>
                <w:sz w:val="20"/>
                <w:szCs w:val="20"/>
              </w:rPr>
              <w:t xml:space="preserve"> </w:t>
            </w:r>
            <w:r w:rsidRPr="009A77DE">
              <w:rPr>
                <w:rFonts w:cstheme="minorHAnsi"/>
                <w:sz w:val="20"/>
                <w:szCs w:val="20"/>
              </w:rPr>
              <w:t xml:space="preserve">efficiently), or </w:t>
            </w:r>
            <w:r>
              <w:rPr>
                <w:rFonts w:cstheme="minorHAnsi"/>
                <w:sz w:val="20"/>
                <w:szCs w:val="20"/>
              </w:rPr>
              <w:t>“</w:t>
            </w:r>
            <w:r w:rsidRPr="009A77DE">
              <w:rPr>
                <w:rFonts w:cstheme="minorHAnsi"/>
                <w:sz w:val="20"/>
                <w:szCs w:val="20"/>
              </w:rPr>
              <w:t>how the 50,000 figure is derived</w:t>
            </w:r>
            <w:r>
              <w:rPr>
                <w:rFonts w:cstheme="minorHAnsi"/>
                <w:sz w:val="20"/>
                <w:szCs w:val="20"/>
              </w:rPr>
              <w:t xml:space="preserve">”. By assuming </w:t>
            </w:r>
            <w:r w:rsidRPr="009A77DE">
              <w:rPr>
                <w:rFonts w:cstheme="minorHAnsi"/>
                <w:sz w:val="20"/>
                <w:szCs w:val="20"/>
              </w:rPr>
              <w:t>the</w:t>
            </w:r>
            <w:r>
              <w:rPr>
                <w:rFonts w:cstheme="minorHAnsi"/>
                <w:sz w:val="20"/>
                <w:szCs w:val="20"/>
              </w:rPr>
              <w:t xml:space="preserve"> </w:t>
            </w:r>
            <w:r w:rsidRPr="009A77DE">
              <w:rPr>
                <w:rFonts w:cstheme="minorHAnsi"/>
                <w:sz w:val="20"/>
                <w:szCs w:val="20"/>
              </w:rPr>
              <w:t xml:space="preserve">observed wage rate </w:t>
            </w:r>
            <w:r>
              <w:rPr>
                <w:rFonts w:cstheme="minorHAnsi"/>
                <w:sz w:val="20"/>
                <w:szCs w:val="20"/>
              </w:rPr>
              <w:t xml:space="preserve">to be </w:t>
            </w:r>
            <w:r w:rsidRPr="009A77DE">
              <w:rPr>
                <w:rFonts w:cstheme="minorHAnsi"/>
                <w:sz w:val="20"/>
                <w:szCs w:val="20"/>
              </w:rPr>
              <w:t>the equilibrium wage rate (i.e. the wage rate equates supply</w:t>
            </w:r>
            <w:r>
              <w:rPr>
                <w:rFonts w:cstheme="minorHAnsi"/>
                <w:sz w:val="20"/>
                <w:szCs w:val="20"/>
              </w:rPr>
              <w:t xml:space="preserve"> </w:t>
            </w:r>
            <w:r w:rsidRPr="009A77DE">
              <w:rPr>
                <w:rFonts w:cstheme="minorHAnsi"/>
                <w:sz w:val="20"/>
                <w:szCs w:val="20"/>
              </w:rPr>
              <w:t>and demand)</w:t>
            </w:r>
            <w:r>
              <w:rPr>
                <w:rFonts w:cstheme="minorHAnsi"/>
                <w:sz w:val="20"/>
                <w:szCs w:val="20"/>
              </w:rPr>
              <w:t xml:space="preserve"> the Department appears to have discounted this evidence</w:t>
            </w:r>
            <w:r w:rsidRPr="009A77DE">
              <w:rPr>
                <w:rFonts w:cstheme="minorHAnsi"/>
                <w:sz w:val="20"/>
                <w:szCs w:val="20"/>
              </w:rPr>
              <w:t>.</w:t>
            </w:r>
          </w:p>
          <w:p w14:paraId="2DB8EA98" w14:textId="77777777" w:rsidR="00644210" w:rsidRDefault="00644210" w:rsidP="000B2F4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CFEC5CE" w14:textId="1C88F27A" w:rsidR="00644210" w:rsidRPr="00590ED7" w:rsidRDefault="00644210" w:rsidP="00830DFD">
            <w:pP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p>
        </w:tc>
        <w:tc>
          <w:tcPr>
            <w:tcW w:w="4633" w:type="dxa"/>
          </w:tcPr>
          <w:p w14:paraId="6596A579" w14:textId="310641E1"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(workers): </w:t>
            </w:r>
            <w:r>
              <w:rPr>
                <w:rFonts w:cstheme="minorHAnsi"/>
                <w:sz w:val="20"/>
                <w:szCs w:val="20"/>
              </w:rPr>
              <w:t>fewer accidents in the workplace and on the highway; less sick leave and improved driver longevity; improved driver recruitment and retention; improved work-life balance.</w:t>
            </w:r>
          </w:p>
          <w:p w14:paraId="4552E01C" w14:textId="176C705C"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317F4B1" w14:textId="511176E8" w:rsidR="00644210" w:rsidRDefault="00644210" w:rsidP="00602F1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(employers): </w:t>
            </w:r>
            <w:r>
              <w:rPr>
                <w:rFonts w:cstheme="minorHAnsi"/>
                <w:sz w:val="20"/>
                <w:szCs w:val="20"/>
              </w:rPr>
              <w:t xml:space="preserve">improved productivity as a result of better relationship in the workplace (leading to </w:t>
            </w:r>
            <w:r w:rsidRPr="00602F1C">
              <w:rPr>
                <w:rFonts w:cstheme="minorHAnsi"/>
                <w:sz w:val="20"/>
                <w:szCs w:val="20"/>
              </w:rPr>
              <w:t>improvements in workforce commitment,</w:t>
            </w:r>
            <w:r>
              <w:rPr>
                <w:rFonts w:cstheme="minorHAnsi"/>
                <w:sz w:val="20"/>
                <w:szCs w:val="20"/>
              </w:rPr>
              <w:t xml:space="preserve"> morale and performance); increased productivity due to less fatigue; efficiency gains resulting from reorganisation of work practices (e.g. a reduction in non-driving activities for drivers, warehouse staff at a lower rate of pay performing duties, such as cleaning vehicles, previously undertaken by drivers); improved (firm and economy wide) productivity as a result of fewer accidents in the workplace and on the highway; improved productivity as a result of less sick leave and improved driver longevity; improved driver recruitment and retention.</w:t>
            </w:r>
          </w:p>
          <w:p w14:paraId="361F3943" w14:textId="6F823F21" w:rsidR="00644210" w:rsidRPr="00602F1C" w:rsidRDefault="00644210" w:rsidP="00602F1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2CF9B0F" w14:textId="3AAF35C8" w:rsidR="00644210" w:rsidRPr="0068445F"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(government): </w:t>
            </w:r>
            <w:r>
              <w:rPr>
                <w:rFonts w:cstheme="minorHAnsi"/>
                <w:sz w:val="20"/>
                <w:szCs w:val="20"/>
              </w:rPr>
              <w:t>reduced health service costs (see reported benefits to workers and employers above); reduce</w:t>
            </w:r>
            <w:r w:rsidR="005624A5">
              <w:rPr>
                <w:rFonts w:cstheme="minorHAnsi"/>
                <w:sz w:val="20"/>
                <w:szCs w:val="20"/>
              </w:rPr>
              <w:t>d</w:t>
            </w:r>
            <w:r>
              <w:rPr>
                <w:rFonts w:cstheme="minorHAnsi"/>
                <w:sz w:val="20"/>
                <w:szCs w:val="20"/>
              </w:rPr>
              <w:t xml:space="preserve"> emergency service costs as a result of fewer accidents on the highway</w:t>
            </w:r>
            <w:r w:rsidR="009274F0">
              <w:rPr>
                <w:rFonts w:cstheme="minorHAnsi"/>
                <w:sz w:val="20"/>
                <w:szCs w:val="20"/>
              </w:rPr>
              <w:t xml:space="preserve"> (implied, but not made explicit)</w:t>
            </w:r>
            <w:r>
              <w:rPr>
                <w:rFonts w:cstheme="minorHAnsi"/>
                <w:sz w:val="20"/>
                <w:szCs w:val="20"/>
              </w:rPr>
              <w:t>.</w:t>
            </w:r>
          </w:p>
          <w:p w14:paraId="4F46785B" w14:textId="77777777" w:rsidR="009274F0" w:rsidRDefault="009274F0" w:rsidP="00590ED7">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D5B2EEF" w14:textId="6EAF1F08" w:rsidR="00644210" w:rsidRPr="007B6D38"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Non-reported benefits (workers): </w:t>
            </w:r>
            <w:r w:rsidR="005624A5">
              <w:rPr>
                <w:rFonts w:cstheme="minorHAnsi"/>
                <w:sz w:val="20"/>
                <w:szCs w:val="20"/>
              </w:rPr>
              <w:t xml:space="preserve">benefits of potential reduction of accidents not disaggregated; </w:t>
            </w:r>
            <w:r>
              <w:rPr>
                <w:rFonts w:cstheme="minorHAnsi"/>
                <w:sz w:val="20"/>
                <w:szCs w:val="20"/>
              </w:rPr>
              <w:t xml:space="preserve">see </w:t>
            </w:r>
            <w:r w:rsidR="005624A5">
              <w:rPr>
                <w:rFonts w:cstheme="minorHAnsi"/>
                <w:sz w:val="20"/>
                <w:szCs w:val="20"/>
              </w:rPr>
              <w:t xml:space="preserve">also </w:t>
            </w:r>
            <w:r>
              <w:rPr>
                <w:rFonts w:cstheme="minorHAnsi"/>
                <w:sz w:val="20"/>
                <w:szCs w:val="20"/>
              </w:rPr>
              <w:t>disputed benefits below.</w:t>
            </w:r>
          </w:p>
          <w:p w14:paraId="172C8DF2" w14:textId="77777777" w:rsidR="00644210"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B867A2C" w14:textId="4FBD7DF8" w:rsidR="00644210"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Non-reported benefits (employer): </w:t>
            </w:r>
            <w:r w:rsidR="005624A5">
              <w:rPr>
                <w:rFonts w:cstheme="minorHAnsi"/>
                <w:sz w:val="20"/>
                <w:szCs w:val="20"/>
              </w:rPr>
              <w:t xml:space="preserve">benefits of potential reduction of accidents not disaggregated; </w:t>
            </w:r>
            <w:r>
              <w:rPr>
                <w:rFonts w:cstheme="minorHAnsi"/>
                <w:sz w:val="20"/>
                <w:szCs w:val="20"/>
              </w:rPr>
              <w:t xml:space="preserve">increased turnover for vehicle leasing businesses; see </w:t>
            </w:r>
            <w:r w:rsidR="005624A5">
              <w:rPr>
                <w:rFonts w:cstheme="minorHAnsi"/>
                <w:sz w:val="20"/>
                <w:szCs w:val="20"/>
              </w:rPr>
              <w:t xml:space="preserve">also </w:t>
            </w:r>
            <w:r>
              <w:rPr>
                <w:rFonts w:cstheme="minorHAnsi"/>
                <w:sz w:val="20"/>
                <w:szCs w:val="20"/>
              </w:rPr>
              <w:t>disputed benefits below.</w:t>
            </w:r>
          </w:p>
          <w:p w14:paraId="0C7D5D28" w14:textId="406B6F9E" w:rsidR="00644210"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4A5E10E" w14:textId="691F3A1E" w:rsidR="00644210" w:rsidRPr="00602F1C" w:rsidRDefault="00644210" w:rsidP="00590ED7">
            <w:p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Non-reported benefits (government): </w:t>
            </w:r>
            <w:r w:rsidR="009274F0">
              <w:rPr>
                <w:rFonts w:cstheme="minorHAnsi"/>
                <w:sz w:val="20"/>
                <w:szCs w:val="20"/>
              </w:rPr>
              <w:t xml:space="preserve">benefits of potential reduction of accidents not disaggregated; </w:t>
            </w:r>
            <w:r>
              <w:rPr>
                <w:rFonts w:cstheme="minorHAnsi"/>
                <w:sz w:val="20"/>
                <w:szCs w:val="20"/>
              </w:rPr>
              <w:t>reduce</w:t>
            </w:r>
            <w:r w:rsidR="000A3AF9">
              <w:rPr>
                <w:rFonts w:cstheme="minorHAnsi"/>
                <w:sz w:val="20"/>
                <w:szCs w:val="20"/>
              </w:rPr>
              <w:t>d</w:t>
            </w:r>
            <w:r>
              <w:rPr>
                <w:rFonts w:cstheme="minorHAnsi"/>
                <w:sz w:val="20"/>
                <w:szCs w:val="20"/>
              </w:rPr>
              <w:t xml:space="preserve"> health service costs</w:t>
            </w:r>
            <w:r w:rsidR="005624A5">
              <w:rPr>
                <w:rFonts w:cstheme="minorHAnsi"/>
                <w:sz w:val="20"/>
                <w:szCs w:val="20"/>
              </w:rPr>
              <w:t xml:space="preserve"> caused by improvements in health</w:t>
            </w:r>
            <w:r>
              <w:rPr>
                <w:rFonts w:cstheme="minorHAnsi"/>
                <w:sz w:val="20"/>
                <w:szCs w:val="20"/>
              </w:rPr>
              <w:t xml:space="preserve"> (</w:t>
            </w:r>
            <w:r w:rsidR="005624A5">
              <w:rPr>
                <w:rFonts w:cstheme="minorHAnsi"/>
                <w:sz w:val="20"/>
                <w:szCs w:val="20"/>
              </w:rPr>
              <w:t xml:space="preserve">but </w:t>
            </w:r>
            <w:r>
              <w:rPr>
                <w:rFonts w:cstheme="minorHAnsi"/>
                <w:sz w:val="20"/>
                <w:szCs w:val="20"/>
              </w:rPr>
              <w:t>see disputed benefits below)</w:t>
            </w:r>
          </w:p>
          <w:p w14:paraId="7ED28583" w14:textId="4828B41E"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A7D265C" w14:textId="38F6B1C8" w:rsidR="00644210" w:rsidRDefault="00644210" w:rsidP="0068445F">
            <w:pPr>
              <w:pStyle w:val="CommentText"/>
              <w:cnfStyle w:val="000000000000" w:firstRow="0" w:lastRow="0" w:firstColumn="0" w:lastColumn="0" w:oddVBand="0" w:evenVBand="0" w:oddHBand="0" w:evenHBand="0" w:firstRowFirstColumn="0" w:firstRowLastColumn="0" w:lastRowFirstColumn="0" w:lastRowLastColumn="0"/>
            </w:pPr>
            <w:r>
              <w:rPr>
                <w:rFonts w:cstheme="minorHAnsi"/>
                <w:b/>
              </w:rPr>
              <w:t xml:space="preserve">Disputed benefits (in impact assessment): </w:t>
            </w:r>
            <w:r>
              <w:rPr>
                <w:rFonts w:cstheme="minorHAnsi"/>
              </w:rPr>
              <w:t>The existence of “some e</w:t>
            </w:r>
            <w:r>
              <w:t>vidence” of working and driving long hours being detrimental to health and driver longevity was noted. It was also noted that a higher incidence of sick leave, back problems and cardiovascular diseases amongst drivers, was associated with long working</w:t>
            </w:r>
            <w:r w:rsidR="007C43DB">
              <w:t xml:space="preserve"> </w:t>
            </w:r>
            <w:r>
              <w:t>hours in the cab of a vehicle and that the DfT had received “anecdotal evidence from older drivers, who believe their health is being affected by poor working conditions and the long hours they are forced to work.” However, the impact assessment noted that “the extent to which these health problems can be attributed to the stresses of driving and current working conditions [was] a moot point” and that, “other factors, such smoking, lack of exercise, poor diet, etc. may also contribute to poor health.”</w:t>
            </w:r>
          </w:p>
          <w:p w14:paraId="36117053" w14:textId="780EA422" w:rsidR="00644210" w:rsidRDefault="00644210" w:rsidP="006844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9FDE01" w14:textId="0E4F7B5B" w:rsidR="00644210" w:rsidRDefault="00644210" w:rsidP="006844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Pr>
                <w:rFonts w:cstheme="minorHAnsi"/>
                <w:b/>
                <w:sz w:val="20"/>
                <w:szCs w:val="20"/>
              </w:rPr>
              <w:t xml:space="preserve">Disputed benefits (by employers): </w:t>
            </w:r>
            <w:r>
              <w:rPr>
                <w:rFonts w:cstheme="minorHAnsi"/>
                <w:sz w:val="20"/>
                <w:szCs w:val="20"/>
              </w:rPr>
              <w:t xml:space="preserve">The </w:t>
            </w:r>
            <w:r w:rsidR="005624A5">
              <w:rPr>
                <w:rFonts w:cstheme="minorHAnsi"/>
                <w:sz w:val="20"/>
                <w:szCs w:val="20"/>
              </w:rPr>
              <w:t xml:space="preserve">Impact Group </w:t>
            </w:r>
            <w:r>
              <w:rPr>
                <w:rFonts w:cstheme="minorHAnsi"/>
                <w:sz w:val="20"/>
                <w:szCs w:val="20"/>
              </w:rPr>
              <w:t xml:space="preserve">survey (see adjacent cell) found that most employers thought “there were would no benefits for them at all”, although a minority that it might lead to a modest improvement in long term recruitment and retention of drivers. </w:t>
            </w:r>
          </w:p>
          <w:p w14:paraId="359E47C3" w14:textId="77777777"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6C4BAD2" w14:textId="399460DF" w:rsidR="006137DD" w:rsidRDefault="006137DD"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624A5">
              <w:rPr>
                <w:rFonts w:cstheme="minorHAnsi"/>
                <w:b/>
                <w:sz w:val="20"/>
                <w:szCs w:val="20"/>
              </w:rPr>
              <w:t>Monetised benefits (</w:t>
            </w:r>
            <w:r w:rsidR="005624A5" w:rsidRPr="005624A5">
              <w:rPr>
                <w:rFonts w:cstheme="minorHAnsi"/>
                <w:b/>
                <w:sz w:val="20"/>
                <w:szCs w:val="20"/>
              </w:rPr>
              <w:t>combined</w:t>
            </w:r>
            <w:r w:rsidRPr="005624A5">
              <w:rPr>
                <w:rFonts w:cstheme="minorHAnsi"/>
                <w:b/>
                <w:sz w:val="20"/>
                <w:szCs w:val="20"/>
              </w:rPr>
              <w:t>)</w:t>
            </w:r>
            <w:r w:rsidR="005624A5" w:rsidRPr="005624A5">
              <w:rPr>
                <w:rFonts w:cstheme="minorHAnsi"/>
                <w:b/>
                <w:sz w:val="20"/>
                <w:szCs w:val="20"/>
              </w:rPr>
              <w:t xml:space="preserve">: </w:t>
            </w:r>
            <w:r w:rsidR="005624A5" w:rsidRPr="005624A5">
              <w:rPr>
                <w:rFonts w:cstheme="minorHAnsi"/>
                <w:sz w:val="20"/>
                <w:szCs w:val="20"/>
              </w:rPr>
              <w:t>reduction in road accidents</w:t>
            </w:r>
            <w:r w:rsidR="009274F0">
              <w:rPr>
                <w:rFonts w:cstheme="minorHAnsi"/>
                <w:sz w:val="20"/>
                <w:szCs w:val="20"/>
              </w:rPr>
              <w:t xml:space="preserve"> (not disaggregated)</w:t>
            </w:r>
            <w:r w:rsidR="005624A5" w:rsidRPr="005624A5">
              <w:rPr>
                <w:rFonts w:cstheme="minorHAnsi"/>
                <w:sz w:val="20"/>
                <w:szCs w:val="20"/>
              </w:rPr>
              <w:t>.</w:t>
            </w:r>
          </w:p>
          <w:p w14:paraId="65F88B7D" w14:textId="77777777" w:rsidR="009274F0" w:rsidRPr="005624A5" w:rsidRDefault="009274F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DBB281A" w14:textId="267B0518" w:rsidR="00644210" w:rsidRDefault="00644210" w:rsidP="003F74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(general):</w:t>
            </w:r>
            <w:r>
              <w:rPr>
                <w:rFonts w:cstheme="minorHAnsi"/>
                <w:sz w:val="20"/>
                <w:szCs w:val="20"/>
              </w:rPr>
              <w:t xml:space="preserve"> difficulties in quantifying the benefits of the </w:t>
            </w:r>
            <w:r w:rsidR="009274F0">
              <w:rPr>
                <w:rFonts w:cstheme="minorHAnsi"/>
                <w:sz w:val="20"/>
                <w:szCs w:val="20"/>
              </w:rPr>
              <w:t>r</w:t>
            </w:r>
            <w:r>
              <w:rPr>
                <w:rFonts w:cstheme="minorHAnsi"/>
                <w:sz w:val="20"/>
                <w:szCs w:val="20"/>
              </w:rPr>
              <w:t>egulations</w:t>
            </w:r>
            <w:r w:rsidR="009274F0">
              <w:rPr>
                <w:rFonts w:cstheme="minorHAnsi"/>
                <w:sz w:val="20"/>
                <w:szCs w:val="20"/>
              </w:rPr>
              <w:t xml:space="preserve"> reported</w:t>
            </w:r>
            <w:r>
              <w:rPr>
                <w:rFonts w:cstheme="minorHAnsi"/>
                <w:sz w:val="20"/>
                <w:szCs w:val="20"/>
              </w:rPr>
              <w:t>.</w:t>
            </w:r>
          </w:p>
          <w:p w14:paraId="7C656B48" w14:textId="77777777" w:rsidR="00644210" w:rsidRDefault="00644210" w:rsidP="00D620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1461C3E" w14:textId="78B27E2D" w:rsidR="009274F0" w:rsidRDefault="00644210" w:rsidP="005624A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w:t>
            </w:r>
            <w:r w:rsidR="009274F0">
              <w:rPr>
                <w:rFonts w:cstheme="minorHAnsi"/>
                <w:b/>
                <w:sz w:val="20"/>
                <w:szCs w:val="20"/>
              </w:rPr>
              <w:t xml:space="preserve">n-monetised benefits (workers): </w:t>
            </w:r>
            <w:r w:rsidR="009274F0">
              <w:rPr>
                <w:rFonts w:cstheme="minorHAnsi"/>
                <w:sz w:val="20"/>
                <w:szCs w:val="20"/>
              </w:rPr>
              <w:t xml:space="preserve">earnings related benefits associated with </w:t>
            </w:r>
            <w:r>
              <w:rPr>
                <w:rFonts w:cstheme="minorHAnsi"/>
                <w:sz w:val="20"/>
                <w:szCs w:val="20"/>
              </w:rPr>
              <w:t>f</w:t>
            </w:r>
            <w:r w:rsidR="009274F0">
              <w:rPr>
                <w:rFonts w:cstheme="minorHAnsi"/>
                <w:sz w:val="20"/>
                <w:szCs w:val="20"/>
              </w:rPr>
              <w:t xml:space="preserve">ewer accidents in the workplace, reduced </w:t>
            </w:r>
            <w:r>
              <w:rPr>
                <w:rFonts w:cstheme="minorHAnsi"/>
                <w:sz w:val="20"/>
                <w:szCs w:val="20"/>
              </w:rPr>
              <w:t>sick leav</w:t>
            </w:r>
            <w:r w:rsidR="009274F0">
              <w:rPr>
                <w:rFonts w:cstheme="minorHAnsi"/>
                <w:sz w:val="20"/>
                <w:szCs w:val="20"/>
              </w:rPr>
              <w:t>e, changing jobs (as a consequence of improved driver longevity), higher pay in the sector; lower retraining costs; reduced pain and suffering associated with improvements in health; reduced health costs associated with improvements in health;</w:t>
            </w:r>
            <w:r w:rsidR="00BB3E5D">
              <w:rPr>
                <w:rFonts w:cstheme="minorHAnsi"/>
                <w:sz w:val="20"/>
                <w:szCs w:val="20"/>
              </w:rPr>
              <w:t xml:space="preserve"> improved work-life balance.</w:t>
            </w:r>
          </w:p>
          <w:p w14:paraId="11235F47" w14:textId="77777777" w:rsidR="00644210" w:rsidRDefault="00644210" w:rsidP="00D62086">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1CB7358" w14:textId="063566D5" w:rsidR="00644210" w:rsidRDefault="00644210" w:rsidP="003F74F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(employers):</w:t>
            </w:r>
            <w:r w:rsidR="009152B8">
              <w:rPr>
                <w:rFonts w:cstheme="minorHAnsi"/>
                <w:b/>
                <w:sz w:val="20"/>
                <w:szCs w:val="20"/>
              </w:rPr>
              <w:t xml:space="preserve"> </w:t>
            </w:r>
            <w:r w:rsidR="009152B8">
              <w:rPr>
                <w:rFonts w:cstheme="minorHAnsi"/>
                <w:sz w:val="20"/>
                <w:szCs w:val="20"/>
              </w:rPr>
              <w:t>increased productivity of workers due to improvements in health (but see disputed benefits), reduced accidents in the workplace, reduced fatigue, reduced sick leave, improved driver longevity</w:t>
            </w:r>
            <w:r w:rsidR="00C35B6E">
              <w:rPr>
                <w:rFonts w:cstheme="minorHAnsi"/>
                <w:sz w:val="20"/>
                <w:szCs w:val="20"/>
              </w:rPr>
              <w:t xml:space="preserve"> improved driver recruitment</w:t>
            </w:r>
            <w:r w:rsidR="009152B8">
              <w:rPr>
                <w:rFonts w:cstheme="minorHAnsi"/>
                <w:sz w:val="20"/>
                <w:szCs w:val="20"/>
              </w:rPr>
              <w:t xml:space="preserve">; reduced administration </w:t>
            </w:r>
            <w:r w:rsidR="00C35B6E">
              <w:rPr>
                <w:rFonts w:cstheme="minorHAnsi"/>
                <w:sz w:val="20"/>
                <w:szCs w:val="20"/>
              </w:rPr>
              <w:t xml:space="preserve">costs </w:t>
            </w:r>
            <w:r w:rsidR="009152B8">
              <w:rPr>
                <w:rFonts w:cstheme="minorHAnsi"/>
                <w:sz w:val="20"/>
                <w:szCs w:val="20"/>
              </w:rPr>
              <w:t>relating to reduced retraining (as a result of reduced sick leave</w:t>
            </w:r>
            <w:r w:rsidR="00C35B6E">
              <w:rPr>
                <w:rFonts w:cstheme="minorHAnsi"/>
                <w:sz w:val="20"/>
                <w:szCs w:val="20"/>
              </w:rPr>
              <w:t>, improved driver retention,</w:t>
            </w:r>
            <w:r w:rsidR="009152B8">
              <w:rPr>
                <w:rFonts w:cstheme="minorHAnsi"/>
                <w:sz w:val="20"/>
                <w:szCs w:val="20"/>
              </w:rPr>
              <w:t xml:space="preserve"> and  improved driver longevity)</w:t>
            </w:r>
            <w:r w:rsidR="00C35B6E">
              <w:rPr>
                <w:rFonts w:cstheme="minorHAnsi"/>
                <w:sz w:val="20"/>
                <w:szCs w:val="20"/>
              </w:rPr>
              <w:t>; efficiency gains resulting from reorganisation of work practices; increased turnover for vehicle leasing businesses.</w:t>
            </w:r>
          </w:p>
          <w:p w14:paraId="6B56324E" w14:textId="77777777" w:rsidR="009152B8" w:rsidRDefault="009152B8" w:rsidP="003F74F1">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D75EBA4" w14:textId="25DD2FDD" w:rsidR="00644210" w:rsidRPr="002C4282"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(government):</w:t>
            </w:r>
            <w:r w:rsidR="009152B8">
              <w:rPr>
                <w:rFonts w:cstheme="minorHAnsi"/>
                <w:b/>
                <w:sz w:val="20"/>
                <w:szCs w:val="20"/>
              </w:rPr>
              <w:t xml:space="preserve"> </w:t>
            </w:r>
            <w:r w:rsidR="009152B8">
              <w:rPr>
                <w:rFonts w:cstheme="minorHAnsi"/>
                <w:sz w:val="20"/>
                <w:szCs w:val="20"/>
              </w:rPr>
              <w:t xml:space="preserve">reduced health service costs due to improvements in health; increased revenue as a result of increased productivity (see </w:t>
            </w:r>
            <w:r w:rsidR="009152B8" w:rsidRPr="009152B8">
              <w:rPr>
                <w:rFonts w:cstheme="minorHAnsi"/>
                <w:i/>
                <w:sz w:val="20"/>
                <w:szCs w:val="20"/>
              </w:rPr>
              <w:t>non-monetised benefits (employers)</w:t>
            </w:r>
            <w:r w:rsidR="00C35B6E">
              <w:rPr>
                <w:rFonts w:cstheme="minorHAnsi"/>
                <w:sz w:val="20"/>
                <w:szCs w:val="20"/>
              </w:rPr>
              <w:t>).</w:t>
            </w:r>
          </w:p>
        </w:tc>
      </w:tr>
      <w:tr w:rsidR="00830DFD" w:rsidRPr="001C3290" w14:paraId="7E6BD22D"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3EF54E39" w14:textId="5CF162A5" w:rsidR="00830DFD" w:rsidRPr="007C43DB" w:rsidRDefault="00830DFD" w:rsidP="009C4032">
            <w:pPr>
              <w:rPr>
                <w:rFonts w:cstheme="minorHAnsi"/>
                <w:sz w:val="20"/>
                <w:szCs w:val="20"/>
              </w:rPr>
            </w:pPr>
            <w:r w:rsidRPr="007C43DB">
              <w:rPr>
                <w:rFonts w:cstheme="minorHAnsi"/>
                <w:color w:val="000000" w:themeColor="text1"/>
                <w:sz w:val="20"/>
                <w:szCs w:val="20"/>
              </w:rPr>
              <w:t>The Road Transport (Working Time) (Amendment) Regulations 2012</w:t>
            </w:r>
            <w:r w:rsidRPr="007C43DB">
              <w:rPr>
                <w:rFonts w:cstheme="minorHAnsi"/>
                <w:b w:val="0"/>
                <w:color w:val="000000" w:themeColor="text1"/>
                <w:sz w:val="20"/>
                <w:szCs w:val="20"/>
              </w:rPr>
              <w:t xml:space="preserve"> (2002/15/EC) (Department for Transport, DfT)</w:t>
            </w:r>
            <w:r>
              <w:rPr>
                <w:rFonts w:cstheme="minorHAnsi"/>
                <w:b w:val="0"/>
                <w:color w:val="000000" w:themeColor="text1"/>
                <w:sz w:val="20"/>
                <w:szCs w:val="20"/>
              </w:rPr>
              <w:t xml:space="preserve"> </w:t>
            </w:r>
            <w:r>
              <w:rPr>
                <w:rFonts w:cstheme="minorHAnsi"/>
                <w:sz w:val="20"/>
                <w:szCs w:val="20"/>
              </w:rPr>
              <w:fldChar w:fldCharType="begin"/>
            </w:r>
            <w:r w:rsidR="006D11C0">
              <w:rPr>
                <w:rFonts w:cstheme="minorHAnsi"/>
                <w:sz w:val="20"/>
                <w:szCs w:val="20"/>
              </w:rPr>
              <w:instrText xml:space="preserve"> ADDIN EN.CITE &lt;EndNote&gt;&lt;Cite&gt;&lt;Author&gt;Department for Transport&lt;/Author&gt;&lt;Year&gt;2011&lt;/Year&gt;&lt;RecNum&gt;1631&lt;/RecNum&gt;&lt;DisplayText&gt; (Department for Transport, 2011)&lt;/DisplayText&gt;&lt;record&gt;&lt;rec-number&gt;1631&lt;/rec-number&gt;&lt;foreign-keys&gt;&lt;key app="EN" db-id="drrvazw0t090vlef0e6praxba2d0xwps0wt0" timestamp="1492192763"&gt;1631&lt;/key&gt;&lt;/foreign-keys&gt;&lt;ref-type name="Report"&gt;27&lt;/ref-type&gt;&lt;contributors&gt;&lt;authors&gt;&lt;author&gt;Department for Transport,&lt;/author&gt;&lt;/authors&gt;&lt;tertiary-authors&gt;&lt;author&gt;Department for Transport&lt;/author&gt;&lt;/tertiary-authors&gt;&lt;/contributors&gt;&lt;titles&gt;&lt;title&gt;The Road Transport (Working Time) Amendment Regulations 2012&lt;/title&gt;&lt;/titles&gt;&lt;dates&gt;&lt;year&gt;2011&lt;/year&gt;&lt;/dates&gt;&lt;pub-location&gt;London&lt;/pub-location&gt;&lt;publisher&gt;Department for Transport&lt;/publisher&gt;&lt;urls&gt;&lt;related-urls&gt;&lt;url&gt;http://www.legislation.gov.uk/ukia/2011/485/pdfs/ukia_20110485_en.pdf&lt;/url&gt;&lt;/related-urls&gt;&lt;/urls&gt;&lt;access-date&gt;April 14, 2017&lt;/access-date&gt;&lt;/record&gt;&lt;/Cite&gt;&lt;Cite&gt;&lt;Author&gt;Department for Transport&lt;/Author&gt;&lt;Year&gt;2011&lt;/Year&gt;&lt;RecNum&gt;1631&lt;/RecNum&gt;&lt;record&gt;&lt;rec-number&gt;1631&lt;/rec-number&gt;&lt;foreign-keys&gt;&lt;key app="EN" db-id="drrvazw0t090vlef0e6praxba2d0xwps0wt0" timestamp="1492192763"&gt;1631&lt;/key&gt;&lt;/foreign-keys&gt;&lt;ref-type name="Report"&gt;27&lt;/ref-type&gt;&lt;contributors&gt;&lt;authors&gt;&lt;author&gt;Department for Transport,&lt;/author&gt;&lt;/authors&gt;&lt;tertiary-authors&gt;&lt;author&gt;Department for Transport&lt;/author&gt;&lt;/tertiary-authors&gt;&lt;/contributors&gt;&lt;titles&gt;&lt;title&gt;The Road Transport (Working Time) Amendment Regulations 2012&lt;/title&gt;&lt;/titles&gt;&lt;dates&gt;&lt;year&gt;2011&lt;/year&gt;&lt;/dates&gt;&lt;pub-location&gt;London&lt;/pub-location&gt;&lt;publisher&gt;Department for Transport&lt;/publisher&gt;&lt;urls&gt;&lt;related-urls&gt;&lt;url&gt;http://www.legislation.gov.uk/ukia/2011/485/pdfs/ukia_20110485_en.pdf&lt;/url&gt;&lt;/related-urls&gt;&lt;/urls&gt;&lt;access-date&gt;April 14, 2017&lt;/access-date&gt;&lt;/record&gt;&lt;/Cite&gt;&lt;/EndNote&gt;</w:instrText>
            </w:r>
            <w:r>
              <w:rPr>
                <w:rFonts w:cstheme="minorHAnsi"/>
                <w:sz w:val="20"/>
                <w:szCs w:val="20"/>
              </w:rPr>
              <w:fldChar w:fldCharType="separate"/>
            </w:r>
            <w:r>
              <w:rPr>
                <w:rFonts w:cstheme="minorHAnsi"/>
                <w:noProof/>
                <w:sz w:val="20"/>
                <w:szCs w:val="20"/>
              </w:rPr>
              <w:t xml:space="preserve"> </w:t>
            </w:r>
            <w:hyperlink w:anchor="_ENREF_3" w:tooltip="Department for Transport, 2011 #1631" w:history="1">
              <w:r w:rsidR="006D11C0" w:rsidRPr="007C43DB">
                <w:rPr>
                  <w:rFonts w:cstheme="minorHAnsi"/>
                  <w:b w:val="0"/>
                  <w:noProof/>
                  <w:sz w:val="20"/>
                  <w:szCs w:val="20"/>
                </w:rPr>
                <w:t>(Department for Transport, 2011</w:t>
              </w:r>
            </w:hyperlink>
            <w:r w:rsidRPr="007C43DB">
              <w:rPr>
                <w:rFonts w:cstheme="minorHAnsi"/>
                <w:b w:val="0"/>
                <w:noProof/>
                <w:sz w:val="20"/>
                <w:szCs w:val="20"/>
              </w:rPr>
              <w:t>)</w:t>
            </w:r>
            <w:r>
              <w:rPr>
                <w:rFonts w:cstheme="minorHAnsi"/>
                <w:sz w:val="20"/>
                <w:szCs w:val="20"/>
              </w:rPr>
              <w:fldChar w:fldCharType="end"/>
            </w:r>
          </w:p>
        </w:tc>
        <w:tc>
          <w:tcPr>
            <w:tcW w:w="4632" w:type="dxa"/>
          </w:tcPr>
          <w:p w14:paraId="264F3FE3" w14:textId="59D62716"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 xml:space="preserve">Difficulties </w:t>
            </w:r>
            <w:r w:rsidR="006D11C0">
              <w:rPr>
                <w:rFonts w:cstheme="minorHAnsi"/>
                <w:sz w:val="20"/>
                <w:szCs w:val="20"/>
              </w:rPr>
              <w:t xml:space="preserve">were noted </w:t>
            </w:r>
            <w:r>
              <w:rPr>
                <w:rFonts w:cstheme="minorHAnsi"/>
                <w:sz w:val="20"/>
                <w:szCs w:val="20"/>
              </w:rPr>
              <w:t xml:space="preserve">in determining the number of self-employed workers covered (as the definition of self-employed in the regulations differed from </w:t>
            </w:r>
            <w:r w:rsidR="006D11C0">
              <w:rPr>
                <w:rFonts w:cstheme="minorHAnsi"/>
                <w:sz w:val="20"/>
                <w:szCs w:val="20"/>
              </w:rPr>
              <w:t xml:space="preserve">the definition used in the </w:t>
            </w:r>
            <w:r w:rsidR="00E94C70">
              <w:rPr>
                <w:rFonts w:cstheme="minorHAnsi"/>
                <w:sz w:val="20"/>
                <w:szCs w:val="20"/>
              </w:rPr>
              <w:t>Labour Force Survey (</w:t>
            </w:r>
            <w:r w:rsidR="006D11C0">
              <w:rPr>
                <w:rFonts w:cstheme="minorHAnsi"/>
                <w:sz w:val="20"/>
                <w:szCs w:val="20"/>
              </w:rPr>
              <w:t>LFS</w:t>
            </w:r>
            <w:r w:rsidR="00E94C70">
              <w:rPr>
                <w:rFonts w:cstheme="minorHAnsi"/>
                <w:sz w:val="20"/>
                <w:szCs w:val="20"/>
              </w:rPr>
              <w:t>)</w:t>
            </w:r>
            <w:r w:rsidR="006D11C0">
              <w:rPr>
                <w:rFonts w:cstheme="minorHAnsi"/>
                <w:sz w:val="20"/>
                <w:szCs w:val="20"/>
              </w:rPr>
              <w:t>),</w:t>
            </w:r>
            <w:r>
              <w:rPr>
                <w:rFonts w:cstheme="minorHAnsi"/>
                <w:sz w:val="20"/>
                <w:szCs w:val="20"/>
              </w:rPr>
              <w:t xml:space="preserve"> earnings data for self-employed drivers (earnings data for employed drivers were used).</w:t>
            </w:r>
          </w:p>
          <w:p w14:paraId="4952BB9C"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5F428D7" w14:textId="2B093CA2"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Dynamic effects:</w:t>
            </w:r>
            <w:r w:rsidR="00487C87">
              <w:rPr>
                <w:rFonts w:cstheme="minorHAnsi"/>
                <w:b/>
                <w:sz w:val="20"/>
                <w:szCs w:val="20"/>
              </w:rPr>
              <w:t xml:space="preserve"> </w:t>
            </w:r>
            <w:r w:rsidR="00487C87">
              <w:rPr>
                <w:rFonts w:cstheme="minorHAnsi"/>
                <w:sz w:val="20"/>
                <w:szCs w:val="20"/>
              </w:rPr>
              <w:t>some dynamic effects were considered and integrated into estimates</w:t>
            </w:r>
          </w:p>
          <w:p w14:paraId="02CF796E" w14:textId="77777777" w:rsidR="00830DFD" w:rsidRPr="00ED2083"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3C6C123" w14:textId="6C7222B6" w:rsidR="00830DFD" w:rsidRPr="00FC3C6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full compliance assumed.</w:t>
            </w:r>
          </w:p>
        </w:tc>
        <w:tc>
          <w:tcPr>
            <w:tcW w:w="4633" w:type="dxa"/>
          </w:tcPr>
          <w:p w14:paraId="7289A020" w14:textId="5629A2FE" w:rsidR="00830DFD" w:rsidRDefault="00487C87"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E94C70">
              <w:rPr>
                <w:rFonts w:cstheme="minorHAnsi"/>
                <w:sz w:val="20"/>
                <w:szCs w:val="20"/>
              </w:rPr>
              <w:t>B</w:t>
            </w:r>
            <w:r>
              <w:rPr>
                <w:rFonts w:cstheme="minorHAnsi"/>
                <w:sz w:val="20"/>
                <w:szCs w:val="20"/>
              </w:rPr>
              <w:t>usin</w:t>
            </w:r>
            <w:r w:rsidR="00E94C70">
              <w:rPr>
                <w:rFonts w:cstheme="minorHAnsi"/>
                <w:sz w:val="20"/>
                <w:szCs w:val="20"/>
              </w:rPr>
              <w:t>ess data (informal discussions). O</w:t>
            </w:r>
            <w:r>
              <w:rPr>
                <w:rFonts w:cstheme="minorHAnsi"/>
                <w:sz w:val="20"/>
                <w:szCs w:val="20"/>
              </w:rPr>
              <w:t xml:space="preserve">fficial data </w:t>
            </w:r>
            <w:r w:rsidR="00E94C70">
              <w:rPr>
                <w:rFonts w:cstheme="minorHAnsi"/>
                <w:sz w:val="20"/>
                <w:szCs w:val="20"/>
              </w:rPr>
              <w:t xml:space="preserve">sources </w:t>
            </w:r>
            <w:r>
              <w:rPr>
                <w:rFonts w:cstheme="minorHAnsi"/>
                <w:sz w:val="20"/>
                <w:szCs w:val="20"/>
              </w:rPr>
              <w:t>(</w:t>
            </w:r>
            <w:r w:rsidR="00830DFD" w:rsidRPr="006A36F4">
              <w:rPr>
                <w:rFonts w:cstheme="minorHAnsi"/>
                <w:sz w:val="20"/>
                <w:szCs w:val="20"/>
              </w:rPr>
              <w:t>oth</w:t>
            </w:r>
            <w:r w:rsidR="00830DFD">
              <w:rPr>
                <w:rFonts w:cstheme="minorHAnsi"/>
                <w:sz w:val="20"/>
                <w:szCs w:val="20"/>
              </w:rPr>
              <w:t xml:space="preserve">er Member States, LFS, </w:t>
            </w:r>
            <w:r>
              <w:rPr>
                <w:rFonts w:cstheme="minorHAnsi"/>
                <w:sz w:val="20"/>
                <w:szCs w:val="20"/>
              </w:rPr>
              <w:t>ASHE</w:t>
            </w:r>
            <w:r w:rsidR="00830DFD">
              <w:rPr>
                <w:rFonts w:cstheme="minorHAnsi"/>
                <w:sz w:val="20"/>
                <w:szCs w:val="20"/>
              </w:rPr>
              <w:t>, previous impact assessments</w:t>
            </w:r>
            <w:r>
              <w:rPr>
                <w:rFonts w:cstheme="minorHAnsi"/>
                <w:sz w:val="20"/>
                <w:szCs w:val="20"/>
              </w:rPr>
              <w:t>)</w:t>
            </w:r>
            <w:r w:rsidR="00830DFD">
              <w:rPr>
                <w:rFonts w:cstheme="minorHAnsi"/>
                <w:sz w:val="20"/>
                <w:szCs w:val="20"/>
              </w:rPr>
              <w:t xml:space="preserve">. </w:t>
            </w:r>
          </w:p>
          <w:p w14:paraId="24D0EE3A"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BF556B3" w14:textId="0FED9758"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sidR="00487C87">
              <w:rPr>
                <w:rFonts w:cstheme="minorHAnsi"/>
                <w:b/>
                <w:sz w:val="20"/>
                <w:szCs w:val="20"/>
              </w:rPr>
              <w:t xml:space="preserve">: </w:t>
            </w:r>
            <w:r w:rsidR="00E94C70">
              <w:rPr>
                <w:rFonts w:cstheme="minorHAnsi"/>
                <w:sz w:val="20"/>
                <w:szCs w:val="20"/>
              </w:rPr>
              <w:t>I</w:t>
            </w:r>
            <w:r>
              <w:rPr>
                <w:rFonts w:cstheme="minorHAnsi"/>
                <w:sz w:val="20"/>
                <w:szCs w:val="20"/>
              </w:rPr>
              <w:t>ndustry trade associations had indicated that the industry was extremely competitive and, therefore, they did not expect significant movement in pay as a result of hours being freed by self-employed drivers then working over 48 hours a week</w:t>
            </w:r>
            <w:r w:rsidR="006D11C0">
              <w:rPr>
                <w:rFonts w:cstheme="minorHAnsi"/>
                <w:sz w:val="20"/>
                <w:szCs w:val="20"/>
              </w:rPr>
              <w:t xml:space="preserve"> (if</w:t>
            </w:r>
            <w:r>
              <w:rPr>
                <w:rFonts w:cstheme="minorHAnsi"/>
                <w:sz w:val="20"/>
                <w:szCs w:val="20"/>
              </w:rPr>
              <w:t xml:space="preserve"> the regulations had led to wage increases, this would have increased th</w:t>
            </w:r>
            <w:r w:rsidR="006D11C0">
              <w:rPr>
                <w:rFonts w:cstheme="minorHAnsi"/>
                <w:sz w:val="20"/>
                <w:szCs w:val="20"/>
              </w:rPr>
              <w:t>e estimates for business costs).</w:t>
            </w:r>
          </w:p>
          <w:p w14:paraId="6E0BE744"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B41E87" w14:textId="2475BD3D" w:rsidR="00830DFD" w:rsidRPr="006A36F4"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Effect on impact assessment cost estimates</w:t>
            </w:r>
            <w:r w:rsidR="006D11C0">
              <w:rPr>
                <w:rFonts w:cstheme="minorHAnsi"/>
                <w:b/>
                <w:sz w:val="20"/>
                <w:szCs w:val="20"/>
              </w:rPr>
              <w:t xml:space="preserve">: </w:t>
            </w:r>
            <w:r w:rsidR="00E94C70">
              <w:rPr>
                <w:rFonts w:cstheme="minorHAnsi"/>
                <w:sz w:val="20"/>
                <w:szCs w:val="20"/>
              </w:rPr>
              <w:t>T</w:t>
            </w:r>
            <w:r w:rsidR="006D11C0">
              <w:rPr>
                <w:rFonts w:cstheme="minorHAnsi"/>
                <w:sz w:val="20"/>
                <w:szCs w:val="20"/>
              </w:rPr>
              <w:t xml:space="preserve">he </w:t>
            </w:r>
            <w:r w:rsidR="006D11C0" w:rsidRPr="006D11C0">
              <w:rPr>
                <w:rFonts w:cstheme="minorHAnsi"/>
                <w:sz w:val="20"/>
                <w:szCs w:val="20"/>
              </w:rPr>
              <w:t>DfT</w:t>
            </w:r>
            <w:r>
              <w:rPr>
                <w:rFonts w:cstheme="minorHAnsi"/>
                <w:sz w:val="20"/>
                <w:szCs w:val="20"/>
              </w:rPr>
              <w:t xml:space="preserve"> provided supporting evidence for the above by citing ONS data showing that nearly 5,500 HGV drivers were claiming Job Seekers Allowance. </w:t>
            </w:r>
          </w:p>
          <w:p w14:paraId="5AEC5326" w14:textId="77777777" w:rsidR="00830DFD" w:rsidRDefault="00830DFD" w:rsidP="00322FCB">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4633" w:type="dxa"/>
          </w:tcPr>
          <w:p w14:paraId="753E7079" w14:textId="0970621E" w:rsidR="00830DFD" w:rsidRDefault="00B92B65"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sidRPr="0077313C">
              <w:rPr>
                <w:rFonts w:cstheme="minorHAnsi"/>
                <w:b/>
                <w:sz w:val="20"/>
                <w:szCs w:val="20"/>
              </w:rPr>
              <w:t xml:space="preserve">Reported Benefits (workers): </w:t>
            </w:r>
            <w:r w:rsidR="00830DFD" w:rsidRPr="0077313C">
              <w:rPr>
                <w:rFonts w:cstheme="minorHAnsi"/>
                <w:sz w:val="20"/>
                <w:szCs w:val="20"/>
              </w:rPr>
              <w:t>increases</w:t>
            </w:r>
            <w:r w:rsidR="00830DFD">
              <w:rPr>
                <w:rFonts w:cstheme="minorHAnsi"/>
                <w:sz w:val="20"/>
                <w:szCs w:val="20"/>
              </w:rPr>
              <w:t xml:space="preserve"> </w:t>
            </w:r>
            <w:r w:rsidR="00830DFD" w:rsidRPr="00852267">
              <w:rPr>
                <w:rFonts w:cstheme="minorHAnsi"/>
                <w:sz w:val="20"/>
                <w:szCs w:val="20"/>
              </w:rPr>
              <w:t>in road safet</w:t>
            </w:r>
            <w:r w:rsidR="00830DFD">
              <w:rPr>
                <w:rFonts w:cstheme="minorHAnsi"/>
                <w:sz w:val="20"/>
                <w:szCs w:val="20"/>
              </w:rPr>
              <w:t>y due to limits on working time;</w:t>
            </w:r>
            <w:r w:rsidR="00830DFD" w:rsidRPr="00852267">
              <w:rPr>
                <w:rFonts w:cstheme="minorHAnsi"/>
                <w:sz w:val="20"/>
                <w:szCs w:val="20"/>
              </w:rPr>
              <w:t xml:space="preserve"> improved balance between home and work life due to </w:t>
            </w:r>
            <w:r w:rsidR="00830DFD">
              <w:rPr>
                <w:rFonts w:cstheme="minorHAnsi"/>
                <w:sz w:val="20"/>
                <w:szCs w:val="20"/>
              </w:rPr>
              <w:t>required limits on working time;</w:t>
            </w:r>
            <w:r w:rsidR="00830DFD" w:rsidRPr="00852267">
              <w:rPr>
                <w:rFonts w:cstheme="minorHAnsi"/>
                <w:sz w:val="20"/>
                <w:szCs w:val="20"/>
              </w:rPr>
              <w:t xml:space="preserve"> </w:t>
            </w:r>
            <w:r w:rsidR="00830DFD">
              <w:rPr>
                <w:rFonts w:cstheme="minorHAnsi"/>
                <w:sz w:val="20"/>
                <w:szCs w:val="20"/>
              </w:rPr>
              <w:t>increase</w:t>
            </w:r>
            <w:r>
              <w:rPr>
                <w:rFonts w:cstheme="minorHAnsi"/>
                <w:sz w:val="20"/>
                <w:szCs w:val="20"/>
              </w:rPr>
              <w:t>d</w:t>
            </w:r>
            <w:r w:rsidR="00830DFD">
              <w:rPr>
                <w:rFonts w:cstheme="minorHAnsi"/>
                <w:sz w:val="20"/>
                <w:szCs w:val="20"/>
              </w:rPr>
              <w:t xml:space="preserve"> </w:t>
            </w:r>
            <w:r w:rsidR="00830DFD" w:rsidRPr="00852267">
              <w:rPr>
                <w:rFonts w:cstheme="minorHAnsi"/>
                <w:sz w:val="20"/>
                <w:szCs w:val="20"/>
              </w:rPr>
              <w:t>uptake of work and increased earnings for drivers working under 48 hours per week on</w:t>
            </w:r>
            <w:r w:rsidR="00830DFD">
              <w:rPr>
                <w:rFonts w:cstheme="minorHAnsi"/>
                <w:sz w:val="20"/>
                <w:szCs w:val="20"/>
              </w:rPr>
              <w:t xml:space="preserve"> </w:t>
            </w:r>
            <w:r w:rsidR="00830DFD" w:rsidRPr="00852267">
              <w:rPr>
                <w:rFonts w:cstheme="minorHAnsi"/>
                <w:sz w:val="20"/>
                <w:szCs w:val="20"/>
              </w:rPr>
              <w:t>average</w:t>
            </w:r>
            <w:r w:rsidR="00830DFD">
              <w:rPr>
                <w:rFonts w:cstheme="minorHAnsi"/>
                <w:sz w:val="20"/>
                <w:szCs w:val="20"/>
              </w:rPr>
              <w:t>; increase in employment opportunities (as a consequence of existing worke</w:t>
            </w:r>
            <w:r>
              <w:rPr>
                <w:rFonts w:cstheme="minorHAnsi"/>
                <w:sz w:val="20"/>
                <w:szCs w:val="20"/>
              </w:rPr>
              <w:t>rs having to work fewer hours).</w:t>
            </w:r>
          </w:p>
          <w:p w14:paraId="776DDA40"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p>
          <w:p w14:paraId="4C5AB2AC" w14:textId="72CF9135" w:rsidR="00830DFD" w:rsidRDefault="00830DFD" w:rsidP="00B92B6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r w:rsidRPr="0077313C">
              <w:rPr>
                <w:rFonts w:cstheme="minorHAnsi"/>
                <w:b/>
                <w:sz w:val="20"/>
                <w:szCs w:val="20"/>
              </w:rPr>
              <w:t xml:space="preserve">Reported benefits (employers): </w:t>
            </w:r>
            <w:r w:rsidRPr="0077313C">
              <w:rPr>
                <w:rFonts w:cstheme="minorHAnsi"/>
                <w:sz w:val="20"/>
                <w:szCs w:val="20"/>
              </w:rPr>
              <w:t>improved</w:t>
            </w:r>
            <w:r w:rsidRPr="00852267">
              <w:rPr>
                <w:rFonts w:cstheme="minorHAnsi"/>
                <w:sz w:val="20"/>
                <w:szCs w:val="20"/>
              </w:rPr>
              <w:t xml:space="preserve"> productivity and driver he</w:t>
            </w:r>
            <w:r w:rsidR="00B92B65">
              <w:rPr>
                <w:rFonts w:cstheme="minorHAnsi"/>
                <w:sz w:val="20"/>
                <w:szCs w:val="20"/>
              </w:rPr>
              <w:t>alth; reduced</w:t>
            </w:r>
            <w:r>
              <w:rPr>
                <w:rFonts w:cstheme="minorHAnsi"/>
                <w:sz w:val="20"/>
                <w:szCs w:val="20"/>
              </w:rPr>
              <w:t xml:space="preserve"> less sick leave;</w:t>
            </w:r>
            <w:r w:rsidR="00B92B65" w:rsidRPr="00852267">
              <w:rPr>
                <w:rFonts w:cstheme="minorHAnsi"/>
                <w:sz w:val="20"/>
                <w:szCs w:val="20"/>
              </w:rPr>
              <w:t xml:space="preserve"> improved industry image, recruitment and retention due to more attractive working</w:t>
            </w:r>
            <w:r w:rsidR="00B92B65">
              <w:rPr>
                <w:rFonts w:cstheme="minorHAnsi"/>
                <w:sz w:val="20"/>
                <w:szCs w:val="20"/>
              </w:rPr>
              <w:t xml:space="preserve"> conditions;</w:t>
            </w:r>
            <w:r w:rsidR="00B92B65" w:rsidRPr="00852267">
              <w:rPr>
                <w:rFonts w:cstheme="minorHAnsi"/>
                <w:sz w:val="20"/>
                <w:szCs w:val="20"/>
              </w:rPr>
              <w:t xml:space="preserve"> </w:t>
            </w:r>
            <w:r w:rsidR="00C9248B">
              <w:rPr>
                <w:rFonts w:cstheme="minorHAnsi"/>
                <w:sz w:val="20"/>
                <w:szCs w:val="20"/>
              </w:rPr>
              <w:t>increase</w:t>
            </w:r>
            <w:r w:rsidR="00B92B65">
              <w:rPr>
                <w:rFonts w:cstheme="minorHAnsi"/>
                <w:sz w:val="20"/>
                <w:szCs w:val="20"/>
              </w:rPr>
              <w:t xml:space="preserve"> in revenue for firms employing drivers (who may see more busines</w:t>
            </w:r>
            <w:r w:rsidR="00C9248B">
              <w:rPr>
                <w:rFonts w:cstheme="minorHAnsi"/>
                <w:sz w:val="20"/>
                <w:szCs w:val="20"/>
              </w:rPr>
              <w:t>s); reduced workplace accidents.</w:t>
            </w:r>
          </w:p>
          <w:p w14:paraId="4E856034"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p>
          <w:p w14:paraId="6DC87E0F" w14:textId="03E9CFDB"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313C">
              <w:rPr>
                <w:rFonts w:cstheme="minorHAnsi"/>
                <w:b/>
                <w:sz w:val="20"/>
                <w:szCs w:val="20"/>
              </w:rPr>
              <w:t>Reported benefits (government):</w:t>
            </w:r>
            <w:r w:rsidR="00B92B65" w:rsidRPr="0077313C">
              <w:rPr>
                <w:rFonts w:cstheme="minorHAnsi"/>
                <w:b/>
                <w:sz w:val="20"/>
                <w:szCs w:val="20"/>
              </w:rPr>
              <w:t xml:space="preserve"> </w:t>
            </w:r>
            <w:r w:rsidR="00B92B65" w:rsidRPr="0077313C">
              <w:rPr>
                <w:rFonts w:cstheme="minorHAnsi"/>
                <w:sz w:val="20"/>
                <w:szCs w:val="20"/>
              </w:rPr>
              <w:t>reduced health and emergency service costs associate</w:t>
            </w:r>
            <w:r w:rsidR="00C9248B">
              <w:rPr>
                <w:rFonts w:cstheme="minorHAnsi"/>
                <w:sz w:val="20"/>
                <w:szCs w:val="20"/>
              </w:rPr>
              <w:t>d with increases in road safety</w:t>
            </w:r>
          </w:p>
          <w:p w14:paraId="3F98F71E" w14:textId="77777777"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A4D0280" w14:textId="30764C3F"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7313C">
              <w:rPr>
                <w:rFonts w:cstheme="minorHAnsi"/>
                <w:b/>
                <w:sz w:val="20"/>
                <w:szCs w:val="20"/>
              </w:rPr>
              <w:t>Non-reported benefits (workers):</w:t>
            </w:r>
            <w:r w:rsidR="00B92B65" w:rsidRPr="0077313C">
              <w:rPr>
                <w:rFonts w:cstheme="minorHAnsi"/>
                <w:b/>
                <w:sz w:val="20"/>
                <w:szCs w:val="20"/>
              </w:rPr>
              <w:t xml:space="preserve"> </w:t>
            </w:r>
            <w:r w:rsidR="00B92B65" w:rsidRPr="00C9248B">
              <w:rPr>
                <w:rFonts w:cstheme="minorHAnsi"/>
                <w:sz w:val="20"/>
                <w:szCs w:val="20"/>
              </w:rPr>
              <w:t>none.</w:t>
            </w:r>
          </w:p>
          <w:p w14:paraId="2765E914" w14:textId="77777777"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BAB726B" w14:textId="3D6630E9"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7313C">
              <w:rPr>
                <w:rFonts w:cstheme="minorHAnsi"/>
                <w:b/>
                <w:sz w:val="20"/>
                <w:szCs w:val="20"/>
              </w:rPr>
              <w:t>Non-reported benefits (employers):</w:t>
            </w:r>
            <w:r w:rsidR="00B92B65" w:rsidRPr="0077313C">
              <w:rPr>
                <w:rFonts w:cstheme="minorHAnsi"/>
                <w:b/>
                <w:sz w:val="20"/>
                <w:szCs w:val="20"/>
              </w:rPr>
              <w:t xml:space="preserve"> </w:t>
            </w:r>
            <w:r w:rsidR="00B92B65" w:rsidRPr="00C9248B">
              <w:rPr>
                <w:rFonts w:cstheme="minorHAnsi"/>
                <w:sz w:val="20"/>
                <w:szCs w:val="20"/>
              </w:rPr>
              <w:t>none.</w:t>
            </w:r>
          </w:p>
          <w:p w14:paraId="4B5137A8" w14:textId="77777777"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5D0F822" w14:textId="6206D11C" w:rsidR="00830DFD" w:rsidRPr="0077313C"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7313C">
              <w:rPr>
                <w:rFonts w:cstheme="minorHAnsi"/>
                <w:b/>
                <w:sz w:val="20"/>
                <w:szCs w:val="20"/>
              </w:rPr>
              <w:t>Non-reported benefits (government):</w:t>
            </w:r>
            <w:r w:rsidR="00B92B65" w:rsidRPr="0077313C">
              <w:rPr>
                <w:rFonts w:cstheme="minorHAnsi"/>
                <w:b/>
                <w:sz w:val="20"/>
                <w:szCs w:val="20"/>
              </w:rPr>
              <w:t xml:space="preserve"> </w:t>
            </w:r>
            <w:r w:rsidR="00C9248B">
              <w:rPr>
                <w:rFonts w:cstheme="minorHAnsi"/>
                <w:sz w:val="20"/>
                <w:szCs w:val="20"/>
              </w:rPr>
              <w:t>increase in revenue as a result of reduction in lost output.</w:t>
            </w:r>
          </w:p>
          <w:p w14:paraId="3CCBEA7F"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p>
          <w:p w14:paraId="75EFE22D" w14:textId="10203AB9"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3DB">
              <w:rPr>
                <w:rFonts w:cstheme="minorHAnsi"/>
                <w:b/>
                <w:sz w:val="20"/>
                <w:szCs w:val="20"/>
              </w:rPr>
              <w:t>Disputed</w:t>
            </w:r>
            <w:r>
              <w:rPr>
                <w:rFonts w:cstheme="minorHAnsi"/>
                <w:b/>
                <w:sz w:val="20"/>
                <w:szCs w:val="20"/>
              </w:rPr>
              <w:t xml:space="preserve"> benefits (in impact assessment</w:t>
            </w:r>
            <w:r w:rsidRPr="007C43DB">
              <w:rPr>
                <w:rFonts w:cstheme="minorHAnsi"/>
                <w:b/>
                <w:sz w:val="20"/>
                <w:szCs w:val="20"/>
              </w:rPr>
              <w:t>):</w:t>
            </w:r>
            <w:r>
              <w:rPr>
                <w:rFonts w:cstheme="minorHAnsi"/>
                <w:b/>
                <w:sz w:val="20"/>
                <w:szCs w:val="20"/>
              </w:rPr>
              <w:t xml:space="preserve"> </w:t>
            </w:r>
            <w:r>
              <w:rPr>
                <w:rFonts w:cstheme="minorHAnsi"/>
                <w:sz w:val="20"/>
                <w:szCs w:val="20"/>
              </w:rPr>
              <w:t>On the issue of quantifying benefits associated with reduced fatigue, the impact assessment referred to a Department of Transport sponsored review of the research</w:t>
            </w:r>
            <w:r>
              <w:rPr>
                <w:rFonts w:cstheme="minorHAnsi"/>
                <w:sz w:val="20"/>
                <w:szCs w:val="20"/>
              </w:rPr>
              <w:fldChar w:fldCharType="begin"/>
            </w:r>
            <w:r>
              <w:rPr>
                <w:rFonts w:cstheme="minorHAnsi"/>
                <w:sz w:val="20"/>
                <w:szCs w:val="20"/>
              </w:rPr>
              <w:instrText xml:space="preserve"> ADDIN EN.CITE &lt;EndNote&gt;&lt;Cite&gt;&lt;Author&gt;Jackson&lt;/Author&gt;&lt;Year&gt;2011&lt;/Year&gt;&lt;RecNum&gt;1644&lt;/RecNum&gt;&lt;DisplayText&gt; (Jackson&lt;style face="italic"&gt; et al.&lt;/style&gt;, 2011)&lt;/DisplayText&gt;&lt;record&gt;&lt;rec-number&gt;1644&lt;/rec-number&gt;&lt;foreign-keys&gt;&lt;key app="EN" db-id="drrvazw0t090vlef0e6praxba2d0xwps0wt0" timestamp="1493922778"&gt;1644&lt;/key&gt;&lt;/foreign-keys&gt;&lt;ref-type name="Report"&gt;27&lt;/ref-type&gt;&lt;contributors&gt;&lt;authors&gt;&lt;author&gt;P. Jackson&lt;/author&gt;&lt;author&gt;C. Hilditch&lt;/author&gt;&lt;author&gt;A. Holmes&lt;/author&gt;&lt;author&gt;N. Reed&lt;/author&gt;&lt;author&gt;N. Merat&lt;/author&gt;&lt;author&gt;L. Smith&lt;/author&gt;&lt;/authors&gt;&lt;tertiary-authors&gt;&lt;author&gt;Department for Transport&lt;/author&gt;&lt;/tertiary-authors&gt;&lt;/contributors&gt;&lt;titles&gt;&lt;title&gt;Fatigue and Road Safety: A Critical Review of Recent Evidence&lt;/title&gt;&lt;/titles&gt;&lt;num-vols&gt;Road Safety Web Publication No. 21&lt;/num-vols&gt;&lt;dates&gt;&lt;year&gt;2011&lt;/year&gt;&lt;/dates&gt;&lt;pub-location&gt;London&lt;/pub-location&gt;&lt;publisher&gt;Department for Transport&lt;/publisher&gt;&lt;urls&gt;&lt;related-urls&gt;&lt;url&gt;http://webarchive.nationalarchives.gov.uk/20121107103953/http://assets.dft.gov.uk/publications/fatigue-and-road-safety-a-critical-analysis-of-recent-evidence/rswp21report.pdf&lt;/url&gt;&lt;/related-urls&gt;&lt;/urls&gt;&lt;access-date&gt;May 4, 2017&lt;/access-date&gt;&lt;/record&gt;&lt;/Cite&gt;&lt;/EndNote&gt;</w:instrText>
            </w:r>
            <w:r>
              <w:rPr>
                <w:rFonts w:cstheme="minorHAnsi"/>
                <w:sz w:val="20"/>
                <w:szCs w:val="20"/>
              </w:rPr>
              <w:fldChar w:fldCharType="separate"/>
            </w:r>
            <w:r>
              <w:rPr>
                <w:rFonts w:cstheme="minorHAnsi"/>
                <w:noProof/>
                <w:sz w:val="20"/>
                <w:szCs w:val="20"/>
              </w:rPr>
              <w:t xml:space="preserve"> </w:t>
            </w:r>
            <w:hyperlink w:anchor="_ENREF_16" w:tooltip="Jackson, 2011 #1644" w:history="1">
              <w:r w:rsidR="006D11C0">
                <w:rPr>
                  <w:rFonts w:cstheme="minorHAnsi"/>
                  <w:noProof/>
                  <w:sz w:val="20"/>
                  <w:szCs w:val="20"/>
                </w:rPr>
                <w:t>(Jackson</w:t>
              </w:r>
              <w:r w:rsidR="006D11C0" w:rsidRPr="00BB4F0A">
                <w:rPr>
                  <w:rFonts w:cstheme="minorHAnsi"/>
                  <w:i/>
                  <w:noProof/>
                  <w:sz w:val="20"/>
                  <w:szCs w:val="20"/>
                </w:rPr>
                <w:t xml:space="preserve"> et al.</w:t>
              </w:r>
              <w:r w:rsidR="006D11C0">
                <w:rPr>
                  <w:rFonts w:cstheme="minorHAnsi"/>
                  <w:noProof/>
                  <w:sz w:val="20"/>
                  <w:szCs w:val="20"/>
                </w:rPr>
                <w:t>, 2011</w:t>
              </w:r>
            </w:hyperlink>
            <w:r>
              <w:rPr>
                <w:rFonts w:cstheme="minorHAnsi"/>
                <w:noProof/>
                <w:sz w:val="20"/>
                <w:szCs w:val="20"/>
              </w:rPr>
              <w:t>)</w:t>
            </w:r>
            <w:r>
              <w:rPr>
                <w:rFonts w:cstheme="minorHAnsi"/>
                <w:sz w:val="20"/>
                <w:szCs w:val="20"/>
              </w:rPr>
              <w:fldChar w:fldCharType="end"/>
            </w:r>
            <w:r>
              <w:rPr>
                <w:rFonts w:cstheme="minorHAnsi"/>
                <w:sz w:val="20"/>
                <w:szCs w:val="20"/>
              </w:rPr>
              <w:t>,</w:t>
            </w:r>
            <w:r w:rsidRPr="002708F2">
              <w:rPr>
                <w:rFonts w:cstheme="minorHAnsi"/>
                <w:sz w:val="20"/>
                <w:szCs w:val="20"/>
              </w:rPr>
              <w:t xml:space="preserve"> </w:t>
            </w:r>
            <w:r>
              <w:rPr>
                <w:rFonts w:cstheme="minorHAnsi"/>
                <w:sz w:val="20"/>
                <w:szCs w:val="20"/>
              </w:rPr>
              <w:t>which did “</w:t>
            </w:r>
            <w:r w:rsidRPr="002708F2">
              <w:rPr>
                <w:rFonts w:cstheme="minorHAnsi"/>
                <w:sz w:val="20"/>
                <w:szCs w:val="20"/>
              </w:rPr>
              <w:t>not provide any significant</w:t>
            </w:r>
            <w:r>
              <w:rPr>
                <w:rFonts w:cstheme="minorHAnsi"/>
                <w:sz w:val="20"/>
                <w:szCs w:val="20"/>
              </w:rPr>
              <w:t xml:space="preserve"> </w:t>
            </w:r>
            <w:r w:rsidRPr="002708F2">
              <w:rPr>
                <w:rFonts w:cstheme="minorHAnsi"/>
                <w:sz w:val="20"/>
                <w:szCs w:val="20"/>
              </w:rPr>
              <w:t>information on which to base a calculation of the benefits that may arise as a result of the reduction of</w:t>
            </w:r>
            <w:r>
              <w:rPr>
                <w:rFonts w:cstheme="minorHAnsi"/>
                <w:sz w:val="20"/>
                <w:szCs w:val="20"/>
              </w:rPr>
              <w:t xml:space="preserve"> </w:t>
            </w:r>
            <w:r w:rsidRPr="002708F2">
              <w:rPr>
                <w:rFonts w:cstheme="minorHAnsi"/>
                <w:sz w:val="20"/>
                <w:szCs w:val="20"/>
              </w:rPr>
              <w:t>working hours for some drivers.</w:t>
            </w:r>
            <w:r>
              <w:rPr>
                <w:rFonts w:cstheme="minorHAnsi"/>
                <w:sz w:val="20"/>
                <w:szCs w:val="20"/>
              </w:rPr>
              <w:t>”</w:t>
            </w:r>
            <w:r>
              <w:rPr>
                <w:rFonts w:cstheme="minorHAnsi"/>
                <w:sz w:val="20"/>
                <w:szCs w:val="20"/>
              </w:rPr>
              <w:fldChar w:fldCharType="begin"/>
            </w:r>
            <w:r w:rsidR="006D11C0">
              <w:rPr>
                <w:rFonts w:cstheme="minorHAnsi"/>
                <w:sz w:val="20"/>
                <w:szCs w:val="20"/>
              </w:rPr>
              <w:instrText xml:space="preserve"> ADDIN EN.CITE &lt;EndNote&gt;&lt;Cite&gt;&lt;Author&gt;Department for Transport&lt;/Author&gt;&lt;Year&gt;2011&lt;/Year&gt;&lt;RecNum&gt;1631&lt;/RecNum&gt;&lt;DisplayText&gt; (Department for Transport, 2011)&lt;/DisplayText&gt;&lt;record&gt;&lt;rec-number&gt;1631&lt;/rec-number&gt;&lt;foreign-keys&gt;&lt;key app="EN" db-id="drrvazw0t090vlef0e6praxba2d0xwps0wt0" timestamp="1492192763"&gt;1631&lt;/key&gt;&lt;/foreign-keys&gt;&lt;ref-type name="Report"&gt;27&lt;/ref-type&gt;&lt;contributors&gt;&lt;authors&gt;&lt;author&gt;Department for Transport,&lt;/author&gt;&lt;/authors&gt;&lt;tertiary-authors&gt;&lt;author&gt;Department for Transport&lt;/author&gt;&lt;/tertiary-authors&gt;&lt;/contributors&gt;&lt;titles&gt;&lt;title&gt;The Road Transport (Working Time) Amendment Regulations 2012&lt;/title&gt;&lt;/titles&gt;&lt;dates&gt;&lt;year&gt;2011&lt;/year&gt;&lt;/dates&gt;&lt;pub-location&gt;London&lt;/pub-location&gt;&lt;publisher&gt;Department for Transport&lt;/publisher&gt;&lt;urls&gt;&lt;related-urls&gt;&lt;url&gt;http://www.legislation.gov.uk/ukia/2011/485/pdfs/ukia_20110485_en.pdf&lt;/url&gt;&lt;/related-urls&gt;&lt;/urls&gt;&lt;access-date&gt;April 14, 2017&lt;/access-date&gt;&lt;/record&gt;&lt;/Cite&gt;&lt;/EndNote&gt;</w:instrText>
            </w:r>
            <w:r>
              <w:rPr>
                <w:rFonts w:cstheme="minorHAnsi"/>
                <w:sz w:val="20"/>
                <w:szCs w:val="20"/>
              </w:rPr>
              <w:fldChar w:fldCharType="separate"/>
            </w:r>
            <w:r w:rsidR="006D11C0">
              <w:rPr>
                <w:rFonts w:cstheme="minorHAnsi"/>
                <w:noProof/>
                <w:sz w:val="20"/>
                <w:szCs w:val="20"/>
              </w:rPr>
              <w:t xml:space="preserve"> </w:t>
            </w:r>
            <w:hyperlink w:anchor="_ENREF_3" w:tooltip="Department for Transport, 2011 #1631" w:history="1">
              <w:r w:rsidR="006D11C0">
                <w:rPr>
                  <w:rFonts w:cstheme="minorHAnsi"/>
                  <w:noProof/>
                  <w:sz w:val="20"/>
                  <w:szCs w:val="20"/>
                </w:rPr>
                <w:t>(Department for Transport, 2011</w:t>
              </w:r>
            </w:hyperlink>
            <w:r w:rsidR="006D11C0">
              <w:rPr>
                <w:rFonts w:cstheme="minorHAnsi"/>
                <w:noProof/>
                <w:sz w:val="20"/>
                <w:szCs w:val="20"/>
              </w:rPr>
              <w:t>)</w:t>
            </w:r>
            <w:r>
              <w:rPr>
                <w:rFonts w:cstheme="minorHAnsi"/>
                <w:sz w:val="20"/>
                <w:szCs w:val="20"/>
              </w:rPr>
              <w:fldChar w:fldCharType="end"/>
            </w:r>
            <w:r>
              <w:rPr>
                <w:rFonts w:cstheme="minorHAnsi"/>
                <w:sz w:val="20"/>
                <w:szCs w:val="20"/>
              </w:rPr>
              <w:t xml:space="preserve"> The impact assessment noted that this was because existing research had been unable to disaggregate the various causes of fatigue (such as a</w:t>
            </w:r>
            <w:r w:rsidRPr="002708F2">
              <w:rPr>
                <w:rFonts w:cstheme="minorHAnsi"/>
                <w:sz w:val="20"/>
                <w:szCs w:val="20"/>
              </w:rPr>
              <w:t>ge, individual susceptibility to sleep loss,</w:t>
            </w:r>
            <w:r>
              <w:rPr>
                <w:rFonts w:cstheme="minorHAnsi"/>
                <w:sz w:val="20"/>
                <w:szCs w:val="20"/>
              </w:rPr>
              <w:t xml:space="preserve"> </w:t>
            </w:r>
            <w:r w:rsidRPr="002708F2">
              <w:rPr>
                <w:rFonts w:cstheme="minorHAnsi"/>
                <w:sz w:val="20"/>
                <w:szCs w:val="20"/>
              </w:rPr>
              <w:t>lifestyle factors such as new parenthood, personality and mood can all influence fatigue</w:t>
            </w:r>
            <w:r>
              <w:rPr>
                <w:rFonts w:cstheme="minorHAnsi"/>
                <w:sz w:val="20"/>
                <w:szCs w:val="20"/>
              </w:rPr>
              <w:t xml:space="preserve">). </w:t>
            </w:r>
          </w:p>
          <w:p w14:paraId="0EC4C299"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p>
          <w:p w14:paraId="2D6A30F0" w14:textId="507777DC"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C43DB">
              <w:rPr>
                <w:rFonts w:cstheme="minorHAnsi"/>
                <w:b/>
                <w:sz w:val="20"/>
                <w:szCs w:val="20"/>
              </w:rPr>
              <w:t>Dispute</w:t>
            </w:r>
            <w:r w:rsidR="009A62A2">
              <w:rPr>
                <w:rFonts w:cstheme="minorHAnsi"/>
                <w:b/>
                <w:sz w:val="20"/>
                <w:szCs w:val="20"/>
              </w:rPr>
              <w:t>d</w:t>
            </w:r>
            <w:r w:rsidRPr="007C43DB">
              <w:rPr>
                <w:rFonts w:cstheme="minorHAnsi"/>
                <w:b/>
                <w:sz w:val="20"/>
                <w:szCs w:val="20"/>
              </w:rPr>
              <w:t xml:space="preserve"> benefits (by employers):</w:t>
            </w:r>
            <w:r>
              <w:rPr>
                <w:rFonts w:cstheme="minorHAnsi"/>
                <w:sz w:val="20"/>
                <w:szCs w:val="20"/>
              </w:rPr>
              <w:t xml:space="preserve"> The impact assessment also relied heavily on the main trade associations to calculate potential road safety benefits. It reported that, “i</w:t>
            </w:r>
            <w:r w:rsidRPr="00C64DAC">
              <w:rPr>
                <w:rFonts w:cstheme="minorHAnsi"/>
                <w:sz w:val="20"/>
                <w:szCs w:val="20"/>
              </w:rPr>
              <w:t xml:space="preserve">ndustry </w:t>
            </w:r>
            <w:r>
              <w:rPr>
                <w:rFonts w:cstheme="minorHAnsi"/>
                <w:sz w:val="20"/>
                <w:szCs w:val="20"/>
              </w:rPr>
              <w:t xml:space="preserve">[had] </w:t>
            </w:r>
            <w:r w:rsidRPr="00C64DAC">
              <w:rPr>
                <w:rFonts w:cstheme="minorHAnsi"/>
                <w:sz w:val="20"/>
                <w:szCs w:val="20"/>
              </w:rPr>
              <w:t xml:space="preserve">clearly indicated that the inclusion of self-employed drivers </w:t>
            </w:r>
            <w:r>
              <w:rPr>
                <w:rFonts w:cstheme="minorHAnsi"/>
                <w:sz w:val="20"/>
                <w:szCs w:val="20"/>
              </w:rPr>
              <w:t>[was]</w:t>
            </w:r>
            <w:r w:rsidRPr="00C64DAC">
              <w:rPr>
                <w:rFonts w:cstheme="minorHAnsi"/>
                <w:sz w:val="20"/>
                <w:szCs w:val="20"/>
              </w:rPr>
              <w:t xml:space="preserve"> unlikely to generate any</w:t>
            </w:r>
            <w:r>
              <w:rPr>
                <w:rFonts w:cstheme="minorHAnsi"/>
                <w:sz w:val="20"/>
                <w:szCs w:val="20"/>
              </w:rPr>
              <w:t xml:space="preserve"> </w:t>
            </w:r>
            <w:r w:rsidRPr="00C64DAC">
              <w:rPr>
                <w:rFonts w:cstheme="minorHAnsi"/>
                <w:sz w:val="20"/>
                <w:szCs w:val="20"/>
              </w:rPr>
              <w:t>quantifiable benefits in terms of road safety</w:t>
            </w:r>
            <w:r>
              <w:rPr>
                <w:rFonts w:cstheme="minorHAnsi"/>
                <w:sz w:val="20"/>
                <w:szCs w:val="20"/>
              </w:rPr>
              <w:t>”</w:t>
            </w:r>
            <w:r>
              <w:rPr>
                <w:rFonts w:cstheme="minorHAnsi"/>
                <w:sz w:val="20"/>
                <w:szCs w:val="20"/>
              </w:rPr>
              <w:fldChar w:fldCharType="begin"/>
            </w:r>
            <w:r w:rsidR="006D11C0">
              <w:rPr>
                <w:rFonts w:cstheme="minorHAnsi"/>
                <w:sz w:val="20"/>
                <w:szCs w:val="20"/>
              </w:rPr>
              <w:instrText xml:space="preserve"> ADDIN EN.CITE &lt;EndNote&gt;&lt;Cite&gt;&lt;Author&gt;Department for Transport&lt;/Author&gt;&lt;Year&gt;2011&lt;/Year&gt;&lt;RecNum&gt;1631&lt;/RecNum&gt;&lt;DisplayText&gt; (Department for Transport, 2011)&lt;/DisplayText&gt;&lt;record&gt;&lt;rec-number&gt;1631&lt;/rec-number&gt;&lt;foreign-keys&gt;&lt;key app="EN" db-id="drrvazw0t090vlef0e6praxba2d0xwps0wt0" timestamp="1492192763"&gt;1631&lt;/key&gt;&lt;/foreign-keys&gt;&lt;ref-type name="Report"&gt;27&lt;/ref-type&gt;&lt;contributors&gt;&lt;authors&gt;&lt;author&gt;Department for Transport,&lt;/author&gt;&lt;/authors&gt;&lt;tertiary-authors&gt;&lt;author&gt;Department for Transport&lt;/author&gt;&lt;/tertiary-authors&gt;&lt;/contributors&gt;&lt;titles&gt;&lt;title&gt;The Road Transport (Working Time) Amendment Regulations 2012&lt;/title&gt;&lt;/titles&gt;&lt;dates&gt;&lt;year&gt;2011&lt;/year&gt;&lt;/dates&gt;&lt;pub-location&gt;London&lt;/pub-location&gt;&lt;publisher&gt;Department for Transport&lt;/publisher&gt;&lt;urls&gt;&lt;related-urls&gt;&lt;url&gt;http://www.legislation.gov.uk/ukia/2011/485/pdfs/ukia_20110485_en.pdf&lt;/url&gt;&lt;/related-urls&gt;&lt;/urls&gt;&lt;access-date&gt;April 14, 2017&lt;/access-date&gt;&lt;/record&gt;&lt;/Cite&gt;&lt;/EndNote&gt;</w:instrText>
            </w:r>
            <w:r>
              <w:rPr>
                <w:rFonts w:cstheme="minorHAnsi"/>
                <w:sz w:val="20"/>
                <w:szCs w:val="20"/>
              </w:rPr>
              <w:fldChar w:fldCharType="separate"/>
            </w:r>
            <w:r w:rsidR="006D11C0">
              <w:rPr>
                <w:rFonts w:cstheme="minorHAnsi"/>
                <w:noProof/>
                <w:sz w:val="20"/>
                <w:szCs w:val="20"/>
              </w:rPr>
              <w:t xml:space="preserve"> </w:t>
            </w:r>
            <w:hyperlink w:anchor="_ENREF_3" w:tooltip="Department for Transport, 2011 #1631" w:history="1">
              <w:r w:rsidR="006D11C0">
                <w:rPr>
                  <w:rFonts w:cstheme="minorHAnsi"/>
                  <w:noProof/>
                  <w:sz w:val="20"/>
                  <w:szCs w:val="20"/>
                </w:rPr>
                <w:t>(Department for Transport, 2011</w:t>
              </w:r>
            </w:hyperlink>
            <w:r w:rsidR="006D11C0">
              <w:rPr>
                <w:rFonts w:cstheme="minorHAnsi"/>
                <w:noProof/>
                <w:sz w:val="20"/>
                <w:szCs w:val="20"/>
              </w:rPr>
              <w:t>)</w:t>
            </w:r>
            <w:r>
              <w:rPr>
                <w:rFonts w:cstheme="minorHAnsi"/>
                <w:sz w:val="20"/>
                <w:szCs w:val="20"/>
              </w:rPr>
              <w:fldChar w:fldCharType="end"/>
            </w:r>
            <w:r w:rsidRPr="00C64DAC">
              <w:rPr>
                <w:rFonts w:cstheme="minorHAnsi"/>
                <w:sz w:val="20"/>
                <w:szCs w:val="20"/>
              </w:rPr>
              <w:t xml:space="preserve"> </w:t>
            </w:r>
            <w:r>
              <w:rPr>
                <w:rFonts w:cstheme="minorHAnsi"/>
                <w:sz w:val="20"/>
                <w:szCs w:val="20"/>
              </w:rPr>
              <w:t>partly because “other life-style factors”, rather than fatigue caused by working above the proposed limits, were likely to have a greater impact. The impact assessment failed to support this finding with additional evidence</w:t>
            </w:r>
            <w:r w:rsidR="00CD5E5B">
              <w:rPr>
                <w:rFonts w:cstheme="minorHAnsi"/>
                <w:sz w:val="20"/>
                <w:szCs w:val="20"/>
              </w:rPr>
              <w:t xml:space="preserve"> (although it referred to “additional analysis of research into fatigue)</w:t>
            </w:r>
            <w:r>
              <w:rPr>
                <w:rFonts w:cstheme="minorHAnsi"/>
                <w:sz w:val="20"/>
                <w:szCs w:val="20"/>
              </w:rPr>
              <w:t xml:space="preserve">, and, instead, </w:t>
            </w:r>
            <w:r w:rsidRPr="00C64DAC">
              <w:rPr>
                <w:rFonts w:cstheme="minorHAnsi"/>
                <w:sz w:val="20"/>
                <w:szCs w:val="20"/>
              </w:rPr>
              <w:t>concluded that</w:t>
            </w:r>
            <w:r>
              <w:rPr>
                <w:rFonts w:cstheme="minorHAnsi"/>
                <w:sz w:val="20"/>
                <w:szCs w:val="20"/>
              </w:rPr>
              <w:t xml:space="preserve"> there would be no safety benefits </w:t>
            </w:r>
            <w:r w:rsidRPr="00C64DAC">
              <w:rPr>
                <w:rFonts w:cstheme="minorHAnsi"/>
                <w:sz w:val="20"/>
                <w:szCs w:val="20"/>
              </w:rPr>
              <w:t xml:space="preserve">in both </w:t>
            </w:r>
            <w:r>
              <w:rPr>
                <w:rFonts w:cstheme="minorHAnsi"/>
                <w:sz w:val="20"/>
                <w:szCs w:val="20"/>
              </w:rPr>
              <w:t xml:space="preserve">its </w:t>
            </w:r>
            <w:r w:rsidRPr="00C64DAC">
              <w:rPr>
                <w:rFonts w:cstheme="minorHAnsi"/>
                <w:sz w:val="20"/>
                <w:szCs w:val="20"/>
              </w:rPr>
              <w:t>low and best case scenario.</w:t>
            </w:r>
            <w:r>
              <w:rPr>
                <w:rFonts w:cstheme="minorHAnsi"/>
                <w:sz w:val="20"/>
                <w:szCs w:val="20"/>
              </w:rPr>
              <w:t xml:space="preserve"> </w:t>
            </w:r>
          </w:p>
          <w:p w14:paraId="5DE43A5B" w14:textId="2846239D"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rPr>
            </w:pPr>
          </w:p>
          <w:p w14:paraId="45AD16B1" w14:textId="598EEDF3" w:rsidR="00830DFD" w:rsidRPr="00C9248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5E5B">
              <w:rPr>
                <w:rFonts w:cstheme="minorHAnsi"/>
                <w:b/>
                <w:sz w:val="20"/>
                <w:szCs w:val="20"/>
              </w:rPr>
              <w:t>Monetised benefits (workers)</w:t>
            </w:r>
            <w:r w:rsidR="00CD5E5B">
              <w:rPr>
                <w:rFonts w:cstheme="minorHAnsi"/>
                <w:b/>
                <w:sz w:val="20"/>
                <w:szCs w:val="20"/>
              </w:rPr>
              <w:t>:</w:t>
            </w:r>
            <w:r w:rsidR="00C9248B">
              <w:rPr>
                <w:rFonts w:cstheme="minorHAnsi"/>
                <w:b/>
                <w:sz w:val="20"/>
                <w:szCs w:val="20"/>
              </w:rPr>
              <w:t xml:space="preserve"> </w:t>
            </w:r>
            <w:r w:rsidR="00C9248B">
              <w:rPr>
                <w:rFonts w:cstheme="minorHAnsi"/>
                <w:sz w:val="20"/>
                <w:szCs w:val="20"/>
              </w:rPr>
              <w:t>see above</w:t>
            </w:r>
          </w:p>
          <w:p w14:paraId="1C4C5693" w14:textId="77777777" w:rsidR="00830DFD" w:rsidRPr="00CD5E5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7A209D0" w14:textId="419CD345" w:rsidR="00830DFD" w:rsidRPr="00C9248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5E5B">
              <w:rPr>
                <w:rFonts w:cstheme="minorHAnsi"/>
                <w:b/>
                <w:sz w:val="20"/>
                <w:szCs w:val="20"/>
              </w:rPr>
              <w:t>Monetised benefits (employers)</w:t>
            </w:r>
            <w:r w:rsidR="00CD5E5B">
              <w:rPr>
                <w:rFonts w:cstheme="minorHAnsi"/>
                <w:b/>
                <w:sz w:val="20"/>
                <w:szCs w:val="20"/>
              </w:rPr>
              <w:t>:</w:t>
            </w:r>
            <w:r w:rsidR="00C9248B">
              <w:rPr>
                <w:rFonts w:cstheme="minorHAnsi"/>
                <w:b/>
                <w:sz w:val="20"/>
                <w:szCs w:val="20"/>
              </w:rPr>
              <w:t xml:space="preserve"> </w:t>
            </w:r>
            <w:r w:rsidR="00C9248B">
              <w:rPr>
                <w:rFonts w:cstheme="minorHAnsi"/>
                <w:sz w:val="20"/>
                <w:szCs w:val="20"/>
              </w:rPr>
              <w:t>see above</w:t>
            </w:r>
          </w:p>
          <w:p w14:paraId="5E5F442E" w14:textId="77777777" w:rsidR="00830DFD" w:rsidRPr="00CD5E5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7C78DD4" w14:textId="45595DBF" w:rsidR="00830DFD" w:rsidRPr="00C9248B"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5E5B">
              <w:rPr>
                <w:rFonts w:cstheme="minorHAnsi"/>
                <w:b/>
                <w:sz w:val="20"/>
                <w:szCs w:val="20"/>
              </w:rPr>
              <w:t>Monetised benefits (government)</w:t>
            </w:r>
            <w:r w:rsidR="00CD5E5B">
              <w:rPr>
                <w:rFonts w:cstheme="minorHAnsi"/>
                <w:b/>
                <w:sz w:val="20"/>
                <w:szCs w:val="20"/>
              </w:rPr>
              <w:t>:</w:t>
            </w:r>
            <w:r w:rsidR="00C9248B">
              <w:rPr>
                <w:rFonts w:cstheme="minorHAnsi"/>
                <w:b/>
                <w:sz w:val="20"/>
                <w:szCs w:val="20"/>
              </w:rPr>
              <w:t xml:space="preserve"> </w:t>
            </w:r>
            <w:r w:rsidR="00C9248B">
              <w:rPr>
                <w:rFonts w:cstheme="minorHAnsi"/>
                <w:sz w:val="20"/>
                <w:szCs w:val="20"/>
              </w:rPr>
              <w:t>see above</w:t>
            </w:r>
          </w:p>
          <w:p w14:paraId="0D98ADD3"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FF47C8E" w14:textId="2BC99388" w:rsidR="00477401" w:rsidRPr="00477401"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Non-Monetised benefits (workers): </w:t>
            </w:r>
            <w:r>
              <w:rPr>
                <w:rFonts w:cstheme="minorHAnsi"/>
                <w:sz w:val="20"/>
                <w:szCs w:val="20"/>
              </w:rPr>
              <w:t xml:space="preserve">increases </w:t>
            </w:r>
            <w:r w:rsidRPr="00852267">
              <w:rPr>
                <w:rFonts w:cstheme="minorHAnsi"/>
                <w:sz w:val="20"/>
                <w:szCs w:val="20"/>
              </w:rPr>
              <w:t>in road safet</w:t>
            </w:r>
            <w:r>
              <w:rPr>
                <w:rFonts w:cstheme="minorHAnsi"/>
                <w:sz w:val="20"/>
                <w:szCs w:val="20"/>
              </w:rPr>
              <w:t>y due to limits on working time;</w:t>
            </w:r>
            <w:r w:rsidRPr="00852267">
              <w:rPr>
                <w:rFonts w:cstheme="minorHAnsi"/>
                <w:sz w:val="20"/>
                <w:szCs w:val="20"/>
              </w:rPr>
              <w:t xml:space="preserve"> improved productivity and driver he</w:t>
            </w:r>
            <w:r>
              <w:rPr>
                <w:rFonts w:cstheme="minorHAnsi"/>
                <w:sz w:val="20"/>
                <w:szCs w:val="20"/>
              </w:rPr>
              <w:t>alth, less sick leave;</w:t>
            </w:r>
            <w:r w:rsidRPr="00852267">
              <w:rPr>
                <w:rFonts w:cstheme="minorHAnsi"/>
                <w:sz w:val="20"/>
                <w:szCs w:val="20"/>
              </w:rPr>
              <w:t xml:space="preserve"> improved balance between home and work life due to </w:t>
            </w:r>
            <w:r>
              <w:rPr>
                <w:rFonts w:cstheme="minorHAnsi"/>
                <w:sz w:val="20"/>
                <w:szCs w:val="20"/>
              </w:rPr>
              <w:t>required limits on working time;</w:t>
            </w:r>
            <w:r w:rsidRPr="00852267">
              <w:rPr>
                <w:rFonts w:cstheme="minorHAnsi"/>
                <w:sz w:val="20"/>
                <w:szCs w:val="20"/>
              </w:rPr>
              <w:t xml:space="preserve"> uptake of work and increased earnings for drivers working under 48 hours per week on</w:t>
            </w:r>
            <w:r>
              <w:rPr>
                <w:rFonts w:cstheme="minorHAnsi"/>
                <w:sz w:val="20"/>
                <w:szCs w:val="20"/>
              </w:rPr>
              <w:t xml:space="preserve"> </w:t>
            </w:r>
            <w:r w:rsidRPr="00852267">
              <w:rPr>
                <w:rFonts w:cstheme="minorHAnsi"/>
                <w:sz w:val="20"/>
                <w:szCs w:val="20"/>
              </w:rPr>
              <w:t>average</w:t>
            </w:r>
            <w:r>
              <w:rPr>
                <w:rFonts w:cstheme="minorHAnsi"/>
                <w:sz w:val="20"/>
                <w:szCs w:val="20"/>
              </w:rPr>
              <w:t>; increase in employment opportunities (as a consequence of existing workers having to work fewer hours); increases in revenue for firms employing drivers (who may see more business)</w:t>
            </w:r>
            <w:r w:rsidRPr="00852267">
              <w:rPr>
                <w:rFonts w:cstheme="minorHAnsi"/>
                <w:sz w:val="20"/>
                <w:szCs w:val="20"/>
              </w:rPr>
              <w:t>.</w:t>
            </w:r>
            <w:r w:rsidR="00477401" w:rsidRPr="00477401">
              <w:rPr>
                <w:rFonts w:cstheme="minorHAnsi"/>
                <w:sz w:val="20"/>
                <w:szCs w:val="20"/>
              </w:rPr>
              <w:t xml:space="preserve"> </w:t>
            </w:r>
          </w:p>
          <w:p w14:paraId="0549AA2A"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611C91F" w14:textId="34CA1C9F"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Non-Monetised benefits (employers): </w:t>
            </w:r>
            <w:r>
              <w:rPr>
                <w:rFonts w:cstheme="minorHAnsi"/>
                <w:sz w:val="20"/>
                <w:szCs w:val="20"/>
              </w:rPr>
              <w:t xml:space="preserve">productivity (and administrative cost-related) benefits associated </w:t>
            </w:r>
            <w:r w:rsidR="009A62A2">
              <w:rPr>
                <w:rFonts w:cstheme="minorHAnsi"/>
                <w:sz w:val="20"/>
                <w:szCs w:val="20"/>
              </w:rPr>
              <w:t xml:space="preserve">with </w:t>
            </w:r>
            <w:r>
              <w:rPr>
                <w:rFonts w:cstheme="minorHAnsi"/>
                <w:sz w:val="20"/>
                <w:szCs w:val="20"/>
              </w:rPr>
              <w:t xml:space="preserve">increases </w:t>
            </w:r>
            <w:r w:rsidRPr="00852267">
              <w:rPr>
                <w:rFonts w:cstheme="minorHAnsi"/>
                <w:sz w:val="20"/>
                <w:szCs w:val="20"/>
              </w:rPr>
              <w:t>in road safet</w:t>
            </w:r>
            <w:r w:rsidR="009A62A2">
              <w:rPr>
                <w:rFonts w:cstheme="minorHAnsi"/>
                <w:sz w:val="20"/>
                <w:szCs w:val="20"/>
              </w:rPr>
              <w:t>y due to limits on working time.</w:t>
            </w:r>
          </w:p>
          <w:p w14:paraId="235DAF7C" w14:textId="77777777" w:rsidR="00830DFD" w:rsidRDefault="00830DFD" w:rsidP="00830DFD">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73EC72D" w14:textId="7E1A8956" w:rsidR="00830DFD" w:rsidRDefault="00830DFD" w:rsidP="009A62A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Non-Monetised benefits (government): </w:t>
            </w:r>
            <w:r>
              <w:rPr>
                <w:rFonts w:cstheme="minorHAnsi"/>
                <w:sz w:val="20"/>
                <w:szCs w:val="20"/>
              </w:rPr>
              <w:t xml:space="preserve">reduced emergency service costs associated with </w:t>
            </w:r>
            <w:r w:rsidR="009A62A2">
              <w:rPr>
                <w:rFonts w:cstheme="minorHAnsi"/>
                <w:sz w:val="20"/>
                <w:szCs w:val="20"/>
              </w:rPr>
              <w:t xml:space="preserve">improvements </w:t>
            </w:r>
            <w:r w:rsidRPr="00852267">
              <w:rPr>
                <w:rFonts w:cstheme="minorHAnsi"/>
                <w:sz w:val="20"/>
                <w:szCs w:val="20"/>
              </w:rPr>
              <w:t>in road safet</w:t>
            </w:r>
            <w:r>
              <w:rPr>
                <w:rFonts w:cstheme="minorHAnsi"/>
                <w:sz w:val="20"/>
                <w:szCs w:val="20"/>
              </w:rPr>
              <w:t>y due to limits on working time; reduce</w:t>
            </w:r>
            <w:r w:rsidR="009A62A2">
              <w:rPr>
                <w:rFonts w:cstheme="minorHAnsi"/>
                <w:sz w:val="20"/>
                <w:szCs w:val="20"/>
              </w:rPr>
              <w:t>d</w:t>
            </w:r>
            <w:r>
              <w:rPr>
                <w:rFonts w:cstheme="minorHAnsi"/>
                <w:sz w:val="20"/>
                <w:szCs w:val="20"/>
              </w:rPr>
              <w:t xml:space="preserve"> health service costs associated with increases </w:t>
            </w:r>
            <w:r w:rsidRPr="00852267">
              <w:rPr>
                <w:rFonts w:cstheme="minorHAnsi"/>
                <w:sz w:val="20"/>
                <w:szCs w:val="20"/>
              </w:rPr>
              <w:t>in road safet</w:t>
            </w:r>
            <w:r w:rsidR="009A62A2">
              <w:rPr>
                <w:rFonts w:cstheme="minorHAnsi"/>
                <w:sz w:val="20"/>
                <w:szCs w:val="20"/>
              </w:rPr>
              <w:t>y due to limits on working time.</w:t>
            </w:r>
          </w:p>
        </w:tc>
      </w:tr>
      <w:tr w:rsidR="00644210" w:rsidRPr="001C3290" w14:paraId="61CAC73A" w14:textId="77777777" w:rsidTr="00644210">
        <w:tc>
          <w:tcPr>
            <w:cnfStyle w:val="001000000000" w:firstRow="0" w:lastRow="0" w:firstColumn="1" w:lastColumn="0" w:oddVBand="0" w:evenVBand="0" w:oddHBand="0" w:evenHBand="0" w:firstRowFirstColumn="0" w:firstRowLastColumn="0" w:lastRowFirstColumn="0" w:lastRowLastColumn="0"/>
            <w:tcW w:w="1406" w:type="dxa"/>
          </w:tcPr>
          <w:p w14:paraId="72D9DBD4" w14:textId="55B8A95C" w:rsidR="00644210" w:rsidRPr="007C43DB" w:rsidRDefault="00644210" w:rsidP="009C4032">
            <w:pPr>
              <w:rPr>
                <w:rFonts w:cstheme="minorHAnsi"/>
                <w:sz w:val="20"/>
                <w:szCs w:val="20"/>
              </w:rPr>
            </w:pPr>
            <w:r w:rsidRPr="007C43DB">
              <w:rPr>
                <w:rFonts w:cstheme="minorHAnsi"/>
                <w:sz w:val="20"/>
                <w:szCs w:val="20"/>
              </w:rPr>
              <w:t xml:space="preserve">The Control of Vibration at Work Regulations 2005 </w:t>
            </w:r>
            <w:r w:rsidRPr="007C43DB">
              <w:rPr>
                <w:rFonts w:cstheme="minorHAnsi"/>
                <w:b w:val="0"/>
                <w:sz w:val="20"/>
                <w:szCs w:val="20"/>
              </w:rPr>
              <w:t xml:space="preserve">(2002/44/EC) (Health and Safety Executive, HSE) </w:t>
            </w:r>
            <w:r w:rsidR="00E25C08" w:rsidRPr="00E25C08">
              <w:rPr>
                <w:rFonts w:cstheme="minorHAnsi"/>
                <w:sz w:val="20"/>
                <w:szCs w:val="20"/>
              </w:rPr>
              <w:fldChar w:fldCharType="begin"/>
            </w:r>
            <w:r w:rsidR="00E25C08" w:rsidRPr="00E25C08">
              <w:rPr>
                <w:rFonts w:cstheme="minorHAnsi"/>
                <w:b w:val="0"/>
                <w:sz w:val="20"/>
                <w:szCs w:val="20"/>
              </w:rPr>
              <w:instrText xml:space="preserve"> ADDIN EN.CITE &lt;EndNote&gt;&lt;Cite&gt;&lt;Author&gt;Health and Safety Executive&lt;/Author&gt;&lt;Year&gt;2005&lt;/Year&gt;&lt;RecNum&gt;1642&lt;/RecNum&gt;&lt;DisplayText&gt; (Health and Safety Executive, 2005a)&lt;/DisplayText&gt;&lt;record&gt;&lt;rec-number&gt;1642&lt;/rec-number&gt;&lt;foreign-keys&gt;&lt;key app="EN" db-id="drrvazw0t090vlef0e6praxba2d0xwps0wt0" timestamp="1493735515"&gt;1642&lt;/key&gt;&lt;/foreign-keys&gt;&lt;ref-type name="Report"&gt;27&lt;/ref-type&gt;&lt;contributors&gt;&lt;authors&gt;&lt;author&gt;Health and Safety Executive,&lt;/author&gt;&lt;/authors&gt;&lt;tertiary-authors&gt;&lt;author&gt;Health and Safety Executive&lt;/author&gt;&lt;/tertiary-authors&gt;&lt;/contributors&gt;&lt;titles&gt;&lt;title&gt;Regulatory Impact Assesssment (Full): The Draft Control of Vibration at Work Regulations 2005&lt;/title&gt;&lt;/titles&gt;&lt;dates&gt;&lt;year&gt;2005&lt;/year&gt;&lt;/dates&gt;&lt;pub-location&gt;London&lt;/pub-location&gt;&lt;publisher&gt;Health and Safety Executive&lt;/publisher&gt;&lt;urls&gt;&lt;related-urls&gt;&lt;url&gt;http://www.hse.gov.uk/vibration/ria05.pdf&lt;/url&gt;&lt;/related-urls&gt;&lt;/urls&gt;&lt;access-date&gt;March  1, 2016&lt;/access-date&gt;&lt;/record&gt;&lt;/Cite&gt;&lt;/EndNote&gt;</w:instrText>
            </w:r>
            <w:r w:rsidR="00E25C08" w:rsidRPr="00E25C08">
              <w:rPr>
                <w:rFonts w:cstheme="minorHAnsi"/>
                <w:sz w:val="20"/>
                <w:szCs w:val="20"/>
              </w:rPr>
              <w:fldChar w:fldCharType="separate"/>
            </w:r>
            <w:r w:rsidR="00E25C08" w:rsidRPr="00E25C08">
              <w:rPr>
                <w:rFonts w:cstheme="minorHAnsi"/>
                <w:b w:val="0"/>
                <w:noProof/>
                <w:sz w:val="20"/>
                <w:szCs w:val="20"/>
              </w:rPr>
              <w:t xml:space="preserve"> </w:t>
            </w:r>
            <w:hyperlink w:anchor="_ENREF_10" w:tooltip="Health and Safety Executive, 2005 #1642" w:history="1">
              <w:r w:rsidR="006D11C0" w:rsidRPr="00E25C08">
                <w:rPr>
                  <w:rFonts w:cstheme="minorHAnsi"/>
                  <w:b w:val="0"/>
                  <w:noProof/>
                  <w:sz w:val="20"/>
                  <w:szCs w:val="20"/>
                </w:rPr>
                <w:t>(Health and Safety Executive, 2005a</w:t>
              </w:r>
            </w:hyperlink>
            <w:r w:rsidR="00E25C08" w:rsidRPr="00E25C08">
              <w:rPr>
                <w:rFonts w:cstheme="minorHAnsi"/>
                <w:b w:val="0"/>
                <w:noProof/>
                <w:sz w:val="20"/>
                <w:szCs w:val="20"/>
              </w:rPr>
              <w:t>)</w:t>
            </w:r>
            <w:r w:rsidR="00E25C08" w:rsidRPr="00E25C08">
              <w:rPr>
                <w:rFonts w:cstheme="minorHAnsi"/>
                <w:sz w:val="20"/>
                <w:szCs w:val="20"/>
              </w:rPr>
              <w:fldChar w:fldCharType="end"/>
            </w:r>
            <w:r w:rsidR="00E25C08">
              <w:rPr>
                <w:rFonts w:cstheme="minorHAnsi"/>
                <w:sz w:val="20"/>
                <w:szCs w:val="20"/>
              </w:rPr>
              <w:t xml:space="preserve"> </w:t>
            </w:r>
          </w:p>
        </w:tc>
        <w:tc>
          <w:tcPr>
            <w:tcW w:w="4632" w:type="dxa"/>
          </w:tcPr>
          <w:p w14:paraId="53B181B6" w14:textId="3E1560DA" w:rsidR="000B4756"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 xml:space="preserve">The impact assessment noted a number of uncertainties. For </w:t>
            </w:r>
            <w:r w:rsidRPr="006E0797">
              <w:rPr>
                <w:rFonts w:cstheme="minorHAnsi"/>
                <w:color w:val="000000"/>
                <w:sz w:val="20"/>
                <w:szCs w:val="20"/>
              </w:rPr>
              <w:t xml:space="preserve">vibration transmitted to the hand-arm </w:t>
            </w:r>
            <w:r>
              <w:rPr>
                <w:rFonts w:cstheme="minorHAnsi"/>
                <w:color w:val="000000"/>
                <w:sz w:val="20"/>
                <w:szCs w:val="20"/>
              </w:rPr>
              <w:t>(</w:t>
            </w:r>
            <w:r w:rsidR="00E87A66" w:rsidRPr="00E87A66">
              <w:rPr>
                <w:rFonts w:cstheme="minorHAnsi"/>
                <w:color w:val="000000"/>
                <w:sz w:val="20"/>
                <w:szCs w:val="20"/>
              </w:rPr>
              <w:t>hand-arm vibration syndrome</w:t>
            </w:r>
            <w:r w:rsidR="00E87A66">
              <w:rPr>
                <w:rFonts w:cstheme="minorHAnsi"/>
                <w:color w:val="000000"/>
                <w:sz w:val="20"/>
                <w:szCs w:val="20"/>
              </w:rPr>
              <w:t xml:space="preserve">, </w:t>
            </w:r>
            <w:r>
              <w:rPr>
                <w:rFonts w:cstheme="minorHAnsi"/>
                <w:sz w:val="20"/>
                <w:szCs w:val="20"/>
              </w:rPr>
              <w:t>HAVS), t</w:t>
            </w:r>
            <w:r w:rsidRPr="004E1837">
              <w:rPr>
                <w:rFonts w:cstheme="minorHAnsi"/>
                <w:sz w:val="20"/>
                <w:szCs w:val="20"/>
              </w:rPr>
              <w:t xml:space="preserve">he </w:t>
            </w:r>
            <w:r>
              <w:rPr>
                <w:rFonts w:cstheme="minorHAnsi"/>
                <w:sz w:val="20"/>
                <w:szCs w:val="20"/>
              </w:rPr>
              <w:t xml:space="preserve">1995 </w:t>
            </w:r>
            <w:r w:rsidR="008360AE">
              <w:rPr>
                <w:rFonts w:cstheme="minorHAnsi"/>
                <w:sz w:val="20"/>
                <w:szCs w:val="20"/>
              </w:rPr>
              <w:t>Self-R</w:t>
            </w:r>
            <w:r w:rsidRPr="004E1837">
              <w:rPr>
                <w:rFonts w:cstheme="minorHAnsi"/>
                <w:sz w:val="20"/>
                <w:szCs w:val="20"/>
              </w:rPr>
              <w:t>eported Work-</w:t>
            </w:r>
            <w:r w:rsidR="008360AE">
              <w:rPr>
                <w:rFonts w:cstheme="minorHAnsi"/>
                <w:sz w:val="20"/>
                <w:szCs w:val="20"/>
              </w:rPr>
              <w:t>R</w:t>
            </w:r>
            <w:r w:rsidRPr="004E1837">
              <w:rPr>
                <w:rFonts w:cstheme="minorHAnsi"/>
                <w:sz w:val="20"/>
                <w:szCs w:val="20"/>
              </w:rPr>
              <w:t xml:space="preserve">elated Illness (SWI) survey </w:t>
            </w:r>
            <w:r>
              <w:rPr>
                <w:rFonts w:cstheme="minorHAnsi"/>
                <w:sz w:val="20"/>
                <w:szCs w:val="20"/>
              </w:rPr>
              <w:t>gave an estimate of</w:t>
            </w:r>
            <w:r w:rsidRPr="004E1837">
              <w:rPr>
                <w:rFonts w:cstheme="minorHAnsi"/>
                <w:sz w:val="20"/>
                <w:szCs w:val="20"/>
              </w:rPr>
              <w:t xml:space="preserve"> 20,400 workers suffering from Vibration White Finger (VWF</w:t>
            </w:r>
            <w:r>
              <w:rPr>
                <w:rFonts w:cstheme="minorHAnsi"/>
                <w:sz w:val="20"/>
                <w:szCs w:val="20"/>
              </w:rPr>
              <w:t xml:space="preserve">) (the </w:t>
            </w:r>
            <w:r w:rsidRPr="004E1837">
              <w:rPr>
                <w:rFonts w:cstheme="minorHAnsi"/>
                <w:sz w:val="20"/>
                <w:szCs w:val="20"/>
              </w:rPr>
              <w:t>most common effect of</w:t>
            </w:r>
            <w:r w:rsidR="000B4756">
              <w:rPr>
                <w:rFonts w:cstheme="minorHAnsi"/>
                <w:sz w:val="20"/>
                <w:szCs w:val="20"/>
              </w:rPr>
              <w:t xml:space="preserve"> HAV</w:t>
            </w:r>
            <w:r>
              <w:rPr>
                <w:rFonts w:cstheme="minorHAnsi"/>
                <w:sz w:val="20"/>
                <w:szCs w:val="20"/>
              </w:rPr>
              <w:t xml:space="preserve">) which was noted as </w:t>
            </w:r>
            <w:r w:rsidRPr="004E1837">
              <w:rPr>
                <w:rFonts w:cstheme="minorHAnsi"/>
                <w:sz w:val="20"/>
                <w:szCs w:val="20"/>
              </w:rPr>
              <w:t xml:space="preserve">a </w:t>
            </w:r>
            <w:r>
              <w:rPr>
                <w:rFonts w:cstheme="minorHAnsi"/>
                <w:sz w:val="20"/>
                <w:szCs w:val="20"/>
              </w:rPr>
              <w:t>“</w:t>
            </w:r>
            <w:r w:rsidRPr="004E1837">
              <w:rPr>
                <w:rFonts w:cstheme="minorHAnsi"/>
                <w:sz w:val="20"/>
                <w:szCs w:val="20"/>
              </w:rPr>
              <w:t>very low estimate</w:t>
            </w:r>
            <w:r>
              <w:rPr>
                <w:rFonts w:cstheme="minorHAnsi"/>
                <w:sz w:val="20"/>
                <w:szCs w:val="20"/>
              </w:rPr>
              <w:t>”</w:t>
            </w:r>
            <w:r w:rsidRPr="004E1837">
              <w:rPr>
                <w:rFonts w:cstheme="minorHAnsi"/>
                <w:sz w:val="20"/>
                <w:szCs w:val="20"/>
              </w:rPr>
              <w:t>.</w:t>
            </w:r>
            <w:r>
              <w:rPr>
                <w:rFonts w:cstheme="minorHAnsi"/>
                <w:sz w:val="20"/>
                <w:szCs w:val="20"/>
              </w:rPr>
              <w:t xml:space="preserve"> This contrasted with an estimate in the MRC report outlined in Table 2</w:t>
            </w:r>
            <w:r>
              <w:rPr>
                <w:rFonts w:cstheme="minorHAnsi"/>
                <w:sz w:val="20"/>
                <w:szCs w:val="20"/>
              </w:rPr>
              <w:fldChar w:fldCharType="begin"/>
            </w:r>
            <w:r>
              <w:rPr>
                <w:rFonts w:cstheme="minorHAnsi"/>
                <w:sz w:val="20"/>
                <w:szCs w:val="20"/>
              </w:rPr>
              <w:instrText xml:space="preserve"> ADDIN EN.CITE &lt;EndNote&gt;&lt;Cite&gt;&lt;Author&gt;Palmer&lt;/Author&gt;&lt;Year&gt;1999&lt;/Year&gt;&lt;RecNum&gt;1641&lt;/RecNum&gt;&lt;DisplayText&gt; (Palmer&lt;style face="italic"&gt; et al.&lt;/style&gt;, 1999)&lt;/DisplayText&gt;&lt;record&gt;&lt;rec-number&gt;1641&lt;/rec-number&gt;&lt;foreign-keys&gt;&lt;key app="EN" db-id="drrvazw0t090vlef0e6praxba2d0xwps0wt0" timestamp="1493733802"&gt;1641&lt;/key&gt;&lt;/foreign-keys&gt;&lt;ref-type name="Report"&gt;27&lt;/ref-type&gt;&lt;contributors&gt;&lt;authors&gt;&lt;author&gt;Palmer, K.T.&lt;/author&gt;&lt;author&gt;Coggon, D.N.&lt;/author&gt;&lt;author&gt;Bendall, H.E.&lt;/author&gt;&lt;author&gt;Pannett, B.&lt;/author&gt;&lt;author&gt;Griffin M.&lt;/author&gt;&lt;author&gt;Haward, B. &lt;/author&gt;&lt;/authors&gt;&lt;tertiary-authors&gt;&lt;author&gt;HMSO&lt;/author&gt;&lt;/tertiary-authors&gt;&lt;/contributors&gt;&lt;titles&gt;&lt;title&gt;Whole-body vibration: Occupational exposures and their health effects in Great Britain&lt;/title&gt;&lt;/titles&gt;&lt;volume&gt;HSE Contract Research Report 233/1999&lt;/volume&gt;&lt;dates&gt;&lt;year&gt;1999&lt;/year&gt;&lt;/dates&gt;&lt;pub-location&gt;London&lt;/pub-location&gt;&lt;publisher&gt;Health and Safety Executive&lt;/publisher&gt;&lt;urls&gt;&lt;related-urls&gt;&lt;url&gt;http://www.hse.gov.uk/research/crr_pdf/1999/crr99233.pdf&lt;/url&gt;&lt;/related-urls&gt;&lt;/urls&gt;&lt;access-date&gt;March 1, 2017&lt;/access-date&gt;&lt;/record&gt;&lt;/Cite&gt;&lt;/EndNote&gt;</w:instrText>
            </w:r>
            <w:r>
              <w:rPr>
                <w:rFonts w:cstheme="minorHAnsi"/>
                <w:sz w:val="20"/>
                <w:szCs w:val="20"/>
              </w:rPr>
              <w:fldChar w:fldCharType="separate"/>
            </w:r>
            <w:r>
              <w:rPr>
                <w:rFonts w:cstheme="minorHAnsi"/>
                <w:noProof/>
                <w:sz w:val="20"/>
                <w:szCs w:val="20"/>
              </w:rPr>
              <w:t xml:space="preserve"> </w:t>
            </w:r>
            <w:hyperlink w:anchor="_ENREF_17" w:tooltip="Palmer, 1999 #1641" w:history="1">
              <w:r w:rsidR="006D11C0">
                <w:rPr>
                  <w:rFonts w:cstheme="minorHAnsi"/>
                  <w:noProof/>
                  <w:sz w:val="20"/>
                  <w:szCs w:val="20"/>
                </w:rPr>
                <w:t>(Palmer</w:t>
              </w:r>
              <w:r w:rsidR="006D11C0" w:rsidRPr="00BB4F0A">
                <w:rPr>
                  <w:rFonts w:cstheme="minorHAnsi"/>
                  <w:i/>
                  <w:noProof/>
                  <w:sz w:val="20"/>
                  <w:szCs w:val="20"/>
                </w:rPr>
                <w:t xml:space="preserve"> et al.</w:t>
              </w:r>
              <w:r w:rsidR="006D11C0">
                <w:rPr>
                  <w:rFonts w:cstheme="minorHAnsi"/>
                  <w:noProof/>
                  <w:sz w:val="20"/>
                  <w:szCs w:val="20"/>
                </w:rPr>
                <w:t>, 1999</w:t>
              </w:r>
            </w:hyperlink>
            <w:r>
              <w:rPr>
                <w:rFonts w:cstheme="minorHAnsi"/>
                <w:noProof/>
                <w:sz w:val="20"/>
                <w:szCs w:val="20"/>
              </w:rPr>
              <w:t>)</w:t>
            </w:r>
            <w:r>
              <w:rPr>
                <w:rFonts w:cstheme="minorHAnsi"/>
                <w:sz w:val="20"/>
                <w:szCs w:val="20"/>
              </w:rPr>
              <w:fldChar w:fldCharType="end"/>
            </w:r>
            <w:r>
              <w:rPr>
                <w:rFonts w:cstheme="minorHAnsi"/>
                <w:sz w:val="20"/>
                <w:szCs w:val="20"/>
              </w:rPr>
              <w:t xml:space="preserve"> of 301,400 of cases serious enough to merit government compensation. The impact assessment noted that there were “many more (possibly hundreds of thousands)” with a less severe condition. Using evidence from the SWI, but drawing on the MRC report’s estimate of 301,400, the HSE assumed that: 21.5% of workers took time off at an average of 25 days each; no workers left their job; no workers left the labour force. These assumptions were made because of deficiencies in the SWI data and despite a recognition that some workers suffering from VWF had changed jobs to avoid exposure. </w:t>
            </w:r>
          </w:p>
          <w:p w14:paraId="71C5D479" w14:textId="77777777" w:rsidR="000B4756" w:rsidRDefault="000B4756"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14C6736" w14:textId="15E5980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uncertainties for estimates for HAV related effects other than VWF were greater. The MRC report had noted that the risk of sensorineural symptoms for a particular exposure level was similar to that of VWF, but the HSE was not in a position to determine the extent to which the two groups overlapped, which meant that the total number of people with HAVS was not available. Likewise the SWI reported 243,000 people suffering from work-related musculoskeletal disorders relating to the hand, arm, or shoulder, but provided no evidence on how many of these cases were due to HAV. The HSE, therefore, assumed that </w:t>
            </w:r>
            <w:r w:rsidRPr="008346DE">
              <w:rPr>
                <w:rFonts w:cstheme="minorHAnsi"/>
                <w:sz w:val="20"/>
                <w:szCs w:val="20"/>
              </w:rPr>
              <w:t>the number of sensorineural complaints and musculoskeletal disorders caused by HAV were, respectively, 50% of VWF s</w:t>
            </w:r>
            <w:r>
              <w:rPr>
                <w:rFonts w:cstheme="minorHAnsi"/>
                <w:sz w:val="20"/>
                <w:szCs w:val="20"/>
              </w:rPr>
              <w:t>ufferers and 10% of the SWI fig</w:t>
            </w:r>
            <w:r w:rsidRPr="008346DE">
              <w:rPr>
                <w:rFonts w:cstheme="minorHAnsi"/>
                <w:sz w:val="20"/>
                <w:szCs w:val="20"/>
              </w:rPr>
              <w:t xml:space="preserve">ures, </w:t>
            </w:r>
            <w:r>
              <w:rPr>
                <w:rFonts w:cstheme="minorHAnsi"/>
                <w:sz w:val="20"/>
                <w:szCs w:val="20"/>
              </w:rPr>
              <w:t xml:space="preserve">to arrive at </w:t>
            </w:r>
            <w:r w:rsidRPr="008346DE">
              <w:rPr>
                <w:rFonts w:cstheme="minorHAnsi"/>
                <w:sz w:val="20"/>
                <w:szCs w:val="20"/>
              </w:rPr>
              <w:t xml:space="preserve">an extra 175,000 individuals </w:t>
            </w:r>
            <w:r>
              <w:rPr>
                <w:rFonts w:cstheme="minorHAnsi"/>
                <w:sz w:val="20"/>
                <w:szCs w:val="20"/>
              </w:rPr>
              <w:t xml:space="preserve">who would potentially </w:t>
            </w:r>
            <w:r w:rsidRPr="008346DE">
              <w:rPr>
                <w:rFonts w:cstheme="minorHAnsi"/>
                <w:sz w:val="20"/>
                <w:szCs w:val="20"/>
              </w:rPr>
              <w:t xml:space="preserve">benefit from </w:t>
            </w:r>
            <w:r>
              <w:rPr>
                <w:rFonts w:cstheme="minorHAnsi"/>
                <w:sz w:val="20"/>
                <w:szCs w:val="20"/>
              </w:rPr>
              <w:t xml:space="preserve">the </w:t>
            </w:r>
            <w:r w:rsidR="000B4756">
              <w:rPr>
                <w:rFonts w:cstheme="minorHAnsi"/>
                <w:sz w:val="20"/>
                <w:szCs w:val="20"/>
              </w:rPr>
              <w:t>r</w:t>
            </w:r>
            <w:r w:rsidRPr="008346DE">
              <w:rPr>
                <w:rFonts w:cstheme="minorHAnsi"/>
                <w:sz w:val="20"/>
                <w:szCs w:val="20"/>
              </w:rPr>
              <w:t>egulations</w:t>
            </w:r>
            <w:r>
              <w:rPr>
                <w:rFonts w:cstheme="minorHAnsi"/>
                <w:sz w:val="20"/>
                <w:szCs w:val="20"/>
              </w:rPr>
              <w:t>.</w:t>
            </w:r>
            <w:r>
              <w:rPr>
                <w:rFonts w:cstheme="minorHAnsi"/>
                <w:sz w:val="20"/>
                <w:szCs w:val="20"/>
              </w:rPr>
              <w:fldChar w:fldCharType="begin"/>
            </w:r>
            <w:r w:rsidR="006D11C0">
              <w:rPr>
                <w:rFonts w:cstheme="minorHAnsi"/>
                <w:sz w:val="20"/>
                <w:szCs w:val="20"/>
              </w:rPr>
              <w:instrText xml:space="preserve"> ADDIN EN.CITE &lt;EndNote&gt;&lt;Cite&gt;&lt;Author&gt;Health and Safety Executive&lt;/Author&gt;&lt;Year&gt;2005&lt;/Year&gt;&lt;RecNum&gt;1642&lt;/RecNum&gt;&lt;DisplayText&gt; (Health and Safety Executive, 2005a)&lt;/DisplayText&gt;&lt;record&gt;&lt;rec-number&gt;1642&lt;/rec-number&gt;&lt;foreign-keys&gt;&lt;key app="EN" db-id="drrvazw0t090vlef0e6praxba2d0xwps0wt0" timestamp="1493735515"&gt;1642&lt;/key&gt;&lt;/foreign-keys&gt;&lt;ref-type name="Report"&gt;27&lt;/ref-type&gt;&lt;contributors&gt;&lt;authors&gt;&lt;author&gt;Health and Safety Executive,&lt;/author&gt;&lt;/authors&gt;&lt;tertiary-authors&gt;&lt;author&gt;Health and Safety Executive&lt;/author&gt;&lt;/tertiary-authors&gt;&lt;/contributors&gt;&lt;titles&gt;&lt;title&gt;Regulatory Impact Assesssment (Full): The Draft Control of Vibration at Work Regulations 2005&lt;/title&gt;&lt;/titles&gt;&lt;dates&gt;&lt;year&gt;2005&lt;/year&gt;&lt;/dates&gt;&lt;pub-location&gt;London&lt;/pub-location&gt;&lt;publisher&gt;Health and Safety Executive&lt;/publisher&gt;&lt;urls&gt;&lt;related-urls&gt;&lt;url&gt;http://www.hse.gov.uk/vibration/ria05.pdf&lt;/url&gt;&lt;/related-urls&gt;&lt;/urls&gt;&lt;access-date&gt;March  1, 2016&lt;/access-date&gt;&lt;/record&gt;&lt;/Cite&gt;&lt;/EndNote&gt;</w:instrText>
            </w:r>
            <w:r>
              <w:rPr>
                <w:rFonts w:cstheme="minorHAnsi"/>
                <w:sz w:val="20"/>
                <w:szCs w:val="20"/>
              </w:rPr>
              <w:fldChar w:fldCharType="separate"/>
            </w:r>
            <w:r w:rsidR="006D11C0">
              <w:rPr>
                <w:rFonts w:cstheme="minorHAnsi"/>
                <w:noProof/>
                <w:sz w:val="20"/>
                <w:szCs w:val="20"/>
              </w:rPr>
              <w:t xml:space="preserve"> </w:t>
            </w:r>
            <w:hyperlink w:anchor="_ENREF_10" w:tooltip="Health and Safety Executive, 2005 #1642" w:history="1">
              <w:r w:rsidR="006D11C0">
                <w:rPr>
                  <w:rFonts w:cstheme="minorHAnsi"/>
                  <w:noProof/>
                  <w:sz w:val="20"/>
                  <w:szCs w:val="20"/>
                </w:rPr>
                <w:t>(Health and Safety Executive, 2005a</w:t>
              </w:r>
            </w:hyperlink>
            <w:r w:rsidR="006D11C0">
              <w:rPr>
                <w:rFonts w:cstheme="minorHAnsi"/>
                <w:noProof/>
                <w:sz w:val="20"/>
                <w:szCs w:val="20"/>
              </w:rPr>
              <w:t>)</w:t>
            </w:r>
            <w:r>
              <w:rPr>
                <w:rFonts w:cstheme="minorHAnsi"/>
                <w:sz w:val="20"/>
                <w:szCs w:val="20"/>
              </w:rPr>
              <w:fldChar w:fldCharType="end"/>
            </w:r>
            <w:r>
              <w:rPr>
                <w:rFonts w:cstheme="minorHAnsi"/>
                <w:sz w:val="20"/>
                <w:szCs w:val="20"/>
              </w:rPr>
              <w:t xml:space="preserve"> These assumptions (described as “highly uncertain” in the impact assessment) were made on the back of other assumptions </w:t>
            </w:r>
            <w:r w:rsidR="000B4756">
              <w:rPr>
                <w:rFonts w:cstheme="minorHAnsi"/>
                <w:sz w:val="20"/>
                <w:szCs w:val="20"/>
              </w:rPr>
              <w:t xml:space="preserve">in </w:t>
            </w:r>
            <w:r>
              <w:rPr>
                <w:rFonts w:cstheme="minorHAnsi"/>
                <w:sz w:val="20"/>
                <w:szCs w:val="20"/>
              </w:rPr>
              <w:t>the MRC report, which noted missing data in relation to 1,103,800 employees exposed to vibration. For these employees the level of exposure was unknown, primarily due to the complexity of exposures. The impact assessment split these cases equally between workers exposed at the two higher levels of exposure.</w:t>
            </w:r>
          </w:p>
          <w:p w14:paraId="25D05FD7" w14:textId="77777777"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EE78093" w14:textId="238CA626"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On the issue of the costs involved in carrying out additional assessments to workers at risk of HAV related problems, the HSE needed to adjust its figures to take account of the fact that </w:t>
            </w:r>
            <w:r w:rsidRPr="00325BFB">
              <w:rPr>
                <w:rFonts w:cstheme="minorHAnsi"/>
                <w:sz w:val="20"/>
                <w:szCs w:val="20"/>
              </w:rPr>
              <w:t xml:space="preserve">an assessment </w:t>
            </w:r>
            <w:r>
              <w:rPr>
                <w:rFonts w:cstheme="minorHAnsi"/>
                <w:sz w:val="20"/>
                <w:szCs w:val="20"/>
              </w:rPr>
              <w:t xml:space="preserve">was </w:t>
            </w:r>
            <w:r w:rsidRPr="00325BFB">
              <w:rPr>
                <w:rFonts w:cstheme="minorHAnsi"/>
                <w:sz w:val="20"/>
                <w:szCs w:val="20"/>
              </w:rPr>
              <w:t>only required</w:t>
            </w:r>
            <w:r>
              <w:rPr>
                <w:rFonts w:cstheme="minorHAnsi"/>
                <w:sz w:val="20"/>
                <w:szCs w:val="20"/>
              </w:rPr>
              <w:t>:</w:t>
            </w:r>
            <w:r w:rsidRPr="00325BFB">
              <w:rPr>
                <w:rFonts w:cstheme="minorHAnsi"/>
                <w:sz w:val="20"/>
                <w:szCs w:val="20"/>
              </w:rPr>
              <w:t xml:space="preserve"> if </w:t>
            </w:r>
            <w:r>
              <w:rPr>
                <w:rFonts w:cstheme="minorHAnsi"/>
                <w:sz w:val="20"/>
                <w:szCs w:val="20"/>
              </w:rPr>
              <w:t>em</w:t>
            </w:r>
            <w:r w:rsidRPr="00325BFB">
              <w:rPr>
                <w:rFonts w:cstheme="minorHAnsi"/>
                <w:sz w:val="20"/>
                <w:szCs w:val="20"/>
              </w:rPr>
              <w:t xml:space="preserve">ployers </w:t>
            </w:r>
            <w:r>
              <w:rPr>
                <w:rFonts w:cstheme="minorHAnsi"/>
                <w:sz w:val="20"/>
                <w:szCs w:val="20"/>
              </w:rPr>
              <w:t xml:space="preserve">were </w:t>
            </w:r>
            <w:r w:rsidRPr="00325BFB">
              <w:rPr>
                <w:rFonts w:cstheme="minorHAnsi"/>
                <w:sz w:val="20"/>
                <w:szCs w:val="20"/>
              </w:rPr>
              <w:t xml:space="preserve">unsure about the risks from exposure to vibration after reading the guidance; </w:t>
            </w:r>
            <w:r>
              <w:rPr>
                <w:rFonts w:cstheme="minorHAnsi"/>
                <w:sz w:val="20"/>
                <w:szCs w:val="20"/>
              </w:rPr>
              <w:t xml:space="preserve">that </w:t>
            </w:r>
            <w:r w:rsidRPr="00325BFB">
              <w:rPr>
                <w:rFonts w:cstheme="minorHAnsi"/>
                <w:sz w:val="20"/>
                <w:szCs w:val="20"/>
              </w:rPr>
              <w:t xml:space="preserve">employers </w:t>
            </w:r>
            <w:r>
              <w:rPr>
                <w:rFonts w:cstheme="minorHAnsi"/>
                <w:sz w:val="20"/>
                <w:szCs w:val="20"/>
              </w:rPr>
              <w:t>would undertake collective</w:t>
            </w:r>
            <w:r w:rsidRPr="00325BFB">
              <w:rPr>
                <w:rFonts w:cstheme="minorHAnsi"/>
                <w:sz w:val="20"/>
                <w:szCs w:val="20"/>
              </w:rPr>
              <w:t xml:space="preserve"> rather than individual assessments</w:t>
            </w:r>
            <w:r>
              <w:rPr>
                <w:rFonts w:cstheme="minorHAnsi"/>
                <w:sz w:val="20"/>
                <w:szCs w:val="20"/>
              </w:rPr>
              <w:t xml:space="preserve"> in many cases; that workers exposed to higher levels of vibration were already receiving assessments under existing HSE guidance. On the back of these observations, the HSE simply assumed a series of percentages for at risk workers exposed to different levels of vibration who would receive an assessment</w:t>
            </w:r>
            <w:r w:rsidRPr="00325BFB">
              <w:rPr>
                <w:rFonts w:cstheme="minorHAnsi"/>
                <w:sz w:val="20"/>
                <w:szCs w:val="20"/>
              </w:rPr>
              <w:t xml:space="preserve"> </w:t>
            </w:r>
            <w:r>
              <w:rPr>
                <w:rFonts w:cstheme="minorHAnsi"/>
                <w:sz w:val="20"/>
                <w:szCs w:val="20"/>
              </w:rPr>
              <w:t xml:space="preserve">(to arrive at an overall number of workers who would receive assessments). </w:t>
            </w:r>
          </w:p>
          <w:p w14:paraId="35032FE3" w14:textId="77777777"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277A552" w14:textId="758B5923" w:rsidR="00644210" w:rsidRPr="00416B34" w:rsidRDefault="00644210" w:rsidP="00416B3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Employers would be required by the regulations to limit the length of time for which tools were used w</w:t>
            </w:r>
            <w:r w:rsidRPr="002C29B6">
              <w:rPr>
                <w:rFonts w:cstheme="minorHAnsi"/>
                <w:sz w:val="20"/>
                <w:szCs w:val="20"/>
              </w:rPr>
              <w:t xml:space="preserve">here vibration control </w:t>
            </w:r>
            <w:r>
              <w:rPr>
                <w:rFonts w:cstheme="minorHAnsi"/>
                <w:sz w:val="20"/>
                <w:szCs w:val="20"/>
              </w:rPr>
              <w:t xml:space="preserve">had </w:t>
            </w:r>
            <w:r w:rsidRPr="002C29B6">
              <w:rPr>
                <w:rFonts w:cstheme="minorHAnsi"/>
                <w:sz w:val="20"/>
                <w:szCs w:val="20"/>
              </w:rPr>
              <w:t>not reduced worker exposure be</w:t>
            </w:r>
            <w:r>
              <w:rPr>
                <w:rFonts w:cstheme="minorHAnsi"/>
                <w:sz w:val="20"/>
                <w:szCs w:val="20"/>
              </w:rPr>
              <w:t>low a certain threshold.</w:t>
            </w:r>
            <w:r w:rsidRPr="002C29B6">
              <w:rPr>
                <w:rFonts w:cstheme="minorHAnsi"/>
                <w:sz w:val="20"/>
                <w:szCs w:val="20"/>
              </w:rPr>
              <w:t xml:space="preserve"> </w:t>
            </w:r>
            <w:r>
              <w:rPr>
                <w:rFonts w:cstheme="minorHAnsi"/>
                <w:sz w:val="20"/>
                <w:szCs w:val="20"/>
              </w:rPr>
              <w:t>It was noted that this would require n</w:t>
            </w:r>
            <w:r w:rsidRPr="002C29B6">
              <w:rPr>
                <w:rFonts w:cstheme="minorHAnsi"/>
                <w:sz w:val="20"/>
                <w:szCs w:val="20"/>
              </w:rPr>
              <w:t xml:space="preserve">ew ways of working </w:t>
            </w:r>
            <w:r>
              <w:rPr>
                <w:rFonts w:cstheme="minorHAnsi"/>
                <w:sz w:val="20"/>
                <w:szCs w:val="20"/>
              </w:rPr>
              <w:t xml:space="preserve">to </w:t>
            </w:r>
            <w:r w:rsidRPr="002C29B6">
              <w:rPr>
                <w:rFonts w:cstheme="minorHAnsi"/>
                <w:sz w:val="20"/>
                <w:szCs w:val="20"/>
              </w:rPr>
              <w:t xml:space="preserve">be developed, </w:t>
            </w:r>
            <w:r>
              <w:rPr>
                <w:rFonts w:cstheme="minorHAnsi"/>
                <w:sz w:val="20"/>
                <w:szCs w:val="20"/>
              </w:rPr>
              <w:t xml:space="preserve">“at unquantifiable cost”, that the impact of </w:t>
            </w:r>
            <w:r w:rsidR="00E87A66">
              <w:rPr>
                <w:rFonts w:cstheme="minorHAnsi"/>
                <w:sz w:val="20"/>
                <w:szCs w:val="20"/>
              </w:rPr>
              <w:t xml:space="preserve">the </w:t>
            </w:r>
            <w:r>
              <w:rPr>
                <w:rFonts w:cstheme="minorHAnsi"/>
                <w:sz w:val="20"/>
                <w:szCs w:val="20"/>
              </w:rPr>
              <w:t>provision would de</w:t>
            </w:r>
            <w:r w:rsidRPr="002C29B6">
              <w:rPr>
                <w:rFonts w:cstheme="minorHAnsi"/>
                <w:sz w:val="20"/>
                <w:szCs w:val="20"/>
              </w:rPr>
              <w:t>pend on how far machinery makers could reduce vibration or whether new ways of</w:t>
            </w:r>
            <w:r>
              <w:rPr>
                <w:rFonts w:cstheme="minorHAnsi"/>
                <w:sz w:val="20"/>
                <w:szCs w:val="20"/>
              </w:rPr>
              <w:t xml:space="preserve"> working could be developed, and that </w:t>
            </w:r>
            <w:r w:rsidRPr="00416B34">
              <w:rPr>
                <w:rFonts w:cstheme="minorHAnsi"/>
                <w:sz w:val="20"/>
                <w:szCs w:val="20"/>
              </w:rPr>
              <w:t>achieving sufficient reduction through improved machinery design would take several years for many types of machines.</w:t>
            </w:r>
            <w:r w:rsidR="00E87A66">
              <w:rPr>
                <w:rFonts w:cstheme="minorHAnsi"/>
                <w:sz w:val="20"/>
                <w:szCs w:val="20"/>
              </w:rPr>
              <w:t xml:space="preserve"> The impact assessment then assume</w:t>
            </w:r>
            <w:r w:rsidR="008360AE">
              <w:rPr>
                <w:rFonts w:cstheme="minorHAnsi"/>
                <w:sz w:val="20"/>
                <w:szCs w:val="20"/>
              </w:rPr>
              <w:t>d</w:t>
            </w:r>
            <w:r w:rsidR="00E87A66">
              <w:rPr>
                <w:rFonts w:cstheme="minorHAnsi"/>
                <w:sz w:val="20"/>
                <w:szCs w:val="20"/>
              </w:rPr>
              <w:t xml:space="preserve"> that exposure time would be reduced </w:t>
            </w:r>
            <w:r w:rsidRPr="00416B34">
              <w:rPr>
                <w:rFonts w:cstheme="minorHAnsi"/>
                <w:sz w:val="20"/>
                <w:szCs w:val="20"/>
              </w:rPr>
              <w:t xml:space="preserve">for 10-15% of employees exposed above </w:t>
            </w:r>
            <w:r w:rsidR="00E87A66">
              <w:rPr>
                <w:rFonts w:cstheme="minorHAnsi"/>
                <w:sz w:val="20"/>
                <w:szCs w:val="20"/>
              </w:rPr>
              <w:t xml:space="preserve">a </w:t>
            </w:r>
            <w:r w:rsidR="008360AE">
              <w:rPr>
                <w:rFonts w:cstheme="minorHAnsi"/>
                <w:sz w:val="20"/>
                <w:szCs w:val="20"/>
              </w:rPr>
              <w:t>specific limit (</w:t>
            </w:r>
            <w:r w:rsidRPr="00416B34">
              <w:rPr>
                <w:rFonts w:cstheme="minorHAnsi"/>
                <w:sz w:val="20"/>
                <w:szCs w:val="20"/>
              </w:rPr>
              <w:t>5 m/s</w:t>
            </w:r>
            <w:r w:rsidRPr="008360AE">
              <w:rPr>
                <w:rFonts w:cstheme="minorHAnsi"/>
                <w:sz w:val="20"/>
                <w:szCs w:val="20"/>
                <w:vertAlign w:val="superscript"/>
              </w:rPr>
              <w:t>2</w:t>
            </w:r>
            <w:r w:rsidRPr="00416B34">
              <w:rPr>
                <w:rFonts w:cstheme="minorHAnsi"/>
                <w:sz w:val="20"/>
                <w:szCs w:val="20"/>
              </w:rPr>
              <w:t xml:space="preserve"> A(8)</w:t>
            </w:r>
            <w:r w:rsidR="008360AE">
              <w:rPr>
                <w:rFonts w:cstheme="minorHAnsi"/>
                <w:sz w:val="20"/>
                <w:szCs w:val="20"/>
              </w:rPr>
              <w:t>)</w:t>
            </w:r>
            <w:r w:rsidRPr="00416B34">
              <w:rPr>
                <w:rFonts w:cstheme="minorHAnsi"/>
                <w:sz w:val="20"/>
                <w:szCs w:val="20"/>
              </w:rPr>
              <w:t>,</w:t>
            </w:r>
          </w:p>
          <w:p w14:paraId="16FBA249" w14:textId="77777777" w:rsidR="00644210" w:rsidRDefault="00644210" w:rsidP="00416B3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7FECD49" w14:textId="0F44C167" w:rsidR="00644210"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 xml:space="preserve">For </w:t>
            </w:r>
            <w:r w:rsidRPr="006E0797">
              <w:rPr>
                <w:rFonts w:cstheme="minorHAnsi"/>
                <w:color w:val="000000"/>
                <w:sz w:val="20"/>
                <w:szCs w:val="20"/>
              </w:rPr>
              <w:t>vibration transmitted to the whole body (WBV)</w:t>
            </w:r>
            <w:r>
              <w:rPr>
                <w:rFonts w:cstheme="minorHAnsi"/>
                <w:color w:val="000000"/>
                <w:sz w:val="20"/>
                <w:szCs w:val="20"/>
              </w:rPr>
              <w:t xml:space="preserve"> the uncertainties of assumptions made were arguably greater, not least because the relative importance of WBV (which primarily occurs in drivers and some static industrial machines) as a cause of back pain was unclear (“it is difficult to estimate the number of cases of back pain attributable to WBV). The impact assessment drew on the same MRC report outlined above which reported </w:t>
            </w:r>
            <w:r>
              <w:rPr>
                <w:rFonts w:cstheme="minorHAnsi"/>
                <w:sz w:val="20"/>
                <w:szCs w:val="20"/>
              </w:rPr>
              <w:t>missing data in relation to 1,865,300 employees exposed to vibration. The impact assessment assumed that that 10% of these fell into the highest vibration category, with a further 90% in the category below this. It also drew on HSE estimates of back pain potentially caused (range 9,000 to 21,000) and made worse (range 13,500 to 31,500) by WBV. The method used to arrive at these estimates was unclear in the impact assessment but used (in conjunction with evidence from SWI data) to calculate the number of sufferers who took time off, left their jobs, and left the labour force together.</w:t>
            </w:r>
            <w:r>
              <w:rPr>
                <w:rFonts w:cstheme="minorHAnsi"/>
                <w:b/>
                <w:sz w:val="20"/>
                <w:szCs w:val="20"/>
              </w:rPr>
              <w:t xml:space="preserve"> </w:t>
            </w:r>
          </w:p>
          <w:p w14:paraId="5BBC3D7F" w14:textId="5F900A00" w:rsidR="00E471B2" w:rsidRDefault="00E471B2" w:rsidP="00322FC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3DC8C2D" w14:textId="1E07B15C" w:rsidR="00E471B2" w:rsidRPr="00E471B2" w:rsidRDefault="00E471B2" w:rsidP="00322F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 considerable number of other assumptions were made. On a case-by-case basis, these are likely to have a less significant effect on overall estimates. Cumulatively, however, they may be more significant (to keep the volume of the supplementary materials manageable, they have not been reproduced here).</w:t>
            </w:r>
          </w:p>
          <w:p w14:paraId="4572EC18" w14:textId="77777777" w:rsidR="00644210"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E76ABF1" w14:textId="1ED6C7C1" w:rsidR="00644210" w:rsidRPr="00CD5E5B"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Dynamic effects:</w:t>
            </w:r>
            <w:r w:rsidR="00CD5E5B">
              <w:rPr>
                <w:rFonts w:cstheme="minorHAnsi"/>
                <w:b/>
                <w:sz w:val="20"/>
                <w:szCs w:val="20"/>
              </w:rPr>
              <w:t xml:space="preserve"> </w:t>
            </w:r>
            <w:r w:rsidR="00CD5E5B">
              <w:rPr>
                <w:rFonts w:cstheme="minorHAnsi"/>
                <w:sz w:val="20"/>
                <w:szCs w:val="20"/>
              </w:rPr>
              <w:t>not relevant</w:t>
            </w:r>
          </w:p>
          <w:p w14:paraId="2A15FD82" w14:textId="77777777" w:rsidR="00644210" w:rsidRPr="00ED2083"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F129ED" w14:textId="1EBD0B0E" w:rsidR="00644210" w:rsidRPr="00CD5E5B"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sidR="00CD5E5B">
              <w:rPr>
                <w:rFonts w:cstheme="minorHAnsi"/>
                <w:sz w:val="20"/>
                <w:szCs w:val="20"/>
              </w:rPr>
              <w:t xml:space="preserve"> full compliance assumed.</w:t>
            </w:r>
          </w:p>
        </w:tc>
        <w:tc>
          <w:tcPr>
            <w:tcW w:w="4633" w:type="dxa"/>
          </w:tcPr>
          <w:p w14:paraId="57E59405" w14:textId="43078BCE" w:rsidR="00644210"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E94C70">
              <w:rPr>
                <w:rFonts w:cstheme="minorHAnsi"/>
                <w:sz w:val="20"/>
                <w:szCs w:val="20"/>
              </w:rPr>
              <w:t>O</w:t>
            </w:r>
            <w:r w:rsidR="008360AE">
              <w:rPr>
                <w:rFonts w:cstheme="minorHAnsi"/>
                <w:sz w:val="20"/>
                <w:szCs w:val="20"/>
              </w:rPr>
              <w:t xml:space="preserve">fficial data </w:t>
            </w:r>
            <w:r w:rsidR="00E94C70">
              <w:rPr>
                <w:rFonts w:cstheme="minorHAnsi"/>
                <w:sz w:val="20"/>
                <w:szCs w:val="20"/>
              </w:rPr>
              <w:t xml:space="preserve">sources </w:t>
            </w:r>
            <w:r w:rsidR="00684C38">
              <w:rPr>
                <w:rFonts w:cstheme="minorHAnsi"/>
                <w:sz w:val="20"/>
                <w:szCs w:val="20"/>
              </w:rPr>
              <w:t>included the SWI survey (</w:t>
            </w:r>
            <w:r w:rsidR="000B4756">
              <w:rPr>
                <w:rFonts w:cstheme="minorHAnsi"/>
                <w:sz w:val="20"/>
                <w:szCs w:val="20"/>
              </w:rPr>
              <w:t>to estimate workers suffering from VWF and its effect on work, see adjacent cell</w:t>
            </w:r>
            <w:r w:rsidR="00E94C70">
              <w:rPr>
                <w:rFonts w:cstheme="minorHAnsi"/>
                <w:sz w:val="20"/>
                <w:szCs w:val="20"/>
              </w:rPr>
              <w:t>). I</w:t>
            </w:r>
            <w:r w:rsidR="008360AE">
              <w:rPr>
                <w:rFonts w:cstheme="minorHAnsi"/>
                <w:sz w:val="20"/>
                <w:szCs w:val="20"/>
              </w:rPr>
              <w:t>ndependent research (</w:t>
            </w:r>
            <w:r w:rsidR="000B4756">
              <w:rPr>
                <w:rFonts w:cstheme="minorHAnsi"/>
                <w:sz w:val="20"/>
                <w:szCs w:val="20"/>
              </w:rPr>
              <w:t xml:space="preserve">an MRC report, used to estimate workers suffering from VWF and its effect on work, </w:t>
            </w:r>
            <w:r w:rsidR="008360AE">
              <w:rPr>
                <w:rFonts w:cstheme="minorHAnsi"/>
                <w:sz w:val="20"/>
                <w:szCs w:val="20"/>
              </w:rPr>
              <w:t>see adjacent cell)</w:t>
            </w:r>
            <w:r w:rsidR="00E94C70">
              <w:rPr>
                <w:rFonts w:cstheme="minorHAnsi"/>
                <w:sz w:val="20"/>
                <w:szCs w:val="20"/>
              </w:rPr>
              <w:t>. B</w:t>
            </w:r>
            <w:r w:rsidR="000B4756">
              <w:rPr>
                <w:rFonts w:cstheme="minorHAnsi"/>
                <w:sz w:val="20"/>
                <w:szCs w:val="20"/>
              </w:rPr>
              <w:t>usiness consultation responses (unspecified</w:t>
            </w:r>
            <w:r w:rsidR="00BC3FA4">
              <w:rPr>
                <w:rFonts w:cstheme="minorHAnsi"/>
                <w:sz w:val="20"/>
                <w:szCs w:val="20"/>
              </w:rPr>
              <w:t xml:space="preserve">, but see </w:t>
            </w:r>
            <w:r w:rsidR="00BC3FA4">
              <w:rPr>
                <w:rFonts w:cstheme="minorHAnsi"/>
                <w:i/>
                <w:sz w:val="20"/>
                <w:szCs w:val="20"/>
              </w:rPr>
              <w:t xml:space="preserve">effect on estimates </w:t>
            </w:r>
            <w:r w:rsidR="00BC3FA4">
              <w:rPr>
                <w:rFonts w:cstheme="minorHAnsi"/>
                <w:sz w:val="20"/>
                <w:szCs w:val="20"/>
              </w:rPr>
              <w:t>below</w:t>
            </w:r>
            <w:r w:rsidR="000B4756">
              <w:rPr>
                <w:rFonts w:cstheme="minorHAnsi"/>
                <w:sz w:val="20"/>
                <w:szCs w:val="20"/>
              </w:rPr>
              <w:t xml:space="preserve">). </w:t>
            </w:r>
          </w:p>
          <w:p w14:paraId="10C6B6DB"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2417E37" w14:textId="6FC5DCD3" w:rsidR="00644210" w:rsidRPr="000B4756"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sidR="000B4756">
              <w:rPr>
                <w:rFonts w:cstheme="minorHAnsi"/>
                <w:b/>
                <w:sz w:val="20"/>
                <w:szCs w:val="20"/>
              </w:rPr>
              <w:t xml:space="preserve">: </w:t>
            </w:r>
            <w:r w:rsidR="00BC3FA4">
              <w:rPr>
                <w:rFonts w:cstheme="minorHAnsi"/>
                <w:sz w:val="20"/>
                <w:szCs w:val="20"/>
              </w:rPr>
              <w:t xml:space="preserve">Not </w:t>
            </w:r>
            <w:r w:rsidR="000B4756">
              <w:rPr>
                <w:rFonts w:cstheme="minorHAnsi"/>
                <w:sz w:val="20"/>
                <w:szCs w:val="20"/>
              </w:rPr>
              <w:t>specified.</w:t>
            </w:r>
          </w:p>
          <w:p w14:paraId="6FE27849"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CE2244A" w14:textId="17F5B5F6" w:rsidR="00644210" w:rsidRPr="00BC3FA4" w:rsidRDefault="00644210" w:rsidP="00322FC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E13D4">
              <w:rPr>
                <w:rFonts w:cstheme="minorHAnsi"/>
                <w:b/>
                <w:sz w:val="20"/>
                <w:szCs w:val="20"/>
              </w:rPr>
              <w:t>Effect on estimates</w:t>
            </w:r>
            <w:r w:rsidR="000B4756">
              <w:rPr>
                <w:rFonts w:cstheme="minorHAnsi"/>
                <w:b/>
                <w:sz w:val="20"/>
                <w:szCs w:val="20"/>
              </w:rPr>
              <w:t xml:space="preserve">: </w:t>
            </w:r>
            <w:r w:rsidR="00BC3FA4">
              <w:rPr>
                <w:rFonts w:cstheme="minorHAnsi"/>
                <w:sz w:val="20"/>
                <w:szCs w:val="20"/>
              </w:rPr>
              <w:t>I</w:t>
            </w:r>
            <w:r w:rsidR="000B4756">
              <w:rPr>
                <w:rFonts w:cstheme="minorHAnsi"/>
                <w:sz w:val="20"/>
                <w:szCs w:val="20"/>
              </w:rPr>
              <w:t xml:space="preserve">ndustry responses to the consultation appear to have informed estimates </w:t>
            </w:r>
            <w:r w:rsidR="00BC3FA4">
              <w:rPr>
                <w:rFonts w:cstheme="minorHAnsi"/>
                <w:sz w:val="20"/>
                <w:szCs w:val="20"/>
              </w:rPr>
              <w:t>of</w:t>
            </w:r>
            <w:r w:rsidR="000B4756">
              <w:rPr>
                <w:rFonts w:cstheme="minorHAnsi"/>
                <w:sz w:val="20"/>
                <w:szCs w:val="20"/>
              </w:rPr>
              <w:t xml:space="preserve"> </w:t>
            </w:r>
            <w:r w:rsidR="000B4756" w:rsidRPr="00C65E87">
              <w:rPr>
                <w:rFonts w:cstheme="minorHAnsi"/>
                <w:sz w:val="20"/>
                <w:szCs w:val="20"/>
              </w:rPr>
              <w:t>the percentage of assessments carried out by consul</w:t>
            </w:r>
            <w:r w:rsidR="000B4756">
              <w:rPr>
                <w:rFonts w:cstheme="minorHAnsi"/>
                <w:sz w:val="20"/>
                <w:szCs w:val="20"/>
              </w:rPr>
              <w:t>tants (as opposed to employers),</w:t>
            </w:r>
            <w:r w:rsidR="000B4756" w:rsidRPr="00C65E87">
              <w:rPr>
                <w:rFonts w:cstheme="minorHAnsi"/>
                <w:sz w:val="20"/>
                <w:szCs w:val="20"/>
              </w:rPr>
              <w:t xml:space="preserve"> the length of time for assessments</w:t>
            </w:r>
            <w:r w:rsidR="000B4756">
              <w:rPr>
                <w:rFonts w:cstheme="minorHAnsi"/>
                <w:sz w:val="20"/>
                <w:szCs w:val="20"/>
              </w:rPr>
              <w:t xml:space="preserve"> for workers with low exposures,</w:t>
            </w:r>
            <w:r w:rsidR="000B4756" w:rsidRPr="00C65E87">
              <w:rPr>
                <w:rFonts w:cstheme="minorHAnsi"/>
                <w:sz w:val="20"/>
                <w:szCs w:val="20"/>
              </w:rPr>
              <w:t xml:space="preserve"> the percentage of workers with high exposures who would </w:t>
            </w:r>
            <w:r w:rsidR="000B4756">
              <w:rPr>
                <w:rFonts w:cstheme="minorHAnsi"/>
                <w:sz w:val="20"/>
                <w:szCs w:val="20"/>
              </w:rPr>
              <w:t>m</w:t>
            </w:r>
            <w:r w:rsidR="00BC3FA4">
              <w:rPr>
                <w:rFonts w:cstheme="minorHAnsi"/>
                <w:sz w:val="20"/>
                <w:szCs w:val="20"/>
              </w:rPr>
              <w:t>ove directly to control action.</w:t>
            </w:r>
            <w:r w:rsidR="00074F69">
              <w:rPr>
                <w:rFonts w:cstheme="minorHAnsi"/>
                <w:sz w:val="20"/>
                <w:szCs w:val="20"/>
              </w:rPr>
              <w:t xml:space="preserve"> It is not clear whether they were verified.</w:t>
            </w:r>
          </w:p>
        </w:tc>
        <w:tc>
          <w:tcPr>
            <w:tcW w:w="4633" w:type="dxa"/>
          </w:tcPr>
          <w:p w14:paraId="59349CA9" w14:textId="0FED0A2F" w:rsidR="00644210" w:rsidRDefault="00634231" w:rsidP="008E07D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Reported b</w:t>
            </w:r>
            <w:r w:rsidR="00644210">
              <w:rPr>
                <w:rFonts w:cstheme="minorHAnsi"/>
                <w:b/>
                <w:sz w:val="20"/>
                <w:szCs w:val="20"/>
              </w:rPr>
              <w:t xml:space="preserve">enefits (workers): </w:t>
            </w:r>
            <w:r w:rsidR="00644210">
              <w:rPr>
                <w:rFonts w:cstheme="minorHAnsi"/>
                <w:sz w:val="20"/>
                <w:szCs w:val="20"/>
              </w:rPr>
              <w:t>reduction in ill health</w:t>
            </w:r>
            <w:r w:rsidR="00531CC8">
              <w:rPr>
                <w:rFonts w:cstheme="minorHAnsi"/>
                <w:sz w:val="20"/>
                <w:szCs w:val="20"/>
              </w:rPr>
              <w:t xml:space="preserve"> (including pain, grief and suffering)</w:t>
            </w:r>
            <w:r w:rsidR="00644210">
              <w:rPr>
                <w:rFonts w:cstheme="minorHAnsi"/>
                <w:sz w:val="20"/>
                <w:szCs w:val="20"/>
              </w:rPr>
              <w:t>; reduction in lost/r</w:t>
            </w:r>
            <w:r w:rsidR="00531CC8">
              <w:rPr>
                <w:rFonts w:cstheme="minorHAnsi"/>
                <w:sz w:val="20"/>
                <w:szCs w:val="20"/>
              </w:rPr>
              <w:t xml:space="preserve">educed earnings from </w:t>
            </w:r>
            <w:r w:rsidR="00C77698">
              <w:rPr>
                <w:rFonts w:cstheme="minorHAnsi"/>
                <w:sz w:val="20"/>
                <w:szCs w:val="20"/>
              </w:rPr>
              <w:t xml:space="preserve">time-off work arising from </w:t>
            </w:r>
            <w:r w:rsidR="00531CC8">
              <w:rPr>
                <w:rFonts w:cstheme="minorHAnsi"/>
                <w:sz w:val="20"/>
                <w:szCs w:val="20"/>
              </w:rPr>
              <w:t>ill health</w:t>
            </w:r>
            <w:r w:rsidR="00C77698">
              <w:rPr>
                <w:rFonts w:cstheme="minorHAnsi"/>
                <w:sz w:val="20"/>
                <w:szCs w:val="20"/>
              </w:rPr>
              <w:t>; reduction in lost/earnings from leaving j</w:t>
            </w:r>
            <w:r w:rsidR="00E471B2">
              <w:rPr>
                <w:rFonts w:cstheme="minorHAnsi"/>
                <w:sz w:val="20"/>
                <w:szCs w:val="20"/>
              </w:rPr>
              <w:t>ob arising from ill health</w:t>
            </w:r>
            <w:r w:rsidR="00C77698">
              <w:rPr>
                <w:rFonts w:cstheme="minorHAnsi"/>
                <w:sz w:val="20"/>
                <w:szCs w:val="20"/>
              </w:rPr>
              <w:t>.</w:t>
            </w:r>
          </w:p>
          <w:p w14:paraId="68D1BC52" w14:textId="77777777" w:rsidR="00644210" w:rsidRDefault="00644210" w:rsidP="008E07D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3198D8B" w14:textId="36E2DC1C" w:rsidR="00634231" w:rsidRDefault="00634231" w:rsidP="006342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(business) </w:t>
            </w:r>
            <w:r>
              <w:rPr>
                <w:rFonts w:cstheme="minorHAnsi"/>
                <w:sz w:val="20"/>
                <w:szCs w:val="20"/>
              </w:rPr>
              <w:t>employers developing alternative methods for particular tasks (which avoid the use of hand-held vibrating tools and may increase productivity); employers replacing high vibration tools with those that reduce exposure (which may increase productivity, stimulate technological innovation, and increase sales for new tools); reductions in time lost and other work and administrative related inefficiencies due to ill health and impaired performance (which may increase productivity); reduction in compensation claims.</w:t>
            </w:r>
          </w:p>
          <w:p w14:paraId="583B1E6B" w14:textId="77777777" w:rsidR="00634231" w:rsidRDefault="00634231" w:rsidP="006342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EE4FE08" w14:textId="718DC0FD" w:rsidR="00644210" w:rsidRDefault="00634231" w:rsidP="008E07D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Reported b</w:t>
            </w:r>
            <w:r w:rsidR="00644210">
              <w:rPr>
                <w:rFonts w:cstheme="minorHAnsi"/>
                <w:b/>
                <w:sz w:val="20"/>
                <w:szCs w:val="20"/>
              </w:rPr>
              <w:t>enefits (government)</w:t>
            </w:r>
            <w:r w:rsidR="00644210">
              <w:rPr>
                <w:rFonts w:cstheme="minorHAnsi"/>
                <w:sz w:val="20"/>
                <w:szCs w:val="20"/>
              </w:rPr>
              <w:t>:</w:t>
            </w:r>
            <w:r w:rsidR="00531CC8">
              <w:rPr>
                <w:rFonts w:cstheme="minorHAnsi"/>
                <w:sz w:val="20"/>
                <w:szCs w:val="20"/>
              </w:rPr>
              <w:t xml:space="preserve"> </w:t>
            </w:r>
            <w:r w:rsidR="00531CC8" w:rsidRPr="00C77698">
              <w:rPr>
                <w:rFonts w:cstheme="minorHAnsi"/>
                <w:sz w:val="20"/>
                <w:szCs w:val="20"/>
              </w:rPr>
              <w:t>“wider costs to society” (such as extra administration, medical co</w:t>
            </w:r>
            <w:r w:rsidR="00C77698" w:rsidRPr="00C77698">
              <w:rPr>
                <w:rFonts w:cstheme="minorHAnsi"/>
                <w:sz w:val="20"/>
                <w:szCs w:val="20"/>
              </w:rPr>
              <w:t>sts, and loss of future output)</w:t>
            </w:r>
          </w:p>
          <w:p w14:paraId="19854DBE" w14:textId="0CB714CD" w:rsidR="00644210" w:rsidRDefault="00644210" w:rsidP="008E07D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6A5AA8D" w14:textId="172085C6" w:rsidR="00634231" w:rsidRPr="00CD5E5B" w:rsidRDefault="00634231" w:rsidP="008E07D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Non-reported benefits (workers):</w:t>
            </w:r>
            <w:r w:rsidR="00CD5E5B">
              <w:rPr>
                <w:rFonts w:cstheme="minorHAnsi"/>
                <w:b/>
                <w:sz w:val="20"/>
                <w:szCs w:val="20"/>
              </w:rPr>
              <w:t xml:space="preserve"> </w:t>
            </w:r>
            <w:r w:rsidR="00CD5E5B">
              <w:rPr>
                <w:rFonts w:cstheme="minorHAnsi"/>
                <w:sz w:val="20"/>
                <w:szCs w:val="20"/>
              </w:rPr>
              <w:t>none.</w:t>
            </w:r>
          </w:p>
          <w:p w14:paraId="4251518A" w14:textId="77777777" w:rsidR="00634231" w:rsidRDefault="00634231" w:rsidP="008E07D9">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8BD4231" w14:textId="6F0ACF14" w:rsidR="00644210" w:rsidRDefault="00644210" w:rsidP="00C077BC">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Non-reported benefits (business):</w:t>
            </w:r>
            <w:r>
              <w:rPr>
                <w:sz w:val="20"/>
                <w:szCs w:val="20"/>
              </w:rPr>
              <w:t xml:space="preserve"> several costs to affected businesses, which, in effect, produce benefits to other businesses and the broader economy, such as an increase in the use of specialist consultants, and improvements in and increases in sales of vehicles with seats with built in suspension, were noted as costs, but not reported as benefits to affected businesses.</w:t>
            </w:r>
            <w:r>
              <w:rPr>
                <w:rFonts w:cstheme="minorHAnsi"/>
                <w:b/>
                <w:sz w:val="20"/>
                <w:szCs w:val="20"/>
              </w:rPr>
              <w:t xml:space="preserve"> </w:t>
            </w:r>
          </w:p>
          <w:p w14:paraId="61EB479C" w14:textId="3822DDC9" w:rsidR="00644210" w:rsidRDefault="00644210" w:rsidP="00AE019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CA34A07" w14:textId="0E6ECE8E" w:rsidR="00634231" w:rsidRPr="00531CC8" w:rsidRDefault="00531CC8" w:rsidP="00AE019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Non-reported benefits (government):</w:t>
            </w:r>
            <w:r>
              <w:rPr>
                <w:rFonts w:cstheme="minorHAnsi"/>
                <w:sz w:val="20"/>
                <w:szCs w:val="20"/>
              </w:rPr>
              <w:t xml:space="preserve"> increased revenue (arising from salaries of consultants, increased turnover of replacement for tools and vehicles); reduced social security costs. </w:t>
            </w:r>
          </w:p>
          <w:p w14:paraId="67FF6DC2" w14:textId="77777777" w:rsidR="00644210" w:rsidRDefault="00644210" w:rsidP="00AE019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C8529F9" w14:textId="0DB60E3E" w:rsidR="00644210" w:rsidRPr="00C077BC" w:rsidRDefault="00644210" w:rsidP="00AE019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Disputed benefits: </w:t>
            </w:r>
            <w:r>
              <w:rPr>
                <w:rFonts w:cstheme="minorHAnsi"/>
                <w:sz w:val="20"/>
                <w:szCs w:val="20"/>
              </w:rPr>
              <w:t>T</w:t>
            </w:r>
            <w:r w:rsidRPr="00325BFB">
              <w:rPr>
                <w:rFonts w:cstheme="minorHAnsi"/>
                <w:sz w:val="20"/>
                <w:szCs w:val="20"/>
              </w:rPr>
              <w:t>he total potential saving to society from eradicating HAV</w:t>
            </w:r>
            <w:r>
              <w:rPr>
                <w:rFonts w:cstheme="minorHAnsi"/>
                <w:sz w:val="20"/>
                <w:szCs w:val="20"/>
              </w:rPr>
              <w:t>S</w:t>
            </w:r>
            <w:r w:rsidR="007C7485">
              <w:rPr>
                <w:rFonts w:cstheme="minorHAnsi"/>
                <w:sz w:val="20"/>
                <w:szCs w:val="20"/>
              </w:rPr>
              <w:t xml:space="preserve"> and WBV</w:t>
            </w:r>
            <w:r w:rsidRPr="00325BFB">
              <w:rPr>
                <w:rFonts w:cstheme="minorHAnsi"/>
                <w:sz w:val="20"/>
                <w:szCs w:val="20"/>
              </w:rPr>
              <w:t>-related illness</w:t>
            </w:r>
            <w:r>
              <w:rPr>
                <w:rFonts w:cstheme="minorHAnsi"/>
                <w:sz w:val="20"/>
                <w:szCs w:val="20"/>
              </w:rPr>
              <w:t xml:space="preserve"> (a large part of which was</w:t>
            </w:r>
            <w:r w:rsidRPr="00325BFB">
              <w:rPr>
                <w:rFonts w:cstheme="minorHAnsi"/>
                <w:sz w:val="20"/>
                <w:szCs w:val="20"/>
              </w:rPr>
              <w:t xml:space="preserve"> an estimate of the monetary value of the pain and suf</w:t>
            </w:r>
            <w:r>
              <w:rPr>
                <w:rFonts w:cstheme="minorHAnsi"/>
                <w:sz w:val="20"/>
                <w:szCs w:val="20"/>
              </w:rPr>
              <w:t xml:space="preserve">fering to affected individuals, </w:t>
            </w:r>
            <w:r w:rsidRPr="00325BFB">
              <w:rPr>
                <w:rFonts w:cstheme="minorHAnsi"/>
                <w:sz w:val="20"/>
                <w:szCs w:val="20"/>
              </w:rPr>
              <w:t>informed by standard estimates to assess Quality Adjusted Life Years)</w:t>
            </w:r>
            <w:r>
              <w:rPr>
                <w:rFonts w:cstheme="minorHAnsi"/>
                <w:sz w:val="20"/>
                <w:szCs w:val="20"/>
              </w:rPr>
              <w:t xml:space="preserve"> were also estimate</w:t>
            </w:r>
            <w:r w:rsidR="00531CC8">
              <w:rPr>
                <w:rFonts w:cstheme="minorHAnsi"/>
                <w:sz w:val="20"/>
                <w:szCs w:val="20"/>
              </w:rPr>
              <w:t>d</w:t>
            </w:r>
            <w:r>
              <w:rPr>
                <w:rFonts w:cstheme="minorHAnsi"/>
                <w:sz w:val="20"/>
                <w:szCs w:val="20"/>
              </w:rPr>
              <w:t xml:space="preserve"> in  risk assessment section</w:t>
            </w:r>
            <w:r w:rsidR="007C7485">
              <w:rPr>
                <w:rFonts w:cstheme="minorHAnsi"/>
                <w:sz w:val="20"/>
                <w:szCs w:val="20"/>
              </w:rPr>
              <w:t>s</w:t>
            </w:r>
            <w:r w:rsidRPr="00325BFB">
              <w:rPr>
                <w:rFonts w:cstheme="minorHAnsi"/>
                <w:sz w:val="20"/>
                <w:szCs w:val="20"/>
              </w:rPr>
              <w:t xml:space="preserve">. However, </w:t>
            </w:r>
            <w:r>
              <w:rPr>
                <w:rFonts w:cstheme="minorHAnsi"/>
                <w:sz w:val="20"/>
                <w:szCs w:val="20"/>
              </w:rPr>
              <w:t xml:space="preserve">the impact assessment noted that it was not possible to </w:t>
            </w:r>
            <w:r w:rsidRPr="00325BFB">
              <w:rPr>
                <w:rFonts w:cstheme="minorHAnsi"/>
                <w:sz w:val="20"/>
                <w:szCs w:val="20"/>
              </w:rPr>
              <w:t>reliably estimat</w:t>
            </w:r>
            <w:r>
              <w:rPr>
                <w:rFonts w:cstheme="minorHAnsi"/>
                <w:sz w:val="20"/>
                <w:szCs w:val="20"/>
              </w:rPr>
              <w:t xml:space="preserve">e the cost of reducing exposure and that most </w:t>
            </w:r>
            <w:r w:rsidRPr="00325BFB">
              <w:rPr>
                <w:rFonts w:cstheme="minorHAnsi"/>
                <w:sz w:val="20"/>
                <w:szCs w:val="20"/>
              </w:rPr>
              <w:t xml:space="preserve">of the costs calculated </w:t>
            </w:r>
            <w:r>
              <w:rPr>
                <w:rFonts w:cstheme="minorHAnsi"/>
                <w:sz w:val="20"/>
                <w:szCs w:val="20"/>
              </w:rPr>
              <w:t xml:space="preserve">did not represent </w:t>
            </w:r>
            <w:r w:rsidRPr="00325BFB">
              <w:rPr>
                <w:rFonts w:cstheme="minorHAnsi"/>
                <w:sz w:val="20"/>
                <w:szCs w:val="20"/>
              </w:rPr>
              <w:t>expenditure on reducing exposure and would therefore have li</w:t>
            </w:r>
            <w:r>
              <w:rPr>
                <w:rFonts w:cstheme="minorHAnsi"/>
                <w:sz w:val="20"/>
                <w:szCs w:val="20"/>
              </w:rPr>
              <w:t>ttle direct impact on benefits.</w:t>
            </w:r>
          </w:p>
          <w:p w14:paraId="710F2427" w14:textId="77777777" w:rsidR="00644210" w:rsidRDefault="00644210" w:rsidP="00000A5E">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48CCF99" w14:textId="191BCDD8" w:rsidR="00644210" w:rsidRDefault="00644210" w:rsidP="00143C7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Monetised Benefits (to workers):</w:t>
            </w:r>
            <w:r>
              <w:rPr>
                <w:rFonts w:cstheme="minorHAnsi"/>
                <w:sz w:val="20"/>
                <w:szCs w:val="20"/>
              </w:rPr>
              <w:t xml:space="preserve"> costs to individuals (e.g. for pain and suffering, using figures based on HSE monetary values for different levels of pain, grief and suffering, and taking time off)</w:t>
            </w:r>
            <w:r w:rsidR="00CD5E5B">
              <w:rPr>
                <w:rFonts w:cstheme="minorHAnsi"/>
                <w:sz w:val="20"/>
                <w:szCs w:val="20"/>
              </w:rPr>
              <w:t>.</w:t>
            </w:r>
          </w:p>
          <w:p w14:paraId="19AE77F4" w14:textId="77777777" w:rsidR="00CD5E5B" w:rsidRDefault="00CD5E5B" w:rsidP="00143C7F">
            <w:pPr>
              <w:cnfStyle w:val="000000000000" w:firstRow="0" w:lastRow="0" w:firstColumn="0" w:lastColumn="0" w:oddVBand="0" w:evenVBand="0" w:oddHBand="0" w:evenHBand="0" w:firstRowFirstColumn="0" w:firstRowLastColumn="0" w:lastRowFirstColumn="0" w:lastRowLastColumn="0"/>
              <w:rPr>
                <w:sz w:val="20"/>
                <w:szCs w:val="20"/>
              </w:rPr>
            </w:pPr>
          </w:p>
          <w:p w14:paraId="252A72D6" w14:textId="0E3AAC6E" w:rsidR="00DB1782" w:rsidRDefault="00DB1782" w:rsidP="00DB178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Monetised Benefits (to business): </w:t>
            </w:r>
            <w:r w:rsidR="001936EA">
              <w:rPr>
                <w:rFonts w:cstheme="minorHAnsi"/>
                <w:sz w:val="20"/>
                <w:szCs w:val="20"/>
              </w:rPr>
              <w:t>loss of future output (ill-defined, see below)</w:t>
            </w:r>
            <w:r>
              <w:rPr>
                <w:rFonts w:cstheme="minorHAnsi"/>
                <w:sz w:val="20"/>
                <w:szCs w:val="20"/>
              </w:rPr>
              <w:t>; r</w:t>
            </w:r>
            <w:r w:rsidR="001936EA">
              <w:rPr>
                <w:rFonts w:cstheme="minorHAnsi"/>
                <w:sz w:val="20"/>
                <w:szCs w:val="20"/>
              </w:rPr>
              <w:t>educed administration (ill-defined, see below))</w:t>
            </w:r>
            <w:r>
              <w:rPr>
                <w:rFonts w:cstheme="minorHAnsi"/>
                <w:sz w:val="20"/>
                <w:szCs w:val="20"/>
              </w:rPr>
              <w:t>; see also disputed benefits.</w:t>
            </w:r>
          </w:p>
          <w:p w14:paraId="365897DF" w14:textId="77777777" w:rsidR="00DB1782" w:rsidRDefault="00DB1782" w:rsidP="00B97ED0">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8F11978" w14:textId="577F11C7" w:rsidR="00644210" w:rsidRPr="00462652" w:rsidRDefault="00644210" w:rsidP="00B97E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Monetised Benefits (to government): </w:t>
            </w:r>
            <w:r>
              <w:rPr>
                <w:rFonts w:cstheme="minorHAnsi"/>
                <w:sz w:val="20"/>
                <w:szCs w:val="20"/>
              </w:rPr>
              <w:t xml:space="preserve">(for HAVS) </w:t>
            </w:r>
            <w:r w:rsidR="00531CC8" w:rsidRPr="00DB1782">
              <w:rPr>
                <w:rFonts w:cstheme="minorHAnsi"/>
                <w:sz w:val="20"/>
                <w:szCs w:val="20"/>
              </w:rPr>
              <w:t xml:space="preserve">“wider costs to society” (such as extra administration, medical costs, and loss of future output) </w:t>
            </w:r>
            <w:r w:rsidR="00DB1782" w:rsidRPr="00DB1782">
              <w:rPr>
                <w:rFonts w:cstheme="minorHAnsi"/>
                <w:sz w:val="20"/>
                <w:szCs w:val="20"/>
              </w:rPr>
              <w:t xml:space="preserve">calculated </w:t>
            </w:r>
            <w:r w:rsidR="00531CC8" w:rsidRPr="00DB1782">
              <w:rPr>
                <w:rFonts w:cstheme="minorHAnsi"/>
                <w:sz w:val="20"/>
                <w:szCs w:val="20"/>
              </w:rPr>
              <w:t xml:space="preserve">by applying the ratio of the total costs of work-related ill health to society to that relating to individuals to their estimate of total costs of HAV </w:t>
            </w:r>
            <w:r w:rsidR="00DB1782" w:rsidRPr="00DB1782">
              <w:rPr>
                <w:rFonts w:cstheme="minorHAnsi"/>
                <w:sz w:val="20"/>
                <w:szCs w:val="20"/>
              </w:rPr>
              <w:t>illness to individuals</w:t>
            </w:r>
            <w:r w:rsidR="001936EA">
              <w:rPr>
                <w:rFonts w:cstheme="minorHAnsi"/>
                <w:sz w:val="20"/>
                <w:szCs w:val="20"/>
              </w:rPr>
              <w:t xml:space="preserve"> (and then assuming </w:t>
            </w:r>
            <w:r w:rsidR="001936EA" w:rsidRPr="001936EA">
              <w:rPr>
                <w:rFonts w:cstheme="minorHAnsi"/>
                <w:sz w:val="20"/>
                <w:szCs w:val="20"/>
              </w:rPr>
              <w:t>that at most 10-20% of the potential sa</w:t>
            </w:r>
            <w:r w:rsidR="001936EA">
              <w:rPr>
                <w:rFonts w:cstheme="minorHAnsi"/>
                <w:sz w:val="20"/>
                <w:szCs w:val="20"/>
              </w:rPr>
              <w:t>vings might be realised as a re</w:t>
            </w:r>
            <w:r w:rsidR="001936EA" w:rsidRPr="001936EA">
              <w:rPr>
                <w:rFonts w:cstheme="minorHAnsi"/>
                <w:sz w:val="20"/>
                <w:szCs w:val="20"/>
              </w:rPr>
              <w:t xml:space="preserve">sult of the actions costed in </w:t>
            </w:r>
            <w:r w:rsidR="001936EA">
              <w:rPr>
                <w:rFonts w:cstheme="minorHAnsi"/>
                <w:sz w:val="20"/>
                <w:szCs w:val="20"/>
              </w:rPr>
              <w:t>the impact assessment) (</w:t>
            </w:r>
            <w:r w:rsidR="00DB1782" w:rsidRPr="00DB1782">
              <w:rPr>
                <w:rFonts w:cstheme="minorHAnsi"/>
                <w:sz w:val="20"/>
                <w:szCs w:val="20"/>
              </w:rPr>
              <w:t>see also disputed benefits)</w:t>
            </w:r>
            <w:r w:rsidR="007C7485">
              <w:rPr>
                <w:rFonts w:cstheme="minorHAnsi"/>
                <w:sz w:val="20"/>
                <w:szCs w:val="20"/>
              </w:rPr>
              <w:t>; (for WBV) “w</w:t>
            </w:r>
            <w:r w:rsidR="007C7485" w:rsidRPr="007C7485">
              <w:rPr>
                <w:rFonts w:cstheme="minorHAnsi"/>
                <w:sz w:val="20"/>
                <w:szCs w:val="20"/>
              </w:rPr>
              <w:t>ider costs to society</w:t>
            </w:r>
            <w:r w:rsidR="007C7485">
              <w:rPr>
                <w:rFonts w:cstheme="minorHAnsi"/>
                <w:sz w:val="20"/>
                <w:szCs w:val="20"/>
              </w:rPr>
              <w:t>”</w:t>
            </w:r>
            <w:r w:rsidR="007C7485" w:rsidRPr="007C7485">
              <w:rPr>
                <w:rFonts w:cstheme="minorHAnsi"/>
                <w:sz w:val="20"/>
                <w:szCs w:val="20"/>
              </w:rPr>
              <w:t xml:space="preserve"> </w:t>
            </w:r>
            <w:r w:rsidR="007C7485">
              <w:rPr>
                <w:rFonts w:cstheme="minorHAnsi"/>
                <w:sz w:val="20"/>
                <w:szCs w:val="20"/>
              </w:rPr>
              <w:t xml:space="preserve">(such as </w:t>
            </w:r>
            <w:r w:rsidR="007C7485" w:rsidRPr="007C7485">
              <w:rPr>
                <w:rFonts w:cstheme="minorHAnsi"/>
                <w:sz w:val="20"/>
                <w:szCs w:val="20"/>
              </w:rPr>
              <w:t>extra administration, medical costs and loss of future output</w:t>
            </w:r>
            <w:r w:rsidR="007C7485">
              <w:rPr>
                <w:rFonts w:cstheme="minorHAnsi"/>
                <w:sz w:val="20"/>
                <w:szCs w:val="20"/>
              </w:rPr>
              <w:t xml:space="preserve">) calculated by applying </w:t>
            </w:r>
            <w:r w:rsidR="007C7485" w:rsidRPr="007C7485">
              <w:rPr>
                <w:rFonts w:cstheme="minorHAnsi"/>
                <w:sz w:val="20"/>
                <w:szCs w:val="20"/>
              </w:rPr>
              <w:t>the ratio of the total costs of work-related ill health to society</w:t>
            </w:r>
            <w:r w:rsidR="007C7485">
              <w:rPr>
                <w:rFonts w:cstheme="minorHAnsi"/>
                <w:sz w:val="20"/>
                <w:szCs w:val="20"/>
              </w:rPr>
              <w:t xml:space="preserve"> to that relating to indi</w:t>
            </w:r>
            <w:r w:rsidR="007C7485" w:rsidRPr="007C7485">
              <w:rPr>
                <w:rFonts w:cstheme="minorHAnsi"/>
                <w:sz w:val="20"/>
                <w:szCs w:val="20"/>
              </w:rPr>
              <w:t xml:space="preserve">viduals only to </w:t>
            </w:r>
            <w:r w:rsidR="007C7485">
              <w:rPr>
                <w:rFonts w:cstheme="minorHAnsi"/>
                <w:sz w:val="20"/>
                <w:szCs w:val="20"/>
              </w:rPr>
              <w:t xml:space="preserve">the HSE’s </w:t>
            </w:r>
            <w:r w:rsidR="007C7485" w:rsidRPr="007C7485">
              <w:rPr>
                <w:rFonts w:cstheme="minorHAnsi"/>
                <w:sz w:val="20"/>
                <w:szCs w:val="20"/>
              </w:rPr>
              <w:t xml:space="preserve">estimate of the total costs of WBV illness </w:t>
            </w:r>
            <w:r w:rsidR="007C7485">
              <w:rPr>
                <w:rFonts w:cstheme="minorHAnsi"/>
                <w:sz w:val="20"/>
                <w:szCs w:val="20"/>
              </w:rPr>
              <w:t xml:space="preserve">(and then assuming </w:t>
            </w:r>
            <w:r w:rsidR="007C7485" w:rsidRPr="007C7485">
              <w:rPr>
                <w:rFonts w:cstheme="minorHAnsi"/>
                <w:sz w:val="20"/>
                <w:szCs w:val="20"/>
              </w:rPr>
              <w:t xml:space="preserve">that 20% of the potential savings might be realised as a result of the actions costed in </w:t>
            </w:r>
            <w:r w:rsidR="007C7485">
              <w:rPr>
                <w:rFonts w:cstheme="minorHAnsi"/>
                <w:sz w:val="20"/>
                <w:szCs w:val="20"/>
              </w:rPr>
              <w:t>the impact assessment)</w:t>
            </w:r>
            <w:r w:rsidR="007C7485" w:rsidRPr="007C7485">
              <w:rPr>
                <w:rFonts w:cstheme="minorHAnsi"/>
                <w:sz w:val="20"/>
                <w:szCs w:val="20"/>
              </w:rPr>
              <w:t>.</w:t>
            </w:r>
          </w:p>
          <w:p w14:paraId="7C4317D5" w14:textId="77777777" w:rsidR="00DB1782" w:rsidRDefault="00DB1782" w:rsidP="00B97ED0">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41F0553" w14:textId="3A20878A" w:rsidR="00644210" w:rsidRDefault="00644210" w:rsidP="00C406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w:t>
            </w:r>
            <w:r w:rsidR="00C77698">
              <w:rPr>
                <w:rFonts w:cstheme="minorHAnsi"/>
                <w:b/>
                <w:sz w:val="20"/>
                <w:szCs w:val="20"/>
              </w:rPr>
              <w:t xml:space="preserve">benefits </w:t>
            </w:r>
            <w:r>
              <w:rPr>
                <w:rFonts w:cstheme="minorHAnsi"/>
                <w:b/>
                <w:sz w:val="20"/>
                <w:szCs w:val="20"/>
              </w:rPr>
              <w:t>(general)</w:t>
            </w:r>
            <w:r w:rsidR="00C77698">
              <w:rPr>
                <w:rFonts w:cstheme="minorHAnsi"/>
                <w:b/>
                <w:sz w:val="20"/>
                <w:szCs w:val="20"/>
              </w:rPr>
              <w:t xml:space="preserve">: </w:t>
            </w:r>
            <w:r w:rsidR="00C77698">
              <w:rPr>
                <w:rFonts w:cstheme="minorHAnsi"/>
                <w:sz w:val="20"/>
                <w:szCs w:val="20"/>
              </w:rPr>
              <w:t>(for HAVS)</w:t>
            </w:r>
            <w:r>
              <w:rPr>
                <w:rFonts w:cstheme="minorHAnsi"/>
                <w:b/>
                <w:sz w:val="20"/>
                <w:szCs w:val="20"/>
              </w:rPr>
              <w:t xml:space="preserve"> </w:t>
            </w:r>
            <w:r w:rsidRPr="00F200CF">
              <w:rPr>
                <w:rFonts w:cstheme="minorHAnsi"/>
                <w:sz w:val="20"/>
                <w:szCs w:val="20"/>
              </w:rPr>
              <w:t xml:space="preserve">costs </w:t>
            </w:r>
            <w:r>
              <w:rPr>
                <w:rFonts w:cstheme="minorHAnsi"/>
                <w:sz w:val="20"/>
                <w:szCs w:val="20"/>
              </w:rPr>
              <w:t xml:space="preserve">associated with the regulations </w:t>
            </w:r>
            <w:r w:rsidR="00C77698">
              <w:rPr>
                <w:rFonts w:cstheme="minorHAnsi"/>
                <w:sz w:val="20"/>
                <w:szCs w:val="20"/>
              </w:rPr>
              <w:t xml:space="preserve">estimated to be between </w:t>
            </w:r>
            <w:r w:rsidRPr="00F200CF">
              <w:rPr>
                <w:rFonts w:cstheme="minorHAnsi"/>
                <w:sz w:val="20"/>
                <w:szCs w:val="20"/>
              </w:rPr>
              <w:t>0.8 and 1.1 times the benefits</w:t>
            </w:r>
            <w:r w:rsidR="00C77698">
              <w:rPr>
                <w:rFonts w:cstheme="minorHAnsi"/>
                <w:sz w:val="20"/>
                <w:szCs w:val="20"/>
              </w:rPr>
              <w:t xml:space="preserve"> (in present value terms and</w:t>
            </w:r>
            <w:r w:rsidR="00C77698" w:rsidRPr="00F200CF">
              <w:rPr>
                <w:rFonts w:cstheme="minorHAnsi"/>
                <w:sz w:val="20"/>
                <w:szCs w:val="20"/>
              </w:rPr>
              <w:t xml:space="preserve"> over a ten-year period</w:t>
            </w:r>
            <w:r w:rsidR="00C77698">
              <w:rPr>
                <w:rFonts w:cstheme="minorHAnsi"/>
                <w:sz w:val="20"/>
                <w:szCs w:val="20"/>
              </w:rPr>
              <w:t>),</w:t>
            </w:r>
            <w:r w:rsidRPr="00F200CF">
              <w:rPr>
                <w:rFonts w:cstheme="minorHAnsi"/>
                <w:sz w:val="20"/>
                <w:szCs w:val="20"/>
              </w:rPr>
              <w:t xml:space="preserve"> </w:t>
            </w:r>
            <w:r w:rsidR="00C77698">
              <w:rPr>
                <w:rFonts w:cstheme="minorHAnsi"/>
                <w:sz w:val="20"/>
                <w:szCs w:val="20"/>
              </w:rPr>
              <w:t>h</w:t>
            </w:r>
            <w:r w:rsidRPr="00F200CF">
              <w:rPr>
                <w:rFonts w:cstheme="minorHAnsi"/>
                <w:sz w:val="20"/>
                <w:szCs w:val="20"/>
              </w:rPr>
              <w:t xml:space="preserve">owever, </w:t>
            </w:r>
            <w:r>
              <w:rPr>
                <w:rFonts w:cstheme="minorHAnsi"/>
                <w:sz w:val="20"/>
                <w:szCs w:val="20"/>
              </w:rPr>
              <w:t xml:space="preserve">it </w:t>
            </w:r>
            <w:r w:rsidR="00C77698">
              <w:rPr>
                <w:rFonts w:cstheme="minorHAnsi"/>
                <w:sz w:val="20"/>
                <w:szCs w:val="20"/>
              </w:rPr>
              <w:t xml:space="preserve">was noted that this </w:t>
            </w:r>
            <w:r>
              <w:rPr>
                <w:rFonts w:cstheme="minorHAnsi"/>
                <w:sz w:val="20"/>
                <w:szCs w:val="20"/>
              </w:rPr>
              <w:t xml:space="preserve">was likely to underestimate </w:t>
            </w:r>
            <w:r w:rsidRPr="00F200CF">
              <w:rPr>
                <w:rFonts w:cstheme="minorHAnsi"/>
                <w:sz w:val="20"/>
                <w:szCs w:val="20"/>
              </w:rPr>
              <w:t>total benefits</w:t>
            </w:r>
            <w:r>
              <w:rPr>
                <w:rFonts w:cstheme="minorHAnsi"/>
                <w:sz w:val="20"/>
                <w:szCs w:val="20"/>
              </w:rPr>
              <w:t xml:space="preserve">, </w:t>
            </w:r>
            <w:r w:rsidRPr="00F200CF">
              <w:rPr>
                <w:rFonts w:cstheme="minorHAnsi"/>
                <w:sz w:val="20"/>
                <w:szCs w:val="20"/>
              </w:rPr>
              <w:t>since the actual number of people affected by work-related sen</w:t>
            </w:r>
            <w:r>
              <w:rPr>
                <w:rFonts w:cstheme="minorHAnsi"/>
                <w:sz w:val="20"/>
                <w:szCs w:val="20"/>
              </w:rPr>
              <w:t>sorineural complaints and muscu</w:t>
            </w:r>
            <w:r w:rsidRPr="00F200CF">
              <w:rPr>
                <w:rFonts w:cstheme="minorHAnsi"/>
                <w:sz w:val="20"/>
                <w:szCs w:val="20"/>
              </w:rPr>
              <w:t>loskeletal disorders caused by HAV</w:t>
            </w:r>
            <w:r w:rsidR="00E87A66">
              <w:rPr>
                <w:rFonts w:cstheme="minorHAnsi"/>
                <w:sz w:val="20"/>
                <w:szCs w:val="20"/>
              </w:rPr>
              <w:t>S</w:t>
            </w:r>
            <w:r w:rsidRPr="00F200CF">
              <w:rPr>
                <w:rFonts w:cstheme="minorHAnsi"/>
                <w:sz w:val="20"/>
                <w:szCs w:val="20"/>
              </w:rPr>
              <w:t xml:space="preserve"> </w:t>
            </w:r>
            <w:r>
              <w:rPr>
                <w:rFonts w:cstheme="minorHAnsi"/>
                <w:sz w:val="20"/>
                <w:szCs w:val="20"/>
              </w:rPr>
              <w:t xml:space="preserve">was not known and that </w:t>
            </w:r>
            <w:r w:rsidRPr="00F200CF">
              <w:rPr>
                <w:rFonts w:cstheme="minorHAnsi"/>
                <w:sz w:val="20"/>
                <w:szCs w:val="20"/>
              </w:rPr>
              <w:t xml:space="preserve">there may be workers who </w:t>
            </w:r>
            <w:r w:rsidR="00C77698">
              <w:rPr>
                <w:rFonts w:cstheme="minorHAnsi"/>
                <w:sz w:val="20"/>
                <w:szCs w:val="20"/>
              </w:rPr>
              <w:t>left</w:t>
            </w:r>
            <w:r w:rsidRPr="00F200CF">
              <w:rPr>
                <w:rFonts w:cstheme="minorHAnsi"/>
                <w:sz w:val="20"/>
                <w:szCs w:val="20"/>
              </w:rPr>
              <w:t xml:space="preserve"> their job as a result of exposure to HAV</w:t>
            </w:r>
            <w:r w:rsidR="00E87A66">
              <w:rPr>
                <w:rFonts w:cstheme="minorHAnsi"/>
                <w:sz w:val="20"/>
                <w:szCs w:val="20"/>
              </w:rPr>
              <w:t>S</w:t>
            </w:r>
            <w:r>
              <w:rPr>
                <w:rFonts w:cstheme="minorHAnsi"/>
                <w:sz w:val="20"/>
                <w:szCs w:val="20"/>
              </w:rPr>
              <w:t xml:space="preserve"> (assumptions and estimates we</w:t>
            </w:r>
            <w:r w:rsidR="00C77698">
              <w:rPr>
                <w:rFonts w:cstheme="minorHAnsi"/>
                <w:sz w:val="20"/>
                <w:szCs w:val="20"/>
              </w:rPr>
              <w:t>re not made in respect of this) - reported</w:t>
            </w:r>
            <w:r>
              <w:rPr>
                <w:rFonts w:cstheme="minorHAnsi"/>
                <w:sz w:val="20"/>
                <w:szCs w:val="20"/>
              </w:rPr>
              <w:t xml:space="preserve">, as a result, </w:t>
            </w:r>
            <w:r w:rsidR="00C77698">
              <w:rPr>
                <w:rFonts w:cstheme="minorHAnsi"/>
                <w:sz w:val="20"/>
                <w:szCs w:val="20"/>
              </w:rPr>
              <w:t xml:space="preserve">that </w:t>
            </w:r>
            <w:r w:rsidRPr="00F200CF">
              <w:rPr>
                <w:rFonts w:cstheme="minorHAnsi"/>
                <w:sz w:val="20"/>
                <w:szCs w:val="20"/>
              </w:rPr>
              <w:t>unquantified b</w:t>
            </w:r>
            <w:r>
              <w:rPr>
                <w:rFonts w:cstheme="minorHAnsi"/>
                <w:sz w:val="20"/>
                <w:szCs w:val="20"/>
              </w:rPr>
              <w:t>enefits “</w:t>
            </w:r>
            <w:r w:rsidRPr="00F200CF">
              <w:rPr>
                <w:rFonts w:cstheme="minorHAnsi"/>
                <w:sz w:val="20"/>
                <w:szCs w:val="20"/>
              </w:rPr>
              <w:t>may be substantial</w:t>
            </w:r>
            <w:r>
              <w:rPr>
                <w:rFonts w:cstheme="minorHAnsi"/>
                <w:sz w:val="20"/>
                <w:szCs w:val="20"/>
              </w:rPr>
              <w:t>”.</w:t>
            </w:r>
          </w:p>
          <w:p w14:paraId="306CE928" w14:textId="77777777" w:rsidR="00644210" w:rsidRDefault="00644210" w:rsidP="00C40686">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B41BB7A" w14:textId="797AB5ED" w:rsidR="00644210" w:rsidRDefault="00644210" w:rsidP="00C40686">
            <w:pPr>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b/>
                <w:sz w:val="20"/>
                <w:szCs w:val="20"/>
              </w:rPr>
              <w:t xml:space="preserve">Non-monetised benefits (for workers): </w:t>
            </w:r>
            <w:r w:rsidR="00C77698">
              <w:rPr>
                <w:rFonts w:cstheme="minorHAnsi"/>
                <w:sz w:val="20"/>
                <w:szCs w:val="20"/>
              </w:rPr>
              <w:t>reduction in earnings and retraining costs arising from workers having to leave jo</w:t>
            </w:r>
            <w:r w:rsidR="00D93E31">
              <w:rPr>
                <w:rFonts w:cstheme="minorHAnsi"/>
                <w:sz w:val="20"/>
                <w:szCs w:val="20"/>
              </w:rPr>
              <w:t>b or take early retirement (</w:t>
            </w:r>
            <w:r w:rsidR="00CD5E5B">
              <w:rPr>
                <w:rFonts w:cstheme="minorHAnsi"/>
                <w:sz w:val="20"/>
                <w:szCs w:val="20"/>
              </w:rPr>
              <w:t>i</w:t>
            </w:r>
            <w:r>
              <w:rPr>
                <w:sz w:val="20"/>
                <w:szCs w:val="20"/>
              </w:rPr>
              <w:t xml:space="preserve">t was </w:t>
            </w:r>
            <w:r w:rsidRPr="00153491">
              <w:rPr>
                <w:sz w:val="20"/>
                <w:szCs w:val="20"/>
              </w:rPr>
              <w:t xml:space="preserve">noted that if further evidence were to come to light, making it possible to estimate the loss of income associated with workers moving to lower-paid jobs, </w:t>
            </w:r>
            <w:r>
              <w:rPr>
                <w:sz w:val="20"/>
                <w:szCs w:val="20"/>
              </w:rPr>
              <w:t xml:space="preserve">then </w:t>
            </w:r>
            <w:r w:rsidRPr="00153491">
              <w:rPr>
                <w:sz w:val="20"/>
                <w:szCs w:val="20"/>
              </w:rPr>
              <w:t>the “benefits of preventing these cases</w:t>
            </w:r>
            <w:r>
              <w:rPr>
                <w:sz w:val="20"/>
                <w:szCs w:val="20"/>
              </w:rPr>
              <w:t xml:space="preserve"> [would] increase significantly</w:t>
            </w:r>
            <w:r w:rsidR="00CD5E5B">
              <w:rPr>
                <w:sz w:val="20"/>
                <w:szCs w:val="20"/>
              </w:rPr>
              <w:t>)</w:t>
            </w:r>
            <w:r>
              <w:rPr>
                <w:sz w:val="20"/>
                <w:szCs w:val="20"/>
              </w:rPr>
              <w:t xml:space="preserve">; </w:t>
            </w:r>
            <w:r>
              <w:rPr>
                <w:rFonts w:cstheme="minorHAnsi"/>
                <w:sz w:val="20"/>
                <w:szCs w:val="20"/>
              </w:rPr>
              <w:t>see also non-reported and disputed benefits.</w:t>
            </w:r>
          </w:p>
          <w:p w14:paraId="7DD3FF2B" w14:textId="77777777" w:rsidR="00644210" w:rsidRDefault="00644210" w:rsidP="00000A5E">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9C09D13" w14:textId="22271347" w:rsidR="00644210" w:rsidRDefault="00644210" w:rsidP="001509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(for employers):</w:t>
            </w:r>
            <w:r>
              <w:rPr>
                <w:rFonts w:cstheme="minorHAnsi"/>
                <w:sz w:val="20"/>
                <w:szCs w:val="20"/>
              </w:rPr>
              <w:t xml:space="preserve"> employers developing alternative methods for particular tasks (which avoid the use of hand-held vibrating tools and may increase productivity) (for HAVS); employers replacing high vibration tools with those that reduce exposure (which may increase productivity, stimulate technological innovation, and increase sales for new tools) (for HAVS); reductions in time lost and other work and administrative related inefficiencies due to ill health and impaired performance (which may increase productivity); reduction in </w:t>
            </w:r>
            <w:r w:rsidR="00E87A66">
              <w:rPr>
                <w:rFonts w:cstheme="minorHAnsi"/>
                <w:sz w:val="20"/>
                <w:szCs w:val="20"/>
              </w:rPr>
              <w:t>compensation claims (for HAVS).</w:t>
            </w:r>
          </w:p>
          <w:p w14:paraId="51771E1B" w14:textId="61321539" w:rsidR="00644210" w:rsidRPr="00325BFB" w:rsidRDefault="00644210" w:rsidP="003E2611">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44210" w:rsidRPr="001C3290" w14:paraId="57A099C1"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09694C00" w14:textId="77777777" w:rsidR="00644210" w:rsidRPr="007C43DB" w:rsidRDefault="00644210" w:rsidP="00DB7DE5">
            <w:pPr>
              <w:rPr>
                <w:rFonts w:cstheme="minorHAnsi"/>
                <w:b w:val="0"/>
                <w:sz w:val="20"/>
                <w:szCs w:val="20"/>
              </w:rPr>
            </w:pPr>
            <w:r w:rsidRPr="007C43DB">
              <w:rPr>
                <w:rFonts w:cstheme="minorHAnsi"/>
                <w:sz w:val="20"/>
                <w:szCs w:val="20"/>
              </w:rPr>
              <w:t>The Working Time (Amendment) Regulations 2002</w:t>
            </w:r>
            <w:r w:rsidRPr="007C43DB">
              <w:rPr>
                <w:rFonts w:cstheme="minorHAnsi"/>
                <w:b w:val="0"/>
                <w:sz w:val="20"/>
                <w:szCs w:val="20"/>
              </w:rPr>
              <w:t xml:space="preserve"> (94/33/EC and</w:t>
            </w:r>
          </w:p>
          <w:p w14:paraId="730C1EAE" w14:textId="00960C23" w:rsidR="00644210" w:rsidRPr="007C43DB" w:rsidRDefault="00644210" w:rsidP="009546DA">
            <w:pPr>
              <w:rPr>
                <w:rFonts w:cstheme="minorHAnsi"/>
                <w:sz w:val="20"/>
                <w:szCs w:val="20"/>
              </w:rPr>
            </w:pPr>
            <w:r w:rsidRPr="007C43DB">
              <w:rPr>
                <w:rFonts w:cstheme="minorHAnsi"/>
                <w:b w:val="0"/>
                <w:sz w:val="20"/>
                <w:szCs w:val="20"/>
              </w:rPr>
              <w:t xml:space="preserve">2003/88/EC) (Department of Trade and Industry, DTI) </w:t>
            </w:r>
            <w:r w:rsidRPr="007C43DB">
              <w:rPr>
                <w:rFonts w:cstheme="minorHAnsi"/>
                <w:sz w:val="20"/>
                <w:szCs w:val="20"/>
              </w:rPr>
              <w:fldChar w:fldCharType="begin"/>
            </w:r>
            <w:r w:rsidRPr="007C43DB">
              <w:rPr>
                <w:rFonts w:cstheme="minorHAnsi"/>
                <w:sz w:val="20"/>
                <w:szCs w:val="20"/>
              </w:rPr>
              <w:instrText xml:space="preserve"> ADDIN EN.CITE &lt;EndNote&gt;&lt;Cite&gt;&lt;Author&gt;Department of Trade and Industry&lt;/Author&gt;&lt;Year&gt;2002&lt;/Year&gt;&lt;RecNum&gt;1640&lt;/RecNum&gt;&lt;DisplayText&gt; (Department of Trade and Industry, 2002)&lt;/DisplayText&gt;&lt;record&gt;&lt;rec-number&gt;1640&lt;/rec-number&gt;&lt;foreign-keys&gt;&lt;key app="EN" db-id="drrvazw0t090vlef0e6praxba2d0xwps0wt0" timestamp="1493217161"&gt;1640&lt;/key&gt;&lt;/foreign-keys&gt;&lt;ref-type name="Report"&gt;27&lt;/ref-type&gt;&lt;contributors&gt;&lt;authors&gt;&lt;author&gt;Department of Trade and Industry,&lt;/author&gt;&lt;/authors&gt;&lt;tertiary-authors&gt;&lt;author&gt;Department of Trade and Industry&lt;/author&gt;&lt;/tertiary-authors&gt;&lt;/contributors&gt;&lt;titles&gt;&lt;title&gt;Regulatory Impact Assessment: The Working Time (Amendment) Regulations 2002&lt;/title&gt;&lt;/titles&gt;&lt;dates&gt;&lt;year&gt;2002&lt;/year&gt;&lt;/dates&gt;&lt;pub-location&gt;London&lt;/pub-location&gt;&lt;publisher&gt;Department of Trade and Industry&lt;/publisher&gt;&lt;urls&gt;&lt;related-urls&gt;&lt;url&gt;http://collections.europarchive.org/tna/20060213205515/http://dti.gov.uk/access/ria/pdf/workingtime.pdf&lt;/url&gt;&lt;/related-urls&gt;&lt;/urls&gt;&lt;access-date&gt;March 26, 2017&lt;/access-date&gt;&lt;/record&gt;&lt;/Cite&gt;&lt;/EndNote&gt;</w:instrText>
            </w:r>
            <w:r w:rsidRPr="007C43DB">
              <w:rPr>
                <w:rFonts w:cstheme="minorHAnsi"/>
                <w:sz w:val="20"/>
                <w:szCs w:val="20"/>
              </w:rPr>
              <w:fldChar w:fldCharType="separate"/>
            </w:r>
            <w:r w:rsidRPr="007C43DB">
              <w:rPr>
                <w:rFonts w:cstheme="minorHAnsi"/>
                <w:noProof/>
                <w:sz w:val="20"/>
                <w:szCs w:val="20"/>
              </w:rPr>
              <w:t xml:space="preserve"> </w:t>
            </w:r>
            <w:hyperlink w:anchor="_ENREF_5" w:tooltip="Department of Trade and Industry, 2002 #1640" w:history="1">
              <w:r w:rsidR="006D11C0" w:rsidRPr="007C43DB">
                <w:rPr>
                  <w:rFonts w:cstheme="minorHAnsi"/>
                  <w:b w:val="0"/>
                  <w:noProof/>
                  <w:sz w:val="20"/>
                  <w:szCs w:val="20"/>
                </w:rPr>
                <w:t>(Department of Trade and Industry, 2002</w:t>
              </w:r>
            </w:hyperlink>
            <w:r w:rsidRPr="007C43DB">
              <w:rPr>
                <w:rFonts w:cstheme="minorHAnsi"/>
                <w:b w:val="0"/>
                <w:noProof/>
                <w:sz w:val="20"/>
                <w:szCs w:val="20"/>
              </w:rPr>
              <w:t>)</w:t>
            </w:r>
            <w:r w:rsidRPr="007C43DB">
              <w:rPr>
                <w:rFonts w:cstheme="minorHAnsi"/>
                <w:sz w:val="20"/>
                <w:szCs w:val="20"/>
              </w:rPr>
              <w:fldChar w:fldCharType="end"/>
            </w:r>
          </w:p>
          <w:p w14:paraId="037B627E" w14:textId="1302F20A" w:rsidR="00644210" w:rsidRPr="007C43DB" w:rsidRDefault="00644210" w:rsidP="00DB7DE5">
            <w:pPr>
              <w:rPr>
                <w:rFonts w:cstheme="minorHAnsi"/>
                <w:b w:val="0"/>
                <w:sz w:val="20"/>
                <w:szCs w:val="20"/>
              </w:rPr>
            </w:pPr>
          </w:p>
        </w:tc>
        <w:tc>
          <w:tcPr>
            <w:tcW w:w="4632" w:type="dxa"/>
          </w:tcPr>
          <w:p w14:paraId="199F70E2" w14:textId="1D7E29E8" w:rsidR="00644210" w:rsidRPr="009D1F7C"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Although the Labour Force Survey (LFS) provided reasonably robust data for the number of 16 and 17 year-olds working at night and the number of hours they worked, but detailed information on the actual hours they worked at night was not available. An assumption was made that half of these hours were worked at night.</w:t>
            </w:r>
            <w:r w:rsidRPr="009D1F7C">
              <w:rPr>
                <w:rFonts w:cstheme="minorHAnsi"/>
                <w:sz w:val="20"/>
                <w:szCs w:val="20"/>
              </w:rPr>
              <w:t xml:space="preserve"> </w:t>
            </w:r>
          </w:p>
          <w:p w14:paraId="48449E82"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EF7243D" w14:textId="14056271" w:rsidR="00644210" w:rsidRPr="009D2423" w:rsidRDefault="00644210" w:rsidP="006663B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 DTI also reported difficulties in estimating the number of workers affected from the changes to the calculation of night work hours and associated costs due to the novelty of the regulations and deficiencies of LFS data. </w:t>
            </w:r>
            <w:r w:rsidR="009D2423">
              <w:rPr>
                <w:rFonts w:cstheme="minorHAnsi"/>
                <w:sz w:val="20"/>
                <w:szCs w:val="20"/>
              </w:rPr>
              <w:t xml:space="preserve">The impact assessment used the number of usual night workers who reported “usually” working over 48 hours a week in the LFS. Further, it was not possible to estimate the amount of paid overtime guaranteed to workers in their employment contract from the LFS. The DTI assumed that 10% of paid over time was guaranteed overtime. The estimates did not exclude workers in excluded sectors of activity nor the armed forces, police, other civil protection </w:t>
            </w:r>
            <w:r w:rsidR="00E25C08">
              <w:rPr>
                <w:rFonts w:cstheme="minorHAnsi"/>
                <w:sz w:val="20"/>
                <w:szCs w:val="20"/>
              </w:rPr>
              <w:t>services (likely to overestimate the actual number of workers affected), but based its calculations on employees, rather than workers as per the LFS (likely to underestimate the numbers affected).</w:t>
            </w:r>
          </w:p>
          <w:p w14:paraId="53162CF2" w14:textId="77777777" w:rsidR="00644210" w:rsidRDefault="00644210" w:rsidP="006663B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9813F9E" w14:textId="4BBEE653" w:rsidR="00644210" w:rsidRPr="00C7332C" w:rsidRDefault="00644210" w:rsidP="006663B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Dynamic effects: </w:t>
            </w:r>
            <w:r>
              <w:rPr>
                <w:rFonts w:cstheme="minorHAnsi"/>
                <w:sz w:val="20"/>
                <w:szCs w:val="20"/>
              </w:rPr>
              <w:t>A number of potential dynamic effects (with varying effects on estimates) were noted but not incorporated into estimated costs (some work being absorbed within the existing workforce, the cost of older workers rising as a result of increased demand).</w:t>
            </w:r>
          </w:p>
          <w:p w14:paraId="34B83859" w14:textId="77777777" w:rsidR="00644210" w:rsidRDefault="00644210" w:rsidP="006663B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434E3923" w14:textId="4343981F" w:rsidR="00644210" w:rsidRPr="009D1F7C" w:rsidRDefault="00644210" w:rsidP="006663B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full compliance assumed.</w:t>
            </w:r>
          </w:p>
          <w:p w14:paraId="0CA27670" w14:textId="48BA2A2C" w:rsidR="00644210" w:rsidRPr="002C4282"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33" w:type="dxa"/>
          </w:tcPr>
          <w:p w14:paraId="4E025ECD" w14:textId="656F8827"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BC3FA4">
              <w:rPr>
                <w:rFonts w:cstheme="minorHAnsi"/>
                <w:sz w:val="20"/>
                <w:szCs w:val="20"/>
              </w:rPr>
              <w:t>O</w:t>
            </w:r>
            <w:r w:rsidR="00733910">
              <w:rPr>
                <w:rFonts w:cstheme="minorHAnsi"/>
                <w:sz w:val="20"/>
                <w:szCs w:val="20"/>
              </w:rPr>
              <w:t>fficial sources included</w:t>
            </w:r>
            <w:r w:rsidR="00BC3FA4">
              <w:rPr>
                <w:rFonts w:cstheme="minorHAnsi"/>
                <w:sz w:val="20"/>
                <w:szCs w:val="20"/>
              </w:rPr>
              <w:t>:</w:t>
            </w:r>
            <w:r w:rsidR="00733910">
              <w:rPr>
                <w:rFonts w:cstheme="minorHAnsi"/>
                <w:sz w:val="20"/>
                <w:szCs w:val="20"/>
              </w:rPr>
              <w:t xml:space="preserve"> the </w:t>
            </w:r>
            <w:r>
              <w:rPr>
                <w:rFonts w:cstheme="minorHAnsi"/>
                <w:sz w:val="20"/>
                <w:szCs w:val="20"/>
              </w:rPr>
              <w:t xml:space="preserve">LFS </w:t>
            </w:r>
            <w:r w:rsidR="00BC3FA4">
              <w:rPr>
                <w:rFonts w:cstheme="minorHAnsi"/>
                <w:sz w:val="20"/>
                <w:szCs w:val="20"/>
              </w:rPr>
              <w:t>(to calculate the number of 16 and 17-</w:t>
            </w:r>
            <w:r w:rsidR="00733910">
              <w:rPr>
                <w:rFonts w:cstheme="minorHAnsi"/>
                <w:sz w:val="20"/>
                <w:szCs w:val="20"/>
              </w:rPr>
              <w:t>year-olds workin</w:t>
            </w:r>
            <w:r w:rsidR="00BC3FA4">
              <w:rPr>
                <w:rFonts w:cstheme="minorHAnsi"/>
                <w:sz w:val="20"/>
                <w:szCs w:val="20"/>
              </w:rPr>
              <w:t>g more than 40 hours a week);</w:t>
            </w:r>
            <w:r w:rsidR="00733910">
              <w:rPr>
                <w:rFonts w:cstheme="minorHAnsi"/>
                <w:sz w:val="20"/>
                <w:szCs w:val="20"/>
              </w:rPr>
              <w:t xml:space="preserve"> </w:t>
            </w:r>
            <w:r w:rsidR="00BC3FA4">
              <w:rPr>
                <w:rFonts w:cstheme="minorHAnsi"/>
                <w:sz w:val="20"/>
                <w:szCs w:val="20"/>
              </w:rPr>
              <w:t xml:space="preserve">the </w:t>
            </w:r>
            <w:r>
              <w:rPr>
                <w:rFonts w:cstheme="minorHAnsi"/>
                <w:sz w:val="20"/>
                <w:szCs w:val="20"/>
              </w:rPr>
              <w:t>Office of National Statistics Earnings Survey (</w:t>
            </w:r>
            <w:r w:rsidR="00733910">
              <w:rPr>
                <w:rFonts w:cstheme="minorHAnsi"/>
                <w:sz w:val="20"/>
                <w:szCs w:val="20"/>
              </w:rPr>
              <w:t>to calculate</w:t>
            </w:r>
            <w:r>
              <w:rPr>
                <w:rFonts w:cstheme="minorHAnsi"/>
                <w:sz w:val="20"/>
                <w:szCs w:val="20"/>
              </w:rPr>
              <w:t xml:space="preserve"> the increased wage costs employers would incur by shifting work</w:t>
            </w:r>
            <w:r w:rsidR="00BC3FA4">
              <w:rPr>
                <w:rFonts w:cstheme="minorHAnsi"/>
                <w:sz w:val="20"/>
                <w:szCs w:val="20"/>
              </w:rPr>
              <w:t xml:space="preserve"> onto marginally older workers). B</w:t>
            </w:r>
            <w:r w:rsidR="00733910">
              <w:rPr>
                <w:rFonts w:cstheme="minorHAnsi"/>
                <w:sz w:val="20"/>
                <w:szCs w:val="20"/>
              </w:rPr>
              <w:t>usiness</w:t>
            </w:r>
            <w:r w:rsidR="00074F69">
              <w:rPr>
                <w:rFonts w:cstheme="minorHAnsi"/>
                <w:sz w:val="20"/>
                <w:szCs w:val="20"/>
              </w:rPr>
              <w:t xml:space="preserve">es </w:t>
            </w:r>
            <w:r w:rsidR="00BC3FA4">
              <w:rPr>
                <w:rFonts w:cstheme="minorHAnsi"/>
                <w:sz w:val="20"/>
                <w:szCs w:val="20"/>
              </w:rPr>
              <w:t xml:space="preserve">were </w:t>
            </w:r>
            <w:r>
              <w:rPr>
                <w:rFonts w:cstheme="minorHAnsi"/>
                <w:sz w:val="20"/>
                <w:szCs w:val="20"/>
              </w:rPr>
              <w:t xml:space="preserve">not a major source of data. </w:t>
            </w:r>
          </w:p>
          <w:p w14:paraId="15F2BA03" w14:textId="77777777"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7CD9BE5" w14:textId="02E8AF39"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Pr>
                <w:rFonts w:cstheme="minorHAnsi"/>
                <w:sz w:val="20"/>
                <w:szCs w:val="20"/>
              </w:rPr>
              <w:t>not relevant</w:t>
            </w:r>
            <w:r w:rsidR="00BC3FA4">
              <w:rPr>
                <w:rFonts w:cstheme="minorHAnsi"/>
                <w:sz w:val="20"/>
                <w:szCs w:val="20"/>
              </w:rPr>
              <w:t>.</w:t>
            </w:r>
          </w:p>
          <w:p w14:paraId="5394CF86" w14:textId="77777777" w:rsidR="00644210" w:rsidRPr="00C7332C"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5E24EB8" w14:textId="3396D65B" w:rsidR="00644210" w:rsidRPr="00C7332C"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Pr>
                <w:rFonts w:cstheme="minorHAnsi"/>
                <w:sz w:val="20"/>
                <w:szCs w:val="20"/>
              </w:rPr>
              <w:t>not relevant</w:t>
            </w:r>
            <w:r w:rsidR="00BC3FA4">
              <w:rPr>
                <w:rFonts w:cstheme="minorHAnsi"/>
                <w:sz w:val="20"/>
                <w:szCs w:val="20"/>
              </w:rPr>
              <w:t>.</w:t>
            </w:r>
          </w:p>
          <w:p w14:paraId="4FA65870" w14:textId="62FCFBF8" w:rsidR="00644210" w:rsidRPr="002C4282" w:rsidRDefault="00644210" w:rsidP="0016435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33" w:type="dxa"/>
          </w:tcPr>
          <w:p w14:paraId="32F55468" w14:textId="58AF5B2A"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(workers):</w:t>
            </w:r>
            <w:r w:rsidRPr="002C6D30">
              <w:rPr>
                <w:rFonts w:cstheme="minorHAnsi"/>
                <w:sz w:val="20"/>
                <w:szCs w:val="20"/>
              </w:rPr>
              <w:t xml:space="preserve"> </w:t>
            </w:r>
            <w:r w:rsidR="00F7429A">
              <w:rPr>
                <w:rFonts w:cstheme="minorHAnsi"/>
                <w:sz w:val="20"/>
                <w:szCs w:val="20"/>
              </w:rPr>
              <w:t xml:space="preserve">improvement in work-life balance; </w:t>
            </w:r>
            <w:r>
              <w:rPr>
                <w:rFonts w:cstheme="minorHAnsi"/>
                <w:sz w:val="20"/>
                <w:szCs w:val="20"/>
              </w:rPr>
              <w:t>improvement in their access to education and vocational training; increase in their opportunities for personal development; improvements in their health, s</w:t>
            </w:r>
            <w:r w:rsidR="00F7429A">
              <w:rPr>
                <w:rFonts w:cstheme="minorHAnsi"/>
                <w:sz w:val="20"/>
                <w:szCs w:val="20"/>
              </w:rPr>
              <w:t>afety, and physical development; increase hours of paid work for older workers: increase hours of paid work for older workers.</w:t>
            </w:r>
            <w:r>
              <w:rPr>
                <w:rFonts w:cstheme="minorHAnsi"/>
                <w:sz w:val="20"/>
                <w:szCs w:val="20"/>
              </w:rPr>
              <w:t xml:space="preserve"> </w:t>
            </w:r>
          </w:p>
          <w:p w14:paraId="0153671D" w14:textId="77A7676C"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C379AA9" w14:textId="02D73721" w:rsidR="00644210" w:rsidRPr="007339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(employers):</w:t>
            </w:r>
            <w:r w:rsidR="00733910">
              <w:rPr>
                <w:rFonts w:cstheme="minorHAnsi"/>
                <w:sz w:val="20"/>
                <w:szCs w:val="20"/>
              </w:rPr>
              <w:t xml:space="preserve"> </w:t>
            </w:r>
            <w:r w:rsidR="00F7429A">
              <w:rPr>
                <w:rFonts w:cstheme="minorHAnsi"/>
                <w:sz w:val="20"/>
                <w:szCs w:val="20"/>
              </w:rPr>
              <w:t>increase in extent to which young people were alert at work (and, therefore, their productivity); productivity benefits (as a consequence of replacing 16-17 year-old workers with 18-19 year-old workers) greater efficiencies (to business) as a result of freed hours being absorbed within the existing workforce.</w:t>
            </w:r>
          </w:p>
          <w:p w14:paraId="4E7E436E" w14:textId="5CEDA35C"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3A0D671" w14:textId="6B36B156"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Reported benefits (government): </w:t>
            </w:r>
            <w:r>
              <w:rPr>
                <w:rFonts w:cstheme="minorHAnsi"/>
                <w:sz w:val="20"/>
                <w:szCs w:val="20"/>
              </w:rPr>
              <w:t xml:space="preserve">reduced health service </w:t>
            </w:r>
            <w:r w:rsidR="00C16709">
              <w:rPr>
                <w:rFonts w:cstheme="minorHAnsi"/>
                <w:sz w:val="20"/>
                <w:szCs w:val="20"/>
              </w:rPr>
              <w:t xml:space="preserve">costs; reduced </w:t>
            </w:r>
            <w:r>
              <w:rPr>
                <w:rFonts w:cstheme="minorHAnsi"/>
                <w:sz w:val="20"/>
                <w:szCs w:val="20"/>
              </w:rPr>
              <w:t>welfare costs</w:t>
            </w:r>
            <w:r w:rsidR="00F7429A">
              <w:rPr>
                <w:rFonts w:cstheme="minorHAnsi"/>
                <w:sz w:val="20"/>
                <w:szCs w:val="20"/>
              </w:rPr>
              <w:t xml:space="preserve"> (in so far as young workers take advance of vocational training)</w:t>
            </w:r>
            <w:r>
              <w:rPr>
                <w:rFonts w:cstheme="minorHAnsi"/>
                <w:sz w:val="20"/>
                <w:szCs w:val="20"/>
              </w:rPr>
              <w:t>.</w:t>
            </w:r>
          </w:p>
          <w:p w14:paraId="1B15823D" w14:textId="2332318F" w:rsidR="0004672C" w:rsidRDefault="0004672C"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7A3F4CB" w14:textId="60D4048E" w:rsidR="0004672C" w:rsidRPr="00C35B6E" w:rsidRDefault="0004672C"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(workers):</w:t>
            </w:r>
            <w:r w:rsidR="00C35B6E">
              <w:rPr>
                <w:rFonts w:cstheme="minorHAnsi"/>
                <w:b/>
                <w:sz w:val="20"/>
                <w:szCs w:val="20"/>
              </w:rPr>
              <w:t xml:space="preserve"> </w:t>
            </w:r>
            <w:r w:rsidR="00C35B6E">
              <w:rPr>
                <w:rFonts w:cstheme="minorHAnsi"/>
                <w:sz w:val="20"/>
                <w:szCs w:val="20"/>
              </w:rPr>
              <w:t>none.</w:t>
            </w:r>
          </w:p>
          <w:p w14:paraId="7C58C219" w14:textId="741B4558" w:rsidR="0004672C" w:rsidRDefault="0004672C" w:rsidP="00A6693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63D6E1B" w14:textId="46491142"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(employers):</w:t>
            </w:r>
            <w:r>
              <w:rPr>
                <w:rFonts w:cstheme="minorHAnsi"/>
                <w:sz w:val="20"/>
                <w:szCs w:val="20"/>
              </w:rPr>
              <w:t xml:space="preserve"> productivity benefits of improved worker health and safety; improvements in productivity that may accrue where young workers take advantage of vo</w:t>
            </w:r>
            <w:r w:rsidR="00F7429A">
              <w:rPr>
                <w:rFonts w:cstheme="minorHAnsi"/>
                <w:sz w:val="20"/>
                <w:szCs w:val="20"/>
              </w:rPr>
              <w:t>cational training and education; improvements in productivity that may accrue where young workers take advantage of vocational training and education.</w:t>
            </w:r>
          </w:p>
          <w:p w14:paraId="36DCD714" w14:textId="77777777"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2F4F547" w14:textId="618906BA" w:rsidR="00644210" w:rsidRPr="00C35B6E" w:rsidRDefault="0004672C" w:rsidP="00A6693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(government):</w:t>
            </w:r>
            <w:r w:rsidR="00C35B6E">
              <w:rPr>
                <w:rFonts w:cstheme="minorHAnsi"/>
                <w:b/>
                <w:sz w:val="20"/>
                <w:szCs w:val="20"/>
              </w:rPr>
              <w:t xml:space="preserve"> </w:t>
            </w:r>
            <w:r w:rsidR="00C35B6E">
              <w:rPr>
                <w:rFonts w:cstheme="minorHAnsi"/>
                <w:sz w:val="20"/>
                <w:szCs w:val="20"/>
              </w:rPr>
              <w:t>none.</w:t>
            </w:r>
          </w:p>
          <w:p w14:paraId="4BAEE99F" w14:textId="77777777" w:rsidR="00644210" w:rsidRDefault="00644210" w:rsidP="00A6693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BB8E861" w14:textId="4335510D" w:rsidR="00644210" w:rsidRDefault="00644210" w:rsidP="009D1F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Non-monetised benefits (workers):</w:t>
            </w:r>
            <w:r>
              <w:rPr>
                <w:rFonts w:cstheme="minorHAnsi"/>
                <w:sz w:val="20"/>
                <w:szCs w:val="20"/>
              </w:rPr>
              <w:t xml:space="preserve"> </w:t>
            </w:r>
            <w:r w:rsidR="00F7429A">
              <w:rPr>
                <w:rFonts w:cstheme="minorHAnsi"/>
                <w:sz w:val="20"/>
                <w:szCs w:val="20"/>
              </w:rPr>
              <w:t>improvement in work-life balance of younger workers; improvement in their access to education and vocational training; increase in their opportunities for personal development; improvements in their health, safety, and physical development; increase hours of paid work for older workers: increase hours of paid work for older workers.</w:t>
            </w:r>
          </w:p>
          <w:p w14:paraId="49B13062" w14:textId="77777777" w:rsidR="00644210" w:rsidRDefault="00644210" w:rsidP="009D1F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88DAFEA" w14:textId="7BA0F8CD" w:rsidR="00644210" w:rsidRDefault="00644210" w:rsidP="009D1F7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Non-monetised benefits (employers): </w:t>
            </w:r>
            <w:r w:rsidR="00F7429A">
              <w:rPr>
                <w:rFonts w:cstheme="minorHAnsi"/>
                <w:sz w:val="20"/>
                <w:szCs w:val="20"/>
              </w:rPr>
              <w:t xml:space="preserve">increase in extent to which young people were alert at work (and, therefore, their productivity); </w:t>
            </w:r>
            <w:r>
              <w:rPr>
                <w:rFonts w:cstheme="minorHAnsi"/>
                <w:sz w:val="20"/>
                <w:szCs w:val="20"/>
              </w:rPr>
              <w:t>productivity benefits of improved worker health and safety; improvements in productivity that may accrue where young workers take advantage of vocational training and education; greater efficiencies (to business) as a result of freed hours being absorbed within the existing workforce</w:t>
            </w:r>
            <w:r w:rsidR="00F7429A">
              <w:rPr>
                <w:rFonts w:cstheme="minorHAnsi"/>
                <w:sz w:val="20"/>
                <w:szCs w:val="20"/>
              </w:rPr>
              <w:t xml:space="preserve"> greater efficiencies (to business) as a result of freed hours being absorbed within the existing workforce</w:t>
            </w:r>
            <w:r>
              <w:rPr>
                <w:rFonts w:cstheme="minorHAnsi"/>
                <w:sz w:val="20"/>
                <w:szCs w:val="20"/>
              </w:rPr>
              <w:t>.</w:t>
            </w:r>
          </w:p>
          <w:p w14:paraId="734855A2" w14:textId="77777777" w:rsidR="00644210" w:rsidRDefault="00644210" w:rsidP="009D1F7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5F04D65D" w14:textId="0EA84095" w:rsidR="00644210" w:rsidRPr="00C35B6E" w:rsidRDefault="00644210" w:rsidP="009D1F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Non-monetised benefits (governments):</w:t>
            </w:r>
            <w:r w:rsidR="00C35B6E">
              <w:rPr>
                <w:rFonts w:cstheme="minorHAnsi"/>
                <w:b/>
                <w:sz w:val="20"/>
                <w:szCs w:val="20"/>
              </w:rPr>
              <w:t xml:space="preserve"> </w:t>
            </w:r>
            <w:r w:rsidR="00C35B6E">
              <w:rPr>
                <w:rFonts w:cstheme="minorHAnsi"/>
                <w:sz w:val="20"/>
                <w:szCs w:val="20"/>
              </w:rPr>
              <w:t>increased revenue (as result of increase in hours of pay for older workers at a</w:t>
            </w:r>
            <w:r w:rsidR="00C16709">
              <w:rPr>
                <w:rFonts w:cstheme="minorHAnsi"/>
                <w:sz w:val="20"/>
                <w:szCs w:val="20"/>
              </w:rPr>
              <w:t xml:space="preserve"> higher rate of pay); reduced health service costs; reduce welfare costs (in so far as young workers take advance of vocational training).</w:t>
            </w:r>
          </w:p>
        </w:tc>
      </w:tr>
      <w:tr w:rsidR="00644210" w:rsidRPr="001C3290" w14:paraId="4DCE34EF" w14:textId="77777777" w:rsidTr="00644210">
        <w:tc>
          <w:tcPr>
            <w:cnfStyle w:val="001000000000" w:firstRow="0" w:lastRow="0" w:firstColumn="1" w:lastColumn="0" w:oddVBand="0" w:evenVBand="0" w:oddHBand="0" w:evenHBand="0" w:firstRowFirstColumn="0" w:firstRowLastColumn="0" w:lastRowFirstColumn="0" w:lastRowLastColumn="0"/>
            <w:tcW w:w="1406" w:type="dxa"/>
          </w:tcPr>
          <w:p w14:paraId="59B498AA" w14:textId="6C386F75" w:rsidR="00644210" w:rsidRPr="007C43DB" w:rsidRDefault="00644210" w:rsidP="000908E3">
            <w:pPr>
              <w:rPr>
                <w:rFonts w:cstheme="minorHAnsi"/>
                <w:b w:val="0"/>
                <w:sz w:val="20"/>
                <w:szCs w:val="20"/>
              </w:rPr>
            </w:pPr>
            <w:r w:rsidRPr="007C43DB">
              <w:rPr>
                <w:rFonts w:cstheme="minorHAnsi"/>
                <w:b w:val="0"/>
                <w:sz w:val="20"/>
                <w:szCs w:val="20"/>
              </w:rPr>
              <w:t>The Control of Noise at Work Regulations 2005 (2003/10/EC) (Health and Safety Executive, HSE)</w:t>
            </w:r>
            <w:r w:rsidRPr="007C43DB">
              <w:rPr>
                <w:rFonts w:cstheme="minorHAnsi"/>
                <w:sz w:val="20"/>
                <w:szCs w:val="20"/>
              </w:rPr>
              <w:fldChar w:fldCharType="begin"/>
            </w:r>
            <w:r w:rsidRPr="007C43DB">
              <w:rPr>
                <w:rFonts w:cstheme="minorHAnsi"/>
                <w:b w:val="0"/>
                <w:sz w:val="20"/>
                <w:szCs w:val="20"/>
              </w:rPr>
              <w:instrText xml:space="preserve"> ADDIN EN.CITE &lt;EndNote&gt;&lt;Cite&gt;&lt;Author&gt;Health and Safety Executive&lt;/Author&gt;&lt;Year&gt;2005&lt;/Year&gt;&lt;RecNum&gt;1648&lt;/RecNum&gt;&lt;DisplayText&gt; (Health and Safety Executive, 2005b)&lt;/DisplayText&gt;&lt;record&gt;&lt;rec-number&gt;1648&lt;/rec-number&gt;&lt;foreign-keys&gt;&lt;key app="EN" db-id="drrvazw0t090vlef0e6praxba2d0xwps0wt0" timestamp="1494610128"&gt;1648&lt;/key&gt;&lt;/foreign-keys&gt;&lt;ref-type name="Report"&gt;27&lt;/ref-type&gt;&lt;contributors&gt;&lt;authors&gt;&lt;author&gt;Health and Safety Executive,&lt;/author&gt;&lt;/authors&gt;&lt;tertiary-authors&gt;&lt;author&gt;Health and Safety Executive&lt;/author&gt;&lt;/tertiary-authors&gt;&lt;/contributors&gt;&lt;titles&gt;&lt;title&gt;Final Regulatory Impact Assessment of the Control of Noise at Work Regulations 2005&lt;/title&gt;&lt;/titles&gt;&lt;dates&gt;&lt;year&gt;2005&lt;/year&gt;&lt;/dates&gt;&lt;pub-location&gt;London&lt;/pub-location&gt;&lt;publisher&gt;Health and Safety Executive&lt;/publisher&gt;&lt;urls&gt;&lt;/urls&gt;&lt;/record&gt;&lt;/Cite&gt;&lt;/EndNote&gt;</w:instrText>
            </w:r>
            <w:r w:rsidRPr="007C43DB">
              <w:rPr>
                <w:rFonts w:cstheme="minorHAnsi"/>
                <w:sz w:val="20"/>
                <w:szCs w:val="20"/>
              </w:rPr>
              <w:fldChar w:fldCharType="separate"/>
            </w:r>
            <w:r w:rsidRPr="007C43DB">
              <w:rPr>
                <w:rFonts w:cstheme="minorHAnsi"/>
                <w:b w:val="0"/>
                <w:noProof/>
                <w:sz w:val="20"/>
                <w:szCs w:val="20"/>
              </w:rPr>
              <w:t xml:space="preserve"> </w:t>
            </w:r>
            <w:hyperlink w:anchor="_ENREF_11" w:tooltip="Health and Safety Executive, 2005 #1648" w:history="1">
              <w:r w:rsidR="006D11C0" w:rsidRPr="007C43DB">
                <w:rPr>
                  <w:rFonts w:cstheme="minorHAnsi"/>
                  <w:b w:val="0"/>
                  <w:noProof/>
                  <w:sz w:val="20"/>
                  <w:szCs w:val="20"/>
                </w:rPr>
                <w:t>(Health and Safety Executive, 2005b</w:t>
              </w:r>
            </w:hyperlink>
            <w:r w:rsidRPr="007C43DB">
              <w:rPr>
                <w:rFonts w:cstheme="minorHAnsi"/>
                <w:b w:val="0"/>
                <w:noProof/>
                <w:sz w:val="20"/>
                <w:szCs w:val="20"/>
              </w:rPr>
              <w:t>)</w:t>
            </w:r>
            <w:r w:rsidRPr="007C43DB">
              <w:rPr>
                <w:rFonts w:cstheme="minorHAnsi"/>
                <w:sz w:val="20"/>
                <w:szCs w:val="20"/>
              </w:rPr>
              <w:fldChar w:fldCharType="end"/>
            </w:r>
          </w:p>
        </w:tc>
        <w:tc>
          <w:tcPr>
            <w:tcW w:w="4632" w:type="dxa"/>
          </w:tcPr>
          <w:p w14:paraId="601354CF" w14:textId="040FFB2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sidRPr="002C4282">
              <w:rPr>
                <w:rFonts w:cstheme="minorHAnsi"/>
                <w:sz w:val="20"/>
                <w:szCs w:val="20"/>
              </w:rPr>
              <w:t xml:space="preserve">Information on costs to business, drew partly on </w:t>
            </w:r>
            <w:r>
              <w:rPr>
                <w:rFonts w:cstheme="minorHAnsi"/>
                <w:sz w:val="20"/>
                <w:szCs w:val="20"/>
              </w:rPr>
              <w:t xml:space="preserve">HSE contracted research by the </w:t>
            </w:r>
            <w:r w:rsidRPr="002C4282">
              <w:rPr>
                <w:rFonts w:cstheme="minorHAnsi"/>
                <w:sz w:val="20"/>
                <w:szCs w:val="20"/>
              </w:rPr>
              <w:t xml:space="preserve">Institute of Employment Studies which was based on </w:t>
            </w:r>
            <w:r>
              <w:rPr>
                <w:rFonts w:cstheme="minorHAnsi"/>
                <w:sz w:val="20"/>
                <w:szCs w:val="20"/>
              </w:rPr>
              <w:t xml:space="preserve">a </w:t>
            </w:r>
            <w:r w:rsidRPr="002C4282">
              <w:rPr>
                <w:rFonts w:cstheme="minorHAnsi"/>
                <w:sz w:val="20"/>
                <w:szCs w:val="20"/>
              </w:rPr>
              <w:t>postal survey of employers, a series of follow-up interviews and small number of in-depth case studies). The case studies, which were partly designed to validate the data collected in the survey, were largely unsuccessful. In no cases were there data related to absence or turnover that could be linked to noise at work and the researchers struggled to organise discussion groups with employees</w:t>
            </w:r>
            <w:r w:rsidRPr="002C4282">
              <w:rPr>
                <w:rFonts w:cstheme="minorHAnsi"/>
                <w:sz w:val="20"/>
                <w:szCs w:val="20"/>
              </w:rPr>
              <w:fldChar w:fldCharType="begin"/>
            </w:r>
            <w:r>
              <w:rPr>
                <w:rFonts w:cstheme="minorHAnsi"/>
                <w:sz w:val="20"/>
                <w:szCs w:val="20"/>
              </w:rPr>
              <w:instrText xml:space="preserve"> ADDIN EN.CITE &lt;EndNote&gt;&lt;Cite&gt;&lt;Author&gt;Honey&lt;/Author&gt;&lt;Year&gt;1996&lt;/Year&gt;&lt;RecNum&gt;1614&lt;/RecNum&gt;&lt;DisplayText&gt; (Honey&lt;style face="italic"&gt; et al.&lt;/style&gt;, 1996)&lt;/DisplayText&gt;&lt;record&gt;&lt;rec-number&gt;1614&lt;/rec-number&gt;&lt;foreign-keys&gt;&lt;key app="EN" db-id="drrvazw0t090vlef0e6praxba2d0xwps0wt0" timestamp="1491331455"&gt;1614&lt;/key&gt;&lt;/foreign-keys&gt;&lt;ref-type name="Report"&gt;27&lt;/ref-type&gt;&lt;contributors&gt;&lt;authors&gt;&lt;author&gt;S Honey&lt;/author&gt;&lt;author&gt;J Hillage&lt;/author&gt;&lt;author&gt;N Jagger&lt;/author&gt;&lt;author&gt;S Morris&lt;/author&gt;&lt;/authors&gt;&lt;tertiary-authors&gt;&lt;author&gt;HMSO&lt;/author&gt;&lt;/tertiary-authors&gt;&lt;/contributors&gt;&lt;titles&gt;&lt;title&gt;The Costs and Benefits of the Noise at Work Regulations 1989&lt;/title&gt;&lt;/titles&gt;&lt;number&gt; 116/1996&lt;/number&gt;&lt;dates&gt;&lt;year&gt;1996&lt;/year&gt;&lt;/dates&gt;&lt;pub-location&gt;Norwich&lt;/pub-location&gt;&lt;publisher&gt;Health and Safety Executive&lt;/publisher&gt;&lt;urls&gt;&lt;related-urls&gt;&lt;url&gt;http://www.hse.gov.uk/research/crr_pdf/1996/crr96116.pdf&lt;/url&gt;&lt;/related-urls&gt;&lt;/urls&gt;&lt;access-date&gt;April 1, 2017&lt;/access-date&gt;&lt;/record&gt;&lt;/Cite&gt;&lt;/EndNote&gt;</w:instrText>
            </w:r>
            <w:r w:rsidRPr="002C4282">
              <w:rPr>
                <w:rFonts w:cstheme="minorHAnsi"/>
                <w:sz w:val="20"/>
                <w:szCs w:val="20"/>
              </w:rPr>
              <w:fldChar w:fldCharType="separate"/>
            </w:r>
            <w:r>
              <w:rPr>
                <w:rFonts w:cstheme="minorHAnsi"/>
                <w:noProof/>
                <w:sz w:val="20"/>
                <w:szCs w:val="20"/>
              </w:rPr>
              <w:t xml:space="preserve"> </w:t>
            </w:r>
            <w:hyperlink w:anchor="_ENREF_15" w:tooltip="Honey, 1996 #1614" w:history="1">
              <w:r w:rsidR="006D11C0">
                <w:rPr>
                  <w:rFonts w:cstheme="minorHAnsi"/>
                  <w:noProof/>
                  <w:sz w:val="20"/>
                  <w:szCs w:val="20"/>
                </w:rPr>
                <w:t>(Honey</w:t>
              </w:r>
              <w:r w:rsidR="006D11C0" w:rsidRPr="00BB4F0A">
                <w:rPr>
                  <w:rFonts w:cstheme="minorHAnsi"/>
                  <w:i/>
                  <w:noProof/>
                  <w:sz w:val="20"/>
                  <w:szCs w:val="20"/>
                </w:rPr>
                <w:t xml:space="preserve"> et al.</w:t>
              </w:r>
              <w:r w:rsidR="006D11C0">
                <w:rPr>
                  <w:rFonts w:cstheme="minorHAnsi"/>
                  <w:noProof/>
                  <w:sz w:val="20"/>
                  <w:szCs w:val="20"/>
                </w:rPr>
                <w:t>, 1996</w:t>
              </w:r>
            </w:hyperlink>
            <w:r>
              <w:rPr>
                <w:rFonts w:cstheme="minorHAnsi"/>
                <w:noProof/>
                <w:sz w:val="20"/>
                <w:szCs w:val="20"/>
              </w:rPr>
              <w:t>)</w:t>
            </w:r>
            <w:r w:rsidRPr="002C4282">
              <w:rPr>
                <w:rFonts w:cstheme="minorHAnsi"/>
                <w:sz w:val="20"/>
                <w:szCs w:val="20"/>
              </w:rPr>
              <w:fldChar w:fldCharType="end"/>
            </w:r>
            <w:r w:rsidR="009F44AD">
              <w:rPr>
                <w:rFonts w:cstheme="minorHAnsi"/>
                <w:sz w:val="20"/>
                <w:szCs w:val="20"/>
              </w:rPr>
              <w:t>.</w:t>
            </w:r>
            <w:r>
              <w:rPr>
                <w:rFonts w:cstheme="minorHAnsi"/>
                <w:b/>
                <w:sz w:val="20"/>
                <w:szCs w:val="20"/>
              </w:rPr>
              <w:t xml:space="preserve"> </w:t>
            </w:r>
          </w:p>
          <w:p w14:paraId="2DE07B7E" w14:textId="17EE6A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0771AF8" w14:textId="57034B99"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2206F">
              <w:rPr>
                <w:rFonts w:cstheme="minorHAnsi"/>
                <w:sz w:val="20"/>
                <w:szCs w:val="20"/>
              </w:rPr>
              <w:t xml:space="preserve">In situations where daily noise exposure varies considerably, </w:t>
            </w:r>
            <w:r>
              <w:rPr>
                <w:rFonts w:cstheme="minorHAnsi"/>
                <w:sz w:val="20"/>
                <w:szCs w:val="20"/>
              </w:rPr>
              <w:t>the impact assessment recommended that the r</w:t>
            </w:r>
            <w:r w:rsidRPr="0032206F">
              <w:rPr>
                <w:rFonts w:cstheme="minorHAnsi"/>
                <w:sz w:val="20"/>
                <w:szCs w:val="20"/>
              </w:rPr>
              <w:t xml:space="preserve">egulations allowed for exposure to be averaged over a week, as long as the weekly noise exposure did not exceed the exposure limit value and measures </w:t>
            </w:r>
            <w:r w:rsidR="00EB0411">
              <w:rPr>
                <w:rFonts w:cstheme="minorHAnsi"/>
                <w:sz w:val="20"/>
                <w:szCs w:val="20"/>
              </w:rPr>
              <w:t xml:space="preserve">were </w:t>
            </w:r>
            <w:r w:rsidRPr="0032206F">
              <w:rPr>
                <w:rFonts w:cstheme="minorHAnsi"/>
                <w:sz w:val="20"/>
                <w:szCs w:val="20"/>
              </w:rPr>
              <w:t xml:space="preserve">taken to reduce risks to a minimum. </w:t>
            </w:r>
            <w:r>
              <w:rPr>
                <w:rFonts w:cstheme="minorHAnsi"/>
                <w:sz w:val="20"/>
                <w:szCs w:val="20"/>
              </w:rPr>
              <w:t xml:space="preserve">It was reported </w:t>
            </w:r>
            <w:r w:rsidRPr="0032206F">
              <w:rPr>
                <w:rFonts w:cstheme="minorHAnsi"/>
                <w:sz w:val="20"/>
                <w:szCs w:val="20"/>
              </w:rPr>
              <w:t>that there was no indication of how many firms might apply for weekly averaging.</w:t>
            </w:r>
          </w:p>
          <w:p w14:paraId="2D3B7C6D" w14:textId="5E213B5C"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734C972" w14:textId="249C55C4"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Estimating familiarisation costs required</w:t>
            </w:r>
            <w:r w:rsidRPr="00E049A4">
              <w:rPr>
                <w:rFonts w:cstheme="minorHAnsi"/>
                <w:sz w:val="20"/>
                <w:szCs w:val="20"/>
              </w:rPr>
              <w:t xml:space="preserve"> an estimate of the number of firms and other organisation</w:t>
            </w:r>
            <w:r>
              <w:rPr>
                <w:rFonts w:cstheme="minorHAnsi"/>
                <w:sz w:val="20"/>
                <w:szCs w:val="20"/>
              </w:rPr>
              <w:t>s that will be affected by the r</w:t>
            </w:r>
            <w:r w:rsidRPr="00E049A4">
              <w:rPr>
                <w:rFonts w:cstheme="minorHAnsi"/>
                <w:sz w:val="20"/>
                <w:szCs w:val="20"/>
              </w:rPr>
              <w:t xml:space="preserve">egulations. </w:t>
            </w:r>
            <w:r>
              <w:rPr>
                <w:rFonts w:cstheme="minorHAnsi"/>
                <w:sz w:val="20"/>
                <w:szCs w:val="20"/>
              </w:rPr>
              <w:t>The HSE only had access to</w:t>
            </w:r>
            <w:r w:rsidRPr="00E049A4">
              <w:rPr>
                <w:rFonts w:cstheme="minorHAnsi"/>
                <w:sz w:val="20"/>
                <w:szCs w:val="20"/>
              </w:rPr>
              <w:t xml:space="preserve"> </w:t>
            </w:r>
            <w:r>
              <w:rPr>
                <w:rFonts w:cstheme="minorHAnsi"/>
                <w:sz w:val="20"/>
                <w:szCs w:val="20"/>
              </w:rPr>
              <w:t>“</w:t>
            </w:r>
            <w:r w:rsidRPr="00E049A4">
              <w:rPr>
                <w:rFonts w:cstheme="minorHAnsi"/>
                <w:sz w:val="20"/>
                <w:szCs w:val="20"/>
              </w:rPr>
              <w:t>reliable information</w:t>
            </w:r>
            <w:r>
              <w:rPr>
                <w:rFonts w:cstheme="minorHAnsi"/>
                <w:sz w:val="20"/>
                <w:szCs w:val="20"/>
              </w:rPr>
              <w:t>”</w:t>
            </w:r>
            <w:r w:rsidRPr="00E049A4">
              <w:rPr>
                <w:rFonts w:cstheme="minorHAnsi"/>
                <w:sz w:val="20"/>
                <w:szCs w:val="20"/>
              </w:rPr>
              <w:t xml:space="preserve"> </w:t>
            </w:r>
            <w:r>
              <w:rPr>
                <w:rFonts w:cstheme="minorHAnsi"/>
                <w:sz w:val="20"/>
                <w:szCs w:val="20"/>
              </w:rPr>
              <w:t xml:space="preserve">relating to </w:t>
            </w:r>
            <w:r w:rsidRPr="00E049A4">
              <w:rPr>
                <w:rFonts w:cstheme="minorHAnsi"/>
                <w:sz w:val="20"/>
                <w:szCs w:val="20"/>
              </w:rPr>
              <w:t>the potential number of affected emplo</w:t>
            </w:r>
            <w:r>
              <w:rPr>
                <w:rFonts w:cstheme="minorHAnsi"/>
                <w:sz w:val="20"/>
                <w:szCs w:val="20"/>
              </w:rPr>
              <w:t>yees rather than employers. The impact assessment noted that this made estimation</w:t>
            </w:r>
            <w:r w:rsidRPr="00E049A4">
              <w:rPr>
                <w:rFonts w:cstheme="minorHAnsi"/>
                <w:sz w:val="20"/>
                <w:szCs w:val="20"/>
              </w:rPr>
              <w:t xml:space="preserve"> of familiarisation costs </w:t>
            </w:r>
            <w:r>
              <w:rPr>
                <w:rFonts w:cstheme="minorHAnsi"/>
                <w:sz w:val="20"/>
                <w:szCs w:val="20"/>
              </w:rPr>
              <w:t>“</w:t>
            </w:r>
            <w:r w:rsidRPr="00E049A4">
              <w:rPr>
                <w:rFonts w:cstheme="minorHAnsi"/>
                <w:sz w:val="20"/>
                <w:szCs w:val="20"/>
              </w:rPr>
              <w:t>very uncertain</w:t>
            </w:r>
            <w:r>
              <w:rPr>
                <w:rFonts w:cstheme="minorHAnsi"/>
                <w:sz w:val="20"/>
                <w:szCs w:val="20"/>
              </w:rPr>
              <w:t>”</w:t>
            </w:r>
            <w:r w:rsidRPr="00E049A4">
              <w:rPr>
                <w:rFonts w:cstheme="minorHAnsi"/>
                <w:sz w:val="20"/>
                <w:szCs w:val="20"/>
              </w:rPr>
              <w:t>.</w:t>
            </w:r>
            <w:r>
              <w:rPr>
                <w:rFonts w:cstheme="minorHAnsi"/>
                <w:sz w:val="20"/>
                <w:szCs w:val="20"/>
              </w:rPr>
              <w:t xml:space="preserve"> To </w:t>
            </w:r>
            <w:r w:rsidRPr="00E049A4">
              <w:rPr>
                <w:rFonts w:cstheme="minorHAnsi"/>
                <w:sz w:val="20"/>
                <w:szCs w:val="20"/>
              </w:rPr>
              <w:t xml:space="preserve">derive an estimate, </w:t>
            </w:r>
            <w:r>
              <w:rPr>
                <w:rFonts w:cstheme="minorHAnsi"/>
                <w:sz w:val="20"/>
                <w:szCs w:val="20"/>
              </w:rPr>
              <w:t xml:space="preserve">the </w:t>
            </w:r>
            <w:r w:rsidRPr="00E049A4">
              <w:rPr>
                <w:rFonts w:cstheme="minorHAnsi"/>
                <w:sz w:val="20"/>
                <w:szCs w:val="20"/>
              </w:rPr>
              <w:t>HSE assumed that between 30</w:t>
            </w:r>
            <w:r>
              <w:rPr>
                <w:rFonts w:cstheme="minorHAnsi"/>
                <w:sz w:val="20"/>
                <w:szCs w:val="20"/>
              </w:rPr>
              <w:t>%</w:t>
            </w:r>
            <w:r w:rsidRPr="00E049A4">
              <w:rPr>
                <w:rFonts w:cstheme="minorHAnsi"/>
                <w:sz w:val="20"/>
                <w:szCs w:val="20"/>
              </w:rPr>
              <w:t xml:space="preserve"> and 50% of employees in potentially “noisy” establishments </w:t>
            </w:r>
            <w:r>
              <w:rPr>
                <w:rFonts w:cstheme="minorHAnsi"/>
                <w:sz w:val="20"/>
                <w:szCs w:val="20"/>
              </w:rPr>
              <w:t xml:space="preserve">were </w:t>
            </w:r>
            <w:r w:rsidRPr="00E049A4">
              <w:rPr>
                <w:rFonts w:cstheme="minorHAnsi"/>
                <w:sz w:val="20"/>
                <w:szCs w:val="20"/>
              </w:rPr>
              <w:t xml:space="preserve">exposed to noise exceeding 80 dB(A). </w:t>
            </w:r>
            <w:r>
              <w:rPr>
                <w:rFonts w:cstheme="minorHAnsi"/>
                <w:sz w:val="20"/>
                <w:szCs w:val="20"/>
              </w:rPr>
              <w:t xml:space="preserve">It used </w:t>
            </w:r>
            <w:r w:rsidRPr="00E049A4">
              <w:rPr>
                <w:rFonts w:cstheme="minorHAnsi"/>
                <w:sz w:val="20"/>
                <w:szCs w:val="20"/>
              </w:rPr>
              <w:t xml:space="preserve">statistics provided by DTI’s Small Business Service, </w:t>
            </w:r>
            <w:r>
              <w:rPr>
                <w:rFonts w:cstheme="minorHAnsi"/>
                <w:sz w:val="20"/>
                <w:szCs w:val="20"/>
              </w:rPr>
              <w:t>to estimate</w:t>
            </w:r>
            <w:r w:rsidRPr="00E049A4">
              <w:rPr>
                <w:rFonts w:cstheme="minorHAnsi"/>
                <w:sz w:val="20"/>
                <w:szCs w:val="20"/>
              </w:rPr>
              <w:t xml:space="preserve"> the average </w:t>
            </w:r>
            <w:r>
              <w:rPr>
                <w:rFonts w:cstheme="minorHAnsi"/>
                <w:sz w:val="20"/>
                <w:szCs w:val="20"/>
              </w:rPr>
              <w:t xml:space="preserve">number </w:t>
            </w:r>
            <w:r w:rsidRPr="00E049A4">
              <w:rPr>
                <w:rFonts w:cstheme="minorHAnsi"/>
                <w:sz w:val="20"/>
                <w:szCs w:val="20"/>
              </w:rPr>
              <w:t xml:space="preserve">of businesses in sectors </w:t>
            </w:r>
            <w:r>
              <w:rPr>
                <w:rFonts w:cstheme="minorHAnsi"/>
                <w:sz w:val="20"/>
                <w:szCs w:val="20"/>
              </w:rPr>
              <w:t>associated with high levels of noise (between 17 and 18</w:t>
            </w:r>
            <w:r w:rsidRPr="00E049A4">
              <w:rPr>
                <w:rFonts w:cstheme="minorHAnsi"/>
                <w:sz w:val="20"/>
                <w:szCs w:val="20"/>
              </w:rPr>
              <w:t xml:space="preserve"> employees</w:t>
            </w:r>
            <w:r>
              <w:rPr>
                <w:rFonts w:cstheme="minorHAnsi"/>
                <w:sz w:val="20"/>
                <w:szCs w:val="20"/>
              </w:rPr>
              <w:t>) and from this figure estimated that the total number of affected firms was between 240,000 and 430,000. Familiarisation was then assumed to take an hour.</w:t>
            </w:r>
          </w:p>
          <w:p w14:paraId="1C930C1C" w14:textId="504441B9"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59A2ED8" w14:textId="21206DB0"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regulations required an assessment to be made were there was a likely risk to health. The impact assessment assumed that a “rough” assessment would be carried out for 80% of employees, and that outside consultants would be brought in for the remaining 20% of cases.</w:t>
            </w:r>
          </w:p>
          <w:p w14:paraId="741CB927" w14:textId="0CF7F133"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EECF7E3" w14:textId="6126F0B6"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Existing noise at work regulations already required assessments and record keeping at noise levels about 85 </w:t>
            </w:r>
            <w:r w:rsidRPr="0003305C">
              <w:rPr>
                <w:rFonts w:cstheme="minorHAnsi"/>
                <w:sz w:val="20"/>
                <w:szCs w:val="20"/>
              </w:rPr>
              <w:t>dB(A).</w:t>
            </w:r>
            <w:r>
              <w:rPr>
                <w:rFonts w:cstheme="minorHAnsi"/>
                <w:sz w:val="20"/>
                <w:szCs w:val="20"/>
              </w:rPr>
              <w:t xml:space="preserve"> However, HSE contracted research (see above) had found that only 50% of employers with “noisy workplaces” did so. It was then assumed that 30% of employers not carrying out assessments would now incur costs and that of this 30%, two fifths of assessments would indicate the need for measurement, which together with data recording would take on average 1 ¼ hours. Assumptions regarding the proportion of assessments carried out by consultants were the same as above.</w:t>
            </w:r>
          </w:p>
          <w:p w14:paraId="51D09077" w14:textId="494318C5"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5A4B25D" w14:textId="79167109"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Existing noise at work regulations already imposed a duty to inform workers exposed above 85 </w:t>
            </w:r>
            <w:r w:rsidRPr="0003305C">
              <w:rPr>
                <w:rFonts w:cstheme="minorHAnsi"/>
                <w:sz w:val="20"/>
                <w:szCs w:val="20"/>
              </w:rPr>
              <w:t>dB(A)</w:t>
            </w:r>
            <w:r>
              <w:rPr>
                <w:rFonts w:cstheme="minorHAnsi"/>
                <w:sz w:val="20"/>
                <w:szCs w:val="20"/>
              </w:rPr>
              <w:t xml:space="preserve"> about risks to hearing. However, HSE contracted research (</w:t>
            </w:r>
            <w:r w:rsidR="00EB0411">
              <w:rPr>
                <w:rFonts w:cstheme="minorHAnsi"/>
                <w:sz w:val="20"/>
                <w:szCs w:val="20"/>
              </w:rPr>
              <w:t>s</w:t>
            </w:r>
            <w:r>
              <w:rPr>
                <w:rFonts w:cstheme="minorHAnsi"/>
                <w:sz w:val="20"/>
                <w:szCs w:val="20"/>
              </w:rPr>
              <w:t>ee above) had found that 33% of employers with “noisy workplaces” were no</w:t>
            </w:r>
            <w:r w:rsidR="00EB0411">
              <w:rPr>
                <w:rFonts w:cstheme="minorHAnsi"/>
                <w:sz w:val="20"/>
                <w:szCs w:val="20"/>
              </w:rPr>
              <w:t>t</w:t>
            </w:r>
            <w:r>
              <w:rPr>
                <w:rFonts w:cstheme="minorHAnsi"/>
                <w:sz w:val="20"/>
                <w:szCs w:val="20"/>
              </w:rPr>
              <w:t xml:space="preserve"> carrying out training. It was then assumed that 20% of employers not carrying out training now would now incur costs.</w:t>
            </w:r>
          </w:p>
          <w:p w14:paraId="2E1A1ADB" w14:textId="5A0073A4"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E615037" w14:textId="3D68BAEA"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41F5D">
              <w:rPr>
                <w:rFonts w:cstheme="minorHAnsi"/>
                <w:sz w:val="20"/>
                <w:szCs w:val="20"/>
              </w:rPr>
              <w:t xml:space="preserve">At 85 dB(A) employers </w:t>
            </w:r>
            <w:r>
              <w:rPr>
                <w:rFonts w:cstheme="minorHAnsi"/>
                <w:sz w:val="20"/>
                <w:szCs w:val="20"/>
              </w:rPr>
              <w:t>would</w:t>
            </w:r>
            <w:r w:rsidRPr="00741F5D">
              <w:rPr>
                <w:rFonts w:cstheme="minorHAnsi"/>
                <w:sz w:val="20"/>
                <w:szCs w:val="20"/>
              </w:rPr>
              <w:t xml:space="preserve"> have to establish a programme of control measures and keep a record to show to safety representatives and workers. Where the noise level reaches 90 dB(A), </w:t>
            </w:r>
            <w:r>
              <w:rPr>
                <w:rFonts w:cstheme="minorHAnsi"/>
                <w:sz w:val="20"/>
                <w:szCs w:val="20"/>
              </w:rPr>
              <w:t xml:space="preserve">existing regulations </w:t>
            </w:r>
            <w:r w:rsidRPr="00741F5D">
              <w:rPr>
                <w:rFonts w:cstheme="minorHAnsi"/>
                <w:sz w:val="20"/>
                <w:szCs w:val="20"/>
              </w:rPr>
              <w:t>already require</w:t>
            </w:r>
            <w:r>
              <w:rPr>
                <w:rFonts w:cstheme="minorHAnsi"/>
                <w:sz w:val="20"/>
                <w:szCs w:val="20"/>
              </w:rPr>
              <w:t>d</w:t>
            </w:r>
            <w:r w:rsidRPr="00741F5D">
              <w:rPr>
                <w:rFonts w:cstheme="minorHAnsi"/>
                <w:sz w:val="20"/>
                <w:szCs w:val="20"/>
              </w:rPr>
              <w:t xml:space="preserve"> employers to reduce noise as far as reasonably practicable.</w:t>
            </w:r>
            <w:r>
              <w:rPr>
                <w:rFonts w:cstheme="minorHAnsi"/>
                <w:sz w:val="20"/>
                <w:szCs w:val="20"/>
              </w:rPr>
              <w:t xml:space="preserve"> The impact assessment took programmes</w:t>
            </w:r>
            <w:r w:rsidRPr="00741F5D">
              <w:rPr>
                <w:rFonts w:cstheme="minorHAnsi"/>
                <w:sz w:val="20"/>
                <w:szCs w:val="20"/>
              </w:rPr>
              <w:t xml:space="preserve"> </w:t>
            </w:r>
            <w:r>
              <w:rPr>
                <w:rFonts w:cstheme="minorHAnsi"/>
                <w:sz w:val="20"/>
                <w:szCs w:val="20"/>
              </w:rPr>
              <w:t xml:space="preserve">affecting 50 employees </w:t>
            </w:r>
            <w:r w:rsidRPr="00741F5D">
              <w:rPr>
                <w:rFonts w:cstheme="minorHAnsi"/>
                <w:sz w:val="20"/>
                <w:szCs w:val="20"/>
              </w:rPr>
              <w:t xml:space="preserve">as </w:t>
            </w:r>
            <w:r>
              <w:rPr>
                <w:rFonts w:cstheme="minorHAnsi"/>
                <w:sz w:val="20"/>
                <w:szCs w:val="20"/>
              </w:rPr>
              <w:t xml:space="preserve">an </w:t>
            </w:r>
            <w:r w:rsidRPr="00741F5D">
              <w:rPr>
                <w:rFonts w:cstheme="minorHAnsi"/>
                <w:sz w:val="20"/>
                <w:szCs w:val="20"/>
              </w:rPr>
              <w:t>average</w:t>
            </w:r>
            <w:r>
              <w:rPr>
                <w:rFonts w:cstheme="minorHAnsi"/>
                <w:sz w:val="20"/>
                <w:szCs w:val="20"/>
              </w:rPr>
              <w:t xml:space="preserve"> and then assumed that it would take </w:t>
            </w:r>
            <w:r w:rsidRPr="00741F5D">
              <w:rPr>
                <w:rFonts w:cstheme="minorHAnsi"/>
                <w:sz w:val="20"/>
                <w:szCs w:val="20"/>
              </w:rPr>
              <w:t>three days’ work by a technician to prepare the programme, 2 hours of a manager’s tim</w:t>
            </w:r>
            <w:r>
              <w:rPr>
                <w:rFonts w:cstheme="minorHAnsi"/>
                <w:sz w:val="20"/>
                <w:szCs w:val="20"/>
              </w:rPr>
              <w:t xml:space="preserve">e to approve it, </w:t>
            </w:r>
            <w:r w:rsidRPr="00741F5D">
              <w:rPr>
                <w:rFonts w:cstheme="minorHAnsi"/>
                <w:sz w:val="20"/>
                <w:szCs w:val="20"/>
              </w:rPr>
              <w:t>half a day and 1 hour respectively per year t</w:t>
            </w:r>
            <w:r>
              <w:rPr>
                <w:rFonts w:cstheme="minorHAnsi"/>
                <w:sz w:val="20"/>
                <w:szCs w:val="20"/>
              </w:rPr>
              <w:t>hereafter keeping it up to date, an entirely new programme would be developed</w:t>
            </w:r>
            <w:r w:rsidRPr="00741F5D">
              <w:rPr>
                <w:rFonts w:cstheme="minorHAnsi"/>
                <w:sz w:val="20"/>
                <w:szCs w:val="20"/>
              </w:rPr>
              <w:t xml:space="preserve"> </w:t>
            </w:r>
            <w:r>
              <w:rPr>
                <w:rFonts w:cstheme="minorHAnsi"/>
                <w:sz w:val="20"/>
                <w:szCs w:val="20"/>
              </w:rPr>
              <w:t xml:space="preserve">every 5 years, and that </w:t>
            </w:r>
            <w:r w:rsidRPr="00741F5D">
              <w:rPr>
                <w:rFonts w:cstheme="minorHAnsi"/>
                <w:sz w:val="20"/>
                <w:szCs w:val="20"/>
              </w:rPr>
              <w:t xml:space="preserve">outside specialists </w:t>
            </w:r>
            <w:r>
              <w:rPr>
                <w:rFonts w:cstheme="minorHAnsi"/>
                <w:sz w:val="20"/>
                <w:szCs w:val="20"/>
              </w:rPr>
              <w:t xml:space="preserve">would be </w:t>
            </w:r>
            <w:r w:rsidRPr="00741F5D">
              <w:rPr>
                <w:rFonts w:cstheme="minorHAnsi"/>
                <w:sz w:val="20"/>
                <w:szCs w:val="20"/>
              </w:rPr>
              <w:t>hired by a third of fi</w:t>
            </w:r>
            <w:r>
              <w:rPr>
                <w:rFonts w:cstheme="minorHAnsi"/>
                <w:sz w:val="20"/>
                <w:szCs w:val="20"/>
              </w:rPr>
              <w:t xml:space="preserve">rms, at £60 per hour for 3 days. In addition, the impact assessment </w:t>
            </w:r>
            <w:r w:rsidRPr="00741F5D">
              <w:rPr>
                <w:rFonts w:cstheme="minorHAnsi"/>
                <w:sz w:val="20"/>
                <w:szCs w:val="20"/>
              </w:rPr>
              <w:t>deduct</w:t>
            </w:r>
            <w:r>
              <w:rPr>
                <w:rFonts w:cstheme="minorHAnsi"/>
                <w:sz w:val="20"/>
                <w:szCs w:val="20"/>
              </w:rPr>
              <w:t>ed</w:t>
            </w:r>
            <w:r w:rsidRPr="00741F5D">
              <w:rPr>
                <w:rFonts w:cstheme="minorHAnsi"/>
                <w:sz w:val="20"/>
                <w:szCs w:val="20"/>
              </w:rPr>
              <w:t xml:space="preserve"> half of the initial and continuing costs for the estimated 438,000 workers above 90 dB(A) to take a</w:t>
            </w:r>
            <w:r>
              <w:rPr>
                <w:rFonts w:cstheme="minorHAnsi"/>
                <w:sz w:val="20"/>
                <w:szCs w:val="20"/>
              </w:rPr>
              <w:t xml:space="preserve">ccount of existing requirements and to reflect </w:t>
            </w:r>
            <w:r w:rsidR="00EB0411">
              <w:rPr>
                <w:rFonts w:cstheme="minorHAnsi"/>
                <w:sz w:val="20"/>
                <w:szCs w:val="20"/>
              </w:rPr>
              <w:t xml:space="preserve">the fact </w:t>
            </w:r>
            <w:r>
              <w:rPr>
                <w:rFonts w:cstheme="minorHAnsi"/>
                <w:sz w:val="20"/>
                <w:szCs w:val="20"/>
              </w:rPr>
              <w:t xml:space="preserve">that HSE contracted research (see above) ad reported </w:t>
            </w:r>
            <w:r w:rsidRPr="00741F5D">
              <w:rPr>
                <w:rFonts w:cstheme="minorHAnsi"/>
                <w:sz w:val="20"/>
                <w:szCs w:val="20"/>
              </w:rPr>
              <w:t>that, overall, despite having noisy environments, relatively few respondents had taken preventive actions</w:t>
            </w:r>
            <w:r>
              <w:rPr>
                <w:rFonts w:cstheme="minorHAnsi"/>
                <w:sz w:val="20"/>
                <w:szCs w:val="20"/>
              </w:rPr>
              <w:t xml:space="preserve"> (</w:t>
            </w:r>
            <w:r w:rsidRPr="00741F5D">
              <w:rPr>
                <w:rFonts w:cstheme="minorHAnsi"/>
                <w:sz w:val="20"/>
                <w:szCs w:val="20"/>
              </w:rPr>
              <w:t>between 37 and 48</w:t>
            </w:r>
            <w:r>
              <w:rPr>
                <w:rFonts w:cstheme="minorHAnsi"/>
                <w:sz w:val="20"/>
                <w:szCs w:val="20"/>
              </w:rPr>
              <w:t>%</w:t>
            </w:r>
            <w:r w:rsidRPr="00741F5D">
              <w:rPr>
                <w:rFonts w:cstheme="minorHAnsi"/>
                <w:sz w:val="20"/>
                <w:szCs w:val="20"/>
              </w:rPr>
              <w:t xml:space="preserve"> of the weighted respondents </w:t>
            </w:r>
            <w:r>
              <w:rPr>
                <w:rFonts w:cstheme="minorHAnsi"/>
                <w:sz w:val="20"/>
                <w:szCs w:val="20"/>
              </w:rPr>
              <w:t xml:space="preserve">had indicated </w:t>
            </w:r>
            <w:r w:rsidRPr="00741F5D">
              <w:rPr>
                <w:rFonts w:cstheme="minorHAnsi"/>
                <w:sz w:val="20"/>
                <w:szCs w:val="20"/>
              </w:rPr>
              <w:t>that they had not carried out any changes to reduce noise in noisy establishments).</w:t>
            </w:r>
          </w:p>
          <w:p w14:paraId="35B5311E" w14:textId="032A0D04"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420002" w14:textId="283C72BD"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new regulations required noise reduction programmes to reduce level to 85 dB(A) rather than the current 90dB(A). The impact reported that costs were “uncertain as noise would be reduced to an undefined minimum.” HSE contracted research (see above) had found that although most “good practice” organisations had a purchasing policy which included noise levels in specifications, there was “some evidence” that these policies were “flexible and that noisier plant was purchased.” The impact estimates then assumed that: employers would reduce noise level for 15% of employees in the first year, 30% after 10 years, and 75% after 40 years; that the average cost to reduce noise per worker would be between £200 and £800 (which were lower estimates than in a cost benefit assessment carried out in 1995 to reflect lower figures found in HSE contracted research, which, in turn, might be “indicative of incomplete compliance”); that recurring costs (e.g. maintenance) would be 20% of initial costs.</w:t>
            </w:r>
          </w:p>
          <w:p w14:paraId="320A923B" w14:textId="5A98A58B"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D13A39C" w14:textId="63B2C6F9"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regulations required hearing protection to be made available to workers when exposed to noise level between 80 and 85 dB(A). Above 85 dB(A) all workers would have to wear protection. Under the existing regulations, employers were required to provide hearing protection to all employees exposed to noise levels of 90 dB(A). HSE contracted research (see above) reported that 86% of establishments with employees exposed above 85 dB(A) already provided hearing protection. The impact assessment assumed that: 30% of workers exposed between80 dB(A) and 90 dB(a) would be provided with hearing protection; that 25% of workers exposed to noise levels between 85 dB(A) and 90 dB(A) would be provided with hearing protection (and that the re</w:t>
            </w:r>
            <w:r w:rsidR="00EB0411">
              <w:rPr>
                <w:rFonts w:cstheme="minorHAnsi"/>
                <w:sz w:val="20"/>
                <w:szCs w:val="20"/>
              </w:rPr>
              <w:t xml:space="preserve">st were already wearing them); </w:t>
            </w:r>
            <w:r>
              <w:rPr>
                <w:rFonts w:cstheme="minorHAnsi"/>
                <w:sz w:val="20"/>
                <w:szCs w:val="20"/>
              </w:rPr>
              <w:t>wear rates above 90 dB(A) were 90% and that the remaining 10% would be supplied with equipment; that employees exposed to noise levels above 110 dB(A) would be provided with better quality protection.</w:t>
            </w:r>
          </w:p>
          <w:p w14:paraId="7B83F8FA" w14:textId="10F38D9A"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A8C0D4E" w14:textId="5534477A"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regulations required employers to delimit areas where workers are likely to be expose to noise levels exceeding 85 dB(A) (as opposed to 90 dB(A) under the existing regulations) by marking them with signs and restricting access. The impact assessment assumed that every company where these conditions were met would spend an average of £200, one-off costs, to delimit noisy areas and that there were on average 50 employees per firm.</w:t>
            </w:r>
          </w:p>
          <w:p w14:paraId="51A6EDAF" w14:textId="0BF92EAA" w:rsidR="00644210" w:rsidRDefault="00644210" w:rsidP="00741F5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7FEC4C" w14:textId="7405E92F" w:rsidR="00644210" w:rsidRPr="00FC00CA" w:rsidRDefault="00644210" w:rsidP="00AE169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regulation required employers </w:t>
            </w:r>
            <w:r w:rsidRPr="00731A30">
              <w:rPr>
                <w:rFonts w:cstheme="minorHAnsi"/>
                <w:sz w:val="20"/>
                <w:szCs w:val="20"/>
              </w:rPr>
              <w:t xml:space="preserve">to provide audiometric (hearing) tests if a worker is </w:t>
            </w:r>
            <w:r>
              <w:rPr>
                <w:rFonts w:cstheme="minorHAnsi"/>
                <w:sz w:val="20"/>
                <w:szCs w:val="20"/>
              </w:rPr>
              <w:t>at</w:t>
            </w:r>
            <w:r w:rsidRPr="00731A30">
              <w:rPr>
                <w:rFonts w:cstheme="minorHAnsi"/>
                <w:sz w:val="20"/>
                <w:szCs w:val="20"/>
              </w:rPr>
              <w:t xml:space="preserve"> risk of hearing loss following </w:t>
            </w:r>
            <w:r>
              <w:rPr>
                <w:rFonts w:cstheme="minorHAnsi"/>
                <w:sz w:val="20"/>
                <w:szCs w:val="20"/>
              </w:rPr>
              <w:t>a</w:t>
            </w:r>
            <w:r w:rsidRPr="00731A30">
              <w:rPr>
                <w:rFonts w:cstheme="minorHAnsi"/>
                <w:sz w:val="20"/>
                <w:szCs w:val="20"/>
              </w:rPr>
              <w:t xml:space="preserve"> noise assessment. </w:t>
            </w:r>
            <w:r>
              <w:rPr>
                <w:rFonts w:cstheme="minorHAnsi"/>
                <w:sz w:val="20"/>
                <w:szCs w:val="20"/>
              </w:rPr>
              <w:t>HSE contracted research (see above) found that just under 30%</w:t>
            </w:r>
            <w:r w:rsidRPr="00731A30">
              <w:rPr>
                <w:rFonts w:cstheme="minorHAnsi"/>
                <w:sz w:val="20"/>
                <w:szCs w:val="20"/>
              </w:rPr>
              <w:t xml:space="preserve"> of firms provide</w:t>
            </w:r>
            <w:r>
              <w:rPr>
                <w:rFonts w:cstheme="minorHAnsi"/>
                <w:sz w:val="20"/>
                <w:szCs w:val="20"/>
              </w:rPr>
              <w:t>d</w:t>
            </w:r>
            <w:r w:rsidRPr="00731A30">
              <w:rPr>
                <w:rFonts w:cstheme="minorHAnsi"/>
                <w:sz w:val="20"/>
                <w:szCs w:val="20"/>
              </w:rPr>
              <w:t xml:space="preserve"> audiometry in establishments</w:t>
            </w:r>
            <w:r>
              <w:rPr>
                <w:rFonts w:cstheme="minorHAnsi"/>
                <w:sz w:val="20"/>
                <w:szCs w:val="20"/>
              </w:rPr>
              <w:t xml:space="preserve"> with noise levels over 85dB(A), although </w:t>
            </w:r>
            <w:r w:rsidRPr="00731A30">
              <w:rPr>
                <w:rFonts w:cstheme="minorHAnsi"/>
                <w:sz w:val="20"/>
                <w:szCs w:val="20"/>
              </w:rPr>
              <w:t xml:space="preserve">the level of provision varied substantially between </w:t>
            </w:r>
            <w:r w:rsidR="00EB0411">
              <w:rPr>
                <w:rFonts w:cstheme="minorHAnsi"/>
                <w:sz w:val="20"/>
                <w:szCs w:val="20"/>
              </w:rPr>
              <w:t xml:space="preserve">firms of </w:t>
            </w:r>
            <w:r w:rsidRPr="00731A30">
              <w:rPr>
                <w:rFonts w:cstheme="minorHAnsi"/>
                <w:sz w:val="20"/>
                <w:szCs w:val="20"/>
              </w:rPr>
              <w:t>different sizes</w:t>
            </w:r>
            <w:r>
              <w:rPr>
                <w:rFonts w:cstheme="minorHAnsi"/>
                <w:sz w:val="20"/>
                <w:szCs w:val="20"/>
              </w:rPr>
              <w:t>.</w:t>
            </w:r>
            <w:r w:rsidR="00EB0411">
              <w:rPr>
                <w:rFonts w:cstheme="minorHAnsi"/>
                <w:sz w:val="20"/>
                <w:szCs w:val="20"/>
              </w:rPr>
              <w:t xml:space="preserve"> </w:t>
            </w:r>
            <w:r>
              <w:rPr>
                <w:rFonts w:cstheme="minorHAnsi"/>
                <w:sz w:val="20"/>
                <w:szCs w:val="20"/>
              </w:rPr>
              <w:t xml:space="preserve">The impact assessment weighted the </w:t>
            </w:r>
            <w:r w:rsidRPr="00731A30">
              <w:rPr>
                <w:rFonts w:cstheme="minorHAnsi"/>
                <w:sz w:val="20"/>
                <w:szCs w:val="20"/>
              </w:rPr>
              <w:t>existing profile of audiometry provision according to the proportion of workers in small, medium or large firms in each of the top five industries for</w:t>
            </w:r>
            <w:r>
              <w:rPr>
                <w:rFonts w:cstheme="minorHAnsi"/>
                <w:sz w:val="20"/>
                <w:szCs w:val="20"/>
              </w:rPr>
              <w:t xml:space="preserve"> noise exposure</w:t>
            </w:r>
            <w:r w:rsidRPr="00731A30">
              <w:rPr>
                <w:rFonts w:cstheme="minorHAnsi"/>
                <w:sz w:val="20"/>
                <w:szCs w:val="20"/>
              </w:rPr>
              <w:t xml:space="preserve">. </w:t>
            </w:r>
            <w:r>
              <w:rPr>
                <w:rFonts w:cstheme="minorHAnsi"/>
                <w:sz w:val="20"/>
                <w:szCs w:val="20"/>
              </w:rPr>
              <w:t>This indicated</w:t>
            </w:r>
            <w:r w:rsidRPr="00731A30">
              <w:rPr>
                <w:rFonts w:cstheme="minorHAnsi"/>
                <w:sz w:val="20"/>
                <w:szCs w:val="20"/>
              </w:rPr>
              <w:t xml:space="preserve"> that about 45% of exposed workers receive</w:t>
            </w:r>
            <w:r>
              <w:rPr>
                <w:rFonts w:cstheme="minorHAnsi"/>
                <w:sz w:val="20"/>
                <w:szCs w:val="20"/>
              </w:rPr>
              <w:t>d</w:t>
            </w:r>
            <w:r w:rsidRPr="00731A30">
              <w:rPr>
                <w:rFonts w:cstheme="minorHAnsi"/>
                <w:sz w:val="20"/>
                <w:szCs w:val="20"/>
              </w:rPr>
              <w:t xml:space="preserve"> audiometric testing. </w:t>
            </w:r>
            <w:r>
              <w:rPr>
                <w:rFonts w:cstheme="minorHAnsi"/>
                <w:sz w:val="20"/>
                <w:szCs w:val="20"/>
              </w:rPr>
              <w:t xml:space="preserve">It then used the prior </w:t>
            </w:r>
            <w:r w:rsidRPr="00731A30">
              <w:rPr>
                <w:rFonts w:cstheme="minorHAnsi"/>
                <w:sz w:val="20"/>
                <w:szCs w:val="20"/>
              </w:rPr>
              <w:t>assumption (</w:t>
            </w:r>
            <w:r>
              <w:rPr>
                <w:rFonts w:cstheme="minorHAnsi"/>
                <w:sz w:val="20"/>
                <w:szCs w:val="20"/>
              </w:rPr>
              <w:t>see above</w:t>
            </w:r>
            <w:r w:rsidRPr="00731A30">
              <w:rPr>
                <w:rFonts w:cstheme="minorHAnsi"/>
                <w:sz w:val="20"/>
                <w:szCs w:val="20"/>
              </w:rPr>
              <w:t xml:space="preserve">) that 70% of employers </w:t>
            </w:r>
            <w:r>
              <w:rPr>
                <w:rFonts w:cstheme="minorHAnsi"/>
                <w:sz w:val="20"/>
                <w:szCs w:val="20"/>
              </w:rPr>
              <w:t xml:space="preserve">were </w:t>
            </w:r>
            <w:r w:rsidRPr="00731A30">
              <w:rPr>
                <w:rFonts w:cstheme="minorHAnsi"/>
                <w:sz w:val="20"/>
                <w:szCs w:val="20"/>
              </w:rPr>
              <w:t xml:space="preserve">carrying out noise exposure assessments now, </w:t>
            </w:r>
            <w:r>
              <w:rPr>
                <w:rFonts w:cstheme="minorHAnsi"/>
                <w:sz w:val="20"/>
                <w:szCs w:val="20"/>
              </w:rPr>
              <w:t xml:space="preserve">and then further </w:t>
            </w:r>
            <w:r w:rsidRPr="00731A30">
              <w:rPr>
                <w:rFonts w:cstheme="minorHAnsi"/>
                <w:sz w:val="20"/>
                <w:szCs w:val="20"/>
              </w:rPr>
              <w:t xml:space="preserve">assumed that, of workers receiving noise exposure assessments, about </w:t>
            </w:r>
            <w:r>
              <w:rPr>
                <w:rFonts w:cstheme="minorHAnsi"/>
                <w:sz w:val="20"/>
                <w:szCs w:val="20"/>
              </w:rPr>
              <w:t>two-thirds would</w:t>
            </w:r>
            <w:r w:rsidRPr="00731A30">
              <w:rPr>
                <w:rFonts w:cstheme="minorHAnsi"/>
                <w:sz w:val="20"/>
                <w:szCs w:val="20"/>
              </w:rPr>
              <w:t xml:space="preserve"> go on to receive hearing tests. </w:t>
            </w:r>
            <w:r>
              <w:rPr>
                <w:rFonts w:cstheme="minorHAnsi"/>
                <w:sz w:val="20"/>
                <w:szCs w:val="20"/>
              </w:rPr>
              <w:t xml:space="preserve">In addition, it assumed that assessments would </w:t>
            </w:r>
            <w:r w:rsidRPr="00731A30">
              <w:rPr>
                <w:rFonts w:cstheme="minorHAnsi"/>
                <w:sz w:val="20"/>
                <w:szCs w:val="20"/>
              </w:rPr>
              <w:t xml:space="preserve">take place once every 5 years, </w:t>
            </w:r>
            <w:r>
              <w:rPr>
                <w:rFonts w:cstheme="minorHAnsi"/>
                <w:sz w:val="20"/>
                <w:szCs w:val="20"/>
              </w:rPr>
              <w:t xml:space="preserve">and that </w:t>
            </w:r>
            <w:r w:rsidRPr="00731A30">
              <w:rPr>
                <w:rFonts w:cstheme="minorHAnsi"/>
                <w:sz w:val="20"/>
                <w:szCs w:val="20"/>
              </w:rPr>
              <w:t xml:space="preserve">hearing tests </w:t>
            </w:r>
            <w:r w:rsidR="00EB0411">
              <w:rPr>
                <w:rFonts w:cstheme="minorHAnsi"/>
                <w:sz w:val="20"/>
                <w:szCs w:val="20"/>
              </w:rPr>
              <w:t xml:space="preserve">would </w:t>
            </w:r>
            <w:r w:rsidRPr="00731A30">
              <w:rPr>
                <w:rFonts w:cstheme="minorHAnsi"/>
                <w:sz w:val="20"/>
                <w:szCs w:val="20"/>
              </w:rPr>
              <w:t>take place around twice as often – once every 3 years</w:t>
            </w:r>
            <w:r>
              <w:rPr>
                <w:rFonts w:cstheme="minorHAnsi"/>
                <w:sz w:val="20"/>
                <w:szCs w:val="20"/>
              </w:rPr>
              <w:t>.</w:t>
            </w:r>
          </w:p>
          <w:p w14:paraId="1F96931C"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608FE69" w14:textId="5B59F666" w:rsidR="00644210" w:rsidRPr="00AE1693"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Dynamic effects: </w:t>
            </w:r>
            <w:r w:rsidR="008A68B5">
              <w:rPr>
                <w:rFonts w:cstheme="minorHAnsi"/>
                <w:sz w:val="20"/>
                <w:szCs w:val="20"/>
              </w:rPr>
              <w:t>s</w:t>
            </w:r>
            <w:r>
              <w:rPr>
                <w:rFonts w:cstheme="minorHAnsi"/>
                <w:sz w:val="20"/>
                <w:szCs w:val="20"/>
              </w:rPr>
              <w:t>ome potential dynamic effects (purchasing policies) were incorporated into estimated costs.</w:t>
            </w:r>
          </w:p>
          <w:p w14:paraId="6826DE96"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6D7B68D" w14:textId="7FFB494E" w:rsidR="00644210" w:rsidRPr="002C4282"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evidence-based assumptions on the rate of compliance integrated into cost estimates.</w:t>
            </w:r>
          </w:p>
        </w:tc>
        <w:tc>
          <w:tcPr>
            <w:tcW w:w="4633" w:type="dxa"/>
          </w:tcPr>
          <w:p w14:paraId="0B2CE3F4" w14:textId="2CDBC3B9" w:rsidR="00644210" w:rsidRPr="00CC0DE3"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BC3FA4">
              <w:rPr>
                <w:rFonts w:cstheme="minorHAnsi"/>
                <w:sz w:val="20"/>
                <w:szCs w:val="20"/>
              </w:rPr>
              <w:t>O</w:t>
            </w:r>
            <w:r w:rsidR="00684C38">
              <w:rPr>
                <w:rFonts w:cstheme="minorHAnsi"/>
                <w:sz w:val="20"/>
                <w:szCs w:val="20"/>
              </w:rPr>
              <w:t xml:space="preserve">fficial sources included: </w:t>
            </w:r>
            <w:r w:rsidRPr="00CC0DE3">
              <w:rPr>
                <w:rFonts w:cstheme="minorHAnsi"/>
                <w:sz w:val="20"/>
                <w:szCs w:val="20"/>
              </w:rPr>
              <w:t xml:space="preserve">HSE cost benefit assessments of previous </w:t>
            </w:r>
            <w:r>
              <w:rPr>
                <w:rFonts w:cstheme="minorHAnsi"/>
                <w:sz w:val="20"/>
                <w:szCs w:val="20"/>
              </w:rPr>
              <w:t>European Commission proposals</w:t>
            </w:r>
            <w:r w:rsidR="00684C38">
              <w:rPr>
                <w:rFonts w:cstheme="minorHAnsi"/>
                <w:sz w:val="20"/>
                <w:szCs w:val="20"/>
              </w:rPr>
              <w:t>;</w:t>
            </w:r>
            <w:r w:rsidRPr="00CC0DE3">
              <w:rPr>
                <w:rFonts w:cstheme="minorHAnsi"/>
                <w:sz w:val="20"/>
                <w:szCs w:val="20"/>
              </w:rPr>
              <w:t xml:space="preserve"> </w:t>
            </w:r>
            <w:r>
              <w:rPr>
                <w:rFonts w:cstheme="minorHAnsi"/>
                <w:sz w:val="20"/>
                <w:szCs w:val="20"/>
              </w:rPr>
              <w:t>HSE contracted research on occupational he</w:t>
            </w:r>
            <w:r w:rsidR="00684C38">
              <w:rPr>
                <w:rFonts w:cstheme="minorHAnsi"/>
                <w:sz w:val="20"/>
                <w:szCs w:val="20"/>
              </w:rPr>
              <w:t>aring loss from low-level noise;</w:t>
            </w:r>
            <w:r>
              <w:rPr>
                <w:rFonts w:cstheme="minorHAnsi"/>
                <w:sz w:val="20"/>
                <w:szCs w:val="20"/>
              </w:rPr>
              <w:t xml:space="preserve"> HSE contracted work on the costs and benefits of noise at work regulations undertaken by the </w:t>
            </w:r>
            <w:r w:rsidR="00684C38">
              <w:rPr>
                <w:rFonts w:cstheme="minorHAnsi"/>
                <w:sz w:val="20"/>
                <w:szCs w:val="20"/>
              </w:rPr>
              <w:t>Institute of Employment Studies; the</w:t>
            </w:r>
            <w:r>
              <w:rPr>
                <w:rFonts w:cstheme="minorHAnsi"/>
                <w:sz w:val="20"/>
                <w:szCs w:val="20"/>
              </w:rPr>
              <w:t xml:space="preserve"> International O</w:t>
            </w:r>
            <w:r w:rsidR="00684C38">
              <w:rPr>
                <w:rFonts w:cstheme="minorHAnsi"/>
                <w:sz w:val="20"/>
                <w:szCs w:val="20"/>
              </w:rPr>
              <w:t>rganisation for Standardisation; the New Earnings Survey; the</w:t>
            </w:r>
            <w:r>
              <w:rPr>
                <w:rFonts w:cstheme="minorHAnsi"/>
                <w:sz w:val="20"/>
                <w:szCs w:val="20"/>
              </w:rPr>
              <w:t xml:space="preserve"> Sm</w:t>
            </w:r>
            <w:r w:rsidR="00684C38">
              <w:rPr>
                <w:rFonts w:cstheme="minorHAnsi"/>
                <w:sz w:val="20"/>
                <w:szCs w:val="20"/>
              </w:rPr>
              <w:t xml:space="preserve">all Business Service statistics. Businesses </w:t>
            </w:r>
            <w:r>
              <w:rPr>
                <w:rFonts w:cstheme="minorHAnsi"/>
                <w:sz w:val="20"/>
                <w:szCs w:val="20"/>
              </w:rPr>
              <w:t xml:space="preserve">were </w:t>
            </w:r>
            <w:r w:rsidR="008A68B5">
              <w:rPr>
                <w:rFonts w:cstheme="minorHAnsi"/>
                <w:sz w:val="20"/>
                <w:szCs w:val="20"/>
              </w:rPr>
              <w:t xml:space="preserve">the </w:t>
            </w:r>
            <w:r>
              <w:rPr>
                <w:rFonts w:cstheme="minorHAnsi"/>
                <w:sz w:val="20"/>
                <w:szCs w:val="20"/>
              </w:rPr>
              <w:t xml:space="preserve">primary source of data for HSE contracted research (see above and adjacent cell). </w:t>
            </w:r>
          </w:p>
          <w:p w14:paraId="17B64810"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431BE7D" w14:textId="5831F48E" w:rsidR="00644210" w:rsidRPr="00211C68"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684C38">
              <w:rPr>
                <w:rFonts w:cstheme="minorHAnsi"/>
                <w:sz w:val="20"/>
                <w:szCs w:val="20"/>
              </w:rPr>
              <w:t>S</w:t>
            </w:r>
            <w:r>
              <w:rPr>
                <w:rFonts w:cstheme="minorHAnsi"/>
                <w:sz w:val="20"/>
                <w:szCs w:val="20"/>
              </w:rPr>
              <w:t xml:space="preserve">ee summary in </w:t>
            </w:r>
            <w:r w:rsidR="00684C38">
              <w:rPr>
                <w:rFonts w:cstheme="minorHAnsi"/>
                <w:sz w:val="20"/>
                <w:szCs w:val="20"/>
              </w:rPr>
              <w:t xml:space="preserve">the </w:t>
            </w:r>
            <w:r>
              <w:rPr>
                <w:rFonts w:cstheme="minorHAnsi"/>
                <w:sz w:val="20"/>
                <w:szCs w:val="20"/>
              </w:rPr>
              <w:t xml:space="preserve">adjacent cell relating to HSE contracted research by the </w:t>
            </w:r>
            <w:r w:rsidR="00684C38">
              <w:rPr>
                <w:rFonts w:cstheme="minorHAnsi"/>
                <w:sz w:val="20"/>
                <w:szCs w:val="20"/>
              </w:rPr>
              <w:t>Institute of Employment Studies. T</w:t>
            </w:r>
            <w:r>
              <w:rPr>
                <w:rFonts w:cstheme="minorHAnsi"/>
                <w:sz w:val="20"/>
                <w:szCs w:val="20"/>
              </w:rPr>
              <w:t xml:space="preserve">he impact assessment did not report </w:t>
            </w:r>
            <w:r w:rsidR="000D56AA">
              <w:rPr>
                <w:rFonts w:cstheme="minorHAnsi"/>
                <w:sz w:val="20"/>
                <w:szCs w:val="20"/>
              </w:rPr>
              <w:t xml:space="preserve">general </w:t>
            </w:r>
            <w:r>
              <w:rPr>
                <w:rFonts w:cstheme="minorHAnsi"/>
                <w:sz w:val="20"/>
                <w:szCs w:val="20"/>
              </w:rPr>
              <w:t xml:space="preserve">business responses </w:t>
            </w:r>
            <w:r w:rsidR="00684C38">
              <w:rPr>
                <w:rFonts w:cstheme="minorHAnsi"/>
                <w:sz w:val="20"/>
                <w:szCs w:val="20"/>
              </w:rPr>
              <w:t xml:space="preserve">to </w:t>
            </w:r>
            <w:r>
              <w:rPr>
                <w:rFonts w:cstheme="minorHAnsi"/>
                <w:sz w:val="20"/>
                <w:szCs w:val="20"/>
              </w:rPr>
              <w:t>the public consultation (</w:t>
            </w:r>
            <w:r w:rsidR="000D56AA">
              <w:rPr>
                <w:rFonts w:cstheme="minorHAnsi"/>
                <w:sz w:val="20"/>
                <w:szCs w:val="20"/>
              </w:rPr>
              <w:t xml:space="preserve">although some responses from </w:t>
            </w:r>
            <w:r>
              <w:rPr>
                <w:rFonts w:cstheme="minorHAnsi"/>
                <w:sz w:val="20"/>
                <w:szCs w:val="20"/>
              </w:rPr>
              <w:t xml:space="preserve">small business </w:t>
            </w:r>
            <w:r w:rsidR="00684C38">
              <w:rPr>
                <w:rFonts w:cstheme="minorHAnsi"/>
                <w:sz w:val="20"/>
                <w:szCs w:val="20"/>
              </w:rPr>
              <w:t xml:space="preserve">were </w:t>
            </w:r>
            <w:r w:rsidR="000D56AA">
              <w:rPr>
                <w:rFonts w:cstheme="minorHAnsi"/>
                <w:sz w:val="20"/>
                <w:szCs w:val="20"/>
              </w:rPr>
              <w:t>reported</w:t>
            </w:r>
            <w:r>
              <w:rPr>
                <w:rFonts w:cstheme="minorHAnsi"/>
                <w:sz w:val="20"/>
                <w:szCs w:val="20"/>
              </w:rPr>
              <w:t>).</w:t>
            </w:r>
          </w:p>
          <w:p w14:paraId="0E6E16A0"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C831970" w14:textId="69807CA2" w:rsidR="00644210" w:rsidRPr="002C4282"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sidR="00684C38">
              <w:rPr>
                <w:rFonts w:cstheme="minorHAnsi"/>
                <w:sz w:val="20"/>
                <w:szCs w:val="20"/>
              </w:rPr>
              <w:t>B</w:t>
            </w:r>
            <w:r>
              <w:rPr>
                <w:rFonts w:cstheme="minorHAnsi"/>
                <w:sz w:val="20"/>
                <w:szCs w:val="20"/>
              </w:rPr>
              <w:t xml:space="preserve">usiness responses to HSE contracted research were used as a basis for several material </w:t>
            </w:r>
            <w:r w:rsidRPr="000D56AA">
              <w:rPr>
                <w:rFonts w:cstheme="minorHAnsi"/>
                <w:sz w:val="20"/>
                <w:szCs w:val="20"/>
              </w:rPr>
              <w:t xml:space="preserve">cost-relevant </w:t>
            </w:r>
            <w:r w:rsidR="00684C38">
              <w:rPr>
                <w:rFonts w:cstheme="minorHAnsi"/>
                <w:sz w:val="20"/>
                <w:szCs w:val="20"/>
              </w:rPr>
              <w:t>assumptions (see adjacent cell). The</w:t>
            </w:r>
            <w:r>
              <w:rPr>
                <w:rFonts w:cstheme="minorHAnsi"/>
                <w:sz w:val="20"/>
                <w:szCs w:val="20"/>
              </w:rPr>
              <w:t xml:space="preserve"> data reported by employers </w:t>
            </w:r>
            <w:r w:rsidR="00074F69">
              <w:rPr>
                <w:rFonts w:cstheme="minorHAnsi"/>
                <w:sz w:val="20"/>
                <w:szCs w:val="20"/>
              </w:rPr>
              <w:t xml:space="preserve">do not appear to have been </w:t>
            </w:r>
            <w:r>
              <w:rPr>
                <w:rFonts w:cstheme="minorHAnsi"/>
                <w:sz w:val="20"/>
                <w:szCs w:val="20"/>
              </w:rPr>
              <w:t>verified</w:t>
            </w:r>
            <w:r w:rsidRPr="002C4282">
              <w:rPr>
                <w:rFonts w:cstheme="minorHAnsi"/>
                <w:sz w:val="20"/>
                <w:szCs w:val="20"/>
              </w:rPr>
              <w:fldChar w:fldCharType="begin"/>
            </w:r>
            <w:r>
              <w:rPr>
                <w:rFonts w:cstheme="minorHAnsi"/>
                <w:sz w:val="20"/>
                <w:szCs w:val="20"/>
              </w:rPr>
              <w:instrText xml:space="preserve"> ADDIN EN.CITE &lt;EndNote&gt;&lt;Cite&gt;&lt;Author&gt;Honey&lt;/Author&gt;&lt;Year&gt;1996&lt;/Year&gt;&lt;RecNum&gt;1614&lt;/RecNum&gt;&lt;DisplayText&gt; (Honey&lt;style face="italic"&gt; et al.&lt;/style&gt;, 1996)&lt;/DisplayText&gt;&lt;record&gt;&lt;rec-number&gt;1614&lt;/rec-number&gt;&lt;foreign-keys&gt;&lt;key app="EN" db-id="drrvazw0t090vlef0e6praxba2d0xwps0wt0" timestamp="1491331455"&gt;1614&lt;/key&gt;&lt;/foreign-keys&gt;&lt;ref-type name="Report"&gt;27&lt;/ref-type&gt;&lt;contributors&gt;&lt;authors&gt;&lt;author&gt;S Honey&lt;/author&gt;&lt;author&gt;J Hillage&lt;/author&gt;&lt;author&gt;N Jagger&lt;/author&gt;&lt;author&gt;S Morris&lt;/author&gt;&lt;/authors&gt;&lt;tertiary-authors&gt;&lt;author&gt;HMSO&lt;/author&gt;&lt;/tertiary-authors&gt;&lt;/contributors&gt;&lt;titles&gt;&lt;title&gt;The Costs and Benefits of the Noise at Work Regulations 1989&lt;/title&gt;&lt;/titles&gt;&lt;number&gt; 116/1996&lt;/number&gt;&lt;dates&gt;&lt;year&gt;1996&lt;/year&gt;&lt;/dates&gt;&lt;pub-location&gt;Norwich&lt;/pub-location&gt;&lt;publisher&gt;Health and Safety Executive&lt;/publisher&gt;&lt;urls&gt;&lt;related-urls&gt;&lt;url&gt;http://www.hse.gov.uk/research/crr_pdf/1996/crr96116.pdf&lt;/url&gt;&lt;/related-urls&gt;&lt;/urls&gt;&lt;access-date&gt;April 1, 2017&lt;/access-date&gt;&lt;/record&gt;&lt;/Cite&gt;&lt;/EndNote&gt;</w:instrText>
            </w:r>
            <w:r w:rsidRPr="002C4282">
              <w:rPr>
                <w:rFonts w:cstheme="minorHAnsi"/>
                <w:sz w:val="20"/>
                <w:szCs w:val="20"/>
              </w:rPr>
              <w:fldChar w:fldCharType="separate"/>
            </w:r>
            <w:r>
              <w:rPr>
                <w:rFonts w:cstheme="minorHAnsi"/>
                <w:noProof/>
                <w:sz w:val="20"/>
                <w:szCs w:val="20"/>
              </w:rPr>
              <w:t xml:space="preserve"> </w:t>
            </w:r>
            <w:hyperlink w:anchor="_ENREF_15" w:tooltip="Honey, 1996 #1614" w:history="1">
              <w:r w:rsidR="006D11C0">
                <w:rPr>
                  <w:rFonts w:cstheme="minorHAnsi"/>
                  <w:noProof/>
                  <w:sz w:val="20"/>
                  <w:szCs w:val="20"/>
                </w:rPr>
                <w:t>(Honey</w:t>
              </w:r>
              <w:r w:rsidR="006D11C0" w:rsidRPr="00BB4F0A">
                <w:rPr>
                  <w:rFonts w:cstheme="minorHAnsi"/>
                  <w:i/>
                  <w:noProof/>
                  <w:sz w:val="20"/>
                  <w:szCs w:val="20"/>
                </w:rPr>
                <w:t xml:space="preserve"> et al.</w:t>
              </w:r>
              <w:r w:rsidR="006D11C0">
                <w:rPr>
                  <w:rFonts w:cstheme="minorHAnsi"/>
                  <w:noProof/>
                  <w:sz w:val="20"/>
                  <w:szCs w:val="20"/>
                </w:rPr>
                <w:t>, 1996</w:t>
              </w:r>
            </w:hyperlink>
            <w:r>
              <w:rPr>
                <w:rFonts w:cstheme="minorHAnsi"/>
                <w:noProof/>
                <w:sz w:val="20"/>
                <w:szCs w:val="20"/>
              </w:rPr>
              <w:t>)</w:t>
            </w:r>
            <w:r w:rsidRPr="002C4282">
              <w:rPr>
                <w:rFonts w:cstheme="minorHAnsi"/>
                <w:sz w:val="20"/>
                <w:szCs w:val="20"/>
              </w:rPr>
              <w:fldChar w:fldCharType="end"/>
            </w:r>
            <w:r w:rsidR="009F44AD">
              <w:rPr>
                <w:rFonts w:cstheme="minorHAnsi"/>
                <w:sz w:val="20"/>
                <w:szCs w:val="20"/>
              </w:rPr>
              <w:t>.</w:t>
            </w:r>
          </w:p>
        </w:tc>
        <w:tc>
          <w:tcPr>
            <w:tcW w:w="4633" w:type="dxa"/>
          </w:tcPr>
          <w:p w14:paraId="47A88DD4" w14:textId="4C556101" w:rsidR="00644210" w:rsidRPr="000011FF"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(workers): </w:t>
            </w:r>
            <w:r>
              <w:rPr>
                <w:rFonts w:cstheme="minorHAnsi"/>
                <w:sz w:val="20"/>
                <w:szCs w:val="20"/>
              </w:rPr>
              <w:t xml:space="preserve">reduction in hearing loss; reduction in other problems related to noise exposure (e.g. tinnitus); reduction in loss of earnings associated with health problems related to noise exposure in so far as captured in the Quality of Life Years (QALY) approach to measuring benefits (see </w:t>
            </w:r>
            <w:r>
              <w:rPr>
                <w:rFonts w:cstheme="minorHAnsi"/>
                <w:i/>
                <w:sz w:val="20"/>
                <w:szCs w:val="20"/>
              </w:rPr>
              <w:t xml:space="preserve">monetised benefits (workers) </w:t>
            </w:r>
            <w:r>
              <w:rPr>
                <w:rFonts w:cstheme="minorHAnsi"/>
                <w:sz w:val="20"/>
                <w:szCs w:val="20"/>
              </w:rPr>
              <w:t>below); reduction in pain and suffering; reduction in restrictions to social activities.</w:t>
            </w:r>
          </w:p>
          <w:p w14:paraId="3C4EB7F7" w14:textId="32F44996"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EDC5DE5" w14:textId="77BC5286" w:rsidR="00644210" w:rsidRPr="009878C1"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Reported Benefits (employers):</w:t>
            </w:r>
            <w:r>
              <w:rPr>
                <w:rFonts w:cstheme="minorHAnsi"/>
                <w:sz w:val="20"/>
                <w:szCs w:val="20"/>
              </w:rPr>
              <w:t xml:space="preserve"> reductions in productivity losses (reductions in discomfort and annoyance and increases in efficiency due to working in a quieter environment).</w:t>
            </w:r>
          </w:p>
          <w:p w14:paraId="167AD12E"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70B1A18" w14:textId="57335904" w:rsidR="00644210" w:rsidRPr="001E0CCE"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(government): </w:t>
            </w:r>
            <w:r>
              <w:rPr>
                <w:rFonts w:cstheme="minorHAnsi"/>
                <w:sz w:val="20"/>
                <w:szCs w:val="20"/>
              </w:rPr>
              <w:t>reduced health service related costs (hearing aids, cost of appointments, etc.); Department of Social Security administration costs (as fewer workers claim disability benefit).</w:t>
            </w:r>
          </w:p>
          <w:p w14:paraId="677A30DD"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17CCF2D" w14:textId="4212F2ED"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Non-reported benefits (workers): </w:t>
            </w:r>
            <w:r>
              <w:rPr>
                <w:rFonts w:cstheme="minorHAnsi"/>
                <w:sz w:val="20"/>
                <w:szCs w:val="20"/>
              </w:rPr>
              <w:t xml:space="preserve">reduction in loss of earnings (as a result of having to leave the work force or being restricted to certain work activities) associated with problems related to noise exposure (tinnitus, hearing loss) in so far as not captured in the QALY approach to measuring benefits (see </w:t>
            </w:r>
            <w:r>
              <w:rPr>
                <w:rFonts w:cstheme="minorHAnsi"/>
                <w:i/>
                <w:sz w:val="20"/>
                <w:szCs w:val="20"/>
              </w:rPr>
              <w:t xml:space="preserve">monetised benefits (workers) </w:t>
            </w:r>
            <w:r>
              <w:rPr>
                <w:rFonts w:cstheme="minorHAnsi"/>
                <w:sz w:val="20"/>
                <w:szCs w:val="20"/>
              </w:rPr>
              <w:t>below).</w:t>
            </w:r>
          </w:p>
          <w:p w14:paraId="1F7F85F1"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0546F06D" w14:textId="4F3F6B99" w:rsidR="00644210" w:rsidRPr="00D821BC"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Non-reported benefits (employers): </w:t>
            </w:r>
            <w:r>
              <w:rPr>
                <w:rFonts w:cstheme="minorHAnsi"/>
                <w:sz w:val="20"/>
                <w:szCs w:val="20"/>
              </w:rPr>
              <w:t>reduction in productivity losses associated with noise-related health problems (e.g. loss of hearing, tinnitus); increased administration and training associated with higher employee turnover arising from noise-related health problems.</w:t>
            </w:r>
          </w:p>
          <w:p w14:paraId="0628164E"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0D82460A" w14:textId="5D762956" w:rsidR="00644210" w:rsidRPr="00341147"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Non-reported benefits (government):</w:t>
            </w:r>
            <w:r>
              <w:rPr>
                <w:rFonts w:cstheme="minorHAnsi"/>
                <w:sz w:val="20"/>
                <w:szCs w:val="20"/>
              </w:rPr>
              <w:t xml:space="preserve"> reduction in revenue loses as a result of reduced employee earnings and lower productivity.</w:t>
            </w:r>
          </w:p>
          <w:p w14:paraId="109B5CAA"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855EA24" w14:textId="5C766744" w:rsidR="00644210" w:rsidRPr="001E0CCE"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Disputed benefits:</w:t>
            </w:r>
            <w:r>
              <w:rPr>
                <w:rFonts w:cstheme="minorHAnsi"/>
                <w:sz w:val="20"/>
                <w:szCs w:val="20"/>
              </w:rPr>
              <w:t xml:space="preserve"> none disputed. </w:t>
            </w:r>
          </w:p>
          <w:p w14:paraId="0FF96A09" w14:textId="6E65A43F"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C5B01F1" w14:textId="08B1644F" w:rsidR="00644210" w:rsidRPr="00D821BC"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Fonts w:cstheme="minorHAnsi"/>
                <w:b/>
                <w:sz w:val="20"/>
                <w:szCs w:val="20"/>
              </w:rPr>
              <w:t xml:space="preserve">Monetised benefits (workers): </w:t>
            </w:r>
            <w:r>
              <w:rPr>
                <w:rFonts w:cstheme="minorHAnsi"/>
                <w:sz w:val="20"/>
                <w:szCs w:val="20"/>
              </w:rPr>
              <w:t>QALY approach (using the road safety estimate of the value of preventing a fatality) taken for different levels of hearing loss (which includes loss of output, an allowance for pain and suffering, various other items under “welfare loss” suggest as whether there is a need for hospital treatment or restrictions to certain social and work activities).</w:t>
            </w:r>
          </w:p>
          <w:p w14:paraId="2CFE8B0F" w14:textId="3C297D04"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AE1DF02" w14:textId="77777777" w:rsidR="00644210" w:rsidRPr="00D821BC" w:rsidRDefault="00644210" w:rsidP="000908E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Monetised benefits (employers): </w:t>
            </w:r>
            <w:r>
              <w:rPr>
                <w:rFonts w:cstheme="minorHAnsi"/>
                <w:sz w:val="20"/>
                <w:szCs w:val="20"/>
              </w:rPr>
              <w:t>reductions in productivity losses (reductions in discomfort and annoyance and increases in efficiency due to working in a quieter environment); reduction in productivity losses associated with noise-related health problems (e.g. loss of hearing, tinnitus); increased administration and training associated with higher employee turnover arising from noise-related health problems.</w:t>
            </w:r>
          </w:p>
          <w:p w14:paraId="1EADCFA2" w14:textId="4E72FB3D"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6992791" w14:textId="0E1270B2" w:rsidR="00644210" w:rsidRPr="000908E3" w:rsidRDefault="00644210" w:rsidP="000011F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Monetised benefits (government): </w:t>
            </w:r>
            <w:r w:rsidR="00733910">
              <w:rPr>
                <w:rFonts w:cstheme="minorHAnsi"/>
                <w:sz w:val="20"/>
                <w:szCs w:val="20"/>
              </w:rPr>
              <w:t>reduction</w:t>
            </w:r>
            <w:r>
              <w:rPr>
                <w:rFonts w:cstheme="minorHAnsi"/>
                <w:sz w:val="20"/>
                <w:szCs w:val="20"/>
              </w:rPr>
              <w:t xml:space="preserve"> in health service costs.</w:t>
            </w:r>
          </w:p>
          <w:p w14:paraId="2C1D2ECD"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A4E4E9B" w14:textId="42C07F14" w:rsidR="00644210" w:rsidRPr="00ED627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benefits (general): </w:t>
            </w:r>
            <w:r>
              <w:rPr>
                <w:rFonts w:cstheme="minorHAnsi"/>
                <w:sz w:val="20"/>
                <w:szCs w:val="20"/>
              </w:rPr>
              <w:t xml:space="preserve">“great uncertainty in quantifying benefits” reported; estimated benefits reported to be an understatement of benefits likely to be realised. </w:t>
            </w:r>
          </w:p>
          <w:p w14:paraId="61781D71"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2BBE883" w14:textId="09CD27DB" w:rsidR="00A57673" w:rsidRDefault="00644210" w:rsidP="00A5767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Non-monetised benefits (workers):</w:t>
            </w:r>
            <w:r>
              <w:rPr>
                <w:rFonts w:cstheme="minorHAnsi"/>
                <w:sz w:val="20"/>
                <w:szCs w:val="20"/>
              </w:rPr>
              <w:t xml:space="preserve"> noise related problems (e.g. tinnitus) other than reductions in hearing loss; hearing loss over the longer term (compounded by the fact that the HSE reported having little information on how hearing loss develops before forty years of exposure)</w:t>
            </w:r>
            <w:r w:rsidR="00A57673">
              <w:rPr>
                <w:rFonts w:cstheme="minorHAnsi"/>
                <w:sz w:val="20"/>
                <w:szCs w:val="20"/>
              </w:rPr>
              <w:t xml:space="preserve">; </w:t>
            </w:r>
            <w:r w:rsidR="00A57673" w:rsidRPr="00733910">
              <w:rPr>
                <w:rFonts w:cstheme="minorHAnsi"/>
                <w:sz w:val="20"/>
                <w:szCs w:val="20"/>
              </w:rPr>
              <w:t xml:space="preserve">benefits also estimated in terms of numbers experiencing more than 50 dB hearing loss (in practice, loss of hearing between 45dB and 50dB would also require NHS treatment, but information was not available on people in this category). </w:t>
            </w:r>
          </w:p>
          <w:p w14:paraId="03041EAE" w14:textId="535E464D"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C6001F0" w14:textId="7F36360C"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Non-monetised benefits (employers):</w:t>
            </w:r>
            <w:r>
              <w:rPr>
                <w:rFonts w:cstheme="minorHAnsi"/>
                <w:i/>
                <w:sz w:val="20"/>
                <w:szCs w:val="20"/>
              </w:rPr>
              <w:t xml:space="preserve"> </w:t>
            </w:r>
            <w:r>
              <w:rPr>
                <w:rFonts w:cstheme="minorHAnsi"/>
                <w:sz w:val="20"/>
                <w:szCs w:val="20"/>
              </w:rPr>
              <w:t xml:space="preserve">reduction in productivity losses associated with noise-related health problems (e.g. loss of hearing, tinnitus); increased administration and training associated with higher employee turnover arising from noise-related health problems; reduction in </w:t>
            </w:r>
            <w:r w:rsidRPr="0081253E">
              <w:rPr>
                <w:rFonts w:cstheme="minorHAnsi"/>
                <w:sz w:val="20"/>
                <w:szCs w:val="20"/>
              </w:rPr>
              <w:t>productivity losses associated with non-monetised benefits to workers</w:t>
            </w:r>
            <w:r>
              <w:rPr>
                <w:rFonts w:cstheme="minorHAnsi"/>
                <w:sz w:val="20"/>
                <w:szCs w:val="20"/>
              </w:rPr>
              <w:t xml:space="preserve"> (see above)</w:t>
            </w:r>
            <w:r w:rsidRPr="0081253E">
              <w:rPr>
                <w:rFonts w:cstheme="minorHAnsi"/>
                <w:sz w:val="20"/>
                <w:szCs w:val="20"/>
              </w:rPr>
              <w:t xml:space="preserve">; </w:t>
            </w:r>
            <w:r>
              <w:rPr>
                <w:rFonts w:cstheme="minorHAnsi"/>
                <w:sz w:val="20"/>
                <w:szCs w:val="20"/>
              </w:rPr>
              <w:t xml:space="preserve">reduction in productivity losses associated with discomfort and annoyance of working </w:t>
            </w:r>
            <w:r w:rsidR="00A57673">
              <w:rPr>
                <w:rFonts w:cstheme="minorHAnsi"/>
                <w:sz w:val="20"/>
                <w:szCs w:val="20"/>
              </w:rPr>
              <w:t>in a noisy working environment.</w:t>
            </w:r>
          </w:p>
          <w:p w14:paraId="70AB789E"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1A373D51" w14:textId="1C5368ED" w:rsidR="00644210" w:rsidRDefault="00644210" w:rsidP="00733910">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Non-monetised benefits (government): </w:t>
            </w:r>
            <w:r>
              <w:rPr>
                <w:rFonts w:cstheme="minorHAnsi"/>
                <w:sz w:val="20"/>
                <w:szCs w:val="20"/>
              </w:rPr>
              <w:t xml:space="preserve">reduction in lost revenue as a result of </w:t>
            </w:r>
            <w:r w:rsidR="00A57673">
              <w:rPr>
                <w:rFonts w:cstheme="minorHAnsi"/>
                <w:sz w:val="20"/>
                <w:szCs w:val="20"/>
              </w:rPr>
              <w:t xml:space="preserve">lost </w:t>
            </w:r>
            <w:r>
              <w:rPr>
                <w:rFonts w:cstheme="minorHAnsi"/>
                <w:sz w:val="20"/>
                <w:szCs w:val="20"/>
              </w:rPr>
              <w:t xml:space="preserve">pay; reduction in Department of Social Security administration costs (as fewer workers claim disability benefit); reduction in lost revenue as a result of lower output; </w:t>
            </w:r>
            <w:r w:rsidR="00A57673">
              <w:rPr>
                <w:rFonts w:cstheme="minorHAnsi"/>
                <w:sz w:val="20"/>
                <w:szCs w:val="20"/>
              </w:rPr>
              <w:t>some reduction in health costs (see</w:t>
            </w:r>
            <w:r w:rsidR="00733910">
              <w:rPr>
                <w:rFonts w:cstheme="minorHAnsi"/>
                <w:sz w:val="20"/>
                <w:szCs w:val="20"/>
              </w:rPr>
              <w:t xml:space="preserve"> </w:t>
            </w:r>
            <w:r w:rsidR="00733910">
              <w:rPr>
                <w:rFonts w:cstheme="minorHAnsi"/>
                <w:i/>
                <w:sz w:val="20"/>
                <w:szCs w:val="20"/>
              </w:rPr>
              <w:t>non-monestised benefits to workers</w:t>
            </w:r>
            <w:r w:rsidR="00733910">
              <w:rPr>
                <w:rFonts w:cstheme="minorHAnsi"/>
                <w:sz w:val="20"/>
                <w:szCs w:val="20"/>
              </w:rPr>
              <w:t>).</w:t>
            </w:r>
          </w:p>
          <w:p w14:paraId="5573891D" w14:textId="77777777" w:rsidR="00644210" w:rsidRDefault="00644210" w:rsidP="0047425F">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3EBC030F" w14:textId="77777777" w:rsidR="00644210" w:rsidRPr="002C4282"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44210" w:rsidRPr="001C3290" w14:paraId="13A02A61"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7F6B9C4C" w14:textId="75F8DC21" w:rsidR="00644210" w:rsidRPr="007C43DB" w:rsidRDefault="00644210" w:rsidP="00C65E87">
            <w:pPr>
              <w:rPr>
                <w:rFonts w:cstheme="minorHAnsi"/>
                <w:b w:val="0"/>
                <w:sz w:val="20"/>
                <w:szCs w:val="20"/>
              </w:rPr>
            </w:pPr>
            <w:r w:rsidRPr="007C43DB">
              <w:rPr>
                <w:rFonts w:cstheme="minorHAnsi"/>
                <w:sz w:val="20"/>
                <w:szCs w:val="20"/>
              </w:rPr>
              <w:t>The Work at Height Regulations 2005</w:t>
            </w:r>
            <w:r w:rsidRPr="007C43DB">
              <w:rPr>
                <w:rFonts w:cstheme="minorHAnsi"/>
                <w:b w:val="0"/>
                <w:sz w:val="20"/>
                <w:szCs w:val="20"/>
              </w:rPr>
              <w:t xml:space="preserve"> (2001/45/EC) (</w:t>
            </w:r>
            <w:r w:rsidR="00A3608E" w:rsidRPr="007C43DB">
              <w:rPr>
                <w:rFonts w:cstheme="minorHAnsi"/>
                <w:b w:val="0"/>
                <w:sz w:val="20"/>
                <w:szCs w:val="20"/>
              </w:rPr>
              <w:t xml:space="preserve">Health and Safety Executive, </w:t>
            </w:r>
            <w:r w:rsidRPr="007C43DB">
              <w:rPr>
                <w:rFonts w:cstheme="minorHAnsi"/>
                <w:b w:val="0"/>
                <w:sz w:val="20"/>
                <w:szCs w:val="20"/>
              </w:rPr>
              <w:t xml:space="preserve">HSE) </w:t>
            </w:r>
            <w:r w:rsidRPr="007C43DB">
              <w:rPr>
                <w:rFonts w:cstheme="minorHAnsi"/>
                <w:b w:val="0"/>
                <w:noProof/>
                <w:sz w:val="20"/>
                <w:szCs w:val="20"/>
              </w:rPr>
              <w:t>(Health and Safety Executive, 2005c)</w:t>
            </w:r>
          </w:p>
          <w:p w14:paraId="7AD19088" w14:textId="4E818B2A" w:rsidR="00644210" w:rsidRPr="007C43DB" w:rsidRDefault="00644210" w:rsidP="00C65E87">
            <w:pPr>
              <w:rPr>
                <w:rFonts w:cstheme="minorHAnsi"/>
                <w:sz w:val="20"/>
                <w:szCs w:val="20"/>
              </w:rPr>
            </w:pPr>
          </w:p>
        </w:tc>
        <w:tc>
          <w:tcPr>
            <w:tcW w:w="4632" w:type="dxa"/>
          </w:tcPr>
          <w:p w14:paraId="3A24991C" w14:textId="7D508DC1"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The impact assessment noted that it was “</w:t>
            </w:r>
            <w:r w:rsidRPr="00D7675D">
              <w:rPr>
                <w:rFonts w:cstheme="minorHAnsi"/>
                <w:sz w:val="20"/>
                <w:szCs w:val="20"/>
              </w:rPr>
              <w:t>extremely difficult</w:t>
            </w:r>
            <w:r>
              <w:rPr>
                <w:rFonts w:cstheme="minorHAnsi"/>
                <w:sz w:val="20"/>
                <w:szCs w:val="20"/>
              </w:rPr>
              <w:t>”</w:t>
            </w:r>
            <w:r w:rsidRPr="00D7675D">
              <w:rPr>
                <w:rFonts w:cstheme="minorHAnsi"/>
                <w:sz w:val="20"/>
                <w:szCs w:val="20"/>
              </w:rPr>
              <w:t xml:space="preserve"> to estimate the number of people working at height because</w:t>
            </w:r>
            <w:r>
              <w:rPr>
                <w:rFonts w:cstheme="minorHAnsi"/>
                <w:sz w:val="20"/>
                <w:szCs w:val="20"/>
              </w:rPr>
              <w:t xml:space="preserve"> of the </w:t>
            </w:r>
            <w:r w:rsidRPr="00D7675D">
              <w:rPr>
                <w:rFonts w:cstheme="minorHAnsi"/>
                <w:sz w:val="20"/>
                <w:szCs w:val="20"/>
              </w:rPr>
              <w:t>large number of sectors in which people work</w:t>
            </w:r>
            <w:r>
              <w:rPr>
                <w:rFonts w:cstheme="minorHAnsi"/>
                <w:sz w:val="20"/>
                <w:szCs w:val="20"/>
              </w:rPr>
              <w:t>ed</w:t>
            </w:r>
            <w:r w:rsidRPr="00D7675D">
              <w:rPr>
                <w:rFonts w:cstheme="minorHAnsi"/>
                <w:sz w:val="20"/>
                <w:szCs w:val="20"/>
              </w:rPr>
              <w:t xml:space="preserve"> at height. </w:t>
            </w:r>
            <w:r>
              <w:rPr>
                <w:rFonts w:cstheme="minorHAnsi"/>
                <w:sz w:val="20"/>
                <w:szCs w:val="20"/>
              </w:rPr>
              <w:t>It relied on estimates by the</w:t>
            </w:r>
            <w:r w:rsidRPr="00D7675D">
              <w:rPr>
                <w:rFonts w:cstheme="minorHAnsi"/>
                <w:sz w:val="20"/>
                <w:szCs w:val="20"/>
              </w:rPr>
              <w:t xml:space="preserve"> Ladder Stabiliser Manufacturing Association</w:t>
            </w:r>
            <w:r>
              <w:rPr>
                <w:rFonts w:cstheme="minorHAnsi"/>
                <w:sz w:val="20"/>
                <w:szCs w:val="20"/>
              </w:rPr>
              <w:t xml:space="preserve"> and </w:t>
            </w:r>
            <w:r w:rsidRPr="00D7675D">
              <w:rPr>
                <w:rFonts w:cstheme="minorHAnsi"/>
                <w:sz w:val="20"/>
                <w:szCs w:val="20"/>
              </w:rPr>
              <w:t>Industrial Rope Access Trade</w:t>
            </w:r>
            <w:r>
              <w:rPr>
                <w:rFonts w:cstheme="minorHAnsi"/>
                <w:sz w:val="20"/>
                <w:szCs w:val="20"/>
              </w:rPr>
              <w:t xml:space="preserve"> </w:t>
            </w:r>
            <w:r w:rsidRPr="00D7675D">
              <w:rPr>
                <w:rFonts w:cstheme="minorHAnsi"/>
                <w:sz w:val="20"/>
                <w:szCs w:val="20"/>
              </w:rPr>
              <w:t>Association</w:t>
            </w:r>
            <w:r>
              <w:rPr>
                <w:rFonts w:cstheme="minorHAnsi"/>
                <w:sz w:val="20"/>
                <w:szCs w:val="20"/>
              </w:rPr>
              <w:t xml:space="preserve"> (IRATA) that between 2.5 to 3 million </w:t>
            </w:r>
            <w:r w:rsidRPr="00D7675D">
              <w:rPr>
                <w:rFonts w:cstheme="minorHAnsi"/>
                <w:sz w:val="20"/>
                <w:szCs w:val="20"/>
              </w:rPr>
              <w:t>people use</w:t>
            </w:r>
            <w:r>
              <w:rPr>
                <w:rFonts w:cstheme="minorHAnsi"/>
                <w:sz w:val="20"/>
                <w:szCs w:val="20"/>
              </w:rPr>
              <w:t>d</w:t>
            </w:r>
            <w:r w:rsidRPr="00D7675D">
              <w:rPr>
                <w:rFonts w:cstheme="minorHAnsi"/>
                <w:sz w:val="20"/>
                <w:szCs w:val="20"/>
              </w:rPr>
              <w:t xml:space="preserve"> ladders </w:t>
            </w:r>
            <w:r>
              <w:rPr>
                <w:rFonts w:cstheme="minorHAnsi"/>
                <w:sz w:val="20"/>
                <w:szCs w:val="20"/>
              </w:rPr>
              <w:t xml:space="preserve">as </w:t>
            </w:r>
            <w:r w:rsidRPr="00D7675D">
              <w:rPr>
                <w:rFonts w:cstheme="minorHAnsi"/>
                <w:sz w:val="20"/>
                <w:szCs w:val="20"/>
              </w:rPr>
              <w:t>an</w:t>
            </w:r>
            <w:r>
              <w:rPr>
                <w:rFonts w:cstheme="minorHAnsi"/>
                <w:sz w:val="20"/>
                <w:szCs w:val="20"/>
              </w:rPr>
              <w:t xml:space="preserve"> </w:t>
            </w:r>
            <w:r w:rsidRPr="00D7675D">
              <w:rPr>
                <w:rFonts w:cstheme="minorHAnsi"/>
                <w:sz w:val="20"/>
                <w:szCs w:val="20"/>
              </w:rPr>
              <w:t>essential requirement</w:t>
            </w:r>
            <w:r>
              <w:rPr>
                <w:rFonts w:cstheme="minorHAnsi"/>
                <w:sz w:val="20"/>
                <w:szCs w:val="20"/>
              </w:rPr>
              <w:t xml:space="preserve"> of their work, and </w:t>
            </w:r>
            <w:r w:rsidRPr="00D7675D">
              <w:rPr>
                <w:rFonts w:cstheme="minorHAnsi"/>
                <w:sz w:val="20"/>
                <w:szCs w:val="20"/>
              </w:rPr>
              <w:t>approximately 15,</w:t>
            </w:r>
            <w:r>
              <w:rPr>
                <w:rFonts w:cstheme="minorHAnsi"/>
                <w:sz w:val="20"/>
                <w:szCs w:val="20"/>
              </w:rPr>
              <w:t>000 worked</w:t>
            </w:r>
            <w:r w:rsidRPr="00D7675D">
              <w:rPr>
                <w:rFonts w:cstheme="minorHAnsi"/>
                <w:sz w:val="20"/>
                <w:szCs w:val="20"/>
              </w:rPr>
              <w:t xml:space="preserve"> using rope</w:t>
            </w:r>
            <w:r>
              <w:rPr>
                <w:rFonts w:cstheme="minorHAnsi"/>
                <w:sz w:val="20"/>
                <w:szCs w:val="20"/>
              </w:rPr>
              <w:t xml:space="preserve"> </w:t>
            </w:r>
            <w:r w:rsidRPr="00D7675D">
              <w:rPr>
                <w:rFonts w:cstheme="minorHAnsi"/>
                <w:sz w:val="20"/>
                <w:szCs w:val="20"/>
              </w:rPr>
              <w:t>access</w:t>
            </w:r>
            <w:r w:rsidRPr="0008349B">
              <w:rPr>
                <w:rFonts w:cstheme="minorHAnsi"/>
                <w:sz w:val="20"/>
                <w:szCs w:val="20"/>
              </w:rPr>
              <w:t>.</w:t>
            </w:r>
            <w:r>
              <w:rPr>
                <w:rFonts w:cstheme="minorHAnsi"/>
                <w:sz w:val="20"/>
                <w:szCs w:val="20"/>
              </w:rPr>
              <w:t xml:space="preserve"> </w:t>
            </w:r>
          </w:p>
          <w:p w14:paraId="4B1F3D1B"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188FFF6"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Its costings also relied on estimates of the relative proportion of businesses that would purchase tower scaffolds and mobile elevated working platforms (rather than hiring them), which, whilst not unreasonable, were based on nothing more than the observation that businesses more likely to hire than purchase were likely to be smaller and, therefore, less likely to afford the one-off cost of purchasing. </w:t>
            </w:r>
          </w:p>
          <w:p w14:paraId="318A48DA" w14:textId="6EEDB0B4"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sz w:val="20"/>
                <w:szCs w:val="20"/>
              </w:rPr>
              <w:t>Speculative assumptions were also made about: the number of workers who would, in future, use mobile elevated working platforms, rather than ladders; the proportion of ladder users switching to alternative means of access, purchasing stabilising devices, and requiring ladder safety training following the regulations. In addition, the impact assessment reported that it was not possible to estimate the effect of the regulations on either the use of nets and airbags or the length of time taken to set up and take down before and after tasks performed at height (because of insufficient data).</w:t>
            </w:r>
          </w:p>
          <w:p w14:paraId="0E507E06"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6AE8479" w14:textId="141B8FA0" w:rsidR="00644210" w:rsidRPr="00AE1693"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Dynamic effects:</w:t>
            </w:r>
            <w:r>
              <w:rPr>
                <w:rFonts w:cstheme="minorHAnsi"/>
                <w:sz w:val="20"/>
                <w:szCs w:val="20"/>
              </w:rPr>
              <w:t xml:space="preserve"> </w:t>
            </w:r>
            <w:r w:rsidR="00A95306">
              <w:rPr>
                <w:rFonts w:cstheme="minorHAnsi"/>
                <w:sz w:val="20"/>
                <w:szCs w:val="20"/>
              </w:rPr>
              <w:t>s</w:t>
            </w:r>
            <w:r>
              <w:rPr>
                <w:rFonts w:cstheme="minorHAnsi"/>
                <w:sz w:val="20"/>
                <w:szCs w:val="20"/>
              </w:rPr>
              <w:t>everal potential dynamic effects (see above) were incorporated into estimated costs.</w:t>
            </w:r>
          </w:p>
          <w:p w14:paraId="705DCBF5"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26769B2" w14:textId="1BABC290" w:rsidR="00644210" w:rsidRPr="00ED2083"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sz w:val="20"/>
                <w:szCs w:val="20"/>
              </w:rPr>
              <w:t xml:space="preserve"> the fact that the ultimate cost of the regulations would depend on the proportion of business already following good practice (which was unknown) was noted; full compliance with the regulations (lower levels of compliance, a high probability, would reduce the costs and benefits associated with the regulations considerably) was assumed.</w:t>
            </w:r>
          </w:p>
        </w:tc>
        <w:tc>
          <w:tcPr>
            <w:tcW w:w="4633" w:type="dxa"/>
          </w:tcPr>
          <w:p w14:paraId="05F2E155" w14:textId="464CAB2C"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Summary of sources:</w:t>
            </w:r>
            <w:r w:rsidRPr="00156233">
              <w:rPr>
                <w:rFonts w:cstheme="minorHAnsi"/>
                <w:sz w:val="20"/>
                <w:szCs w:val="20"/>
              </w:rPr>
              <w:t xml:space="preserve"> </w:t>
            </w:r>
            <w:r w:rsidR="00074F69">
              <w:rPr>
                <w:rFonts w:cstheme="minorHAnsi"/>
                <w:sz w:val="20"/>
                <w:szCs w:val="20"/>
              </w:rPr>
              <w:t>Official data</w:t>
            </w:r>
            <w:r w:rsidR="00074F69" w:rsidRPr="00156233">
              <w:rPr>
                <w:rFonts w:cstheme="minorHAnsi"/>
                <w:sz w:val="20"/>
                <w:szCs w:val="20"/>
              </w:rPr>
              <w:t xml:space="preserve"> </w:t>
            </w:r>
            <w:r w:rsidR="00074F69">
              <w:rPr>
                <w:rFonts w:cstheme="minorHAnsi"/>
                <w:sz w:val="20"/>
                <w:szCs w:val="20"/>
              </w:rPr>
              <w:t>sources included: the HSE;</w:t>
            </w:r>
            <w:r w:rsidR="00074F69" w:rsidRPr="00156233">
              <w:rPr>
                <w:rFonts w:cstheme="minorHAnsi"/>
                <w:sz w:val="20"/>
                <w:szCs w:val="20"/>
              </w:rPr>
              <w:t xml:space="preserve"> the Small Business Service’s statistics on small and medium sized enterprises</w:t>
            </w:r>
            <w:r w:rsidR="00074F69">
              <w:rPr>
                <w:rFonts w:cstheme="minorHAnsi"/>
                <w:sz w:val="20"/>
                <w:szCs w:val="20"/>
              </w:rPr>
              <w:t>;</w:t>
            </w:r>
            <w:r w:rsidR="00074F69" w:rsidRPr="00156233">
              <w:rPr>
                <w:rFonts w:cstheme="minorHAnsi"/>
                <w:sz w:val="20"/>
                <w:szCs w:val="20"/>
              </w:rPr>
              <w:t xml:space="preserve"> the New Earnings Survey).</w:t>
            </w:r>
            <w:r w:rsidR="00074F69">
              <w:rPr>
                <w:rFonts w:cstheme="minorHAnsi"/>
                <w:sz w:val="20"/>
                <w:szCs w:val="20"/>
              </w:rPr>
              <w:t xml:space="preserve"> B</w:t>
            </w:r>
            <w:r w:rsidR="00A95306">
              <w:rPr>
                <w:rFonts w:cstheme="minorHAnsi"/>
                <w:sz w:val="20"/>
                <w:szCs w:val="20"/>
              </w:rPr>
              <w:t xml:space="preserve">usiness consultation responses </w:t>
            </w:r>
            <w:r w:rsidR="00F97631">
              <w:rPr>
                <w:rFonts w:cstheme="minorHAnsi"/>
                <w:sz w:val="20"/>
                <w:szCs w:val="20"/>
              </w:rPr>
              <w:t>and feedback for</w:t>
            </w:r>
            <w:r w:rsidR="00074F69">
              <w:rPr>
                <w:rFonts w:cstheme="minorHAnsi"/>
                <w:sz w:val="20"/>
                <w:szCs w:val="20"/>
              </w:rPr>
              <w:t>:</w:t>
            </w:r>
            <w:r w:rsidR="00F97631">
              <w:rPr>
                <w:rFonts w:cstheme="minorHAnsi"/>
                <w:sz w:val="20"/>
                <w:szCs w:val="20"/>
              </w:rPr>
              <w:t xml:space="preserve"> the </w:t>
            </w:r>
            <w:r w:rsidR="00A95306" w:rsidRPr="00156233">
              <w:rPr>
                <w:rFonts w:cstheme="minorHAnsi"/>
                <w:sz w:val="20"/>
                <w:szCs w:val="20"/>
              </w:rPr>
              <w:t xml:space="preserve">number of workers </w:t>
            </w:r>
            <w:r w:rsidR="00A95306">
              <w:rPr>
                <w:rFonts w:cstheme="minorHAnsi"/>
                <w:sz w:val="20"/>
                <w:szCs w:val="20"/>
              </w:rPr>
              <w:t xml:space="preserve">likely to be </w:t>
            </w:r>
            <w:r w:rsidR="00A95306" w:rsidRPr="00156233">
              <w:rPr>
                <w:rFonts w:cstheme="minorHAnsi"/>
                <w:sz w:val="20"/>
                <w:szCs w:val="20"/>
              </w:rPr>
              <w:t>covered by the regulation</w:t>
            </w:r>
            <w:r w:rsidR="00074F69">
              <w:rPr>
                <w:rFonts w:cstheme="minorHAnsi"/>
                <w:sz w:val="20"/>
                <w:szCs w:val="20"/>
              </w:rPr>
              <w:t>s; time taken for familiarisation;</w:t>
            </w:r>
            <w:r w:rsidR="00A95306">
              <w:rPr>
                <w:rFonts w:cstheme="minorHAnsi"/>
                <w:sz w:val="20"/>
                <w:szCs w:val="20"/>
              </w:rPr>
              <w:t xml:space="preserve"> number of workers requiring repeat training</w:t>
            </w:r>
            <w:r w:rsidR="00074F69">
              <w:rPr>
                <w:rFonts w:cstheme="minorHAnsi"/>
                <w:sz w:val="20"/>
                <w:szCs w:val="20"/>
              </w:rPr>
              <w:t>;</w:t>
            </w:r>
            <w:r w:rsidR="001C590C">
              <w:rPr>
                <w:rFonts w:cstheme="minorHAnsi"/>
                <w:sz w:val="20"/>
                <w:szCs w:val="20"/>
              </w:rPr>
              <w:t xml:space="preserve"> percentage of </w:t>
            </w:r>
            <w:r w:rsidR="00F97631">
              <w:rPr>
                <w:rFonts w:cstheme="minorHAnsi"/>
                <w:sz w:val="20"/>
                <w:szCs w:val="20"/>
              </w:rPr>
              <w:t xml:space="preserve">self-employed </w:t>
            </w:r>
            <w:r w:rsidR="001C590C">
              <w:rPr>
                <w:rFonts w:cstheme="minorHAnsi"/>
                <w:sz w:val="20"/>
                <w:szCs w:val="20"/>
              </w:rPr>
              <w:t xml:space="preserve">workers/businesses that would purchase ladder stabilising devices following the introduction of the </w:t>
            </w:r>
            <w:r w:rsidR="001C590C" w:rsidRPr="00156233">
              <w:rPr>
                <w:rFonts w:cstheme="minorHAnsi"/>
                <w:sz w:val="20"/>
                <w:szCs w:val="20"/>
              </w:rPr>
              <w:t>regulations</w:t>
            </w:r>
            <w:r w:rsidR="00074F69">
              <w:rPr>
                <w:rFonts w:cstheme="minorHAnsi"/>
                <w:sz w:val="20"/>
                <w:szCs w:val="20"/>
              </w:rPr>
              <w:t>;</w:t>
            </w:r>
            <w:r w:rsidR="001C590C">
              <w:rPr>
                <w:rFonts w:cstheme="minorHAnsi"/>
                <w:sz w:val="20"/>
                <w:szCs w:val="20"/>
              </w:rPr>
              <w:t xml:space="preserve"> </w:t>
            </w:r>
            <w:r w:rsidR="00074F69">
              <w:rPr>
                <w:rFonts w:cstheme="minorHAnsi"/>
                <w:sz w:val="20"/>
                <w:szCs w:val="20"/>
              </w:rPr>
              <w:t>cost of tower scaffold training;</w:t>
            </w:r>
            <w:r w:rsidR="00F97631">
              <w:rPr>
                <w:rFonts w:cstheme="minorHAnsi"/>
                <w:sz w:val="20"/>
                <w:szCs w:val="20"/>
              </w:rPr>
              <w:t xml:space="preserve"> the aver</w:t>
            </w:r>
            <w:r w:rsidR="00074F69">
              <w:rPr>
                <w:rFonts w:cstheme="minorHAnsi"/>
                <w:sz w:val="20"/>
                <w:szCs w:val="20"/>
              </w:rPr>
              <w:t>age purchasing cost of scaffold;</w:t>
            </w:r>
            <w:r w:rsidR="00F97631">
              <w:rPr>
                <w:rFonts w:cstheme="minorHAnsi"/>
                <w:sz w:val="20"/>
                <w:szCs w:val="20"/>
              </w:rPr>
              <w:t xml:space="preserve"> the </w:t>
            </w:r>
            <w:r w:rsidR="00074F69">
              <w:rPr>
                <w:rFonts w:cstheme="minorHAnsi"/>
                <w:sz w:val="20"/>
                <w:szCs w:val="20"/>
              </w:rPr>
              <w:t>average cost of hiring scaffold;</w:t>
            </w:r>
            <w:r w:rsidR="00F97631">
              <w:rPr>
                <w:rFonts w:cstheme="minorHAnsi"/>
                <w:sz w:val="20"/>
                <w:szCs w:val="20"/>
              </w:rPr>
              <w:t xml:space="preserve"> th</w:t>
            </w:r>
            <w:r w:rsidR="00074F69">
              <w:rPr>
                <w:rFonts w:cstheme="minorHAnsi"/>
                <w:sz w:val="20"/>
                <w:szCs w:val="20"/>
              </w:rPr>
              <w:t>e price of installing an airbag;</w:t>
            </w:r>
            <w:r w:rsidR="00F97631">
              <w:rPr>
                <w:rFonts w:cstheme="minorHAnsi"/>
                <w:sz w:val="20"/>
                <w:szCs w:val="20"/>
              </w:rPr>
              <w:t xml:space="preserve"> the cost per square metre for netting, indu</w:t>
            </w:r>
            <w:r w:rsidR="00074F69">
              <w:rPr>
                <w:rFonts w:cstheme="minorHAnsi"/>
                <w:sz w:val="20"/>
                <w:szCs w:val="20"/>
              </w:rPr>
              <w:t>strial sheds, and metal decking;</w:t>
            </w:r>
            <w:r w:rsidR="00F97631">
              <w:rPr>
                <w:rFonts w:cstheme="minorHAnsi"/>
                <w:sz w:val="20"/>
                <w:szCs w:val="20"/>
              </w:rPr>
              <w:t xml:space="preserve"> the number of workers who would switch from using ladders to us</w:t>
            </w:r>
            <w:r w:rsidR="00074F69">
              <w:rPr>
                <w:rFonts w:cstheme="minorHAnsi"/>
                <w:sz w:val="20"/>
                <w:szCs w:val="20"/>
              </w:rPr>
              <w:t>ing alternative means of access;</w:t>
            </w:r>
            <w:r w:rsidR="00F97631">
              <w:rPr>
                <w:rFonts w:cstheme="minorHAnsi"/>
                <w:sz w:val="20"/>
                <w:szCs w:val="20"/>
              </w:rPr>
              <w:t xml:space="preserve"> the cost of dual training courses for</w:t>
            </w:r>
            <w:r w:rsidR="00074F69">
              <w:rPr>
                <w:rFonts w:cstheme="minorHAnsi"/>
                <w:sz w:val="20"/>
                <w:szCs w:val="20"/>
              </w:rPr>
              <w:t xml:space="preserve"> mobile elevated work platforms;</w:t>
            </w:r>
            <w:r w:rsidR="00F97631">
              <w:rPr>
                <w:rFonts w:cstheme="minorHAnsi"/>
                <w:sz w:val="20"/>
                <w:szCs w:val="20"/>
              </w:rPr>
              <w:t xml:space="preserve"> the proportion of businesses likely to purchase, rather than hire mobile elevated work </w:t>
            </w:r>
            <w:r w:rsidR="00074F69">
              <w:rPr>
                <w:rFonts w:cstheme="minorHAnsi"/>
                <w:sz w:val="20"/>
                <w:szCs w:val="20"/>
              </w:rPr>
              <w:t>platforms and tower scaffolding;</w:t>
            </w:r>
            <w:r w:rsidR="00F97631">
              <w:rPr>
                <w:rFonts w:cstheme="minorHAnsi"/>
                <w:sz w:val="20"/>
                <w:szCs w:val="20"/>
              </w:rPr>
              <w:t xml:space="preserve"> the number of existing mobile elevated work platforms, their purchase and hire cost</w:t>
            </w:r>
            <w:r w:rsidR="00074F69">
              <w:rPr>
                <w:rFonts w:cstheme="minorHAnsi"/>
                <w:sz w:val="20"/>
                <w:szCs w:val="20"/>
              </w:rPr>
              <w:t>.</w:t>
            </w:r>
          </w:p>
          <w:p w14:paraId="7F8BEE22" w14:textId="77777777"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51BB305A" w14:textId="14FF7E95" w:rsidR="00644210" w:rsidRPr="00A95306"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w:t>
            </w:r>
            <w:r w:rsidR="00074F69">
              <w:rPr>
                <w:rFonts w:cstheme="minorHAnsi"/>
                <w:sz w:val="20"/>
                <w:szCs w:val="20"/>
              </w:rPr>
              <w:t xml:space="preserve"> S</w:t>
            </w:r>
            <w:r w:rsidR="00A95306">
              <w:rPr>
                <w:rFonts w:cstheme="minorHAnsi"/>
                <w:sz w:val="20"/>
                <w:szCs w:val="20"/>
              </w:rPr>
              <w:t>ee</w:t>
            </w:r>
            <w:r w:rsidR="00074F69">
              <w:rPr>
                <w:rFonts w:cstheme="minorHAnsi"/>
                <w:sz w:val="20"/>
                <w:szCs w:val="20"/>
              </w:rPr>
              <w:t xml:space="preserve"> </w:t>
            </w:r>
            <w:r w:rsidR="00A95306">
              <w:rPr>
                <w:rFonts w:cstheme="minorHAnsi"/>
                <w:sz w:val="20"/>
                <w:szCs w:val="20"/>
              </w:rPr>
              <w:t>below and adjacent cell.</w:t>
            </w:r>
          </w:p>
          <w:p w14:paraId="445843EE" w14:textId="77777777" w:rsidR="00644210" w:rsidRPr="00DE22C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61D7867" w14:textId="3D41A27F" w:rsidR="00074F69" w:rsidRDefault="00644210"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sidR="00074F69">
              <w:rPr>
                <w:rFonts w:cstheme="minorHAnsi"/>
                <w:sz w:val="20"/>
                <w:szCs w:val="20"/>
              </w:rPr>
              <w:t xml:space="preserve">The </w:t>
            </w:r>
            <w:r w:rsidR="00A95306">
              <w:rPr>
                <w:rFonts w:cstheme="minorHAnsi"/>
                <w:sz w:val="20"/>
                <w:szCs w:val="20"/>
              </w:rPr>
              <w:t xml:space="preserve">assumption of </w:t>
            </w:r>
            <w:r w:rsidR="00074F69">
              <w:rPr>
                <w:rFonts w:cstheme="minorHAnsi"/>
                <w:sz w:val="20"/>
                <w:szCs w:val="20"/>
              </w:rPr>
              <w:t xml:space="preserve">the </w:t>
            </w:r>
            <w:r w:rsidRPr="00156233">
              <w:rPr>
                <w:rFonts w:cstheme="minorHAnsi"/>
                <w:sz w:val="20"/>
                <w:szCs w:val="20"/>
              </w:rPr>
              <w:t xml:space="preserve">number of workers </w:t>
            </w:r>
            <w:r>
              <w:rPr>
                <w:rFonts w:cstheme="minorHAnsi"/>
                <w:sz w:val="20"/>
                <w:szCs w:val="20"/>
              </w:rPr>
              <w:t xml:space="preserve">likely to be </w:t>
            </w:r>
            <w:r w:rsidRPr="00156233">
              <w:rPr>
                <w:rFonts w:cstheme="minorHAnsi"/>
                <w:sz w:val="20"/>
                <w:szCs w:val="20"/>
              </w:rPr>
              <w:t>covered by the regulation</w:t>
            </w:r>
            <w:r w:rsidR="00A95306">
              <w:rPr>
                <w:rFonts w:cstheme="minorHAnsi"/>
                <w:sz w:val="20"/>
                <w:szCs w:val="20"/>
              </w:rPr>
              <w:t>s</w:t>
            </w:r>
            <w:r w:rsidRPr="00156233">
              <w:rPr>
                <w:rFonts w:cstheme="minorHAnsi"/>
                <w:sz w:val="20"/>
                <w:szCs w:val="20"/>
              </w:rPr>
              <w:t xml:space="preserve"> </w:t>
            </w:r>
            <w:r w:rsidR="00074F69">
              <w:rPr>
                <w:rFonts w:cstheme="minorHAnsi"/>
                <w:sz w:val="20"/>
                <w:szCs w:val="20"/>
              </w:rPr>
              <w:t xml:space="preserve">were </w:t>
            </w:r>
            <w:r w:rsidR="00A95306">
              <w:rPr>
                <w:rFonts w:cstheme="minorHAnsi"/>
                <w:sz w:val="20"/>
                <w:szCs w:val="20"/>
              </w:rPr>
              <w:t xml:space="preserve">based </w:t>
            </w:r>
            <w:r w:rsidR="00E91799">
              <w:rPr>
                <w:rFonts w:cstheme="minorHAnsi"/>
                <w:sz w:val="20"/>
                <w:szCs w:val="20"/>
              </w:rPr>
              <w:t>(without apparent verification)</w:t>
            </w:r>
            <w:r w:rsidR="00A95306">
              <w:rPr>
                <w:rFonts w:cstheme="minorHAnsi"/>
                <w:sz w:val="20"/>
                <w:szCs w:val="20"/>
              </w:rPr>
              <w:t xml:space="preserve"> on estimates</w:t>
            </w:r>
            <w:r w:rsidRPr="00156233">
              <w:rPr>
                <w:rFonts w:cstheme="minorHAnsi"/>
                <w:sz w:val="20"/>
                <w:szCs w:val="20"/>
              </w:rPr>
              <w:t xml:space="preserve"> </w:t>
            </w:r>
            <w:r w:rsidR="001C590C">
              <w:rPr>
                <w:rFonts w:cstheme="minorHAnsi"/>
                <w:sz w:val="20"/>
                <w:szCs w:val="20"/>
              </w:rPr>
              <w:t xml:space="preserve">of </w:t>
            </w:r>
            <w:r w:rsidR="001C590C" w:rsidRPr="00D7675D">
              <w:rPr>
                <w:rFonts w:cstheme="minorHAnsi"/>
                <w:sz w:val="20"/>
                <w:szCs w:val="20"/>
              </w:rPr>
              <w:t>Ladder Stabiliser Manufacturing Association</w:t>
            </w:r>
            <w:r w:rsidR="001C590C">
              <w:rPr>
                <w:rFonts w:cstheme="minorHAnsi"/>
                <w:sz w:val="20"/>
                <w:szCs w:val="20"/>
              </w:rPr>
              <w:t xml:space="preserve"> and IRATA </w:t>
            </w:r>
            <w:r w:rsidR="00074F69">
              <w:rPr>
                <w:rFonts w:cstheme="minorHAnsi"/>
                <w:sz w:val="20"/>
                <w:szCs w:val="20"/>
              </w:rPr>
              <w:t>(see adjacent cell).</w:t>
            </w:r>
          </w:p>
          <w:p w14:paraId="31A8C7CA" w14:textId="77777777" w:rsidR="00074F69"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78F9029" w14:textId="1B5522BF" w:rsidR="00074F69"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w:t>
            </w:r>
            <w:r w:rsidR="001C590C">
              <w:rPr>
                <w:rFonts w:cstheme="minorHAnsi"/>
                <w:sz w:val="20"/>
                <w:szCs w:val="20"/>
              </w:rPr>
              <w:t xml:space="preserve">stimates of </w:t>
            </w:r>
            <w:r w:rsidR="00F97631">
              <w:rPr>
                <w:rFonts w:cstheme="minorHAnsi"/>
                <w:sz w:val="20"/>
                <w:szCs w:val="20"/>
              </w:rPr>
              <w:t xml:space="preserve">number of firms/self-employed workers that would purchase ladder stabilising devices following the introduction of the regulations </w:t>
            </w:r>
            <w:r>
              <w:rPr>
                <w:rFonts w:cstheme="minorHAnsi"/>
                <w:sz w:val="20"/>
                <w:szCs w:val="20"/>
              </w:rPr>
              <w:t xml:space="preserve">were </w:t>
            </w:r>
            <w:r w:rsidR="00F97631">
              <w:rPr>
                <w:rFonts w:cstheme="minorHAnsi"/>
                <w:sz w:val="20"/>
                <w:szCs w:val="20"/>
              </w:rPr>
              <w:t xml:space="preserve">based on representations </w:t>
            </w:r>
            <w:r w:rsidR="00E91799">
              <w:rPr>
                <w:rFonts w:cstheme="minorHAnsi"/>
                <w:sz w:val="20"/>
                <w:szCs w:val="20"/>
              </w:rPr>
              <w:t>(without apparent verification)</w:t>
            </w:r>
            <w:r w:rsidR="00F97631">
              <w:rPr>
                <w:rFonts w:cstheme="minorHAnsi"/>
                <w:sz w:val="20"/>
                <w:szCs w:val="20"/>
              </w:rPr>
              <w:t xml:space="preserve"> </w:t>
            </w:r>
            <w:r w:rsidR="001C590C">
              <w:rPr>
                <w:rFonts w:cstheme="minorHAnsi"/>
                <w:sz w:val="20"/>
                <w:szCs w:val="20"/>
              </w:rPr>
              <w:t>from t</w:t>
            </w:r>
            <w:r w:rsidR="001C590C" w:rsidRPr="00156233">
              <w:rPr>
                <w:rFonts w:cstheme="minorHAnsi"/>
                <w:sz w:val="20"/>
                <w:szCs w:val="20"/>
              </w:rPr>
              <w:t xml:space="preserve">he National Federation of Master Window Cleaners </w:t>
            </w:r>
            <w:r w:rsidR="001C590C">
              <w:rPr>
                <w:rFonts w:cstheme="minorHAnsi"/>
                <w:sz w:val="20"/>
                <w:szCs w:val="20"/>
              </w:rPr>
              <w:t xml:space="preserve">and </w:t>
            </w:r>
            <w:r w:rsidR="00F97631">
              <w:rPr>
                <w:rFonts w:cstheme="minorHAnsi"/>
                <w:sz w:val="20"/>
                <w:szCs w:val="20"/>
              </w:rPr>
              <w:t>“</w:t>
            </w:r>
            <w:r w:rsidR="001C590C">
              <w:rPr>
                <w:rFonts w:cstheme="minorHAnsi"/>
                <w:sz w:val="20"/>
                <w:szCs w:val="20"/>
              </w:rPr>
              <w:t>unnamed industry sources</w:t>
            </w:r>
            <w:r>
              <w:rPr>
                <w:rFonts w:cstheme="minorHAnsi"/>
                <w:sz w:val="20"/>
                <w:szCs w:val="20"/>
              </w:rPr>
              <w:t>”.</w:t>
            </w:r>
          </w:p>
          <w:p w14:paraId="3A92B01B" w14:textId="77777777" w:rsidR="00074F69"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06E2D90" w14:textId="4B39F5D8" w:rsidR="00074F69"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r w:rsidR="00F97631">
              <w:rPr>
                <w:rFonts w:cstheme="minorHAnsi"/>
                <w:sz w:val="20"/>
                <w:szCs w:val="20"/>
              </w:rPr>
              <w:t xml:space="preserve">ndustry sources” </w:t>
            </w:r>
            <w:r>
              <w:rPr>
                <w:rFonts w:cstheme="minorHAnsi"/>
                <w:sz w:val="20"/>
                <w:szCs w:val="20"/>
              </w:rPr>
              <w:t xml:space="preserve">were </w:t>
            </w:r>
            <w:r w:rsidR="00F97631">
              <w:rPr>
                <w:rFonts w:cstheme="minorHAnsi"/>
                <w:sz w:val="20"/>
                <w:szCs w:val="20"/>
              </w:rPr>
              <w:t xml:space="preserve">used for estimates </w:t>
            </w:r>
            <w:r w:rsidR="00E91799">
              <w:rPr>
                <w:rFonts w:cstheme="minorHAnsi"/>
                <w:sz w:val="20"/>
                <w:szCs w:val="20"/>
              </w:rPr>
              <w:t>(without apparent verification)</w:t>
            </w:r>
            <w:r w:rsidR="00076B99">
              <w:rPr>
                <w:rFonts w:cstheme="minorHAnsi"/>
                <w:sz w:val="20"/>
                <w:szCs w:val="20"/>
              </w:rPr>
              <w:t xml:space="preserve"> </w:t>
            </w:r>
            <w:r w:rsidR="00F97631">
              <w:rPr>
                <w:rFonts w:cstheme="minorHAnsi"/>
                <w:sz w:val="20"/>
                <w:szCs w:val="20"/>
              </w:rPr>
              <w:t>on</w:t>
            </w:r>
            <w:r>
              <w:rPr>
                <w:rFonts w:cstheme="minorHAnsi"/>
                <w:sz w:val="20"/>
                <w:szCs w:val="20"/>
              </w:rPr>
              <w:t>:</w:t>
            </w:r>
            <w:r w:rsidR="00F97631">
              <w:rPr>
                <w:rFonts w:cstheme="minorHAnsi"/>
                <w:sz w:val="20"/>
                <w:szCs w:val="20"/>
              </w:rPr>
              <w:t xml:space="preserve"> the average </w:t>
            </w:r>
            <w:r>
              <w:rPr>
                <w:rFonts w:cstheme="minorHAnsi"/>
                <w:sz w:val="20"/>
                <w:szCs w:val="20"/>
              </w:rPr>
              <w:t>cost of tower scaffold training;</w:t>
            </w:r>
            <w:r w:rsidR="00F97631">
              <w:rPr>
                <w:rFonts w:cstheme="minorHAnsi"/>
                <w:sz w:val="20"/>
                <w:szCs w:val="20"/>
              </w:rPr>
              <w:t xml:space="preserve"> the aver</w:t>
            </w:r>
            <w:r>
              <w:rPr>
                <w:rFonts w:cstheme="minorHAnsi"/>
                <w:sz w:val="20"/>
                <w:szCs w:val="20"/>
              </w:rPr>
              <w:t>age purchasing cost of scaffold;</w:t>
            </w:r>
            <w:r w:rsidR="00F97631">
              <w:rPr>
                <w:rFonts w:cstheme="minorHAnsi"/>
                <w:sz w:val="20"/>
                <w:szCs w:val="20"/>
              </w:rPr>
              <w:t xml:space="preserve"> the av</w:t>
            </w:r>
            <w:r>
              <w:rPr>
                <w:rFonts w:cstheme="minorHAnsi"/>
                <w:sz w:val="20"/>
                <w:szCs w:val="20"/>
              </w:rPr>
              <w:t>erage cost of hiring scaffold;</w:t>
            </w:r>
            <w:r w:rsidR="00F97631">
              <w:rPr>
                <w:rFonts w:cstheme="minorHAnsi"/>
                <w:sz w:val="20"/>
                <w:szCs w:val="20"/>
              </w:rPr>
              <w:t xml:space="preserve"> th</w:t>
            </w:r>
            <w:r>
              <w:rPr>
                <w:rFonts w:cstheme="minorHAnsi"/>
                <w:sz w:val="20"/>
                <w:szCs w:val="20"/>
              </w:rPr>
              <w:t>e price of installing an airbag;</w:t>
            </w:r>
            <w:r w:rsidR="00F97631">
              <w:rPr>
                <w:rFonts w:cstheme="minorHAnsi"/>
                <w:sz w:val="20"/>
                <w:szCs w:val="20"/>
              </w:rPr>
              <w:t xml:space="preserve"> the co</w:t>
            </w:r>
            <w:r>
              <w:rPr>
                <w:rFonts w:cstheme="minorHAnsi"/>
                <w:sz w:val="20"/>
                <w:szCs w:val="20"/>
              </w:rPr>
              <w:t>st per square metre for netting,</w:t>
            </w:r>
            <w:r w:rsidR="00F97631">
              <w:rPr>
                <w:rFonts w:cstheme="minorHAnsi"/>
                <w:sz w:val="20"/>
                <w:szCs w:val="20"/>
              </w:rPr>
              <w:t xml:space="preserve"> indu</w:t>
            </w:r>
            <w:r>
              <w:rPr>
                <w:rFonts w:cstheme="minorHAnsi"/>
                <w:sz w:val="20"/>
                <w:szCs w:val="20"/>
              </w:rPr>
              <w:t>strial sheds, and metal decking;</w:t>
            </w:r>
            <w:r w:rsidR="00F97631">
              <w:rPr>
                <w:rFonts w:cstheme="minorHAnsi"/>
                <w:sz w:val="20"/>
                <w:szCs w:val="20"/>
              </w:rPr>
              <w:t xml:space="preserve"> the number of workers who would switch from using ladders to us</w:t>
            </w:r>
            <w:r>
              <w:rPr>
                <w:rFonts w:cstheme="minorHAnsi"/>
                <w:sz w:val="20"/>
                <w:szCs w:val="20"/>
              </w:rPr>
              <w:t>ing alternative means of access;</w:t>
            </w:r>
            <w:r w:rsidR="00F97631">
              <w:rPr>
                <w:rFonts w:cstheme="minorHAnsi"/>
                <w:sz w:val="20"/>
                <w:szCs w:val="20"/>
              </w:rPr>
              <w:t xml:space="preserve"> the cost of dual training courses for</w:t>
            </w:r>
            <w:r>
              <w:rPr>
                <w:rFonts w:cstheme="minorHAnsi"/>
                <w:sz w:val="20"/>
                <w:szCs w:val="20"/>
              </w:rPr>
              <w:t xml:space="preserve"> mobile elevated work platforms;</w:t>
            </w:r>
            <w:r w:rsidR="00F97631">
              <w:rPr>
                <w:rFonts w:cstheme="minorHAnsi"/>
                <w:sz w:val="20"/>
                <w:szCs w:val="20"/>
              </w:rPr>
              <w:t xml:space="preserve"> the proportion o</w:t>
            </w:r>
            <w:r>
              <w:rPr>
                <w:rFonts w:cstheme="minorHAnsi"/>
                <w:sz w:val="20"/>
                <w:szCs w:val="20"/>
              </w:rPr>
              <w:t>f businesses likely to purchase,</w:t>
            </w:r>
            <w:r w:rsidR="00F97631">
              <w:rPr>
                <w:rFonts w:cstheme="minorHAnsi"/>
                <w:sz w:val="20"/>
                <w:szCs w:val="20"/>
              </w:rPr>
              <w:t xml:space="preserve"> rather than hire mobile elevated work platforms and tower scaffolding</w:t>
            </w:r>
            <w:r>
              <w:rPr>
                <w:rFonts w:cstheme="minorHAnsi"/>
                <w:sz w:val="20"/>
                <w:szCs w:val="20"/>
              </w:rPr>
              <w:t>.</w:t>
            </w:r>
          </w:p>
          <w:p w14:paraId="61B1AB36" w14:textId="77777777" w:rsidR="00074F69"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3EE07B4" w14:textId="5407D697" w:rsidR="00C46086" w:rsidRDefault="00074F69"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D</w:t>
            </w:r>
            <w:r w:rsidR="00076B99">
              <w:rPr>
                <w:rFonts w:cstheme="minorHAnsi"/>
                <w:sz w:val="20"/>
                <w:szCs w:val="20"/>
              </w:rPr>
              <w:t xml:space="preserve">ata from the International Powered Access Federation </w:t>
            </w:r>
            <w:r>
              <w:rPr>
                <w:rFonts w:cstheme="minorHAnsi"/>
                <w:sz w:val="20"/>
                <w:szCs w:val="20"/>
              </w:rPr>
              <w:t xml:space="preserve">were </w:t>
            </w:r>
            <w:r w:rsidR="00076B99">
              <w:rPr>
                <w:rFonts w:cstheme="minorHAnsi"/>
                <w:sz w:val="20"/>
                <w:szCs w:val="20"/>
              </w:rPr>
              <w:t>used for estimate</w:t>
            </w:r>
            <w:r>
              <w:rPr>
                <w:rFonts w:cstheme="minorHAnsi"/>
                <w:sz w:val="20"/>
                <w:szCs w:val="20"/>
              </w:rPr>
              <w:t>s</w:t>
            </w:r>
            <w:r w:rsidR="00076B99">
              <w:rPr>
                <w:rFonts w:cstheme="minorHAnsi"/>
                <w:sz w:val="20"/>
                <w:szCs w:val="20"/>
              </w:rPr>
              <w:t xml:space="preserve"> </w:t>
            </w:r>
            <w:r w:rsidR="00E91799">
              <w:rPr>
                <w:rFonts w:cstheme="minorHAnsi"/>
                <w:sz w:val="20"/>
                <w:szCs w:val="20"/>
              </w:rPr>
              <w:t>(without apparent verification)</w:t>
            </w:r>
            <w:r w:rsidR="00076B99">
              <w:rPr>
                <w:rFonts w:cstheme="minorHAnsi"/>
                <w:sz w:val="20"/>
                <w:szCs w:val="20"/>
              </w:rPr>
              <w:t xml:space="preserve"> of the number of existing mobile elevated work platforms, their purchase and hire cost</w:t>
            </w:r>
            <w:r w:rsidR="00C46086">
              <w:rPr>
                <w:rFonts w:cstheme="minorHAnsi"/>
                <w:sz w:val="20"/>
                <w:szCs w:val="20"/>
              </w:rPr>
              <w:t>.</w:t>
            </w:r>
          </w:p>
          <w:p w14:paraId="50A518CA" w14:textId="77777777" w:rsidR="00C46086" w:rsidRDefault="00C46086"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44E89DC" w14:textId="7864A327" w:rsidR="00644210" w:rsidRPr="00156233" w:rsidRDefault="00C46086"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w:t>
            </w:r>
            <w:r w:rsidR="00644210" w:rsidRPr="00156233">
              <w:rPr>
                <w:rFonts w:cstheme="minorHAnsi"/>
                <w:sz w:val="20"/>
                <w:szCs w:val="20"/>
              </w:rPr>
              <w:t xml:space="preserve">esponses </w:t>
            </w:r>
            <w:r>
              <w:rPr>
                <w:rFonts w:cstheme="minorHAnsi"/>
                <w:sz w:val="20"/>
                <w:szCs w:val="20"/>
              </w:rPr>
              <w:t xml:space="preserve">by </w:t>
            </w:r>
            <w:r w:rsidR="00A95306">
              <w:rPr>
                <w:rFonts w:cstheme="minorHAnsi"/>
                <w:sz w:val="20"/>
                <w:szCs w:val="20"/>
              </w:rPr>
              <w:t xml:space="preserve">industry actors </w:t>
            </w:r>
            <w:r>
              <w:rPr>
                <w:rFonts w:cstheme="minorHAnsi"/>
                <w:sz w:val="20"/>
                <w:szCs w:val="20"/>
              </w:rPr>
              <w:t>to the consultation</w:t>
            </w:r>
            <w:r w:rsidR="00644210" w:rsidRPr="00156233">
              <w:rPr>
                <w:rFonts w:cstheme="minorHAnsi"/>
                <w:sz w:val="20"/>
                <w:szCs w:val="20"/>
              </w:rPr>
              <w:t xml:space="preserve"> </w:t>
            </w:r>
            <w:r w:rsidR="00A95306">
              <w:rPr>
                <w:rFonts w:cstheme="minorHAnsi"/>
                <w:sz w:val="20"/>
                <w:szCs w:val="20"/>
              </w:rPr>
              <w:t xml:space="preserve">produced several </w:t>
            </w:r>
            <w:r w:rsidR="00644210">
              <w:rPr>
                <w:rFonts w:cstheme="minorHAnsi"/>
                <w:sz w:val="20"/>
                <w:szCs w:val="20"/>
              </w:rPr>
              <w:t xml:space="preserve">changes </w:t>
            </w:r>
            <w:r w:rsidR="00A95306">
              <w:rPr>
                <w:rFonts w:cstheme="minorHAnsi"/>
                <w:sz w:val="20"/>
                <w:szCs w:val="20"/>
              </w:rPr>
              <w:t xml:space="preserve">(with verification) </w:t>
            </w:r>
            <w:r w:rsidR="00644210">
              <w:rPr>
                <w:rFonts w:cstheme="minorHAnsi"/>
                <w:sz w:val="20"/>
                <w:szCs w:val="20"/>
              </w:rPr>
              <w:t>to cost estimates</w:t>
            </w:r>
            <w:r>
              <w:rPr>
                <w:rFonts w:cstheme="minorHAnsi"/>
                <w:sz w:val="20"/>
                <w:szCs w:val="20"/>
              </w:rPr>
              <w:t xml:space="preserve">, relating to: the </w:t>
            </w:r>
            <w:r w:rsidR="00644210" w:rsidRPr="00156233">
              <w:rPr>
                <w:rFonts w:cstheme="minorHAnsi"/>
                <w:sz w:val="20"/>
                <w:szCs w:val="20"/>
              </w:rPr>
              <w:t>number of businesses required to</w:t>
            </w:r>
            <w:r w:rsidR="00644210">
              <w:rPr>
                <w:rFonts w:cstheme="minorHAnsi"/>
                <w:sz w:val="20"/>
                <w:szCs w:val="20"/>
              </w:rPr>
              <w:t xml:space="preserve"> </w:t>
            </w:r>
            <w:r w:rsidR="00644210" w:rsidRPr="00156233">
              <w:rPr>
                <w:rFonts w:cstheme="minorHAnsi"/>
                <w:sz w:val="20"/>
                <w:szCs w:val="20"/>
              </w:rPr>
              <w:t xml:space="preserve">familiarise themselves with the proposed regulations </w:t>
            </w:r>
            <w:r>
              <w:rPr>
                <w:rFonts w:cstheme="minorHAnsi"/>
                <w:sz w:val="20"/>
                <w:szCs w:val="20"/>
              </w:rPr>
              <w:t>(</w:t>
            </w:r>
            <w:r w:rsidR="00644210" w:rsidRPr="00156233">
              <w:rPr>
                <w:rFonts w:cstheme="minorHAnsi"/>
                <w:sz w:val="20"/>
                <w:szCs w:val="20"/>
              </w:rPr>
              <w:t>increased from between 3% and 5% to between 75% and 85%</w:t>
            </w:r>
            <w:r>
              <w:rPr>
                <w:rFonts w:cstheme="minorHAnsi"/>
                <w:sz w:val="20"/>
                <w:szCs w:val="20"/>
              </w:rPr>
              <w:t>);</w:t>
            </w:r>
            <w:r w:rsidR="00644210">
              <w:rPr>
                <w:rFonts w:cstheme="minorHAnsi"/>
                <w:sz w:val="20"/>
                <w:szCs w:val="20"/>
              </w:rPr>
              <w:t xml:space="preserve"> t</w:t>
            </w:r>
            <w:r w:rsidR="00644210" w:rsidRPr="00156233">
              <w:rPr>
                <w:rFonts w:cstheme="minorHAnsi"/>
                <w:sz w:val="20"/>
                <w:szCs w:val="20"/>
              </w:rPr>
              <w:t xml:space="preserve">he length of time required for construction businesses to familiarise themselves with the regulations </w:t>
            </w:r>
            <w:r>
              <w:rPr>
                <w:rFonts w:cstheme="minorHAnsi"/>
                <w:sz w:val="20"/>
                <w:szCs w:val="20"/>
              </w:rPr>
              <w:t>(</w:t>
            </w:r>
            <w:r w:rsidR="00644210" w:rsidRPr="00156233">
              <w:rPr>
                <w:rFonts w:cstheme="minorHAnsi"/>
                <w:sz w:val="20"/>
                <w:szCs w:val="20"/>
              </w:rPr>
              <w:t>increased from a quarter of an hour to 2 hours</w:t>
            </w:r>
            <w:r w:rsidR="00644210" w:rsidRPr="00156233">
              <w:rPr>
                <w:rFonts w:cstheme="minorHAnsi"/>
                <w:b/>
                <w:sz w:val="20"/>
                <w:szCs w:val="20"/>
              </w:rPr>
              <w:t xml:space="preserve"> </w:t>
            </w:r>
            <w:r w:rsidR="00644210" w:rsidRPr="00156233">
              <w:rPr>
                <w:rFonts w:cstheme="minorHAnsi"/>
                <w:sz w:val="20"/>
                <w:szCs w:val="20"/>
              </w:rPr>
              <w:t>for small constructions businesses</w:t>
            </w:r>
            <w:r w:rsidR="00644210">
              <w:rPr>
                <w:rFonts w:cstheme="minorHAnsi"/>
                <w:sz w:val="20"/>
                <w:szCs w:val="20"/>
              </w:rPr>
              <w:t xml:space="preserve">, </w:t>
            </w:r>
            <w:r w:rsidR="00644210" w:rsidRPr="00156233">
              <w:rPr>
                <w:rFonts w:cstheme="minorHAnsi"/>
                <w:sz w:val="20"/>
                <w:szCs w:val="20"/>
              </w:rPr>
              <w:t xml:space="preserve">2 hours to 4 hours for large </w:t>
            </w:r>
            <w:r w:rsidR="00644210">
              <w:rPr>
                <w:rFonts w:cstheme="minorHAnsi"/>
                <w:sz w:val="20"/>
                <w:szCs w:val="20"/>
              </w:rPr>
              <w:t xml:space="preserve">construction businesses, 1.5 hours to 2 hours for </w:t>
            </w:r>
            <w:r w:rsidR="00644210" w:rsidRPr="00156233">
              <w:rPr>
                <w:rFonts w:cstheme="minorHAnsi"/>
                <w:sz w:val="20"/>
                <w:szCs w:val="20"/>
              </w:rPr>
              <w:t>micro sized business</w:t>
            </w:r>
            <w:r w:rsidR="00644210">
              <w:rPr>
                <w:rFonts w:cstheme="minorHAnsi"/>
                <w:sz w:val="20"/>
                <w:szCs w:val="20"/>
              </w:rPr>
              <w:t xml:space="preserve">es, and 30 minutes to 2 hours for </w:t>
            </w:r>
            <w:r w:rsidR="00644210" w:rsidRPr="00156233">
              <w:rPr>
                <w:rFonts w:cstheme="minorHAnsi"/>
                <w:sz w:val="20"/>
                <w:szCs w:val="20"/>
              </w:rPr>
              <w:t>the self-employed</w:t>
            </w:r>
            <w:r>
              <w:rPr>
                <w:rFonts w:cstheme="minorHAnsi"/>
                <w:sz w:val="20"/>
                <w:szCs w:val="20"/>
              </w:rPr>
              <w:t>);</w:t>
            </w:r>
            <w:r w:rsidR="00644210">
              <w:rPr>
                <w:rFonts w:cstheme="minorHAnsi"/>
                <w:sz w:val="20"/>
                <w:szCs w:val="20"/>
              </w:rPr>
              <w:t xml:space="preserve"> the proportion of workers requiring repeat training </w:t>
            </w:r>
            <w:r>
              <w:rPr>
                <w:rFonts w:cstheme="minorHAnsi"/>
                <w:sz w:val="20"/>
                <w:szCs w:val="20"/>
              </w:rPr>
              <w:t>(</w:t>
            </w:r>
            <w:r w:rsidR="00644210">
              <w:rPr>
                <w:rFonts w:cstheme="minorHAnsi"/>
                <w:sz w:val="20"/>
                <w:szCs w:val="20"/>
              </w:rPr>
              <w:t>increased from 0.05% to between 2 and 4%</w:t>
            </w:r>
            <w:r w:rsidR="00A95306">
              <w:rPr>
                <w:rFonts w:cstheme="minorHAnsi"/>
                <w:sz w:val="20"/>
                <w:szCs w:val="20"/>
              </w:rPr>
              <w:t>)</w:t>
            </w:r>
            <w:r w:rsidR="00644210">
              <w:rPr>
                <w:rFonts w:cstheme="minorHAnsi"/>
                <w:sz w:val="20"/>
                <w:szCs w:val="20"/>
              </w:rPr>
              <w:t>.</w:t>
            </w:r>
          </w:p>
        </w:tc>
        <w:tc>
          <w:tcPr>
            <w:tcW w:w="4633" w:type="dxa"/>
          </w:tcPr>
          <w:p w14:paraId="6D214466" w14:textId="4BE1D42F" w:rsidR="00644210" w:rsidRDefault="00644210"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Reported </w:t>
            </w:r>
            <w:r w:rsidR="00A3608E">
              <w:rPr>
                <w:rFonts w:cstheme="minorHAnsi"/>
                <w:b/>
                <w:sz w:val="20"/>
                <w:szCs w:val="20"/>
              </w:rPr>
              <w:t>b</w:t>
            </w:r>
            <w:r>
              <w:rPr>
                <w:rFonts w:cstheme="minorHAnsi"/>
                <w:b/>
                <w:sz w:val="20"/>
                <w:szCs w:val="20"/>
              </w:rPr>
              <w:t>enefits</w:t>
            </w:r>
            <w:r w:rsidR="00A3608E">
              <w:rPr>
                <w:rFonts w:cstheme="minorHAnsi"/>
                <w:b/>
                <w:sz w:val="20"/>
                <w:szCs w:val="20"/>
              </w:rPr>
              <w:t xml:space="preserve"> (workers)</w:t>
            </w:r>
            <w:r>
              <w:rPr>
                <w:rFonts w:cstheme="minorHAnsi"/>
                <w:b/>
                <w:sz w:val="20"/>
                <w:szCs w:val="20"/>
              </w:rPr>
              <w:t>:</w:t>
            </w:r>
            <w:r w:rsidR="00076B99">
              <w:rPr>
                <w:rFonts w:cstheme="minorHAnsi"/>
                <w:b/>
                <w:sz w:val="20"/>
                <w:szCs w:val="20"/>
              </w:rPr>
              <w:t xml:space="preserve"> </w:t>
            </w:r>
            <w:r w:rsidR="00076B99" w:rsidRPr="00E64B69">
              <w:rPr>
                <w:rFonts w:cstheme="minorHAnsi"/>
                <w:sz w:val="20"/>
                <w:szCs w:val="20"/>
              </w:rPr>
              <w:t>pain</w:t>
            </w:r>
            <w:r w:rsidR="000A7561">
              <w:rPr>
                <w:rFonts w:cstheme="minorHAnsi"/>
                <w:sz w:val="20"/>
                <w:szCs w:val="20"/>
              </w:rPr>
              <w:t>;</w:t>
            </w:r>
            <w:r w:rsidR="00076B99">
              <w:rPr>
                <w:rFonts w:cstheme="minorHAnsi"/>
                <w:sz w:val="20"/>
                <w:szCs w:val="20"/>
              </w:rPr>
              <w:t xml:space="preserve"> </w:t>
            </w:r>
            <w:r w:rsidR="00076B99" w:rsidRPr="00E64B69">
              <w:rPr>
                <w:rFonts w:cstheme="minorHAnsi"/>
                <w:sz w:val="20"/>
                <w:szCs w:val="20"/>
              </w:rPr>
              <w:t>grief</w:t>
            </w:r>
            <w:r w:rsidR="000A7561">
              <w:rPr>
                <w:rFonts w:cstheme="minorHAnsi"/>
                <w:sz w:val="20"/>
                <w:szCs w:val="20"/>
              </w:rPr>
              <w:t>;</w:t>
            </w:r>
            <w:r w:rsidR="00076B99" w:rsidRPr="00E64B69">
              <w:rPr>
                <w:rFonts w:cstheme="minorHAnsi"/>
                <w:sz w:val="20"/>
                <w:szCs w:val="20"/>
              </w:rPr>
              <w:t xml:space="preserve"> suffering</w:t>
            </w:r>
            <w:r w:rsidR="000A7561">
              <w:rPr>
                <w:rFonts w:cstheme="minorHAnsi"/>
                <w:sz w:val="20"/>
                <w:szCs w:val="20"/>
              </w:rPr>
              <w:t>;</w:t>
            </w:r>
            <w:r w:rsidR="00076B99" w:rsidRPr="00E64B69">
              <w:rPr>
                <w:rFonts w:cstheme="minorHAnsi"/>
                <w:sz w:val="20"/>
                <w:szCs w:val="20"/>
              </w:rPr>
              <w:t xml:space="preserve"> loss of income</w:t>
            </w:r>
            <w:r w:rsidR="000A7561">
              <w:rPr>
                <w:rFonts w:cstheme="minorHAnsi"/>
                <w:sz w:val="20"/>
                <w:szCs w:val="20"/>
              </w:rPr>
              <w:t>.</w:t>
            </w:r>
          </w:p>
          <w:p w14:paraId="5A6AC98C" w14:textId="4DC2DF05" w:rsidR="00A3608E"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DD29096" w14:textId="2FD86C7C" w:rsidR="00A3608E" w:rsidRDefault="00A3608E" w:rsidP="00A3608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Reported benefits (employers):</w:t>
            </w:r>
            <w:r w:rsidR="00076B99">
              <w:rPr>
                <w:rFonts w:cstheme="minorHAnsi"/>
                <w:b/>
                <w:sz w:val="20"/>
                <w:szCs w:val="20"/>
              </w:rPr>
              <w:t xml:space="preserve"> </w:t>
            </w:r>
            <w:r w:rsidR="00076B99">
              <w:rPr>
                <w:rFonts w:cstheme="minorHAnsi"/>
                <w:sz w:val="20"/>
                <w:szCs w:val="20"/>
              </w:rPr>
              <w:t xml:space="preserve">lost </w:t>
            </w:r>
            <w:r w:rsidR="00076B99" w:rsidRPr="00E64B69">
              <w:rPr>
                <w:rFonts w:cstheme="minorHAnsi"/>
                <w:sz w:val="20"/>
                <w:szCs w:val="20"/>
              </w:rPr>
              <w:t>output</w:t>
            </w:r>
            <w:r w:rsidR="000A7561">
              <w:rPr>
                <w:rFonts w:cstheme="minorHAnsi"/>
                <w:sz w:val="20"/>
                <w:szCs w:val="20"/>
              </w:rPr>
              <w:t>;</w:t>
            </w:r>
            <w:r w:rsidR="00076B99">
              <w:rPr>
                <w:rFonts w:cstheme="minorHAnsi"/>
                <w:sz w:val="20"/>
                <w:szCs w:val="20"/>
              </w:rPr>
              <w:t xml:space="preserve"> </w:t>
            </w:r>
            <w:r w:rsidR="00076B99" w:rsidRPr="00E64B69">
              <w:rPr>
                <w:rFonts w:cstheme="minorHAnsi"/>
                <w:sz w:val="20"/>
                <w:szCs w:val="20"/>
              </w:rPr>
              <w:t>equipment damage</w:t>
            </w:r>
            <w:r w:rsidR="000A7561">
              <w:rPr>
                <w:rFonts w:cstheme="minorHAnsi"/>
                <w:sz w:val="20"/>
                <w:szCs w:val="20"/>
              </w:rPr>
              <w:t>;</w:t>
            </w:r>
            <w:r w:rsidR="00076B99" w:rsidRPr="00E64B69">
              <w:rPr>
                <w:rFonts w:cstheme="minorHAnsi"/>
                <w:sz w:val="20"/>
                <w:szCs w:val="20"/>
              </w:rPr>
              <w:t xml:space="preserve"> disruption</w:t>
            </w:r>
            <w:r w:rsidR="000A7561">
              <w:rPr>
                <w:rFonts w:cstheme="minorHAnsi"/>
                <w:sz w:val="20"/>
                <w:szCs w:val="20"/>
              </w:rPr>
              <w:t>.</w:t>
            </w:r>
            <w:r w:rsidR="00DB47A9">
              <w:rPr>
                <w:rFonts w:cstheme="minorHAnsi"/>
                <w:sz w:val="20"/>
                <w:szCs w:val="20"/>
              </w:rPr>
              <w:t xml:space="preserve"> </w:t>
            </w:r>
          </w:p>
          <w:p w14:paraId="57F1AA61" w14:textId="0201A263" w:rsidR="00A3608E"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0B59375" w14:textId="0C61AE31" w:rsidR="00A3608E" w:rsidRDefault="00A3608E" w:rsidP="00A3608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Reported benefits (government):</w:t>
            </w:r>
            <w:r w:rsidR="00076B99">
              <w:rPr>
                <w:rFonts w:cstheme="minorHAnsi"/>
                <w:b/>
                <w:sz w:val="20"/>
                <w:szCs w:val="20"/>
              </w:rPr>
              <w:t xml:space="preserve"> </w:t>
            </w:r>
            <w:r w:rsidR="000A7561">
              <w:rPr>
                <w:rFonts w:cstheme="minorHAnsi"/>
                <w:sz w:val="20"/>
                <w:szCs w:val="20"/>
              </w:rPr>
              <w:t xml:space="preserve">reduced </w:t>
            </w:r>
            <w:r w:rsidR="00076B99" w:rsidRPr="00962530">
              <w:rPr>
                <w:rFonts w:cstheme="minorHAnsi"/>
                <w:sz w:val="20"/>
                <w:szCs w:val="20"/>
              </w:rPr>
              <w:t xml:space="preserve">medical </w:t>
            </w:r>
            <w:r w:rsidR="000A7561">
              <w:rPr>
                <w:rFonts w:cstheme="minorHAnsi"/>
                <w:sz w:val="20"/>
                <w:szCs w:val="20"/>
              </w:rPr>
              <w:t>costs; reduced welfare costs (</w:t>
            </w:r>
            <w:r w:rsidR="00076B99" w:rsidRPr="00962530">
              <w:rPr>
                <w:rFonts w:cstheme="minorHAnsi"/>
                <w:sz w:val="20"/>
                <w:szCs w:val="20"/>
              </w:rPr>
              <w:t xml:space="preserve">social security </w:t>
            </w:r>
            <w:r w:rsidR="00076B99">
              <w:rPr>
                <w:rFonts w:cstheme="minorHAnsi"/>
                <w:sz w:val="20"/>
                <w:szCs w:val="20"/>
              </w:rPr>
              <w:t xml:space="preserve">and compensation </w:t>
            </w:r>
            <w:r w:rsidR="00076B99" w:rsidRPr="00962530">
              <w:rPr>
                <w:rFonts w:cstheme="minorHAnsi"/>
                <w:sz w:val="20"/>
                <w:szCs w:val="20"/>
              </w:rPr>
              <w:t>payments</w:t>
            </w:r>
            <w:r w:rsidR="00076B99">
              <w:rPr>
                <w:rFonts w:cstheme="minorHAnsi"/>
                <w:sz w:val="20"/>
                <w:szCs w:val="20"/>
              </w:rPr>
              <w:t>).</w:t>
            </w:r>
          </w:p>
          <w:p w14:paraId="7F89D567" w14:textId="77777777" w:rsidR="00644210" w:rsidRDefault="00644210"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049FAB6" w14:textId="3EF885A2" w:rsidR="00644210" w:rsidRPr="000A7561" w:rsidRDefault="00644210" w:rsidP="008E07D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Non-reported </w:t>
            </w:r>
            <w:r w:rsidR="00A3608E">
              <w:rPr>
                <w:rFonts w:cstheme="minorHAnsi"/>
                <w:b/>
                <w:sz w:val="20"/>
                <w:szCs w:val="20"/>
              </w:rPr>
              <w:t>benefits (workers):</w:t>
            </w:r>
            <w:r w:rsidR="000A7561">
              <w:rPr>
                <w:rFonts w:cstheme="minorHAnsi"/>
                <w:b/>
                <w:sz w:val="20"/>
                <w:szCs w:val="20"/>
              </w:rPr>
              <w:t xml:space="preserve"> </w:t>
            </w:r>
            <w:r w:rsidR="000A7561">
              <w:rPr>
                <w:rFonts w:cstheme="minorHAnsi"/>
                <w:sz w:val="20"/>
                <w:szCs w:val="20"/>
              </w:rPr>
              <w:t>not clear whether reduced medical costs accounted for.</w:t>
            </w:r>
          </w:p>
          <w:p w14:paraId="52F61644" w14:textId="45C10F83" w:rsidR="00A3608E"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A7CE225" w14:textId="3C007F90" w:rsidR="00A3608E"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Non-reported benefits (employers): </w:t>
            </w:r>
            <w:r w:rsidR="00A45A33">
              <w:rPr>
                <w:rFonts w:cstheme="minorHAnsi"/>
                <w:sz w:val="20"/>
                <w:szCs w:val="20"/>
              </w:rPr>
              <w:t>benefits to businesses involved in the manufacture and sale of ladders, elevated working platforms, etc.</w:t>
            </w:r>
            <w:r w:rsidR="000A7561">
              <w:rPr>
                <w:rFonts w:cstheme="minorHAnsi"/>
                <w:sz w:val="20"/>
                <w:szCs w:val="20"/>
              </w:rPr>
              <w:t xml:space="preserve">; see also comments under non-monetised benefits. </w:t>
            </w:r>
          </w:p>
          <w:p w14:paraId="75DF7412" w14:textId="1874DA6A" w:rsidR="00A3608E"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55EBE25B" w14:textId="6CB99DCD" w:rsidR="00A3608E" w:rsidRPr="000A7561" w:rsidRDefault="00A3608E" w:rsidP="008E07D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(government):</w:t>
            </w:r>
            <w:r w:rsidR="000A7561">
              <w:rPr>
                <w:rFonts w:cstheme="minorHAnsi"/>
                <w:sz w:val="20"/>
                <w:szCs w:val="20"/>
              </w:rPr>
              <w:t xml:space="preserve"> loss of revenue as a result of lower output; revenue increases (VAT) arising from increased sale of ladders, elevated working platforms, etc.</w:t>
            </w:r>
          </w:p>
          <w:p w14:paraId="7C40D22B" w14:textId="77777777" w:rsidR="000A7561" w:rsidRDefault="000A7561"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10ED7E5" w14:textId="27E7A20F" w:rsidR="00DB47A9" w:rsidRDefault="00DB47A9"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Monetised benefits (workers):</w:t>
            </w:r>
            <w:r w:rsidR="000A7561">
              <w:rPr>
                <w:rFonts w:cstheme="minorHAnsi"/>
                <w:b/>
                <w:sz w:val="20"/>
                <w:szCs w:val="20"/>
              </w:rPr>
              <w:t xml:space="preserve"> </w:t>
            </w:r>
            <w:r w:rsidR="000A7561" w:rsidRPr="00E64B69">
              <w:rPr>
                <w:rFonts w:cstheme="minorHAnsi"/>
                <w:sz w:val="20"/>
                <w:szCs w:val="20"/>
              </w:rPr>
              <w:t>pain,</w:t>
            </w:r>
            <w:r w:rsidR="000A7561">
              <w:rPr>
                <w:rFonts w:cstheme="minorHAnsi"/>
                <w:sz w:val="20"/>
                <w:szCs w:val="20"/>
              </w:rPr>
              <w:t xml:space="preserve"> </w:t>
            </w:r>
            <w:r w:rsidR="000A7561" w:rsidRPr="00E64B69">
              <w:rPr>
                <w:rFonts w:cstheme="minorHAnsi"/>
                <w:sz w:val="20"/>
                <w:szCs w:val="20"/>
              </w:rPr>
              <w:t>grief</w:t>
            </w:r>
            <w:r w:rsidR="000A7561">
              <w:rPr>
                <w:rFonts w:cstheme="minorHAnsi"/>
                <w:sz w:val="20"/>
                <w:szCs w:val="20"/>
              </w:rPr>
              <w:t>,</w:t>
            </w:r>
            <w:r w:rsidR="000A7561" w:rsidRPr="00E64B69">
              <w:rPr>
                <w:rFonts w:cstheme="minorHAnsi"/>
                <w:sz w:val="20"/>
                <w:szCs w:val="20"/>
              </w:rPr>
              <w:t xml:space="preserve"> suffering, loss of income</w:t>
            </w:r>
            <w:r w:rsidR="000A7561">
              <w:rPr>
                <w:rFonts w:cstheme="minorHAnsi"/>
                <w:sz w:val="20"/>
                <w:szCs w:val="20"/>
              </w:rPr>
              <w:t>.</w:t>
            </w:r>
          </w:p>
          <w:p w14:paraId="683AA474" w14:textId="2CC3F0E0" w:rsidR="00DB47A9" w:rsidRDefault="00DB47A9"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A23BDF3" w14:textId="0C576AEA" w:rsidR="00DB47A9" w:rsidRPr="00DB47A9" w:rsidRDefault="00DB47A9" w:rsidP="00DB47A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Monetised benefits (employers):</w:t>
            </w:r>
            <w:r w:rsidR="000A7561">
              <w:rPr>
                <w:rFonts w:cstheme="minorHAnsi"/>
                <w:b/>
                <w:sz w:val="20"/>
                <w:szCs w:val="20"/>
              </w:rPr>
              <w:t xml:space="preserve"> </w:t>
            </w:r>
            <w:r w:rsidR="000A7561">
              <w:rPr>
                <w:rFonts w:cstheme="minorHAnsi"/>
                <w:sz w:val="20"/>
                <w:szCs w:val="20"/>
              </w:rPr>
              <w:t xml:space="preserve">lost </w:t>
            </w:r>
            <w:r w:rsidR="000A7561" w:rsidRPr="00E64B69">
              <w:rPr>
                <w:rFonts w:cstheme="minorHAnsi"/>
                <w:sz w:val="20"/>
                <w:szCs w:val="20"/>
              </w:rPr>
              <w:t>output,</w:t>
            </w:r>
            <w:r w:rsidR="000A7561">
              <w:rPr>
                <w:rFonts w:cstheme="minorHAnsi"/>
                <w:sz w:val="20"/>
                <w:szCs w:val="20"/>
              </w:rPr>
              <w:t xml:space="preserve"> </w:t>
            </w:r>
            <w:r w:rsidR="000A7561" w:rsidRPr="00E64B69">
              <w:rPr>
                <w:rFonts w:cstheme="minorHAnsi"/>
                <w:sz w:val="20"/>
                <w:szCs w:val="20"/>
              </w:rPr>
              <w:t>equipment damage</w:t>
            </w:r>
            <w:r w:rsidR="000A7561">
              <w:rPr>
                <w:rFonts w:cstheme="minorHAnsi"/>
                <w:sz w:val="20"/>
                <w:szCs w:val="20"/>
              </w:rPr>
              <w:t>,</w:t>
            </w:r>
            <w:r w:rsidR="000A7561" w:rsidRPr="00E64B69">
              <w:rPr>
                <w:rFonts w:cstheme="minorHAnsi"/>
                <w:sz w:val="20"/>
                <w:szCs w:val="20"/>
              </w:rPr>
              <w:t xml:space="preserve"> disruption</w:t>
            </w:r>
            <w:r w:rsidR="000A7561">
              <w:rPr>
                <w:rFonts w:cstheme="minorHAnsi"/>
                <w:sz w:val="20"/>
                <w:szCs w:val="20"/>
              </w:rPr>
              <w:t>.</w:t>
            </w:r>
          </w:p>
          <w:p w14:paraId="73FC8914" w14:textId="083AEC85" w:rsidR="00DB47A9" w:rsidRDefault="00DB47A9"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FC9DB04" w14:textId="77777777" w:rsidR="000A7561" w:rsidRDefault="00DB47A9" w:rsidP="000A756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Monetised benefits (government):</w:t>
            </w:r>
            <w:r w:rsidR="000A7561">
              <w:rPr>
                <w:rFonts w:cstheme="minorHAnsi"/>
                <w:b/>
                <w:sz w:val="20"/>
                <w:szCs w:val="20"/>
              </w:rPr>
              <w:t xml:space="preserve"> </w:t>
            </w:r>
            <w:r w:rsidR="000A7561">
              <w:rPr>
                <w:rFonts w:cstheme="minorHAnsi"/>
                <w:sz w:val="20"/>
                <w:szCs w:val="20"/>
              </w:rPr>
              <w:t xml:space="preserve">reduced </w:t>
            </w:r>
            <w:r w:rsidR="000A7561" w:rsidRPr="00962530">
              <w:rPr>
                <w:rFonts w:cstheme="minorHAnsi"/>
                <w:sz w:val="20"/>
                <w:szCs w:val="20"/>
              </w:rPr>
              <w:t xml:space="preserve">medical </w:t>
            </w:r>
            <w:r w:rsidR="000A7561">
              <w:rPr>
                <w:rFonts w:cstheme="minorHAnsi"/>
                <w:sz w:val="20"/>
                <w:szCs w:val="20"/>
              </w:rPr>
              <w:t>costs; reduced welfare costs (</w:t>
            </w:r>
            <w:r w:rsidR="000A7561" w:rsidRPr="00962530">
              <w:rPr>
                <w:rFonts w:cstheme="minorHAnsi"/>
                <w:sz w:val="20"/>
                <w:szCs w:val="20"/>
              </w:rPr>
              <w:t xml:space="preserve">social security </w:t>
            </w:r>
            <w:r w:rsidR="000A7561">
              <w:rPr>
                <w:rFonts w:cstheme="minorHAnsi"/>
                <w:sz w:val="20"/>
                <w:szCs w:val="20"/>
              </w:rPr>
              <w:t xml:space="preserve">and compensation </w:t>
            </w:r>
            <w:r w:rsidR="000A7561" w:rsidRPr="00962530">
              <w:rPr>
                <w:rFonts w:cstheme="minorHAnsi"/>
                <w:sz w:val="20"/>
                <w:szCs w:val="20"/>
              </w:rPr>
              <w:t>payments</w:t>
            </w:r>
            <w:r w:rsidR="000A7561">
              <w:rPr>
                <w:rFonts w:cstheme="minorHAnsi"/>
                <w:sz w:val="20"/>
                <w:szCs w:val="20"/>
              </w:rPr>
              <w:t>).</w:t>
            </w:r>
          </w:p>
          <w:p w14:paraId="45EACB90" w14:textId="37E77A60" w:rsidR="00DB47A9" w:rsidRDefault="00DB47A9"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A0A9BED" w14:textId="3EFFB06B" w:rsidR="00A45A33" w:rsidRDefault="00A45A33" w:rsidP="00A45A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Non-monetised benefits (general): </w:t>
            </w:r>
            <w:r>
              <w:rPr>
                <w:rFonts w:cstheme="minorHAnsi"/>
                <w:sz w:val="20"/>
                <w:szCs w:val="20"/>
              </w:rPr>
              <w:t>t</w:t>
            </w:r>
            <w:r w:rsidRPr="00B77C17">
              <w:rPr>
                <w:rFonts w:cstheme="minorHAnsi"/>
                <w:sz w:val="20"/>
                <w:szCs w:val="20"/>
              </w:rPr>
              <w:t xml:space="preserve">o calculate </w:t>
            </w:r>
            <w:r>
              <w:rPr>
                <w:rFonts w:cstheme="minorHAnsi"/>
                <w:sz w:val="20"/>
                <w:szCs w:val="20"/>
              </w:rPr>
              <w:t xml:space="preserve">the potential benefits, the impact </w:t>
            </w:r>
            <w:r w:rsidRPr="00B77C17">
              <w:rPr>
                <w:rFonts w:cstheme="minorHAnsi"/>
                <w:sz w:val="20"/>
                <w:szCs w:val="20"/>
              </w:rPr>
              <w:t xml:space="preserve">assessment simply assumed that the </w:t>
            </w:r>
            <w:r>
              <w:rPr>
                <w:rFonts w:cstheme="minorHAnsi"/>
                <w:sz w:val="20"/>
                <w:szCs w:val="20"/>
              </w:rPr>
              <w:t>r</w:t>
            </w:r>
            <w:r w:rsidRPr="00B77C17">
              <w:rPr>
                <w:rFonts w:cstheme="minorHAnsi"/>
                <w:sz w:val="20"/>
                <w:szCs w:val="20"/>
              </w:rPr>
              <w:t xml:space="preserve">egulations </w:t>
            </w:r>
            <w:r>
              <w:rPr>
                <w:rFonts w:cstheme="minorHAnsi"/>
                <w:sz w:val="20"/>
                <w:szCs w:val="20"/>
              </w:rPr>
              <w:t>would</w:t>
            </w:r>
            <w:r w:rsidRPr="00B77C17">
              <w:rPr>
                <w:rFonts w:cstheme="minorHAnsi"/>
                <w:sz w:val="20"/>
                <w:szCs w:val="20"/>
              </w:rPr>
              <w:t xml:space="preserve"> produce </w:t>
            </w:r>
            <w:r>
              <w:rPr>
                <w:rFonts w:cstheme="minorHAnsi"/>
                <w:sz w:val="20"/>
                <w:szCs w:val="20"/>
              </w:rPr>
              <w:t xml:space="preserve">between </w:t>
            </w:r>
            <w:r w:rsidRPr="00B77C17">
              <w:rPr>
                <w:rFonts w:cstheme="minorHAnsi"/>
                <w:sz w:val="20"/>
                <w:szCs w:val="20"/>
              </w:rPr>
              <w:t xml:space="preserve">a </w:t>
            </w:r>
            <w:r>
              <w:rPr>
                <w:rFonts w:cstheme="minorHAnsi"/>
                <w:sz w:val="20"/>
                <w:szCs w:val="20"/>
              </w:rPr>
              <w:t xml:space="preserve">7% and </w:t>
            </w:r>
            <w:r w:rsidRPr="00B77C17">
              <w:rPr>
                <w:rFonts w:cstheme="minorHAnsi"/>
                <w:sz w:val="20"/>
                <w:szCs w:val="20"/>
              </w:rPr>
              <w:t>10% reduction in the cost of injuries</w:t>
            </w:r>
            <w:r>
              <w:rPr>
                <w:rFonts w:cstheme="minorHAnsi"/>
                <w:sz w:val="20"/>
                <w:szCs w:val="20"/>
              </w:rPr>
              <w:t xml:space="preserve"> (translating to a benefit of </w:t>
            </w:r>
            <w:r w:rsidRPr="00B77C17">
              <w:rPr>
                <w:rFonts w:cstheme="minorHAnsi"/>
                <w:sz w:val="20"/>
                <w:szCs w:val="20"/>
              </w:rPr>
              <w:t>app</w:t>
            </w:r>
            <w:r>
              <w:rPr>
                <w:rFonts w:cstheme="minorHAnsi"/>
                <w:sz w:val="20"/>
                <w:szCs w:val="20"/>
              </w:rPr>
              <w:t xml:space="preserve">roximately £46 million per year) with the caveat that the size of the benefits were ultimately uncertain. </w:t>
            </w:r>
          </w:p>
          <w:p w14:paraId="4DD9B345" w14:textId="77777777" w:rsidR="00A45A33" w:rsidRPr="00DB47A9" w:rsidRDefault="00A45A33"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123E31F" w14:textId="3817C40B" w:rsidR="00644210" w:rsidRDefault="00644210"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Non-monetised benefits</w:t>
            </w:r>
            <w:r w:rsidR="00A3608E">
              <w:rPr>
                <w:rFonts w:cstheme="minorHAnsi"/>
                <w:b/>
                <w:sz w:val="20"/>
                <w:szCs w:val="20"/>
              </w:rPr>
              <w:t xml:space="preserve"> (workers)</w:t>
            </w:r>
            <w:r>
              <w:rPr>
                <w:rFonts w:cstheme="minorHAnsi"/>
                <w:b/>
                <w:sz w:val="20"/>
                <w:szCs w:val="20"/>
              </w:rPr>
              <w:t>:</w:t>
            </w:r>
            <w:r w:rsidR="00076B99">
              <w:rPr>
                <w:rFonts w:cstheme="minorHAnsi"/>
                <w:b/>
                <w:sz w:val="20"/>
                <w:szCs w:val="20"/>
              </w:rPr>
              <w:t xml:space="preserve"> </w:t>
            </w:r>
            <w:r w:rsidR="00076B99">
              <w:rPr>
                <w:rFonts w:cstheme="minorHAnsi"/>
                <w:sz w:val="20"/>
                <w:szCs w:val="20"/>
              </w:rPr>
              <w:t xml:space="preserve">as reductions in costs to: </w:t>
            </w:r>
            <w:r w:rsidR="00076B99" w:rsidRPr="00E64B69">
              <w:rPr>
                <w:rFonts w:cstheme="minorHAnsi"/>
                <w:sz w:val="20"/>
                <w:szCs w:val="20"/>
              </w:rPr>
              <w:t>individual</w:t>
            </w:r>
            <w:r w:rsidR="00076B99">
              <w:rPr>
                <w:rFonts w:cstheme="minorHAnsi"/>
                <w:sz w:val="20"/>
                <w:szCs w:val="20"/>
              </w:rPr>
              <w:t>s</w:t>
            </w:r>
            <w:r w:rsidR="00076B99" w:rsidRPr="00E64B69">
              <w:rPr>
                <w:rFonts w:cstheme="minorHAnsi"/>
                <w:sz w:val="20"/>
                <w:szCs w:val="20"/>
              </w:rPr>
              <w:t xml:space="preserve"> </w:t>
            </w:r>
            <w:r w:rsidR="00076B99">
              <w:rPr>
                <w:rFonts w:cstheme="minorHAnsi"/>
                <w:sz w:val="20"/>
                <w:szCs w:val="20"/>
              </w:rPr>
              <w:t>(</w:t>
            </w:r>
            <w:r w:rsidR="00076B99" w:rsidRPr="00E64B69">
              <w:rPr>
                <w:rFonts w:cstheme="minorHAnsi"/>
                <w:sz w:val="20"/>
                <w:szCs w:val="20"/>
              </w:rPr>
              <w:t>pain,</w:t>
            </w:r>
            <w:r w:rsidR="00076B99">
              <w:rPr>
                <w:rFonts w:cstheme="minorHAnsi"/>
                <w:sz w:val="20"/>
                <w:szCs w:val="20"/>
              </w:rPr>
              <w:t xml:space="preserve"> </w:t>
            </w:r>
            <w:r w:rsidR="00076B99" w:rsidRPr="00E64B69">
              <w:rPr>
                <w:rFonts w:cstheme="minorHAnsi"/>
                <w:sz w:val="20"/>
                <w:szCs w:val="20"/>
              </w:rPr>
              <w:t>grief</w:t>
            </w:r>
            <w:r w:rsidR="00076B99">
              <w:rPr>
                <w:rFonts w:cstheme="minorHAnsi"/>
                <w:sz w:val="20"/>
                <w:szCs w:val="20"/>
              </w:rPr>
              <w:t>,</w:t>
            </w:r>
            <w:r w:rsidR="00076B99" w:rsidRPr="00E64B69">
              <w:rPr>
                <w:rFonts w:cstheme="minorHAnsi"/>
                <w:sz w:val="20"/>
                <w:szCs w:val="20"/>
              </w:rPr>
              <w:t xml:space="preserve"> suffering, loss of income</w:t>
            </w:r>
            <w:r w:rsidR="00076B99">
              <w:rPr>
                <w:rFonts w:cstheme="minorHAnsi"/>
                <w:sz w:val="20"/>
                <w:szCs w:val="20"/>
              </w:rPr>
              <w:t>);</w:t>
            </w:r>
            <w:r w:rsidR="00A45A33">
              <w:rPr>
                <w:rFonts w:cstheme="minorHAnsi"/>
                <w:sz w:val="20"/>
                <w:szCs w:val="20"/>
              </w:rPr>
              <w:t xml:space="preserve"> compensation payments (</w:t>
            </w:r>
            <w:r w:rsidR="00A45A33" w:rsidRPr="00962530">
              <w:rPr>
                <w:rFonts w:cstheme="minorHAnsi"/>
                <w:sz w:val="20"/>
                <w:szCs w:val="20"/>
              </w:rPr>
              <w:t xml:space="preserve">excluded </w:t>
            </w:r>
            <w:r w:rsidR="00A45A33">
              <w:rPr>
                <w:rFonts w:cstheme="minorHAnsi"/>
                <w:sz w:val="20"/>
                <w:szCs w:val="20"/>
              </w:rPr>
              <w:t>from monetisation of potential benefits as transfer costs)</w:t>
            </w:r>
            <w:r w:rsidR="00A45A33" w:rsidRPr="00962530">
              <w:rPr>
                <w:rFonts w:cstheme="minorHAnsi"/>
                <w:sz w:val="20"/>
                <w:szCs w:val="20"/>
              </w:rPr>
              <w:t>.</w:t>
            </w:r>
          </w:p>
          <w:p w14:paraId="137715EE" w14:textId="77777777" w:rsidR="00076B99" w:rsidRDefault="00076B99" w:rsidP="008E07D9">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A08BE38" w14:textId="30855DC4" w:rsidR="00644210" w:rsidRDefault="00644210" w:rsidP="0062141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527B065" w14:textId="18A6846F" w:rsidR="00A3608E" w:rsidRDefault="00A3608E" w:rsidP="00A3608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Non-monetised benefits (</w:t>
            </w:r>
            <w:r w:rsidR="00076B99">
              <w:rPr>
                <w:rFonts w:cstheme="minorHAnsi"/>
                <w:b/>
                <w:sz w:val="20"/>
                <w:szCs w:val="20"/>
              </w:rPr>
              <w:t>employers</w:t>
            </w:r>
            <w:r>
              <w:rPr>
                <w:rFonts w:cstheme="minorHAnsi"/>
                <w:b/>
                <w:sz w:val="20"/>
                <w:szCs w:val="20"/>
              </w:rPr>
              <w:t>):</w:t>
            </w:r>
            <w:r w:rsidR="00DB47A9">
              <w:rPr>
                <w:rFonts w:cstheme="minorHAnsi"/>
                <w:sz w:val="20"/>
                <w:szCs w:val="20"/>
              </w:rPr>
              <w:t xml:space="preserve"> not clear from the impact assessment what considerations were factored into lost output and disruption (the less comprehensive, the</w:t>
            </w:r>
            <w:r w:rsidR="00A45A33">
              <w:rPr>
                <w:rFonts w:cstheme="minorHAnsi"/>
                <w:sz w:val="20"/>
                <w:szCs w:val="20"/>
              </w:rPr>
              <w:t xml:space="preserve"> lower the estimated benefits); </w:t>
            </w:r>
            <w:r w:rsidR="00DB47A9">
              <w:rPr>
                <w:rFonts w:cstheme="minorHAnsi"/>
                <w:sz w:val="20"/>
                <w:szCs w:val="20"/>
              </w:rPr>
              <w:t xml:space="preserve">benefits to businesses </w:t>
            </w:r>
            <w:r w:rsidR="00A45A33">
              <w:rPr>
                <w:rFonts w:cstheme="minorHAnsi"/>
                <w:sz w:val="20"/>
                <w:szCs w:val="20"/>
              </w:rPr>
              <w:t xml:space="preserve">involved in the manufacture and sale of </w:t>
            </w:r>
            <w:r w:rsidR="00DB47A9">
              <w:rPr>
                <w:rFonts w:cstheme="minorHAnsi"/>
                <w:sz w:val="20"/>
                <w:szCs w:val="20"/>
              </w:rPr>
              <w:t>ladders, elevated working platforms, etc.</w:t>
            </w:r>
          </w:p>
          <w:p w14:paraId="56772A48" w14:textId="349DF8E1" w:rsidR="00076B99" w:rsidRDefault="00076B99" w:rsidP="00A3608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CF6D041" w14:textId="6BC33965" w:rsidR="00644210" w:rsidRPr="00406497" w:rsidRDefault="00076B99" w:rsidP="000A756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Non-monetised benefits (government): </w:t>
            </w:r>
            <w:r w:rsidR="000A7561">
              <w:rPr>
                <w:rFonts w:cstheme="minorHAnsi"/>
                <w:sz w:val="20"/>
                <w:szCs w:val="20"/>
              </w:rPr>
              <w:t>loss of revenue as a result of lower output; revenue increases (VAT) arising from increased sale of ladders, elevated working platforms, etc.; compensation payments (</w:t>
            </w:r>
            <w:r w:rsidR="00DB47A9" w:rsidRPr="00962530">
              <w:rPr>
                <w:rFonts w:cstheme="minorHAnsi"/>
                <w:sz w:val="20"/>
                <w:szCs w:val="20"/>
              </w:rPr>
              <w:t xml:space="preserve">excluded </w:t>
            </w:r>
            <w:r w:rsidR="00DB47A9">
              <w:rPr>
                <w:rFonts w:cstheme="minorHAnsi"/>
                <w:sz w:val="20"/>
                <w:szCs w:val="20"/>
              </w:rPr>
              <w:t>from monetisation of potential benefits</w:t>
            </w:r>
            <w:r w:rsidR="000A7561">
              <w:rPr>
                <w:rFonts w:cstheme="minorHAnsi"/>
                <w:sz w:val="20"/>
                <w:szCs w:val="20"/>
              </w:rPr>
              <w:t xml:space="preserve"> as transfer costs)</w:t>
            </w:r>
            <w:r w:rsidR="00DB47A9" w:rsidRPr="00962530">
              <w:rPr>
                <w:rFonts w:cstheme="minorHAnsi"/>
                <w:sz w:val="20"/>
                <w:szCs w:val="20"/>
              </w:rPr>
              <w:t>.</w:t>
            </w:r>
          </w:p>
        </w:tc>
      </w:tr>
      <w:tr w:rsidR="00644210" w:rsidRPr="001C3290" w14:paraId="3D95981E" w14:textId="77777777" w:rsidTr="00644210">
        <w:tc>
          <w:tcPr>
            <w:cnfStyle w:val="001000000000" w:firstRow="0" w:lastRow="0" w:firstColumn="1" w:lastColumn="0" w:oddVBand="0" w:evenVBand="0" w:oddHBand="0" w:evenHBand="0" w:firstRowFirstColumn="0" w:firstRowLastColumn="0" w:lastRowFirstColumn="0" w:lastRowLastColumn="0"/>
            <w:tcW w:w="1406" w:type="dxa"/>
          </w:tcPr>
          <w:p w14:paraId="48F61F78" w14:textId="54D53DBA" w:rsidR="00644210" w:rsidRPr="007C43DB" w:rsidRDefault="00644210" w:rsidP="00590ED7">
            <w:pPr>
              <w:rPr>
                <w:rFonts w:cstheme="minorHAnsi"/>
                <w:sz w:val="20"/>
                <w:szCs w:val="20"/>
              </w:rPr>
            </w:pPr>
            <w:r w:rsidRPr="007C43DB">
              <w:rPr>
                <w:rFonts w:cstheme="minorHAnsi"/>
                <w:sz w:val="20"/>
                <w:szCs w:val="20"/>
              </w:rPr>
              <w:t>The Control of Asbestos Regulations 2012</w:t>
            </w:r>
            <w:r w:rsidRPr="007C43DB">
              <w:rPr>
                <w:rFonts w:cstheme="minorHAnsi"/>
                <w:b w:val="0"/>
                <w:sz w:val="20"/>
                <w:szCs w:val="20"/>
              </w:rPr>
              <w:t xml:space="preserve"> (2009/148/EC)</w:t>
            </w:r>
            <w:r w:rsidRPr="007C43DB">
              <w:rPr>
                <w:rFonts w:cstheme="minorHAnsi"/>
                <w:sz w:val="20"/>
                <w:szCs w:val="20"/>
              </w:rPr>
              <w:t xml:space="preserve"> </w:t>
            </w:r>
            <w:r w:rsidR="009003BC" w:rsidRPr="007C43DB">
              <w:rPr>
                <w:rFonts w:cstheme="minorHAnsi"/>
                <w:b w:val="0"/>
                <w:sz w:val="20"/>
                <w:szCs w:val="20"/>
              </w:rPr>
              <w:t>(Health and Safety Executive, HSE)</w:t>
            </w:r>
            <w:r w:rsidRPr="007C43DB">
              <w:rPr>
                <w:rFonts w:cstheme="minorHAnsi"/>
                <w:sz w:val="20"/>
                <w:szCs w:val="20"/>
              </w:rPr>
              <w:fldChar w:fldCharType="begin"/>
            </w:r>
            <w:r w:rsidRPr="007C43DB">
              <w:rPr>
                <w:rFonts w:cstheme="minorHAnsi"/>
                <w:b w:val="0"/>
                <w:sz w:val="20"/>
                <w:szCs w:val="20"/>
              </w:rPr>
              <w:instrText xml:space="preserve"> ADDIN EN.CITE &lt;EndNote&gt;&lt;Cite&gt;&lt;Author&gt;Health and Safety Executive&lt;/Author&gt;&lt;Year&gt;2011&lt;/Year&gt;&lt;RecNum&gt;1619&lt;/RecNum&gt;&lt;DisplayText&gt; (Health and Safety Executive, 2011)&lt;/DisplayText&gt;&lt;record&gt;&lt;rec-number&gt;1619&lt;/rec-number&gt;&lt;foreign-keys&gt;&lt;key app="EN" db-id="drrvazw0t090vlef0e6praxba2d0xwps0wt0" timestamp="1491493615"&gt;1619&lt;/key&gt;&lt;/foreign-keys&gt;&lt;ref-type name="Report"&gt;27&lt;/ref-type&gt;&lt;contributors&gt;&lt;authors&gt;&lt;author&gt;Health and Safety Executive,&lt;/author&gt;&lt;/authors&gt;&lt;tertiary-authors&gt;&lt;author&gt;HSE&lt;/author&gt;&lt;/tertiary-authors&gt;&lt;/contributors&gt;&lt;titles&gt;&lt;title&gt;Impact Assessment: Control of Asbestos Regulations&lt;/title&gt;&lt;/titles&gt;&lt;dates&gt;&lt;year&gt;2011&lt;/year&gt;&lt;/dates&gt;&lt;pub-location&gt;London&lt;/pub-location&gt;&lt;publisher&gt;HSE&lt;/publisher&gt;&lt;urls&gt;&lt;related-urls&gt;&lt;url&gt;http://www.legislation.gov.uk/ukia/2011/471/pdfs/ukia_20110471_en.pdf&lt;/url&gt;&lt;/related-urls&gt;&lt;/urls&gt;&lt;access-date&gt;March 20, 2017&lt;/access-date&gt;&lt;/record&gt;&lt;/Cite&gt;&lt;/EndNote&gt;</w:instrText>
            </w:r>
            <w:r w:rsidRPr="007C43DB">
              <w:rPr>
                <w:rFonts w:cstheme="minorHAnsi"/>
                <w:sz w:val="20"/>
                <w:szCs w:val="20"/>
              </w:rPr>
              <w:fldChar w:fldCharType="separate"/>
            </w:r>
            <w:r w:rsidRPr="007C43DB">
              <w:rPr>
                <w:rFonts w:cstheme="minorHAnsi"/>
                <w:b w:val="0"/>
                <w:noProof/>
                <w:sz w:val="20"/>
                <w:szCs w:val="20"/>
              </w:rPr>
              <w:t xml:space="preserve"> </w:t>
            </w:r>
            <w:hyperlink w:anchor="_ENREF_13" w:tooltip="Health and Safety Executive, 2011 #1619" w:history="1">
              <w:r w:rsidR="006D11C0" w:rsidRPr="007C43DB">
                <w:rPr>
                  <w:rFonts w:cstheme="minorHAnsi"/>
                  <w:b w:val="0"/>
                  <w:noProof/>
                  <w:sz w:val="20"/>
                  <w:szCs w:val="20"/>
                </w:rPr>
                <w:t>(Health and Safety Executive, 2011</w:t>
              </w:r>
            </w:hyperlink>
            <w:r w:rsidRPr="007C43DB">
              <w:rPr>
                <w:rFonts w:cstheme="minorHAnsi"/>
                <w:b w:val="0"/>
                <w:noProof/>
                <w:sz w:val="20"/>
                <w:szCs w:val="20"/>
              </w:rPr>
              <w:t>)</w:t>
            </w:r>
            <w:r w:rsidRPr="007C43DB">
              <w:rPr>
                <w:rFonts w:cstheme="minorHAnsi"/>
                <w:sz w:val="20"/>
                <w:szCs w:val="20"/>
              </w:rPr>
              <w:fldChar w:fldCharType="end"/>
            </w:r>
          </w:p>
        </w:tc>
        <w:tc>
          <w:tcPr>
            <w:tcW w:w="4632" w:type="dxa"/>
          </w:tcPr>
          <w:p w14:paraId="6329B2FA" w14:textId="6B42B3EB"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sidRPr="002C4282">
              <w:rPr>
                <w:rFonts w:cstheme="minorHAnsi"/>
                <w:sz w:val="20"/>
                <w:szCs w:val="20"/>
              </w:rPr>
              <w:t>The impact assessment reported that, “from inception the lack of basic data on this new category of work [had] been a major difficulty and noted that “there were extremely large variations in the ranges suggested</w:t>
            </w:r>
            <w:r>
              <w:rPr>
                <w:rFonts w:cstheme="minorHAnsi"/>
                <w:sz w:val="20"/>
                <w:szCs w:val="20"/>
              </w:rPr>
              <w:t xml:space="preserve"> [by business stakeholders]</w:t>
            </w:r>
            <w:r w:rsidRPr="002C4282">
              <w:rPr>
                <w:rFonts w:cstheme="minorHAnsi"/>
                <w:sz w:val="20"/>
                <w:szCs w:val="20"/>
              </w:rPr>
              <w:t xml:space="preserve">” </w:t>
            </w:r>
            <w:r w:rsidR="00A67E81">
              <w:rPr>
                <w:rFonts w:cstheme="minorHAnsi"/>
                <w:sz w:val="20"/>
                <w:szCs w:val="20"/>
              </w:rPr>
              <w:t xml:space="preserve">(see para. below) </w:t>
            </w:r>
            <w:r w:rsidRPr="002C4282">
              <w:rPr>
                <w:rFonts w:cstheme="minorHAnsi"/>
                <w:sz w:val="20"/>
                <w:szCs w:val="20"/>
              </w:rPr>
              <w:t>and that</w:t>
            </w:r>
            <w:r>
              <w:rPr>
                <w:rFonts w:cstheme="minorHAnsi"/>
                <w:sz w:val="20"/>
                <w:szCs w:val="20"/>
              </w:rPr>
              <w:t xml:space="preserve"> </w:t>
            </w:r>
            <w:r w:rsidRPr="002C4282">
              <w:rPr>
                <w:rFonts w:cstheme="minorHAnsi"/>
                <w:sz w:val="20"/>
                <w:szCs w:val="20"/>
              </w:rPr>
              <w:t xml:space="preserve">“assumptions have had to be made without firm evidence”. This was </w:t>
            </w:r>
            <w:r>
              <w:rPr>
                <w:rFonts w:cstheme="minorHAnsi"/>
                <w:sz w:val="20"/>
                <w:szCs w:val="20"/>
              </w:rPr>
              <w:t>due to the fact that</w:t>
            </w:r>
            <w:r w:rsidRPr="002C4282">
              <w:rPr>
                <w:rFonts w:cstheme="minorHAnsi"/>
                <w:sz w:val="20"/>
                <w:szCs w:val="20"/>
              </w:rPr>
              <w:t>: the definition of th</w:t>
            </w:r>
            <w:r>
              <w:rPr>
                <w:rFonts w:cstheme="minorHAnsi"/>
                <w:sz w:val="20"/>
                <w:szCs w:val="20"/>
              </w:rPr>
              <w:t xml:space="preserve">e new category of work was new </w:t>
            </w:r>
            <w:r w:rsidRPr="002C4282">
              <w:rPr>
                <w:rFonts w:cstheme="minorHAnsi"/>
                <w:sz w:val="20"/>
                <w:szCs w:val="20"/>
              </w:rPr>
              <w:t>so there was no existing data source or experience</w:t>
            </w:r>
            <w:r>
              <w:rPr>
                <w:rFonts w:cstheme="minorHAnsi"/>
                <w:sz w:val="20"/>
                <w:szCs w:val="20"/>
              </w:rPr>
              <w:t xml:space="preserve"> to draw on</w:t>
            </w:r>
            <w:r w:rsidR="004D56FE">
              <w:rPr>
                <w:rFonts w:cstheme="minorHAnsi"/>
                <w:sz w:val="20"/>
                <w:szCs w:val="20"/>
              </w:rPr>
              <w:t xml:space="preserve"> (“despite the consultation we have poor evidence to indicate how many individual</w:t>
            </w:r>
            <w:r w:rsidR="00572DC6">
              <w:rPr>
                <w:rFonts w:cstheme="minorHAnsi"/>
                <w:sz w:val="20"/>
                <w:szCs w:val="20"/>
              </w:rPr>
              <w:t xml:space="preserve"> </w:t>
            </w:r>
            <w:r w:rsidR="004D56FE">
              <w:rPr>
                <w:rFonts w:cstheme="minorHAnsi"/>
                <w:sz w:val="20"/>
                <w:szCs w:val="20"/>
              </w:rPr>
              <w:t>jobs</w:t>
            </w:r>
            <w:r w:rsidR="00572DC6">
              <w:rPr>
                <w:rFonts w:cstheme="minorHAnsi"/>
                <w:sz w:val="20"/>
                <w:szCs w:val="20"/>
              </w:rPr>
              <w:t xml:space="preserve"> [in the new category of work]</w:t>
            </w:r>
            <w:r w:rsidR="004D56FE">
              <w:rPr>
                <w:rFonts w:cstheme="minorHAnsi"/>
                <w:sz w:val="20"/>
                <w:szCs w:val="20"/>
              </w:rPr>
              <w:t xml:space="preserve"> workers will conduct per year”)</w:t>
            </w:r>
            <w:r w:rsidRPr="002C4282">
              <w:rPr>
                <w:rFonts w:cstheme="minorHAnsi"/>
                <w:sz w:val="20"/>
                <w:szCs w:val="20"/>
              </w:rPr>
              <w:t>; the exact scope of the new category of work was still in development and therefore unclear; the number of workers involved in any particular job was variable; the extent of asbestos in the building stock was unknown.</w:t>
            </w:r>
          </w:p>
          <w:p w14:paraId="64E7914C" w14:textId="22BE0BCB" w:rsidR="004D56FE" w:rsidRDefault="004D56FE"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9FD731C" w14:textId="7F484784" w:rsidR="00A67E81" w:rsidRPr="00A67E81" w:rsidRDefault="00A67E81" w:rsidP="00A67E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impact assessment noted that the National Federation of Demolition Contractors, who had provided one of the “most considered indicative estimates”, </w:t>
            </w:r>
            <w:r w:rsidRPr="00A67E81">
              <w:rPr>
                <w:rFonts w:cstheme="minorHAnsi"/>
                <w:sz w:val="20"/>
                <w:szCs w:val="20"/>
              </w:rPr>
              <w:t xml:space="preserve">estimated </w:t>
            </w:r>
            <w:r>
              <w:rPr>
                <w:rFonts w:cstheme="minorHAnsi"/>
                <w:sz w:val="20"/>
                <w:szCs w:val="20"/>
              </w:rPr>
              <w:t>“</w:t>
            </w:r>
            <w:r w:rsidRPr="00A67E81">
              <w:rPr>
                <w:rFonts w:cstheme="minorHAnsi"/>
                <w:sz w:val="20"/>
                <w:szCs w:val="20"/>
              </w:rPr>
              <w:t>perhaps 50 notifications per</w:t>
            </w:r>
          </w:p>
          <w:p w14:paraId="6B35E6CA" w14:textId="15FBD5E2" w:rsidR="00A67E81" w:rsidRPr="00A67E81" w:rsidRDefault="00A67E81" w:rsidP="00A67E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67E81">
              <w:rPr>
                <w:rFonts w:cstheme="minorHAnsi"/>
                <w:sz w:val="20"/>
                <w:szCs w:val="20"/>
              </w:rPr>
              <w:t>member company p</w:t>
            </w:r>
            <w:r>
              <w:rPr>
                <w:rFonts w:cstheme="minorHAnsi"/>
                <w:sz w:val="20"/>
                <w:szCs w:val="20"/>
              </w:rPr>
              <w:t>er annum”</w:t>
            </w:r>
            <w:r w:rsidRPr="00A67E81">
              <w:rPr>
                <w:rFonts w:cstheme="minorHAnsi"/>
                <w:sz w:val="20"/>
                <w:szCs w:val="20"/>
              </w:rPr>
              <w:t xml:space="preserve">, </w:t>
            </w:r>
            <w:r>
              <w:rPr>
                <w:rFonts w:cstheme="minorHAnsi"/>
                <w:sz w:val="20"/>
                <w:szCs w:val="20"/>
              </w:rPr>
              <w:t xml:space="preserve">which would produce about </w:t>
            </w:r>
            <w:r w:rsidRPr="00A67E81">
              <w:rPr>
                <w:rFonts w:cstheme="minorHAnsi"/>
                <w:sz w:val="20"/>
                <w:szCs w:val="20"/>
              </w:rPr>
              <w:t>7600 jobs per year from demolition work alone.</w:t>
            </w:r>
          </w:p>
          <w:p w14:paraId="6FD735E6" w14:textId="52273938" w:rsidR="004D56FE" w:rsidRDefault="00A67E81" w:rsidP="00A67E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One Local Authority </w:t>
            </w:r>
            <w:r w:rsidRPr="00A67E81">
              <w:rPr>
                <w:rFonts w:cstheme="minorHAnsi"/>
                <w:sz w:val="20"/>
                <w:szCs w:val="20"/>
              </w:rPr>
              <w:t>estimated 3000 notified jobs generated by 400 workers, another</w:t>
            </w:r>
            <w:r>
              <w:rPr>
                <w:rFonts w:cstheme="minorHAnsi"/>
                <w:sz w:val="20"/>
                <w:szCs w:val="20"/>
              </w:rPr>
              <w:t xml:space="preserve"> </w:t>
            </w:r>
            <w:r w:rsidRPr="00A67E81">
              <w:rPr>
                <w:rFonts w:cstheme="minorHAnsi"/>
                <w:sz w:val="20"/>
                <w:szCs w:val="20"/>
              </w:rPr>
              <w:t xml:space="preserve">suggested ‘several hundred’. A large engineering </w:t>
            </w:r>
            <w:r>
              <w:rPr>
                <w:rFonts w:cstheme="minorHAnsi"/>
                <w:sz w:val="20"/>
                <w:szCs w:val="20"/>
              </w:rPr>
              <w:t>company</w:t>
            </w:r>
            <w:r w:rsidRPr="00A67E81">
              <w:rPr>
                <w:rFonts w:cstheme="minorHAnsi"/>
                <w:sz w:val="20"/>
                <w:szCs w:val="20"/>
              </w:rPr>
              <w:t xml:space="preserve"> estimated only 10</w:t>
            </w:r>
            <w:r>
              <w:rPr>
                <w:rFonts w:cstheme="minorHAnsi"/>
                <w:sz w:val="20"/>
                <w:szCs w:val="20"/>
              </w:rPr>
              <w:t xml:space="preserve"> </w:t>
            </w:r>
            <w:r w:rsidRPr="00A67E81">
              <w:rPr>
                <w:rFonts w:cstheme="minorHAnsi"/>
                <w:sz w:val="20"/>
                <w:szCs w:val="20"/>
              </w:rPr>
              <w:t>notifications from up to 20 empl</w:t>
            </w:r>
            <w:r>
              <w:rPr>
                <w:rFonts w:cstheme="minorHAnsi"/>
                <w:sz w:val="20"/>
                <w:szCs w:val="20"/>
              </w:rPr>
              <w:t xml:space="preserve">oyees doing 4 jobs each. Other companies were reported to have </w:t>
            </w:r>
            <w:r w:rsidRPr="00A67E81">
              <w:rPr>
                <w:rFonts w:cstheme="minorHAnsi"/>
                <w:sz w:val="20"/>
                <w:szCs w:val="20"/>
              </w:rPr>
              <w:t>estimated 6 jobs per</w:t>
            </w:r>
            <w:r>
              <w:rPr>
                <w:rFonts w:cstheme="minorHAnsi"/>
                <w:sz w:val="20"/>
                <w:szCs w:val="20"/>
              </w:rPr>
              <w:t xml:space="preserve"> </w:t>
            </w:r>
            <w:r w:rsidRPr="00A67E81">
              <w:rPr>
                <w:rFonts w:cstheme="minorHAnsi"/>
                <w:sz w:val="20"/>
                <w:szCs w:val="20"/>
              </w:rPr>
              <w:t xml:space="preserve">worker. The electricity/utility sector </w:t>
            </w:r>
            <w:r>
              <w:rPr>
                <w:rFonts w:cstheme="minorHAnsi"/>
                <w:sz w:val="20"/>
                <w:szCs w:val="20"/>
              </w:rPr>
              <w:t xml:space="preserve">indicated that </w:t>
            </w:r>
            <w:r w:rsidRPr="00A67E81">
              <w:rPr>
                <w:rFonts w:cstheme="minorHAnsi"/>
                <w:sz w:val="20"/>
                <w:szCs w:val="20"/>
              </w:rPr>
              <w:t xml:space="preserve">depending on </w:t>
            </w:r>
            <w:r>
              <w:rPr>
                <w:rFonts w:cstheme="minorHAnsi"/>
                <w:sz w:val="20"/>
                <w:szCs w:val="20"/>
              </w:rPr>
              <w:t xml:space="preserve">the </w:t>
            </w:r>
            <w:r w:rsidRPr="00A67E81">
              <w:rPr>
                <w:rFonts w:cstheme="minorHAnsi"/>
                <w:sz w:val="20"/>
                <w:szCs w:val="20"/>
              </w:rPr>
              <w:t>final scope</w:t>
            </w:r>
            <w:r>
              <w:rPr>
                <w:rFonts w:cstheme="minorHAnsi"/>
                <w:sz w:val="20"/>
                <w:szCs w:val="20"/>
              </w:rPr>
              <w:t xml:space="preserve"> of the new work category, “</w:t>
            </w:r>
            <w:r w:rsidRPr="00A67E81">
              <w:rPr>
                <w:rFonts w:cstheme="minorHAnsi"/>
                <w:sz w:val="20"/>
                <w:szCs w:val="20"/>
              </w:rPr>
              <w:t>some 500,000 or more sector jobs per year could be encountered by 10,000 – 15,000</w:t>
            </w:r>
            <w:r>
              <w:rPr>
                <w:rFonts w:cstheme="minorHAnsi"/>
                <w:sz w:val="20"/>
                <w:szCs w:val="20"/>
              </w:rPr>
              <w:t xml:space="preserve"> </w:t>
            </w:r>
            <w:r w:rsidRPr="00A67E81">
              <w:rPr>
                <w:rFonts w:cstheme="minorHAnsi"/>
                <w:sz w:val="20"/>
                <w:szCs w:val="20"/>
              </w:rPr>
              <w:t>workers, with an uncertain estimate of 12 jobs per worker p</w:t>
            </w:r>
            <w:r>
              <w:rPr>
                <w:rFonts w:cstheme="minorHAnsi"/>
                <w:sz w:val="20"/>
                <w:szCs w:val="20"/>
              </w:rPr>
              <w:t>er annum”</w:t>
            </w:r>
            <w:r w:rsidRPr="00A67E81">
              <w:rPr>
                <w:rFonts w:cstheme="minorHAnsi"/>
                <w:sz w:val="20"/>
                <w:szCs w:val="20"/>
              </w:rPr>
              <w:t>. One licensed contractor</w:t>
            </w:r>
            <w:r>
              <w:rPr>
                <w:rFonts w:cstheme="minorHAnsi"/>
                <w:sz w:val="20"/>
                <w:szCs w:val="20"/>
              </w:rPr>
              <w:t xml:space="preserve"> had </w:t>
            </w:r>
            <w:r w:rsidRPr="00A67E81">
              <w:rPr>
                <w:rFonts w:cstheme="minorHAnsi"/>
                <w:sz w:val="20"/>
                <w:szCs w:val="20"/>
              </w:rPr>
              <w:t>suggested a total of 40,000 notifications</w:t>
            </w:r>
            <w:r>
              <w:rPr>
                <w:rFonts w:cstheme="minorHAnsi"/>
                <w:sz w:val="20"/>
                <w:szCs w:val="20"/>
              </w:rPr>
              <w:t xml:space="preserve"> nationally (which assumed</w:t>
            </w:r>
            <w:r w:rsidRPr="00A67E81">
              <w:rPr>
                <w:rFonts w:cstheme="minorHAnsi"/>
                <w:sz w:val="20"/>
                <w:szCs w:val="20"/>
              </w:rPr>
              <w:t xml:space="preserve"> negligible</w:t>
            </w:r>
            <w:r w:rsidR="00572DC6">
              <w:rPr>
                <w:rFonts w:cstheme="minorHAnsi"/>
                <w:sz w:val="20"/>
                <w:szCs w:val="20"/>
              </w:rPr>
              <w:t xml:space="preserve"> </w:t>
            </w:r>
            <w:r w:rsidRPr="00A67E81">
              <w:rPr>
                <w:rFonts w:cstheme="minorHAnsi"/>
                <w:sz w:val="20"/>
                <w:szCs w:val="20"/>
              </w:rPr>
              <w:t>compliance by micro business</w:t>
            </w:r>
            <w:r>
              <w:rPr>
                <w:rFonts w:cstheme="minorHAnsi"/>
                <w:sz w:val="20"/>
                <w:szCs w:val="20"/>
              </w:rPr>
              <w:t>)</w:t>
            </w:r>
            <w:r w:rsidRPr="00A67E81">
              <w:rPr>
                <w:rFonts w:cstheme="minorHAnsi"/>
                <w:sz w:val="20"/>
                <w:szCs w:val="20"/>
              </w:rPr>
              <w:t xml:space="preserve">. </w:t>
            </w:r>
            <w:r>
              <w:rPr>
                <w:rFonts w:cstheme="minorHAnsi"/>
                <w:sz w:val="20"/>
                <w:szCs w:val="20"/>
              </w:rPr>
              <w:t xml:space="preserve">The HSE noted that “the </w:t>
            </w:r>
            <w:r w:rsidRPr="00A67E81">
              <w:rPr>
                <w:rFonts w:cstheme="minorHAnsi"/>
                <w:sz w:val="20"/>
                <w:szCs w:val="20"/>
              </w:rPr>
              <w:t xml:space="preserve">difficulties </w:t>
            </w:r>
            <w:r>
              <w:rPr>
                <w:rFonts w:cstheme="minorHAnsi"/>
                <w:sz w:val="20"/>
                <w:szCs w:val="20"/>
              </w:rPr>
              <w:t xml:space="preserve">were </w:t>
            </w:r>
            <w:r w:rsidRPr="00A67E81">
              <w:rPr>
                <w:rFonts w:cstheme="minorHAnsi"/>
                <w:sz w:val="20"/>
                <w:szCs w:val="20"/>
              </w:rPr>
              <w:t>stark</w:t>
            </w:r>
            <w:r>
              <w:rPr>
                <w:rFonts w:cstheme="minorHAnsi"/>
                <w:sz w:val="20"/>
                <w:szCs w:val="20"/>
              </w:rPr>
              <w:t>” and because “</w:t>
            </w:r>
            <w:r w:rsidRPr="00A67E81">
              <w:rPr>
                <w:rFonts w:cstheme="minorHAnsi"/>
                <w:sz w:val="20"/>
                <w:szCs w:val="20"/>
              </w:rPr>
              <w:t>estimates were</w:t>
            </w:r>
            <w:r>
              <w:rPr>
                <w:rFonts w:cstheme="minorHAnsi"/>
                <w:sz w:val="20"/>
                <w:szCs w:val="20"/>
              </w:rPr>
              <w:t xml:space="preserve"> </w:t>
            </w:r>
            <w:r w:rsidRPr="00A67E81">
              <w:rPr>
                <w:rFonts w:cstheme="minorHAnsi"/>
                <w:sz w:val="20"/>
                <w:szCs w:val="20"/>
              </w:rPr>
              <w:t>generally on the lower side</w:t>
            </w:r>
            <w:r>
              <w:rPr>
                <w:rFonts w:cstheme="minorHAnsi"/>
                <w:sz w:val="20"/>
                <w:szCs w:val="20"/>
              </w:rPr>
              <w:t>”</w:t>
            </w:r>
            <w:r w:rsidRPr="00A67E81">
              <w:rPr>
                <w:rFonts w:cstheme="minorHAnsi"/>
                <w:sz w:val="20"/>
                <w:szCs w:val="20"/>
              </w:rPr>
              <w:t xml:space="preserve"> estimate</w:t>
            </w:r>
            <w:r>
              <w:rPr>
                <w:rFonts w:cstheme="minorHAnsi"/>
                <w:sz w:val="20"/>
                <w:szCs w:val="20"/>
              </w:rPr>
              <w:t>d</w:t>
            </w:r>
            <w:r w:rsidRPr="00A67E81">
              <w:rPr>
                <w:rFonts w:cstheme="minorHAnsi"/>
                <w:sz w:val="20"/>
                <w:szCs w:val="20"/>
              </w:rPr>
              <w:t xml:space="preserve"> a range of between 5 and 30</w:t>
            </w:r>
            <w:r>
              <w:rPr>
                <w:rFonts w:cstheme="minorHAnsi"/>
                <w:sz w:val="20"/>
                <w:szCs w:val="20"/>
              </w:rPr>
              <w:t xml:space="preserve"> </w:t>
            </w:r>
            <w:r w:rsidRPr="00A67E81">
              <w:rPr>
                <w:rFonts w:cstheme="minorHAnsi"/>
                <w:sz w:val="20"/>
                <w:szCs w:val="20"/>
              </w:rPr>
              <w:t>notifications per worker, with a best estimate of the midpoint, 18. This is then used to</w:t>
            </w:r>
            <w:r w:rsidR="00572DC6">
              <w:rPr>
                <w:rFonts w:cstheme="minorHAnsi"/>
                <w:sz w:val="20"/>
                <w:szCs w:val="20"/>
              </w:rPr>
              <w:t xml:space="preserve"> </w:t>
            </w:r>
            <w:r w:rsidRPr="00A67E81">
              <w:rPr>
                <w:rFonts w:cstheme="minorHAnsi"/>
                <w:sz w:val="20"/>
                <w:szCs w:val="20"/>
              </w:rPr>
              <w:t>estimate costs of r</w:t>
            </w:r>
            <w:r>
              <w:rPr>
                <w:rFonts w:cstheme="minorHAnsi"/>
                <w:sz w:val="20"/>
                <w:szCs w:val="20"/>
              </w:rPr>
              <w:t>ecord keeping and notification.</w:t>
            </w:r>
          </w:p>
          <w:p w14:paraId="6AFD42D1"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A7F6B90" w14:textId="5D7AB83B" w:rsidR="00644210" w:rsidRPr="00995DB4"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impact assessment also noted that the short timescale for implementation meant that “a pragmatic approach” had to be adopted “as there [had] been insufficient time or considered research.” It was noted that research undertaken by the Institute of Employment Studies had struggled to obtain information on the existing cost of asbestos-related building maintenance work as duty holders did not separate out asbestos work from general maintenance budgets and did not subdivide it into licensed and unlicensed work </w:t>
            </w:r>
            <w:r>
              <w:rPr>
                <w:rFonts w:cstheme="minorHAnsi"/>
                <w:sz w:val="20"/>
                <w:szCs w:val="20"/>
              </w:rPr>
              <w:fldChar w:fldCharType="begin"/>
            </w:r>
            <w:r>
              <w:rPr>
                <w:rFonts w:cstheme="minorHAnsi"/>
                <w:sz w:val="20"/>
                <w:szCs w:val="20"/>
              </w:rPr>
              <w:instrText xml:space="preserve"> ADDIN EN.CITE &lt;EndNote&gt;&lt;Cite&gt;&lt;Author&gt;Sinclair&lt;/Author&gt;&lt;Year&gt;2011&lt;/Year&gt;&lt;RecNum&gt;1649&lt;/RecNum&gt;&lt;DisplayText&gt; (Sinclair&lt;style face="italic"&gt; et al.&lt;/style&gt;, 2011)&lt;/DisplayText&gt;&lt;record&gt;&lt;rec-number&gt;1649&lt;/rec-number&gt;&lt;foreign-keys&gt;&lt;key app="EN" db-id="drrvazw0t090vlef0e6praxba2d0xwps0wt0" timestamp="1494961198"&gt;1649&lt;/key&gt;&lt;/foreign-keys&gt;&lt;ref-type name="Report"&gt;27&lt;/ref-type&gt;&lt;contributors&gt;&lt;authors&gt;&lt;author&gt;Alice Sinclair&lt;/author&gt;&lt;author&gt;Claire Tyers&lt;/author&gt;&lt;author&gt;Wil Hunt&lt;/author&gt;&lt;author&gt;Joy Oakley&lt;/author&gt;&lt;author&gt;Daniel Pearmain&lt;/author&gt;&lt;author&gt;Jenny Savage&lt;/author&gt;&lt;author&gt;Phil Bust&lt;/author&gt;&lt;author&gt;Alistair Gibb&lt;/author&gt;&lt;/authors&gt;&lt;tertiary-authors&gt;&lt;author&gt;HMSO&lt;/author&gt;&lt;/tertiary-authors&gt;&lt;/contributors&gt;&lt;titles&gt;&lt;title&gt;Evaluation of the duty to manage asbestos&lt;/title&gt;&lt;/titles&gt;&lt;num-vols&gt;RR783&lt;/num-vols&gt;&lt;dates&gt;&lt;year&gt;2011&lt;/year&gt;&lt;/dates&gt;&lt;pub-location&gt;Norwich&lt;/pub-location&gt;&lt;publisher&gt;Health and Safety Executive&lt;/publisher&gt;&lt;urls&gt;&lt;related-urls&gt;&lt;url&gt;http://www.hse.gov.uk/research/rrpdf/rr783.pdf&lt;/url&gt;&lt;/related-urls&gt;&lt;/urls&gt;&lt;access-date&gt;November 3, 2017&lt;/access-date&gt;&lt;/record&gt;&lt;/Cite&gt;&lt;/EndNote&gt;</w:instrText>
            </w:r>
            <w:r>
              <w:rPr>
                <w:rFonts w:cstheme="minorHAnsi"/>
                <w:sz w:val="20"/>
                <w:szCs w:val="20"/>
              </w:rPr>
              <w:fldChar w:fldCharType="separate"/>
            </w:r>
            <w:r>
              <w:rPr>
                <w:rFonts w:cstheme="minorHAnsi"/>
                <w:noProof/>
                <w:sz w:val="20"/>
                <w:szCs w:val="20"/>
              </w:rPr>
              <w:t xml:space="preserve"> </w:t>
            </w:r>
            <w:hyperlink w:anchor="_ENREF_18" w:tooltip="Sinclair, 2011 #1649" w:history="1">
              <w:r w:rsidR="006D11C0">
                <w:rPr>
                  <w:rFonts w:cstheme="minorHAnsi"/>
                  <w:noProof/>
                  <w:sz w:val="20"/>
                  <w:szCs w:val="20"/>
                </w:rPr>
                <w:t>(Sinclair</w:t>
              </w:r>
              <w:r w:rsidR="006D11C0" w:rsidRPr="00CE6D50">
                <w:rPr>
                  <w:rFonts w:cstheme="minorHAnsi"/>
                  <w:i/>
                  <w:noProof/>
                  <w:sz w:val="20"/>
                  <w:szCs w:val="20"/>
                </w:rPr>
                <w:t xml:space="preserve"> et al.</w:t>
              </w:r>
              <w:r w:rsidR="006D11C0">
                <w:rPr>
                  <w:rFonts w:cstheme="minorHAnsi"/>
                  <w:noProof/>
                  <w:sz w:val="20"/>
                  <w:szCs w:val="20"/>
                </w:rPr>
                <w:t>, 2011</w:t>
              </w:r>
            </w:hyperlink>
            <w:r>
              <w:rPr>
                <w:rFonts w:cstheme="minorHAnsi"/>
                <w:noProof/>
                <w:sz w:val="20"/>
                <w:szCs w:val="20"/>
              </w:rPr>
              <w:t>)</w:t>
            </w:r>
            <w:r>
              <w:rPr>
                <w:rFonts w:cstheme="minorHAnsi"/>
                <w:sz w:val="20"/>
                <w:szCs w:val="20"/>
              </w:rPr>
              <w:fldChar w:fldCharType="end"/>
            </w:r>
            <w:r>
              <w:rPr>
                <w:rFonts w:cstheme="minorHAnsi"/>
                <w:sz w:val="20"/>
                <w:szCs w:val="20"/>
              </w:rPr>
              <w:t>. Consequently, “existing research on costs [had] not been particularly useful in reducing uncertainty around the costs of the option and baseline.”</w:t>
            </w:r>
          </w:p>
          <w:p w14:paraId="2E26D60B"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4A989FB6" w14:textId="07DDD050" w:rsidR="00644210" w:rsidRPr="00572DC6"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Dynamic effects:</w:t>
            </w:r>
            <w:r w:rsidR="00572DC6">
              <w:rPr>
                <w:rFonts w:cstheme="minorHAnsi"/>
                <w:b/>
                <w:sz w:val="20"/>
                <w:szCs w:val="20"/>
              </w:rPr>
              <w:t xml:space="preserve"> </w:t>
            </w:r>
            <w:r w:rsidR="00572DC6">
              <w:rPr>
                <w:rFonts w:cstheme="minorHAnsi"/>
                <w:sz w:val="20"/>
                <w:szCs w:val="20"/>
              </w:rPr>
              <w:t>not explored.</w:t>
            </w:r>
          </w:p>
          <w:p w14:paraId="444052FE" w14:textId="77777777" w:rsidR="00644210" w:rsidRPr="00ED2083"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694BD12" w14:textId="35848642" w:rsidR="00644210" w:rsidRPr="00572DC6"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sidR="00572DC6">
              <w:rPr>
                <w:rFonts w:cstheme="minorHAnsi"/>
                <w:b/>
                <w:sz w:val="20"/>
                <w:szCs w:val="20"/>
              </w:rPr>
              <w:t xml:space="preserve"> </w:t>
            </w:r>
            <w:r w:rsidR="00572DC6">
              <w:rPr>
                <w:rFonts w:cstheme="minorHAnsi"/>
                <w:sz w:val="20"/>
                <w:szCs w:val="20"/>
              </w:rPr>
              <w:t xml:space="preserve">evidence-based </w:t>
            </w:r>
            <w:r w:rsidR="00260B2F">
              <w:rPr>
                <w:rFonts w:cstheme="minorHAnsi"/>
                <w:sz w:val="20"/>
                <w:szCs w:val="20"/>
              </w:rPr>
              <w:t xml:space="preserve">and non-evidenced based </w:t>
            </w:r>
            <w:r w:rsidR="00572DC6">
              <w:rPr>
                <w:rFonts w:cstheme="minorHAnsi"/>
                <w:sz w:val="20"/>
                <w:szCs w:val="20"/>
              </w:rPr>
              <w:t>assumptions on compliance</w:t>
            </w:r>
            <w:r w:rsidR="009003BC">
              <w:rPr>
                <w:rFonts w:cstheme="minorHAnsi"/>
                <w:sz w:val="20"/>
                <w:szCs w:val="20"/>
              </w:rPr>
              <w:t xml:space="preserve"> (e.g. </w:t>
            </w:r>
            <w:r w:rsidR="00260B2F">
              <w:rPr>
                <w:rFonts w:cstheme="minorHAnsi"/>
                <w:sz w:val="20"/>
                <w:szCs w:val="20"/>
              </w:rPr>
              <w:t>with</w:t>
            </w:r>
            <w:r w:rsidR="009003BC">
              <w:rPr>
                <w:rFonts w:cstheme="minorHAnsi"/>
                <w:sz w:val="20"/>
                <w:szCs w:val="20"/>
              </w:rPr>
              <w:t xml:space="preserve"> medicals</w:t>
            </w:r>
            <w:r w:rsidR="00260B2F">
              <w:rPr>
                <w:rFonts w:cstheme="minorHAnsi"/>
                <w:sz w:val="20"/>
                <w:szCs w:val="20"/>
              </w:rPr>
              <w:t>, notification requirements for workers only performing the new category of work</w:t>
            </w:r>
            <w:r w:rsidR="00602C70">
              <w:rPr>
                <w:rFonts w:cstheme="minorHAnsi"/>
                <w:sz w:val="20"/>
                <w:szCs w:val="20"/>
              </w:rPr>
              <w:t>, record keeping requirements for workers’ regulated activity</w:t>
            </w:r>
            <w:r w:rsidR="009003BC">
              <w:rPr>
                <w:rFonts w:cstheme="minorHAnsi"/>
                <w:sz w:val="20"/>
                <w:szCs w:val="20"/>
              </w:rPr>
              <w:t>)</w:t>
            </w:r>
            <w:r w:rsidR="00572DC6">
              <w:rPr>
                <w:rFonts w:cstheme="minorHAnsi"/>
                <w:sz w:val="20"/>
                <w:szCs w:val="20"/>
              </w:rPr>
              <w:t xml:space="preserve"> integrated into cost estimates.</w:t>
            </w:r>
          </w:p>
        </w:tc>
        <w:tc>
          <w:tcPr>
            <w:tcW w:w="4633" w:type="dxa"/>
          </w:tcPr>
          <w:p w14:paraId="3BC83A82" w14:textId="15748ECB"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Summary of sources:</w:t>
            </w:r>
            <w:r>
              <w:rPr>
                <w:rFonts w:cstheme="minorHAnsi"/>
                <w:sz w:val="20"/>
                <w:szCs w:val="20"/>
              </w:rPr>
              <w:t xml:space="preserve"> </w:t>
            </w:r>
            <w:r w:rsidR="00C46086">
              <w:rPr>
                <w:rFonts w:cstheme="minorHAnsi"/>
                <w:sz w:val="20"/>
                <w:szCs w:val="20"/>
              </w:rPr>
              <w:t xml:space="preserve">Official data sources included: the Labour Force Survey (LFS) (used to estimate the number of workers exposed to asbestos under the new category of work); the </w:t>
            </w:r>
            <w:r w:rsidR="00C46086" w:rsidRPr="00CC4BCF">
              <w:rPr>
                <w:rFonts w:cstheme="minorHAnsi"/>
                <w:sz w:val="20"/>
                <w:szCs w:val="20"/>
              </w:rPr>
              <w:t>Annual</w:t>
            </w:r>
            <w:r w:rsidR="00C46086">
              <w:rPr>
                <w:rFonts w:cstheme="minorHAnsi"/>
                <w:sz w:val="20"/>
                <w:szCs w:val="20"/>
              </w:rPr>
              <w:t xml:space="preserve"> </w:t>
            </w:r>
            <w:r w:rsidR="00C46086" w:rsidRPr="00CC4BCF">
              <w:rPr>
                <w:rFonts w:cstheme="minorHAnsi"/>
                <w:sz w:val="20"/>
                <w:szCs w:val="20"/>
              </w:rPr>
              <w:t xml:space="preserve">Survey of </w:t>
            </w:r>
            <w:r w:rsidR="00C46086">
              <w:rPr>
                <w:rFonts w:cstheme="minorHAnsi"/>
                <w:sz w:val="20"/>
                <w:szCs w:val="20"/>
              </w:rPr>
              <w:t>Hours and Earnings (ASHE) (used to calculate the cost of time for medical examinations, complying with notification and recording requirements, familiarisation with regulations</w:t>
            </w:r>
            <w:r w:rsidR="00D64067">
              <w:rPr>
                <w:rFonts w:cstheme="minorHAnsi"/>
                <w:sz w:val="20"/>
                <w:szCs w:val="20"/>
              </w:rPr>
              <w:t xml:space="preserve">); work carried out for previous impact assessments and consolidating regulation. </w:t>
            </w:r>
            <w:r w:rsidR="00C46086">
              <w:rPr>
                <w:rFonts w:cstheme="minorHAnsi"/>
                <w:sz w:val="20"/>
                <w:szCs w:val="20"/>
              </w:rPr>
              <w:t>B</w:t>
            </w:r>
            <w:r w:rsidRPr="002C4282">
              <w:rPr>
                <w:rFonts w:cstheme="minorHAnsi"/>
                <w:sz w:val="20"/>
                <w:szCs w:val="20"/>
              </w:rPr>
              <w:t xml:space="preserve">usiness </w:t>
            </w:r>
            <w:r>
              <w:rPr>
                <w:rFonts w:cstheme="minorHAnsi"/>
                <w:sz w:val="20"/>
                <w:szCs w:val="20"/>
              </w:rPr>
              <w:t>consultation responses (</w:t>
            </w:r>
            <w:r w:rsidRPr="002C4282">
              <w:rPr>
                <w:rFonts w:cstheme="minorHAnsi"/>
                <w:sz w:val="20"/>
                <w:szCs w:val="20"/>
              </w:rPr>
              <w:t xml:space="preserve">for workers covered, jobs in scope, </w:t>
            </w:r>
            <w:r w:rsidR="00602C70">
              <w:rPr>
                <w:rFonts w:cstheme="minorHAnsi"/>
                <w:sz w:val="20"/>
                <w:szCs w:val="20"/>
              </w:rPr>
              <w:t xml:space="preserve">time taken to comply with notification requirements, time taken to comply with record-keeping requirements, </w:t>
            </w:r>
            <w:r w:rsidR="00052193">
              <w:rPr>
                <w:rFonts w:cstheme="minorHAnsi"/>
                <w:sz w:val="20"/>
                <w:szCs w:val="20"/>
              </w:rPr>
              <w:t xml:space="preserve">time involved in familiarisation, </w:t>
            </w:r>
            <w:r w:rsidRPr="002C4282">
              <w:rPr>
                <w:rFonts w:cstheme="minorHAnsi"/>
                <w:sz w:val="20"/>
                <w:szCs w:val="20"/>
              </w:rPr>
              <w:t>and compliance levels</w:t>
            </w:r>
            <w:r w:rsidR="00D64067">
              <w:rPr>
                <w:rFonts w:cstheme="minorHAnsi"/>
                <w:sz w:val="20"/>
                <w:szCs w:val="20"/>
              </w:rPr>
              <w:t>).</w:t>
            </w:r>
            <w:r>
              <w:rPr>
                <w:rFonts w:cstheme="minorHAnsi"/>
                <w:sz w:val="20"/>
                <w:szCs w:val="20"/>
              </w:rPr>
              <w:t xml:space="preserve"> HSE commissioned research undertaken by the Institute of Employment Studies (based partly on surveys and inter</w:t>
            </w:r>
            <w:r w:rsidR="00D64067">
              <w:rPr>
                <w:rFonts w:cstheme="minorHAnsi"/>
                <w:sz w:val="20"/>
                <w:szCs w:val="20"/>
              </w:rPr>
              <w:t>views with relevant businesses).</w:t>
            </w:r>
          </w:p>
          <w:p w14:paraId="7D6C1AED"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2DBF895" w14:textId="77777777" w:rsidR="00AF643F"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C46086">
              <w:rPr>
                <w:rFonts w:cstheme="minorHAnsi"/>
                <w:sz w:val="20"/>
                <w:szCs w:val="20"/>
              </w:rPr>
              <w:t>C</w:t>
            </w:r>
            <w:r>
              <w:rPr>
                <w:rFonts w:cstheme="minorHAnsi"/>
                <w:sz w:val="20"/>
                <w:szCs w:val="20"/>
              </w:rPr>
              <w:t>onsultation responses de</w:t>
            </w:r>
            <w:r w:rsidR="00AF643F">
              <w:rPr>
                <w:rFonts w:cstheme="minorHAnsi"/>
                <w:sz w:val="20"/>
                <w:szCs w:val="20"/>
              </w:rPr>
              <w:t>monstrated the “difficulties (encountered by businesses (</w:t>
            </w:r>
            <w:r>
              <w:rPr>
                <w:rFonts w:cstheme="minorHAnsi"/>
                <w:sz w:val="20"/>
                <w:szCs w:val="20"/>
              </w:rPr>
              <w:t>in estimating numbers of workers, jobs in scope, complian</w:t>
            </w:r>
            <w:r w:rsidR="00AF643F">
              <w:rPr>
                <w:rFonts w:cstheme="minorHAnsi"/>
                <w:sz w:val="20"/>
                <w:szCs w:val="20"/>
              </w:rPr>
              <w:t>ce levels and therefore costs”. O</w:t>
            </w:r>
            <w:r>
              <w:rPr>
                <w:rFonts w:cstheme="minorHAnsi"/>
                <w:sz w:val="20"/>
                <w:szCs w:val="20"/>
              </w:rPr>
              <w:t>nly a smal</w:t>
            </w:r>
            <w:r w:rsidR="00AF643F">
              <w:rPr>
                <w:rFonts w:cstheme="minorHAnsi"/>
                <w:sz w:val="20"/>
                <w:szCs w:val="20"/>
              </w:rPr>
              <w:t>l proportion provided estimates. S</w:t>
            </w:r>
            <w:r>
              <w:rPr>
                <w:rFonts w:cstheme="minorHAnsi"/>
                <w:sz w:val="20"/>
                <w:szCs w:val="20"/>
              </w:rPr>
              <w:t>everal indicated that “it was imposs</w:t>
            </w:r>
            <w:r w:rsidR="00AF643F">
              <w:rPr>
                <w:rFonts w:cstheme="minorHAnsi"/>
                <w:sz w:val="20"/>
                <w:szCs w:val="20"/>
              </w:rPr>
              <w:t>ible”</w:t>
            </w:r>
            <w:r>
              <w:rPr>
                <w:rFonts w:cstheme="minorHAnsi"/>
                <w:sz w:val="20"/>
                <w:szCs w:val="20"/>
              </w:rPr>
              <w:t xml:space="preserve"> that the HSE’s estimates were reasonable and “that their own estimates</w:t>
            </w:r>
            <w:r w:rsidR="00AF643F">
              <w:rPr>
                <w:rFonts w:cstheme="minorHAnsi"/>
                <w:sz w:val="20"/>
                <w:szCs w:val="20"/>
              </w:rPr>
              <w:t xml:space="preserve"> were no better than guesswork”. O</w:t>
            </w:r>
            <w:r>
              <w:rPr>
                <w:rFonts w:cstheme="minorHAnsi"/>
                <w:sz w:val="20"/>
                <w:szCs w:val="20"/>
              </w:rPr>
              <w:t>ther</w:t>
            </w:r>
            <w:r w:rsidR="004D56FE">
              <w:rPr>
                <w:rFonts w:cstheme="minorHAnsi"/>
                <w:sz w:val="20"/>
                <w:szCs w:val="20"/>
              </w:rPr>
              <w:t>s</w:t>
            </w:r>
            <w:r>
              <w:rPr>
                <w:rFonts w:cstheme="minorHAnsi"/>
                <w:sz w:val="20"/>
                <w:szCs w:val="20"/>
              </w:rPr>
              <w:t xml:space="preserve"> suggested that estimates should be adjusted but “usually failed to specify by how much”</w:t>
            </w:r>
            <w:r w:rsidR="00AF643F">
              <w:rPr>
                <w:rFonts w:cstheme="minorHAnsi"/>
                <w:sz w:val="20"/>
                <w:szCs w:val="20"/>
              </w:rPr>
              <w:t>.</w:t>
            </w:r>
          </w:p>
          <w:p w14:paraId="78789AAC" w14:textId="77777777" w:rsidR="00AF643F" w:rsidRDefault="00AF643F"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2903BB1" w14:textId="77777777" w:rsidR="00AF643F" w:rsidRDefault="00AF643F"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w:t>
            </w:r>
            <w:r w:rsidR="009003BC">
              <w:rPr>
                <w:rFonts w:cstheme="minorHAnsi"/>
                <w:sz w:val="20"/>
                <w:szCs w:val="20"/>
              </w:rPr>
              <w:t xml:space="preserve">onsultation responses </w:t>
            </w:r>
            <w:r>
              <w:rPr>
                <w:rFonts w:cstheme="minorHAnsi"/>
                <w:sz w:val="20"/>
                <w:szCs w:val="20"/>
              </w:rPr>
              <w:t xml:space="preserve">also </w:t>
            </w:r>
            <w:r w:rsidR="009003BC">
              <w:rPr>
                <w:rFonts w:cstheme="minorHAnsi"/>
                <w:sz w:val="20"/>
                <w:szCs w:val="20"/>
              </w:rPr>
              <w:t>suggested that a typical medical examination would take more than the 2 hours assumed in the pre</w:t>
            </w:r>
            <w:r>
              <w:rPr>
                <w:rFonts w:cstheme="minorHAnsi"/>
                <w:sz w:val="20"/>
                <w:szCs w:val="20"/>
              </w:rPr>
              <w:t xml:space="preserve">-consultation impact assessment and </w:t>
            </w:r>
            <w:r w:rsidR="00602C70">
              <w:rPr>
                <w:rFonts w:cstheme="minorHAnsi"/>
                <w:sz w:val="20"/>
                <w:szCs w:val="20"/>
              </w:rPr>
              <w:t xml:space="preserve">that </w:t>
            </w:r>
            <w:r>
              <w:rPr>
                <w:rFonts w:cstheme="minorHAnsi"/>
                <w:sz w:val="20"/>
                <w:szCs w:val="20"/>
              </w:rPr>
              <w:t>compliance</w:t>
            </w:r>
            <w:r w:rsidR="00602C70">
              <w:rPr>
                <w:rFonts w:cstheme="minorHAnsi"/>
                <w:sz w:val="20"/>
                <w:szCs w:val="20"/>
              </w:rPr>
              <w:t xml:space="preserve"> with the expanded notification requirements would take longer than the pre-consultation estimate</w:t>
            </w:r>
            <w:r>
              <w:rPr>
                <w:rFonts w:cstheme="minorHAnsi"/>
                <w:sz w:val="20"/>
                <w:szCs w:val="20"/>
              </w:rPr>
              <w:t xml:space="preserve">. </w:t>
            </w:r>
          </w:p>
          <w:p w14:paraId="5DAAF79A" w14:textId="77777777" w:rsidR="00AF643F" w:rsidRDefault="00AF643F"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9E441EC" w14:textId="77777777" w:rsidR="00AF643F" w:rsidRDefault="00AF643F"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00052193">
              <w:rPr>
                <w:rFonts w:cstheme="minorHAnsi"/>
                <w:sz w:val="20"/>
                <w:szCs w:val="20"/>
              </w:rPr>
              <w:t xml:space="preserve">ome business actors </w:t>
            </w:r>
            <w:r>
              <w:rPr>
                <w:rFonts w:cstheme="minorHAnsi"/>
                <w:sz w:val="20"/>
                <w:szCs w:val="20"/>
              </w:rPr>
              <w:t xml:space="preserve">(via the consultation) </w:t>
            </w:r>
            <w:r w:rsidR="00052193">
              <w:rPr>
                <w:rFonts w:cstheme="minorHAnsi"/>
                <w:sz w:val="20"/>
                <w:szCs w:val="20"/>
              </w:rPr>
              <w:t>gave estimates of familiarisation from a zero base and a majority indicated that the pre-consultation estimates for time involved in famili</w:t>
            </w:r>
            <w:r>
              <w:rPr>
                <w:rFonts w:cstheme="minorHAnsi"/>
                <w:sz w:val="20"/>
                <w:szCs w:val="20"/>
              </w:rPr>
              <w:t>arisation were too conservative.</w:t>
            </w:r>
          </w:p>
          <w:p w14:paraId="2A3026A5" w14:textId="77777777" w:rsidR="00AF643F" w:rsidRDefault="00AF643F"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796C50" w14:textId="62FABFE0" w:rsidR="00644210" w:rsidRPr="00CE6D50" w:rsidRDefault="00D64067"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See also </w:t>
            </w:r>
            <w:r w:rsidR="004D56FE">
              <w:rPr>
                <w:rFonts w:cstheme="minorHAnsi"/>
                <w:sz w:val="20"/>
                <w:szCs w:val="20"/>
              </w:rPr>
              <w:t>adjacent cell.</w:t>
            </w:r>
          </w:p>
          <w:p w14:paraId="4B9E967C" w14:textId="77777777" w:rsidR="00644210" w:rsidRPr="00DE22C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38D7BE8" w14:textId="74E989DD" w:rsidR="009317A9" w:rsidRDefault="00644210"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sidR="00E91799">
              <w:rPr>
                <w:rFonts w:cstheme="minorHAnsi"/>
                <w:sz w:val="20"/>
                <w:szCs w:val="20"/>
              </w:rPr>
              <w:t>B</w:t>
            </w:r>
            <w:r w:rsidR="00E91799" w:rsidRPr="00572DC6">
              <w:rPr>
                <w:rFonts w:cstheme="minorHAnsi"/>
                <w:sz w:val="20"/>
                <w:szCs w:val="20"/>
              </w:rPr>
              <w:t>usiness estimates</w:t>
            </w:r>
            <w:r w:rsidR="00E91799">
              <w:rPr>
                <w:rFonts w:cstheme="minorHAnsi"/>
                <w:sz w:val="20"/>
                <w:szCs w:val="20"/>
              </w:rPr>
              <w:t xml:space="preserve"> (via the public consultation) informed assumptions (without apparent verification) of </w:t>
            </w:r>
            <w:r w:rsidR="00A67E81" w:rsidRPr="00572DC6">
              <w:rPr>
                <w:rFonts w:cstheme="minorHAnsi"/>
                <w:sz w:val="20"/>
                <w:szCs w:val="20"/>
              </w:rPr>
              <w:t>the number of potential</w:t>
            </w:r>
            <w:r w:rsidR="00AC65BF" w:rsidRPr="00572DC6">
              <w:rPr>
                <w:rFonts w:cstheme="minorHAnsi"/>
                <w:sz w:val="20"/>
                <w:szCs w:val="20"/>
              </w:rPr>
              <w:t xml:space="preserve"> notifications (in so far as these were noted prior </w:t>
            </w:r>
            <w:r w:rsidR="00602C70">
              <w:rPr>
                <w:rFonts w:cstheme="minorHAnsi"/>
                <w:sz w:val="20"/>
                <w:szCs w:val="20"/>
              </w:rPr>
              <w:t xml:space="preserve">to </w:t>
            </w:r>
            <w:r w:rsidR="00AC65BF" w:rsidRPr="00572DC6">
              <w:rPr>
                <w:rFonts w:cstheme="minorHAnsi"/>
                <w:sz w:val="20"/>
                <w:szCs w:val="20"/>
              </w:rPr>
              <w:t>the assumption being cited)</w:t>
            </w:r>
            <w:r w:rsidR="009317A9">
              <w:rPr>
                <w:rFonts w:cstheme="minorHAnsi"/>
                <w:sz w:val="20"/>
                <w:szCs w:val="20"/>
              </w:rPr>
              <w:t>.</w:t>
            </w:r>
          </w:p>
          <w:p w14:paraId="67B6F138" w14:textId="77777777" w:rsidR="009317A9" w:rsidRDefault="009317A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8E4DCFC" w14:textId="50952E5C" w:rsidR="009317A9" w:rsidRDefault="00E9179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Business feedback (via the public consultation) on the types of occupations where workers likely to encounter asbestos caused (without apparent verification) p</w:t>
            </w:r>
            <w:r w:rsidR="00572DC6">
              <w:rPr>
                <w:rFonts w:cstheme="minorHAnsi"/>
                <w:sz w:val="20"/>
                <w:szCs w:val="20"/>
              </w:rPr>
              <w:t xml:space="preserve">re-consultation assumptions </w:t>
            </w:r>
            <w:r>
              <w:rPr>
                <w:rFonts w:cstheme="minorHAnsi"/>
                <w:sz w:val="20"/>
                <w:szCs w:val="20"/>
              </w:rPr>
              <w:t xml:space="preserve">to be adjusted </w:t>
            </w:r>
            <w:r w:rsidR="00572DC6">
              <w:rPr>
                <w:rFonts w:cstheme="minorHAnsi"/>
                <w:sz w:val="20"/>
                <w:szCs w:val="20"/>
              </w:rPr>
              <w:t xml:space="preserve">on how many workers </w:t>
            </w:r>
            <w:r>
              <w:rPr>
                <w:rFonts w:cstheme="minorHAnsi"/>
                <w:sz w:val="20"/>
                <w:szCs w:val="20"/>
              </w:rPr>
              <w:t xml:space="preserve">would be </w:t>
            </w:r>
            <w:r w:rsidR="00572DC6">
              <w:rPr>
                <w:rFonts w:cstheme="minorHAnsi"/>
                <w:sz w:val="20"/>
                <w:szCs w:val="20"/>
              </w:rPr>
              <w:t>exposed to asbestos under the new category of work</w:t>
            </w:r>
            <w:r w:rsidR="009317A9">
              <w:rPr>
                <w:rFonts w:cstheme="minorHAnsi"/>
                <w:sz w:val="20"/>
                <w:szCs w:val="20"/>
              </w:rPr>
              <w:t>.</w:t>
            </w:r>
          </w:p>
          <w:p w14:paraId="0836B221" w14:textId="77777777" w:rsidR="009317A9" w:rsidRDefault="009317A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DAC0AD9" w14:textId="7B513252" w:rsidR="00E91799" w:rsidRDefault="00E9179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Business feedback (via the public consultation) caused (without apparent verification) p</w:t>
            </w:r>
            <w:r w:rsidR="00260B2F">
              <w:rPr>
                <w:rFonts w:cstheme="minorHAnsi"/>
                <w:sz w:val="20"/>
                <w:szCs w:val="20"/>
              </w:rPr>
              <w:t xml:space="preserve">re-consultation estimates on </w:t>
            </w:r>
            <w:r>
              <w:rPr>
                <w:rFonts w:cstheme="minorHAnsi"/>
                <w:sz w:val="20"/>
                <w:szCs w:val="20"/>
              </w:rPr>
              <w:t xml:space="preserve">both </w:t>
            </w:r>
            <w:r w:rsidR="00260B2F">
              <w:rPr>
                <w:rFonts w:cstheme="minorHAnsi"/>
                <w:sz w:val="20"/>
                <w:szCs w:val="20"/>
              </w:rPr>
              <w:t xml:space="preserve">the time involved in a medical examination </w:t>
            </w:r>
            <w:r w:rsidR="00A824F4">
              <w:rPr>
                <w:rFonts w:cstheme="minorHAnsi"/>
                <w:sz w:val="20"/>
                <w:szCs w:val="20"/>
              </w:rPr>
              <w:t xml:space="preserve">and in complying with notification requirements </w:t>
            </w:r>
            <w:r>
              <w:rPr>
                <w:rFonts w:cstheme="minorHAnsi"/>
                <w:sz w:val="20"/>
                <w:szCs w:val="20"/>
              </w:rPr>
              <w:t xml:space="preserve">to be </w:t>
            </w:r>
            <w:r w:rsidR="00260B2F">
              <w:rPr>
                <w:rFonts w:cstheme="minorHAnsi"/>
                <w:sz w:val="20"/>
                <w:szCs w:val="20"/>
              </w:rPr>
              <w:t>increased</w:t>
            </w:r>
            <w:r>
              <w:rPr>
                <w:rFonts w:cstheme="minorHAnsi"/>
                <w:sz w:val="20"/>
                <w:szCs w:val="20"/>
              </w:rPr>
              <w:t>.</w:t>
            </w:r>
          </w:p>
          <w:p w14:paraId="75C1E093" w14:textId="77777777" w:rsidR="00E91799" w:rsidRDefault="00E9179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6D7F07" w14:textId="71121509" w:rsidR="009317A9" w:rsidRDefault="00E9179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w:t>
            </w:r>
            <w:r w:rsidR="00602C70">
              <w:rPr>
                <w:rFonts w:cstheme="minorHAnsi"/>
                <w:sz w:val="20"/>
                <w:szCs w:val="20"/>
              </w:rPr>
              <w:t>usiness estimates of time taken to comply with record-keeping requirements were</w:t>
            </w:r>
            <w:r>
              <w:rPr>
                <w:rFonts w:cstheme="minorHAnsi"/>
                <w:sz w:val="20"/>
                <w:szCs w:val="20"/>
              </w:rPr>
              <w:t xml:space="preserve"> accepted without </w:t>
            </w:r>
            <w:r w:rsidR="00A824F4">
              <w:rPr>
                <w:rFonts w:cstheme="minorHAnsi"/>
                <w:sz w:val="20"/>
                <w:szCs w:val="20"/>
              </w:rPr>
              <w:t xml:space="preserve">apparent </w:t>
            </w:r>
            <w:r>
              <w:rPr>
                <w:rFonts w:cstheme="minorHAnsi"/>
                <w:sz w:val="20"/>
                <w:szCs w:val="20"/>
              </w:rPr>
              <w:t>verification.</w:t>
            </w:r>
          </w:p>
          <w:p w14:paraId="4841593E" w14:textId="77777777" w:rsidR="00A824F4" w:rsidRDefault="00A824F4"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3A81FCE" w14:textId="75047D21" w:rsidR="009317A9" w:rsidRDefault="009317A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w:t>
            </w:r>
            <w:r w:rsidR="00052193">
              <w:rPr>
                <w:rFonts w:cstheme="minorHAnsi"/>
                <w:sz w:val="20"/>
                <w:szCs w:val="20"/>
              </w:rPr>
              <w:t xml:space="preserve">usiness estimates for time involved in familiarisation which assumed a zero base were discounted, but the pre-consultation estimates were nonetheless increased to reflect </w:t>
            </w:r>
            <w:r w:rsidR="00A3608E">
              <w:rPr>
                <w:rFonts w:cstheme="minorHAnsi"/>
                <w:sz w:val="20"/>
                <w:szCs w:val="20"/>
              </w:rPr>
              <w:t>views</w:t>
            </w:r>
            <w:r>
              <w:rPr>
                <w:rFonts w:cstheme="minorHAnsi"/>
                <w:sz w:val="20"/>
                <w:szCs w:val="20"/>
              </w:rPr>
              <w:t xml:space="preserve"> expressed in the consultation.</w:t>
            </w:r>
          </w:p>
          <w:p w14:paraId="0C0A0AA9" w14:textId="77777777" w:rsidR="009317A9" w:rsidRDefault="009317A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77A0B5B" w14:textId="2D894147" w:rsidR="00644210" w:rsidRDefault="009317A9"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00572DC6">
              <w:rPr>
                <w:rFonts w:cstheme="minorHAnsi"/>
                <w:sz w:val="20"/>
                <w:szCs w:val="20"/>
              </w:rPr>
              <w:t xml:space="preserve">ee </w:t>
            </w:r>
            <w:r>
              <w:rPr>
                <w:rFonts w:cstheme="minorHAnsi"/>
                <w:sz w:val="20"/>
                <w:szCs w:val="20"/>
              </w:rPr>
              <w:t xml:space="preserve">also </w:t>
            </w:r>
            <w:r w:rsidR="00644210">
              <w:rPr>
                <w:rFonts w:cstheme="minorHAnsi"/>
                <w:sz w:val="20"/>
                <w:szCs w:val="20"/>
              </w:rPr>
              <w:t xml:space="preserve">adjacent cell under </w:t>
            </w:r>
            <w:r w:rsidR="00644210">
              <w:rPr>
                <w:rFonts w:cstheme="minorHAnsi"/>
                <w:i/>
                <w:sz w:val="20"/>
                <w:szCs w:val="20"/>
              </w:rPr>
              <w:t>material cost-relevant assumptions</w:t>
            </w:r>
            <w:r w:rsidR="00644210">
              <w:rPr>
                <w:rFonts w:cstheme="minorHAnsi"/>
                <w:sz w:val="20"/>
                <w:szCs w:val="20"/>
              </w:rPr>
              <w:t xml:space="preserve"> in relation to research undertaken by the I</w:t>
            </w:r>
            <w:r w:rsidR="00602C70">
              <w:rPr>
                <w:rFonts w:cstheme="minorHAnsi"/>
                <w:sz w:val="20"/>
                <w:szCs w:val="20"/>
              </w:rPr>
              <w:t>nstitute of Employment Studies.</w:t>
            </w:r>
          </w:p>
          <w:p w14:paraId="33261576" w14:textId="4669369F" w:rsidR="00644210" w:rsidRPr="00CE6D50" w:rsidRDefault="00644210" w:rsidP="0086353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33" w:type="dxa"/>
          </w:tcPr>
          <w:p w14:paraId="046D0EA0" w14:textId="2F9457FD" w:rsidR="00E90A2E" w:rsidRPr="002058B4" w:rsidRDefault="00644210" w:rsidP="00E90A2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(workers): </w:t>
            </w:r>
            <w:r w:rsidR="00272C25" w:rsidRPr="002058B4">
              <w:rPr>
                <w:rFonts w:cstheme="minorHAnsi"/>
                <w:sz w:val="20"/>
                <w:szCs w:val="20"/>
              </w:rPr>
              <w:t>i</w:t>
            </w:r>
            <w:r w:rsidR="00272C25">
              <w:rPr>
                <w:rFonts w:cstheme="minorHAnsi"/>
                <w:sz w:val="20"/>
                <w:szCs w:val="20"/>
              </w:rPr>
              <w:t xml:space="preserve">mprovements in health </w:t>
            </w:r>
            <w:r w:rsidR="006C12DA">
              <w:rPr>
                <w:rFonts w:cstheme="minorHAnsi"/>
                <w:sz w:val="20"/>
                <w:szCs w:val="20"/>
              </w:rPr>
              <w:t xml:space="preserve">associated with improved health </w:t>
            </w:r>
            <w:r w:rsidR="00272C25">
              <w:rPr>
                <w:rFonts w:cstheme="minorHAnsi"/>
                <w:sz w:val="20"/>
                <w:szCs w:val="20"/>
              </w:rPr>
              <w:t xml:space="preserve">surveillance </w:t>
            </w:r>
            <w:r w:rsidR="00272C25" w:rsidRPr="006C12DA">
              <w:rPr>
                <w:rFonts w:cstheme="minorHAnsi"/>
                <w:sz w:val="20"/>
                <w:szCs w:val="20"/>
              </w:rPr>
              <w:t>(individual</w:t>
            </w:r>
            <w:r w:rsidR="006C12DA" w:rsidRPr="006C12DA">
              <w:rPr>
                <w:rFonts w:cstheme="minorHAnsi"/>
                <w:sz w:val="20"/>
                <w:szCs w:val="20"/>
              </w:rPr>
              <w:t>s</w:t>
            </w:r>
            <w:r w:rsidR="00272C25" w:rsidRPr="006C12DA">
              <w:rPr>
                <w:rFonts w:cstheme="minorHAnsi"/>
                <w:sz w:val="20"/>
                <w:szCs w:val="20"/>
              </w:rPr>
              <w:t xml:space="preserve"> advised that they have asbestosis would be excluded from further work with asbestos as a precaution</w:t>
            </w:r>
            <w:r w:rsidR="006C12DA">
              <w:rPr>
                <w:rFonts w:cstheme="minorHAnsi"/>
                <w:sz w:val="20"/>
                <w:szCs w:val="20"/>
              </w:rPr>
              <w:t>)</w:t>
            </w:r>
            <w:r w:rsidR="00E90A2E">
              <w:rPr>
                <w:rFonts w:cstheme="minorHAnsi"/>
                <w:sz w:val="20"/>
                <w:szCs w:val="20"/>
              </w:rPr>
              <w:t xml:space="preserve">, </w:t>
            </w:r>
            <w:r w:rsidR="006C12DA">
              <w:rPr>
                <w:rFonts w:cstheme="minorHAnsi"/>
                <w:sz w:val="20"/>
                <w:szCs w:val="20"/>
              </w:rPr>
              <w:t>improved education (in so far as the new category of work requirements</w:t>
            </w:r>
            <w:r w:rsidR="00272C25" w:rsidRPr="002058B4">
              <w:rPr>
                <w:rFonts w:cstheme="minorHAnsi"/>
                <w:sz w:val="20"/>
                <w:szCs w:val="20"/>
              </w:rPr>
              <w:t xml:space="preserve"> further educate</w:t>
            </w:r>
            <w:r w:rsidR="00813070">
              <w:rPr>
                <w:rFonts w:cstheme="minorHAnsi"/>
                <w:sz w:val="20"/>
                <w:szCs w:val="20"/>
              </w:rPr>
              <w:t>d</w:t>
            </w:r>
            <w:r w:rsidR="00E90A2E">
              <w:rPr>
                <w:rFonts w:cstheme="minorHAnsi"/>
                <w:sz w:val="20"/>
                <w:szCs w:val="20"/>
              </w:rPr>
              <w:t xml:space="preserve"> </w:t>
            </w:r>
            <w:r w:rsidR="00272C25" w:rsidRPr="002058B4">
              <w:rPr>
                <w:rFonts w:cstheme="minorHAnsi"/>
                <w:sz w:val="20"/>
                <w:szCs w:val="20"/>
              </w:rPr>
              <w:t>workers in the risks</w:t>
            </w:r>
            <w:r w:rsidR="006C12DA">
              <w:rPr>
                <w:rFonts w:cstheme="minorHAnsi"/>
                <w:sz w:val="20"/>
                <w:szCs w:val="20"/>
              </w:rPr>
              <w:t xml:space="preserve"> </w:t>
            </w:r>
            <w:r w:rsidR="00272C25" w:rsidRPr="002058B4">
              <w:rPr>
                <w:rFonts w:cstheme="minorHAnsi"/>
                <w:sz w:val="20"/>
                <w:szCs w:val="20"/>
              </w:rPr>
              <w:t>involved</w:t>
            </w:r>
            <w:r w:rsidR="006C12DA">
              <w:rPr>
                <w:rFonts w:cstheme="minorHAnsi"/>
                <w:sz w:val="20"/>
                <w:szCs w:val="20"/>
              </w:rPr>
              <w:t>)</w:t>
            </w:r>
            <w:r w:rsidR="00E90A2E">
              <w:rPr>
                <w:rFonts w:cstheme="minorHAnsi"/>
                <w:sz w:val="20"/>
                <w:szCs w:val="20"/>
              </w:rPr>
              <w:t xml:space="preserve">, more careful working practices (in so far as </w:t>
            </w:r>
            <w:r w:rsidR="00E90A2E" w:rsidRPr="002058B4">
              <w:rPr>
                <w:rFonts w:cstheme="minorHAnsi"/>
                <w:sz w:val="20"/>
                <w:szCs w:val="20"/>
              </w:rPr>
              <w:t xml:space="preserve">the </w:t>
            </w:r>
            <w:r w:rsidR="00E90A2E">
              <w:rPr>
                <w:rFonts w:cstheme="minorHAnsi"/>
                <w:sz w:val="20"/>
                <w:szCs w:val="20"/>
              </w:rPr>
              <w:t xml:space="preserve">additional </w:t>
            </w:r>
            <w:r w:rsidR="00E90A2E" w:rsidRPr="002058B4">
              <w:rPr>
                <w:rFonts w:cstheme="minorHAnsi"/>
                <w:sz w:val="20"/>
                <w:szCs w:val="20"/>
              </w:rPr>
              <w:t>notification requirement</w:t>
            </w:r>
            <w:r w:rsidR="00E90A2E">
              <w:rPr>
                <w:rFonts w:cstheme="minorHAnsi"/>
                <w:sz w:val="20"/>
                <w:szCs w:val="20"/>
              </w:rPr>
              <w:t>s</w:t>
            </w:r>
            <w:r w:rsidR="00E90A2E" w:rsidRPr="002058B4">
              <w:rPr>
                <w:rFonts w:cstheme="minorHAnsi"/>
                <w:sz w:val="20"/>
                <w:szCs w:val="20"/>
              </w:rPr>
              <w:t xml:space="preserve"> encourage</w:t>
            </w:r>
            <w:r w:rsidR="00813070">
              <w:rPr>
                <w:rFonts w:cstheme="minorHAnsi"/>
                <w:sz w:val="20"/>
                <w:szCs w:val="20"/>
              </w:rPr>
              <w:t>d</w:t>
            </w:r>
            <w:r w:rsidR="00E90A2E" w:rsidRPr="002058B4">
              <w:rPr>
                <w:rFonts w:cstheme="minorHAnsi"/>
                <w:sz w:val="20"/>
                <w:szCs w:val="20"/>
              </w:rPr>
              <w:t xml:space="preserve"> safer working routines</w:t>
            </w:r>
          </w:p>
          <w:p w14:paraId="00E5265B" w14:textId="140ED547" w:rsidR="00644210" w:rsidRPr="00953A45" w:rsidRDefault="00E90A2E" w:rsidP="00E90A2E">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2058B4">
              <w:rPr>
                <w:rFonts w:cstheme="minorHAnsi"/>
                <w:sz w:val="20"/>
                <w:szCs w:val="20"/>
              </w:rPr>
              <w:t>owing to potenti</w:t>
            </w:r>
            <w:r>
              <w:rPr>
                <w:rFonts w:cstheme="minorHAnsi"/>
                <w:sz w:val="20"/>
                <w:szCs w:val="20"/>
              </w:rPr>
              <w:t>al for the work to be inspected</w:t>
            </w:r>
            <w:r w:rsidR="00AF6645">
              <w:rPr>
                <w:rFonts w:cstheme="minorHAnsi"/>
                <w:sz w:val="20"/>
                <w:szCs w:val="20"/>
              </w:rPr>
              <w:t xml:space="preserve"> and improve</w:t>
            </w:r>
            <w:r w:rsidR="00813070">
              <w:rPr>
                <w:rFonts w:cstheme="minorHAnsi"/>
                <w:sz w:val="20"/>
                <w:szCs w:val="20"/>
              </w:rPr>
              <w:t>d</w:t>
            </w:r>
            <w:r w:rsidR="00AF6645">
              <w:rPr>
                <w:rFonts w:cstheme="minorHAnsi"/>
                <w:sz w:val="20"/>
                <w:szCs w:val="20"/>
              </w:rPr>
              <w:t xml:space="preserve"> HSE intelligence</w:t>
            </w:r>
            <w:r w:rsidR="00813070">
              <w:rPr>
                <w:rFonts w:cstheme="minorHAnsi"/>
                <w:sz w:val="20"/>
                <w:szCs w:val="20"/>
              </w:rPr>
              <w:t>), a small pool of workers exposed to asbestos (in so far as the additional requirements resulted in a smaller group working in the new category of work, making it easier for the HSE to influence them)</w:t>
            </w:r>
            <w:r w:rsidR="006C12DA">
              <w:rPr>
                <w:rFonts w:cstheme="minorHAnsi"/>
                <w:sz w:val="20"/>
                <w:szCs w:val="20"/>
              </w:rPr>
              <w:t xml:space="preserve">; </w:t>
            </w:r>
            <w:r w:rsidR="00953A45">
              <w:rPr>
                <w:rFonts w:cstheme="minorHAnsi"/>
                <w:sz w:val="20"/>
                <w:szCs w:val="20"/>
              </w:rPr>
              <w:t xml:space="preserve">see </w:t>
            </w:r>
            <w:r w:rsidR="00953A45">
              <w:rPr>
                <w:rFonts w:cstheme="minorHAnsi"/>
                <w:i/>
                <w:sz w:val="20"/>
                <w:szCs w:val="20"/>
              </w:rPr>
              <w:t>disputed benefits.</w:t>
            </w:r>
          </w:p>
          <w:p w14:paraId="2113E8DC" w14:textId="13D90C0D"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6760BFC" w14:textId="3EE55444" w:rsidR="00644210" w:rsidRPr="0091026B" w:rsidRDefault="00644210" w:rsidP="0091026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Reported Benefits (employers):</w:t>
            </w:r>
            <w:r w:rsidR="006C12DA">
              <w:rPr>
                <w:rFonts w:cstheme="minorHAnsi"/>
                <w:sz w:val="20"/>
                <w:szCs w:val="20"/>
              </w:rPr>
              <w:t xml:space="preserve"> none reported.</w:t>
            </w:r>
          </w:p>
          <w:p w14:paraId="08B0172F" w14:textId="59B6BF4D"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0B42EA7" w14:textId="3D113C34" w:rsidR="00644210" w:rsidRPr="0091026B" w:rsidRDefault="00644210" w:rsidP="0091026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(government): </w:t>
            </w:r>
            <w:r w:rsidR="006C12DA">
              <w:rPr>
                <w:rFonts w:cstheme="minorHAnsi"/>
                <w:sz w:val="20"/>
                <w:szCs w:val="20"/>
              </w:rPr>
              <w:t>none reported</w:t>
            </w:r>
            <w:r w:rsidR="00953A45">
              <w:rPr>
                <w:rFonts w:cstheme="minorHAnsi"/>
                <w:i/>
                <w:sz w:val="20"/>
                <w:szCs w:val="20"/>
              </w:rPr>
              <w:t>.</w:t>
            </w:r>
          </w:p>
          <w:p w14:paraId="52D5D75F" w14:textId="77777777"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CE3EA0F" w14:textId="63DF8F84" w:rsidR="00272C25" w:rsidRPr="002058B4" w:rsidRDefault="00644210" w:rsidP="00272C2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Non-reported benefits (workers):</w:t>
            </w:r>
            <w:r w:rsidR="00272C25">
              <w:rPr>
                <w:rFonts w:cstheme="minorHAnsi"/>
                <w:b/>
                <w:sz w:val="20"/>
                <w:szCs w:val="20"/>
              </w:rPr>
              <w:t xml:space="preserve"> </w:t>
            </w:r>
            <w:r w:rsidR="006C12DA">
              <w:rPr>
                <w:rFonts w:cstheme="minorHAnsi"/>
                <w:sz w:val="20"/>
                <w:szCs w:val="20"/>
              </w:rPr>
              <w:t>reduced income losses and retraining costs associated with improvements in health; reduced pain and suffering associated with improvements in health; reduce</w:t>
            </w:r>
            <w:r w:rsidR="003C4AC2">
              <w:rPr>
                <w:rFonts w:cstheme="minorHAnsi"/>
                <w:sz w:val="20"/>
                <w:szCs w:val="20"/>
              </w:rPr>
              <w:t>d</w:t>
            </w:r>
            <w:r w:rsidR="006C12DA">
              <w:rPr>
                <w:rFonts w:cstheme="minorHAnsi"/>
                <w:sz w:val="20"/>
                <w:szCs w:val="20"/>
              </w:rPr>
              <w:t xml:space="preserve"> impact on families associated with improvements in health</w:t>
            </w:r>
            <w:r w:rsidR="002058B4">
              <w:rPr>
                <w:rFonts w:cstheme="minorHAnsi"/>
                <w:sz w:val="20"/>
                <w:szCs w:val="20"/>
              </w:rPr>
              <w:t xml:space="preserve"> (but see </w:t>
            </w:r>
            <w:r w:rsidR="002058B4" w:rsidRPr="002058B4">
              <w:rPr>
                <w:rFonts w:cstheme="minorHAnsi"/>
                <w:i/>
                <w:sz w:val="20"/>
                <w:szCs w:val="20"/>
              </w:rPr>
              <w:t>disputed benefits</w:t>
            </w:r>
            <w:r w:rsidR="002058B4">
              <w:rPr>
                <w:rFonts w:cstheme="minorHAnsi"/>
                <w:sz w:val="20"/>
                <w:szCs w:val="20"/>
              </w:rPr>
              <w:t>).</w:t>
            </w:r>
            <w:r>
              <w:rPr>
                <w:rFonts w:cstheme="minorHAnsi"/>
                <w:sz w:val="20"/>
                <w:szCs w:val="20"/>
              </w:rPr>
              <w:t xml:space="preserve"> </w:t>
            </w:r>
          </w:p>
          <w:p w14:paraId="71FD1459" w14:textId="3C08642C" w:rsidR="00644210" w:rsidRPr="00052D4C"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3DBC203" w14:textId="33482E65" w:rsidR="00644210" w:rsidRDefault="00644210" w:rsidP="0091026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Non-reported benefits (employers):</w:t>
            </w:r>
            <w:r w:rsidR="00953A45">
              <w:rPr>
                <w:rFonts w:cstheme="minorHAnsi"/>
                <w:b/>
                <w:sz w:val="20"/>
                <w:szCs w:val="20"/>
              </w:rPr>
              <w:t xml:space="preserve"> </w:t>
            </w:r>
            <w:r w:rsidR="006C12DA">
              <w:rPr>
                <w:rFonts w:cstheme="minorHAnsi"/>
                <w:sz w:val="20"/>
                <w:szCs w:val="20"/>
              </w:rPr>
              <w:t xml:space="preserve">reduced productivity losses (e.g. from higher worker turnover) associated with reduced risk of disease (although see </w:t>
            </w:r>
            <w:r w:rsidR="006C12DA">
              <w:rPr>
                <w:rFonts w:cstheme="minorHAnsi"/>
                <w:i/>
                <w:sz w:val="20"/>
                <w:szCs w:val="20"/>
              </w:rPr>
              <w:t xml:space="preserve">disputed benefits </w:t>
            </w:r>
            <w:r w:rsidR="006C12DA">
              <w:rPr>
                <w:rFonts w:cstheme="minorHAnsi"/>
                <w:sz w:val="20"/>
                <w:szCs w:val="20"/>
              </w:rPr>
              <w:t>for latency of disease associated with asbestos)</w:t>
            </w:r>
            <w:r w:rsidR="00272C25">
              <w:rPr>
                <w:rFonts w:cstheme="minorHAnsi"/>
                <w:sz w:val="20"/>
                <w:szCs w:val="20"/>
              </w:rPr>
              <w:t xml:space="preserve">; </w:t>
            </w:r>
            <w:r w:rsidR="006C12DA">
              <w:rPr>
                <w:rFonts w:cstheme="minorHAnsi"/>
                <w:sz w:val="20"/>
                <w:szCs w:val="20"/>
              </w:rPr>
              <w:t xml:space="preserve">reduced administration costs (e.g. retraining) associated with reduced risk of disease; </w:t>
            </w:r>
            <w:r w:rsidR="00953A45">
              <w:rPr>
                <w:rFonts w:cstheme="minorHAnsi"/>
                <w:sz w:val="20"/>
                <w:szCs w:val="20"/>
              </w:rPr>
              <w:t xml:space="preserve">see </w:t>
            </w:r>
            <w:r w:rsidR="00953A45">
              <w:rPr>
                <w:rFonts w:cstheme="minorHAnsi"/>
                <w:i/>
                <w:sz w:val="20"/>
                <w:szCs w:val="20"/>
              </w:rPr>
              <w:t>disputed benefits.</w:t>
            </w:r>
          </w:p>
          <w:p w14:paraId="4C0AC2B0" w14:textId="30AED265"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1193BD04" w14:textId="76D2057F" w:rsidR="00644210" w:rsidRDefault="00644210" w:rsidP="0091026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Non-reported benefits (government):</w:t>
            </w:r>
            <w:r w:rsidR="00953A45">
              <w:rPr>
                <w:rFonts w:cstheme="minorHAnsi"/>
                <w:b/>
                <w:sz w:val="20"/>
                <w:szCs w:val="20"/>
              </w:rPr>
              <w:t xml:space="preserve"> </w:t>
            </w:r>
            <w:r w:rsidR="00272C25">
              <w:rPr>
                <w:rFonts w:cstheme="minorHAnsi"/>
                <w:sz w:val="20"/>
                <w:szCs w:val="20"/>
              </w:rPr>
              <w:t>reduced welfare and health service costs associated with reduction in asbestos related disease</w:t>
            </w:r>
            <w:r w:rsidR="00052193">
              <w:rPr>
                <w:rFonts w:cstheme="minorHAnsi"/>
                <w:sz w:val="20"/>
                <w:szCs w:val="20"/>
              </w:rPr>
              <w:t xml:space="preserve"> to workers and the general public (in so far as the additional requirements of the new work category leads to be better control and knowledge of workers)</w:t>
            </w:r>
            <w:r w:rsidR="00272C25">
              <w:rPr>
                <w:rFonts w:cstheme="minorHAnsi"/>
                <w:sz w:val="20"/>
                <w:szCs w:val="20"/>
              </w:rPr>
              <w:t xml:space="preserve">; </w:t>
            </w:r>
            <w:r w:rsidR="00953A45">
              <w:rPr>
                <w:rFonts w:cstheme="minorHAnsi"/>
                <w:sz w:val="20"/>
                <w:szCs w:val="20"/>
              </w:rPr>
              <w:t xml:space="preserve">see </w:t>
            </w:r>
            <w:r w:rsidR="00953A45">
              <w:rPr>
                <w:rFonts w:cstheme="minorHAnsi"/>
                <w:i/>
                <w:sz w:val="20"/>
                <w:szCs w:val="20"/>
              </w:rPr>
              <w:t>disputed benefits.</w:t>
            </w:r>
          </w:p>
          <w:p w14:paraId="3DCA3659" w14:textId="77777777"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55E5DAA" w14:textId="66F341A6" w:rsidR="002058B4" w:rsidRPr="002058B4" w:rsidRDefault="00644210" w:rsidP="002058B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Disputed benefits: </w:t>
            </w:r>
            <w:r>
              <w:rPr>
                <w:rFonts w:cstheme="minorHAnsi"/>
                <w:sz w:val="20"/>
                <w:szCs w:val="20"/>
              </w:rPr>
              <w:t xml:space="preserve">the impact assessment reported that, it was the </w:t>
            </w:r>
            <w:r w:rsidRPr="00052D4C">
              <w:rPr>
                <w:rFonts w:cstheme="minorHAnsi"/>
                <w:sz w:val="20"/>
                <w:szCs w:val="20"/>
              </w:rPr>
              <w:t xml:space="preserve">HSE’s view that the proposed changes </w:t>
            </w:r>
            <w:r>
              <w:rPr>
                <w:rFonts w:cstheme="minorHAnsi"/>
                <w:sz w:val="20"/>
                <w:szCs w:val="20"/>
              </w:rPr>
              <w:t>did “</w:t>
            </w:r>
            <w:r w:rsidRPr="00052D4C">
              <w:rPr>
                <w:rFonts w:cstheme="minorHAnsi"/>
                <w:sz w:val="20"/>
                <w:szCs w:val="20"/>
              </w:rPr>
              <w:t>not bring measurably greater health</w:t>
            </w:r>
            <w:r>
              <w:rPr>
                <w:rFonts w:cstheme="minorHAnsi"/>
                <w:sz w:val="20"/>
                <w:szCs w:val="20"/>
              </w:rPr>
              <w:t xml:space="preserve"> </w:t>
            </w:r>
            <w:r w:rsidRPr="00052D4C">
              <w:rPr>
                <w:rFonts w:cstheme="minorHAnsi"/>
                <w:sz w:val="20"/>
                <w:szCs w:val="20"/>
              </w:rPr>
              <w:t>benefits to workers th</w:t>
            </w:r>
            <w:r w:rsidR="002058B4">
              <w:rPr>
                <w:rFonts w:cstheme="minorHAnsi"/>
                <w:sz w:val="20"/>
                <w:szCs w:val="20"/>
              </w:rPr>
              <w:t>an those already being achieved</w:t>
            </w:r>
            <w:r>
              <w:rPr>
                <w:rFonts w:cstheme="minorHAnsi"/>
                <w:sz w:val="20"/>
                <w:szCs w:val="20"/>
              </w:rPr>
              <w:t>”</w:t>
            </w:r>
            <w:r w:rsidR="002058B4">
              <w:rPr>
                <w:rFonts w:cstheme="minorHAnsi"/>
                <w:sz w:val="20"/>
                <w:szCs w:val="20"/>
              </w:rPr>
              <w:t xml:space="preserve"> (</w:t>
            </w:r>
            <w:r w:rsidR="00272C25">
              <w:rPr>
                <w:rFonts w:cstheme="minorHAnsi"/>
                <w:sz w:val="20"/>
                <w:szCs w:val="20"/>
              </w:rPr>
              <w:t>its view was based on the following observations: that</w:t>
            </w:r>
            <w:r w:rsidR="002058B4" w:rsidRPr="002058B4">
              <w:rPr>
                <w:rFonts w:cstheme="minorHAnsi"/>
                <w:sz w:val="20"/>
                <w:szCs w:val="20"/>
              </w:rPr>
              <w:t xml:space="preserve"> the new requirements </w:t>
            </w:r>
            <w:r w:rsidR="00272C25">
              <w:rPr>
                <w:rFonts w:cstheme="minorHAnsi"/>
                <w:sz w:val="20"/>
                <w:szCs w:val="20"/>
              </w:rPr>
              <w:t>were mainly administrative; that the</w:t>
            </w:r>
            <w:r w:rsidR="002058B4" w:rsidRPr="002058B4">
              <w:rPr>
                <w:rFonts w:cstheme="minorHAnsi"/>
                <w:sz w:val="20"/>
                <w:szCs w:val="20"/>
              </w:rPr>
              <w:t xml:space="preserve"> pre-notification of work </w:t>
            </w:r>
            <w:r w:rsidR="00272C25">
              <w:rPr>
                <w:rFonts w:cstheme="minorHAnsi"/>
                <w:sz w:val="20"/>
                <w:szCs w:val="20"/>
              </w:rPr>
              <w:t xml:space="preserve">did </w:t>
            </w:r>
            <w:r w:rsidR="002058B4" w:rsidRPr="002058B4">
              <w:rPr>
                <w:rFonts w:cstheme="minorHAnsi"/>
                <w:sz w:val="20"/>
                <w:szCs w:val="20"/>
              </w:rPr>
              <w:t xml:space="preserve">not imply that it </w:t>
            </w:r>
            <w:r w:rsidR="00272C25">
              <w:rPr>
                <w:rFonts w:cstheme="minorHAnsi"/>
                <w:sz w:val="20"/>
                <w:szCs w:val="20"/>
              </w:rPr>
              <w:t xml:space="preserve">would </w:t>
            </w:r>
            <w:r w:rsidR="002058B4" w:rsidRPr="002058B4">
              <w:rPr>
                <w:rFonts w:cstheme="minorHAnsi"/>
                <w:sz w:val="20"/>
                <w:szCs w:val="20"/>
              </w:rPr>
              <w:t>be performed</w:t>
            </w:r>
            <w:r w:rsidR="00272C25">
              <w:rPr>
                <w:rFonts w:cstheme="minorHAnsi"/>
                <w:sz w:val="20"/>
                <w:szCs w:val="20"/>
              </w:rPr>
              <w:t xml:space="preserve"> competently;</w:t>
            </w:r>
            <w:r w:rsidR="002058B4" w:rsidRPr="002058B4">
              <w:rPr>
                <w:rFonts w:cstheme="minorHAnsi"/>
                <w:sz w:val="20"/>
                <w:szCs w:val="20"/>
              </w:rPr>
              <w:t xml:space="preserve"> </w:t>
            </w:r>
            <w:r w:rsidR="00272C25">
              <w:rPr>
                <w:rFonts w:cstheme="minorHAnsi"/>
                <w:sz w:val="20"/>
                <w:szCs w:val="20"/>
              </w:rPr>
              <w:t xml:space="preserve">that </w:t>
            </w:r>
            <w:r w:rsidR="002058B4" w:rsidRPr="002058B4">
              <w:rPr>
                <w:rFonts w:cstheme="minorHAnsi"/>
                <w:sz w:val="20"/>
                <w:szCs w:val="20"/>
              </w:rPr>
              <w:t xml:space="preserve">the quality of records kept after the event </w:t>
            </w:r>
            <w:r w:rsidR="00272C25">
              <w:rPr>
                <w:rFonts w:cstheme="minorHAnsi"/>
                <w:sz w:val="20"/>
                <w:szCs w:val="20"/>
              </w:rPr>
              <w:t xml:space="preserve">was </w:t>
            </w:r>
            <w:r w:rsidR="002058B4" w:rsidRPr="002058B4">
              <w:rPr>
                <w:rFonts w:cstheme="minorHAnsi"/>
                <w:sz w:val="20"/>
                <w:szCs w:val="20"/>
              </w:rPr>
              <w:t>incidental to</w:t>
            </w:r>
            <w:r w:rsidR="00272C25">
              <w:rPr>
                <w:rFonts w:cstheme="minorHAnsi"/>
                <w:sz w:val="20"/>
                <w:szCs w:val="20"/>
              </w:rPr>
              <w:t xml:space="preserve"> prevention of risk to health, that although m</w:t>
            </w:r>
            <w:r w:rsidR="002058B4" w:rsidRPr="002058B4">
              <w:rPr>
                <w:rFonts w:cstheme="minorHAnsi"/>
                <w:sz w:val="20"/>
                <w:szCs w:val="20"/>
              </w:rPr>
              <w:t xml:space="preserve">edical examinations </w:t>
            </w:r>
            <w:r w:rsidR="00272C25">
              <w:rPr>
                <w:rFonts w:cstheme="minorHAnsi"/>
                <w:sz w:val="20"/>
                <w:szCs w:val="20"/>
              </w:rPr>
              <w:t xml:space="preserve">were </w:t>
            </w:r>
            <w:r w:rsidR="002058B4" w:rsidRPr="002058B4">
              <w:rPr>
                <w:rFonts w:cstheme="minorHAnsi"/>
                <w:sz w:val="20"/>
                <w:szCs w:val="20"/>
              </w:rPr>
              <w:t>designed to detect disease early,</w:t>
            </w:r>
            <w:r w:rsidR="00272C25">
              <w:rPr>
                <w:rFonts w:cstheme="minorHAnsi"/>
                <w:sz w:val="20"/>
                <w:szCs w:val="20"/>
              </w:rPr>
              <w:t xml:space="preserve"> </w:t>
            </w:r>
            <w:r w:rsidR="002058B4" w:rsidRPr="002058B4">
              <w:rPr>
                <w:rFonts w:cstheme="minorHAnsi"/>
                <w:sz w:val="20"/>
                <w:szCs w:val="20"/>
              </w:rPr>
              <w:t>to allow removal from further harm and stimulat</w:t>
            </w:r>
            <w:r w:rsidR="00272C25">
              <w:rPr>
                <w:rFonts w:cstheme="minorHAnsi"/>
                <w:sz w:val="20"/>
                <w:szCs w:val="20"/>
              </w:rPr>
              <w:t xml:space="preserve">e scrutiny of co-workers health, this was </w:t>
            </w:r>
            <w:r w:rsidR="002058B4" w:rsidRPr="002058B4">
              <w:rPr>
                <w:rFonts w:cstheme="minorHAnsi"/>
                <w:sz w:val="20"/>
                <w:szCs w:val="20"/>
              </w:rPr>
              <w:t xml:space="preserve">of limited practical value in relation </w:t>
            </w:r>
            <w:r w:rsidR="00272C25">
              <w:rPr>
                <w:rFonts w:cstheme="minorHAnsi"/>
                <w:sz w:val="20"/>
                <w:szCs w:val="20"/>
              </w:rPr>
              <w:t>to asbestos because of the 20-</w:t>
            </w:r>
            <w:r w:rsidR="002058B4" w:rsidRPr="002058B4">
              <w:rPr>
                <w:rFonts w:cstheme="minorHAnsi"/>
                <w:sz w:val="20"/>
                <w:szCs w:val="20"/>
              </w:rPr>
              <w:t>40 year</w:t>
            </w:r>
            <w:r w:rsidR="00272C25">
              <w:rPr>
                <w:rFonts w:cstheme="minorHAnsi"/>
                <w:sz w:val="20"/>
                <w:szCs w:val="20"/>
              </w:rPr>
              <w:t xml:space="preserve"> </w:t>
            </w:r>
            <w:r w:rsidR="00E90A2E">
              <w:rPr>
                <w:rFonts w:cstheme="minorHAnsi"/>
                <w:sz w:val="20"/>
                <w:szCs w:val="20"/>
              </w:rPr>
              <w:t>delay before disease onset; that for the new category of work requirements</w:t>
            </w:r>
            <w:r w:rsidR="00E90A2E" w:rsidRPr="002058B4">
              <w:rPr>
                <w:rFonts w:cstheme="minorHAnsi"/>
                <w:sz w:val="20"/>
                <w:szCs w:val="20"/>
              </w:rPr>
              <w:t xml:space="preserve"> </w:t>
            </w:r>
            <w:r w:rsidR="00E90A2E">
              <w:rPr>
                <w:rFonts w:cstheme="minorHAnsi"/>
                <w:sz w:val="20"/>
                <w:szCs w:val="20"/>
              </w:rPr>
              <w:t xml:space="preserve">to further educate workers, </w:t>
            </w:r>
            <w:r w:rsidR="002058B4" w:rsidRPr="002058B4">
              <w:rPr>
                <w:rFonts w:cstheme="minorHAnsi"/>
                <w:sz w:val="20"/>
                <w:szCs w:val="20"/>
              </w:rPr>
              <w:t xml:space="preserve">they </w:t>
            </w:r>
            <w:r w:rsidR="00E90A2E">
              <w:rPr>
                <w:rFonts w:cstheme="minorHAnsi"/>
                <w:sz w:val="20"/>
                <w:szCs w:val="20"/>
              </w:rPr>
              <w:t xml:space="preserve">would </w:t>
            </w:r>
            <w:r w:rsidR="002058B4" w:rsidRPr="002058B4">
              <w:rPr>
                <w:rFonts w:cstheme="minorHAnsi"/>
                <w:sz w:val="20"/>
                <w:szCs w:val="20"/>
              </w:rPr>
              <w:t xml:space="preserve">first have to recognise they </w:t>
            </w:r>
            <w:r w:rsidR="00E90A2E">
              <w:rPr>
                <w:rFonts w:cstheme="minorHAnsi"/>
                <w:sz w:val="20"/>
                <w:szCs w:val="20"/>
              </w:rPr>
              <w:t>were</w:t>
            </w:r>
            <w:r w:rsidR="002058B4" w:rsidRPr="002058B4">
              <w:rPr>
                <w:rFonts w:cstheme="minorHAnsi"/>
                <w:sz w:val="20"/>
                <w:szCs w:val="20"/>
              </w:rPr>
              <w:t xml:space="preserve"> at risk and </w:t>
            </w:r>
            <w:r w:rsidR="00E90A2E">
              <w:rPr>
                <w:rFonts w:cstheme="minorHAnsi"/>
                <w:sz w:val="20"/>
                <w:szCs w:val="20"/>
              </w:rPr>
              <w:t>apply to workers not already training under existing requirements; that for the new notification requirements to encourage</w:t>
            </w:r>
            <w:r w:rsidR="002058B4" w:rsidRPr="002058B4">
              <w:rPr>
                <w:rFonts w:cstheme="minorHAnsi"/>
                <w:sz w:val="20"/>
                <w:szCs w:val="20"/>
              </w:rPr>
              <w:t xml:space="preserve"> safer working routines</w:t>
            </w:r>
            <w:r w:rsidR="00E90A2E">
              <w:rPr>
                <w:rFonts w:cstheme="minorHAnsi"/>
                <w:sz w:val="20"/>
                <w:szCs w:val="20"/>
              </w:rPr>
              <w:t xml:space="preserve"> full compliance would be necessary</w:t>
            </w:r>
          </w:p>
          <w:p w14:paraId="354A968A" w14:textId="77777777" w:rsidR="00AF6645" w:rsidRDefault="00AF6645" w:rsidP="002058B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7884D9D" w14:textId="0D809FB7" w:rsidR="00644210" w:rsidRDefault="00644210" w:rsidP="00E64B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benefits (workers): </w:t>
            </w:r>
            <w:r>
              <w:rPr>
                <w:rFonts w:cstheme="minorHAnsi"/>
                <w:sz w:val="20"/>
                <w:szCs w:val="20"/>
              </w:rPr>
              <w:t xml:space="preserve">reported that, specific </w:t>
            </w:r>
            <w:r w:rsidRPr="002C4282">
              <w:rPr>
                <w:rFonts w:cstheme="minorHAnsi"/>
                <w:sz w:val="20"/>
                <w:szCs w:val="20"/>
              </w:rPr>
              <w:t>benefits derived from the regulation could not be isolated because the amendments “contributed to an existing packaging of mutually reinforcing interve</w:t>
            </w:r>
            <w:r>
              <w:rPr>
                <w:rFonts w:cstheme="minorHAnsi"/>
                <w:sz w:val="20"/>
                <w:szCs w:val="20"/>
              </w:rPr>
              <w:t xml:space="preserve">ntions”; see also </w:t>
            </w:r>
            <w:r w:rsidR="002058B4">
              <w:rPr>
                <w:rFonts w:cstheme="minorHAnsi"/>
                <w:i/>
                <w:sz w:val="20"/>
                <w:szCs w:val="20"/>
              </w:rPr>
              <w:t xml:space="preserve">disputed benefits </w:t>
            </w:r>
            <w:r w:rsidR="002058B4">
              <w:rPr>
                <w:rFonts w:cstheme="minorHAnsi"/>
                <w:sz w:val="20"/>
                <w:szCs w:val="20"/>
              </w:rPr>
              <w:t>above.</w:t>
            </w:r>
          </w:p>
          <w:p w14:paraId="3DB4B7B1" w14:textId="58F7E33B" w:rsidR="00644210" w:rsidRDefault="00644210" w:rsidP="00E64B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6C9DC54" w14:textId="6EE09E78" w:rsidR="00644210" w:rsidRPr="00052D4C" w:rsidRDefault="00644210" w:rsidP="0091026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(employers):</w:t>
            </w:r>
            <w:r>
              <w:rPr>
                <w:rFonts w:cstheme="minorHAnsi"/>
                <w:sz w:val="20"/>
                <w:szCs w:val="20"/>
              </w:rPr>
              <w:t xml:space="preserve"> see </w:t>
            </w:r>
            <w:r w:rsidR="002058B4">
              <w:rPr>
                <w:rFonts w:cstheme="minorHAnsi"/>
                <w:i/>
                <w:sz w:val="20"/>
                <w:szCs w:val="20"/>
              </w:rPr>
              <w:t>disputed benefits</w:t>
            </w:r>
            <w:r>
              <w:rPr>
                <w:rFonts w:cstheme="minorHAnsi"/>
                <w:sz w:val="20"/>
                <w:szCs w:val="20"/>
              </w:rPr>
              <w:t xml:space="preserve">. </w:t>
            </w:r>
          </w:p>
          <w:p w14:paraId="38D537C9" w14:textId="69167933" w:rsidR="00644210" w:rsidRDefault="00644210" w:rsidP="00E64B69">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B6FDD9C" w14:textId="743C32B1" w:rsidR="00644210" w:rsidRPr="00052D4C" w:rsidRDefault="00644210" w:rsidP="0081307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Non-monetised benefits (government):</w:t>
            </w:r>
            <w:r w:rsidR="00953A45">
              <w:rPr>
                <w:rFonts w:cstheme="minorHAnsi"/>
                <w:b/>
                <w:sz w:val="20"/>
                <w:szCs w:val="20"/>
              </w:rPr>
              <w:t xml:space="preserve"> </w:t>
            </w:r>
            <w:r w:rsidR="00052193">
              <w:rPr>
                <w:rFonts w:cstheme="minorHAnsi"/>
                <w:sz w:val="20"/>
                <w:szCs w:val="20"/>
              </w:rPr>
              <w:t xml:space="preserve">reduced welfare and health service costs associated with reduction in asbestos related disease to workers and the general public; </w:t>
            </w:r>
            <w:r w:rsidR="002058B4">
              <w:rPr>
                <w:rFonts w:cstheme="minorHAnsi"/>
                <w:sz w:val="20"/>
                <w:szCs w:val="20"/>
              </w:rPr>
              <w:t xml:space="preserve">see </w:t>
            </w:r>
            <w:r w:rsidR="002058B4">
              <w:rPr>
                <w:rFonts w:cstheme="minorHAnsi"/>
                <w:i/>
                <w:sz w:val="20"/>
                <w:szCs w:val="20"/>
              </w:rPr>
              <w:t>disputed benefits</w:t>
            </w:r>
            <w:r w:rsidR="002058B4">
              <w:rPr>
                <w:rFonts w:cstheme="minorHAnsi"/>
                <w:sz w:val="20"/>
                <w:szCs w:val="20"/>
              </w:rPr>
              <w:t>.</w:t>
            </w:r>
          </w:p>
        </w:tc>
      </w:tr>
      <w:tr w:rsidR="00644210" w:rsidRPr="001C3290" w14:paraId="25521E1F"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277E3610" w14:textId="77777777" w:rsidR="00644210" w:rsidRPr="007C43DB" w:rsidRDefault="00644210" w:rsidP="00590ED7">
            <w:pPr>
              <w:rPr>
                <w:rFonts w:cstheme="minorHAnsi"/>
                <w:b w:val="0"/>
                <w:sz w:val="20"/>
                <w:szCs w:val="20"/>
              </w:rPr>
            </w:pPr>
            <w:r w:rsidRPr="007C43DB">
              <w:rPr>
                <w:rFonts w:cstheme="minorHAnsi"/>
                <w:b w:val="0"/>
                <w:sz w:val="20"/>
                <w:szCs w:val="20"/>
              </w:rPr>
              <w:t>The Control of Substances Hazardous to Health (Amendment) Regulations</w:t>
            </w:r>
          </w:p>
          <w:p w14:paraId="2FECC5FA" w14:textId="7865CFED" w:rsidR="00644210" w:rsidRPr="007C43DB" w:rsidRDefault="00644210" w:rsidP="00590ED7">
            <w:pPr>
              <w:rPr>
                <w:rFonts w:cstheme="minorHAnsi"/>
                <w:b w:val="0"/>
                <w:sz w:val="20"/>
                <w:szCs w:val="20"/>
              </w:rPr>
            </w:pPr>
            <w:r w:rsidRPr="007C43DB">
              <w:rPr>
                <w:rFonts w:cstheme="minorHAnsi"/>
                <w:b w:val="0"/>
                <w:sz w:val="20"/>
                <w:szCs w:val="20"/>
              </w:rPr>
              <w:t>2004 (2003/53/EC)</w:t>
            </w:r>
            <w:r w:rsidR="000A443C" w:rsidRPr="007C43DB">
              <w:rPr>
                <w:rFonts w:cstheme="minorHAnsi"/>
                <w:b w:val="0"/>
                <w:sz w:val="20"/>
                <w:szCs w:val="20"/>
              </w:rPr>
              <w:t xml:space="preserve"> </w:t>
            </w:r>
            <w:r w:rsidR="009003BC" w:rsidRPr="007C43DB">
              <w:rPr>
                <w:rFonts w:cstheme="minorHAnsi"/>
                <w:b w:val="0"/>
                <w:sz w:val="20"/>
                <w:szCs w:val="20"/>
              </w:rPr>
              <w:t>(Health and Safety Executive, HSE)</w:t>
            </w:r>
            <w:r w:rsidR="000A443C" w:rsidRPr="007C43DB">
              <w:rPr>
                <w:rFonts w:cstheme="minorHAnsi"/>
                <w:sz w:val="20"/>
                <w:szCs w:val="20"/>
              </w:rPr>
              <w:fldChar w:fldCharType="begin"/>
            </w:r>
            <w:r w:rsidR="000A443C" w:rsidRPr="007C43DB">
              <w:rPr>
                <w:rFonts w:cstheme="minorHAnsi"/>
                <w:sz w:val="20"/>
                <w:szCs w:val="20"/>
              </w:rPr>
              <w:instrText xml:space="preserve"> ADDIN EN.CITE &lt;EndNote&gt;&lt;Cite&gt;&lt;Author&gt;Health and Safety Executive&lt;/Author&gt;&lt;Year&gt;2003&lt;/Year&gt;&lt;RecNum&gt;1625&lt;/RecNum&gt;&lt;DisplayText&gt; (Health and Safety Executive, 2003)&lt;/DisplayText&gt;&lt;record&gt;&lt;rec-number&gt;1625&lt;/rec-number&gt;&lt;foreign-keys&gt;&lt;key app="EN" db-id="drrvazw0t090vlef0e6praxba2d0xwps0wt0" timestamp="1491764837"&gt;1625&lt;/key&gt;&lt;/foreign-keys&gt;&lt;ref-type name="Report"&gt;27&lt;/ref-type&gt;&lt;contributors&gt;&lt;authors&gt;&lt;author&gt;Health and Safety Executive,&lt;/author&gt;&lt;/authors&gt;&lt;tertiary-authors&gt;&lt;author&gt;Health and Safety Executive&lt;/author&gt;&lt;/tertiary-authors&gt;&lt;/contributors&gt;&lt;titles&gt;&lt;title&gt;Final Regulatory Impact Assessment for Control of Substances Hazardous to Health (Amendment) Rgulations 2004&lt;/title&gt;&lt;/titles&gt;&lt;dates&gt;&lt;year&gt;2003&lt;/year&gt;&lt;/dates&gt;&lt;pub-location&gt;London&lt;/pub-location&gt;&lt;publisher&gt;Health and Safety Executive&lt;/publisher&gt;&lt;urls&gt;&lt;related-urls&gt;&lt;url&gt;http://webarchive.nationalarchives.gov.uk/20060810174143/http://hse.gov.uk/ria/chemical/coshh-cement.pdf&lt;/url&gt;&lt;/related-urls&gt;&lt;/urls&gt;&lt;access-date&gt;March 3, 2017&lt;/access-date&gt;&lt;/record&gt;&lt;/Cite&gt;&lt;/EndNote&gt;</w:instrText>
            </w:r>
            <w:r w:rsidR="000A443C" w:rsidRPr="007C43DB">
              <w:rPr>
                <w:rFonts w:cstheme="minorHAnsi"/>
                <w:sz w:val="20"/>
                <w:szCs w:val="20"/>
              </w:rPr>
              <w:fldChar w:fldCharType="separate"/>
            </w:r>
            <w:r w:rsidR="000A443C" w:rsidRPr="007C43DB">
              <w:rPr>
                <w:rFonts w:cstheme="minorHAnsi"/>
                <w:noProof/>
                <w:sz w:val="20"/>
                <w:szCs w:val="20"/>
              </w:rPr>
              <w:t xml:space="preserve"> </w:t>
            </w:r>
            <w:hyperlink w:anchor="_ENREF_9" w:tooltip="Health and Safety Executive, 2003 #1625" w:history="1">
              <w:r w:rsidR="006D11C0" w:rsidRPr="007C43DB">
                <w:rPr>
                  <w:rFonts w:cstheme="minorHAnsi"/>
                  <w:b w:val="0"/>
                  <w:noProof/>
                  <w:sz w:val="20"/>
                  <w:szCs w:val="20"/>
                </w:rPr>
                <w:t>(Health and Safety Executive, 2003</w:t>
              </w:r>
            </w:hyperlink>
            <w:r w:rsidR="000A443C" w:rsidRPr="007C43DB">
              <w:rPr>
                <w:rFonts w:cstheme="minorHAnsi"/>
                <w:b w:val="0"/>
                <w:noProof/>
                <w:sz w:val="20"/>
                <w:szCs w:val="20"/>
              </w:rPr>
              <w:t>)</w:t>
            </w:r>
            <w:r w:rsidR="000A443C" w:rsidRPr="007C43DB">
              <w:rPr>
                <w:rFonts w:cstheme="minorHAnsi"/>
                <w:sz w:val="20"/>
                <w:szCs w:val="20"/>
              </w:rPr>
              <w:fldChar w:fldCharType="end"/>
            </w:r>
          </w:p>
        </w:tc>
        <w:tc>
          <w:tcPr>
            <w:tcW w:w="4632" w:type="dxa"/>
          </w:tcPr>
          <w:p w14:paraId="456A07CA" w14:textId="265C86BB"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sidR="00B74F63">
              <w:rPr>
                <w:rFonts w:cstheme="minorHAnsi"/>
                <w:sz w:val="20"/>
                <w:szCs w:val="20"/>
              </w:rPr>
              <w:t>P</w:t>
            </w:r>
            <w:r>
              <w:rPr>
                <w:rFonts w:cstheme="minorHAnsi"/>
                <w:sz w:val="20"/>
                <w:szCs w:val="20"/>
              </w:rPr>
              <w:t xml:space="preserve">roblems </w:t>
            </w:r>
            <w:r w:rsidR="00EA697F">
              <w:rPr>
                <w:rFonts w:cstheme="minorHAnsi"/>
                <w:sz w:val="20"/>
                <w:szCs w:val="20"/>
              </w:rPr>
              <w:t xml:space="preserve">were reported </w:t>
            </w:r>
            <w:r>
              <w:rPr>
                <w:rFonts w:cstheme="minorHAnsi"/>
                <w:sz w:val="20"/>
                <w:szCs w:val="20"/>
              </w:rPr>
              <w:t>in evaluating estimates of the capital costs of dosing units and the number of dosing units required for a given mass of cement (“</w:t>
            </w:r>
            <w:r w:rsidRPr="002C4282">
              <w:rPr>
                <w:rFonts w:cstheme="minorHAnsi"/>
                <w:sz w:val="20"/>
                <w:szCs w:val="20"/>
              </w:rPr>
              <w:t>It is worth noting that no further cost information</w:t>
            </w:r>
            <w:r>
              <w:rPr>
                <w:rFonts w:cstheme="minorHAnsi"/>
                <w:sz w:val="20"/>
                <w:szCs w:val="20"/>
              </w:rPr>
              <w:t xml:space="preserve"> </w:t>
            </w:r>
            <w:r w:rsidRPr="002C4282">
              <w:rPr>
                <w:rFonts w:cstheme="minorHAnsi"/>
                <w:sz w:val="20"/>
                <w:szCs w:val="20"/>
              </w:rPr>
              <w:t>was provided by industry to enable HSE to evaluate these cost estimates</w:t>
            </w:r>
            <w:r>
              <w:rPr>
                <w:rFonts w:cstheme="minorHAnsi"/>
                <w:sz w:val="20"/>
                <w:szCs w:val="20"/>
              </w:rPr>
              <w:t>”)</w:t>
            </w:r>
            <w:r w:rsidRPr="002C4282">
              <w:rPr>
                <w:rFonts w:cstheme="minorHAnsi"/>
                <w:sz w:val="20"/>
                <w:szCs w:val="20"/>
              </w:rPr>
              <w:t>.</w:t>
            </w:r>
            <w:r>
              <w:rPr>
                <w:rFonts w:cstheme="minorHAnsi"/>
                <w:sz w:val="20"/>
                <w:szCs w:val="20"/>
              </w:rPr>
              <w:t xml:space="preserve"> </w:t>
            </w:r>
          </w:p>
          <w:p w14:paraId="46A970A0" w14:textId="6D5288E8" w:rsidR="00B74F63" w:rsidRDefault="00B74F63"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25B23DF" w14:textId="18E496A0" w:rsidR="00B74F63" w:rsidRDefault="00B74F63"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Problems were also reported in estimating the costs associated with the likely reduced shelf-life of cement preparations dosed with ferrous sulphate. The impact assessment reported that the technical constraints involved in maintaining shelf-life were unknown and that manufacturers who wanted to maintain a 12 month shelf life might have to compromise on product quality. The potential impact of this was not costed because of “the large uncertainties involved.”</w:t>
            </w:r>
          </w:p>
          <w:p w14:paraId="14734860" w14:textId="25AC52F5" w:rsidR="00D94C32" w:rsidRDefault="00D94C32"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EF750CD" w14:textId="2CB0BA7E" w:rsidR="00D94C32" w:rsidRPr="002C4282" w:rsidRDefault="00D94C32"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 number of assumptions were made in relation to testing requirements (to check for chromate levels in cement). </w:t>
            </w:r>
            <w:r w:rsidR="007F265D">
              <w:rPr>
                <w:rFonts w:cstheme="minorHAnsi"/>
                <w:sz w:val="20"/>
                <w:szCs w:val="20"/>
              </w:rPr>
              <w:t xml:space="preserve">The evidential basis for the assumptions made in relation to a potential certification system </w:t>
            </w:r>
            <w:r w:rsidR="00000B23">
              <w:rPr>
                <w:rFonts w:cstheme="minorHAnsi"/>
                <w:sz w:val="20"/>
                <w:szCs w:val="20"/>
              </w:rPr>
              <w:t>were</w:t>
            </w:r>
            <w:r w:rsidR="007F265D">
              <w:rPr>
                <w:rFonts w:cstheme="minorHAnsi"/>
                <w:sz w:val="20"/>
                <w:szCs w:val="20"/>
              </w:rPr>
              <w:t xml:space="preserve"> unclear.</w:t>
            </w:r>
          </w:p>
          <w:p w14:paraId="1DB62C03"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8F62CDB" w14:textId="58D5E3D8" w:rsidR="00644210" w:rsidRPr="008158C6"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Dynamic effects: </w:t>
            </w:r>
            <w:r w:rsidR="007F265D">
              <w:rPr>
                <w:rFonts w:cstheme="minorHAnsi"/>
                <w:sz w:val="20"/>
                <w:szCs w:val="20"/>
              </w:rPr>
              <w:t xml:space="preserve">partially </w:t>
            </w:r>
            <w:r>
              <w:rPr>
                <w:rFonts w:cstheme="minorHAnsi"/>
                <w:sz w:val="20"/>
                <w:szCs w:val="20"/>
              </w:rPr>
              <w:t>explored (</w:t>
            </w:r>
            <w:r w:rsidR="007F265D">
              <w:rPr>
                <w:rFonts w:cstheme="minorHAnsi"/>
                <w:sz w:val="20"/>
                <w:szCs w:val="20"/>
              </w:rPr>
              <w:t>cost of ferrous sulphate was assumed to increase given increase in demand</w:t>
            </w:r>
            <w:r>
              <w:rPr>
                <w:rFonts w:cstheme="minorHAnsi"/>
                <w:sz w:val="20"/>
                <w:szCs w:val="20"/>
              </w:rPr>
              <w:t>).</w:t>
            </w:r>
          </w:p>
          <w:p w14:paraId="7BF092B9" w14:textId="77777777"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FB99C70" w14:textId="70C20BC2" w:rsidR="00644210" w:rsidRPr="008158C6"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sz w:val="20"/>
                <w:szCs w:val="20"/>
              </w:rPr>
              <w:t xml:space="preserve"> full compliance assumed.</w:t>
            </w:r>
          </w:p>
        </w:tc>
        <w:tc>
          <w:tcPr>
            <w:tcW w:w="4633" w:type="dxa"/>
          </w:tcPr>
          <w:p w14:paraId="5B2DFA91" w14:textId="098E43A1" w:rsidR="00644210" w:rsidRPr="0032206F" w:rsidRDefault="00644210" w:rsidP="00EA697F">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Summary of sources:</w:t>
            </w:r>
            <w:r w:rsidRPr="002C4282">
              <w:rPr>
                <w:rFonts w:cstheme="minorHAnsi"/>
                <w:sz w:val="20"/>
                <w:szCs w:val="20"/>
              </w:rPr>
              <w:t xml:space="preserve"> </w:t>
            </w:r>
            <w:r w:rsidR="00134393">
              <w:rPr>
                <w:rFonts w:cstheme="minorHAnsi"/>
                <w:sz w:val="20"/>
                <w:szCs w:val="20"/>
              </w:rPr>
              <w:t>O</w:t>
            </w:r>
            <w:r w:rsidR="00EA697F">
              <w:rPr>
                <w:rFonts w:cstheme="minorHAnsi"/>
                <w:sz w:val="20"/>
                <w:szCs w:val="20"/>
              </w:rPr>
              <w:t xml:space="preserve">fficial </w:t>
            </w:r>
            <w:r w:rsidR="00BC002E">
              <w:rPr>
                <w:rFonts w:cstheme="minorHAnsi"/>
                <w:sz w:val="20"/>
                <w:szCs w:val="20"/>
              </w:rPr>
              <w:t xml:space="preserve">data </w:t>
            </w:r>
            <w:r w:rsidR="00EA697F">
              <w:rPr>
                <w:rFonts w:cstheme="minorHAnsi"/>
                <w:sz w:val="20"/>
                <w:szCs w:val="20"/>
              </w:rPr>
              <w:t>sources included</w:t>
            </w:r>
            <w:r w:rsidR="00134393">
              <w:rPr>
                <w:rFonts w:cstheme="minorHAnsi"/>
                <w:sz w:val="20"/>
                <w:szCs w:val="20"/>
              </w:rPr>
              <w:t>:</w:t>
            </w:r>
            <w:r w:rsidR="00EA697F">
              <w:rPr>
                <w:rFonts w:cstheme="minorHAnsi"/>
                <w:sz w:val="20"/>
                <w:szCs w:val="20"/>
              </w:rPr>
              <w:t xml:space="preserve"> HSE Epidemiology and Medical Statistics Unit survey, </w:t>
            </w:r>
            <w:r w:rsidR="00EA697F" w:rsidRPr="00EA697F">
              <w:rPr>
                <w:rFonts w:cstheme="minorHAnsi"/>
                <w:sz w:val="20"/>
                <w:szCs w:val="20"/>
              </w:rPr>
              <w:t>the Occupational</w:t>
            </w:r>
            <w:r w:rsidR="00EA697F">
              <w:rPr>
                <w:rFonts w:cstheme="minorHAnsi"/>
                <w:sz w:val="20"/>
                <w:szCs w:val="20"/>
              </w:rPr>
              <w:t xml:space="preserve"> </w:t>
            </w:r>
            <w:r w:rsidR="00EA697F" w:rsidRPr="00EA697F">
              <w:rPr>
                <w:rFonts w:cstheme="minorHAnsi"/>
                <w:sz w:val="20"/>
                <w:szCs w:val="20"/>
              </w:rPr>
              <w:t>Physicians Reporting Activity</w:t>
            </w:r>
            <w:r w:rsidR="00EA697F">
              <w:rPr>
                <w:rFonts w:cstheme="minorHAnsi"/>
                <w:sz w:val="20"/>
                <w:szCs w:val="20"/>
              </w:rPr>
              <w:t xml:space="preserve"> </w:t>
            </w:r>
            <w:r w:rsidR="00B178F1">
              <w:rPr>
                <w:rFonts w:cstheme="minorHAnsi"/>
                <w:sz w:val="20"/>
                <w:szCs w:val="20"/>
              </w:rPr>
              <w:t xml:space="preserve">(OPRA) </w:t>
            </w:r>
            <w:r w:rsidR="00EA697F" w:rsidRPr="00EA697F">
              <w:rPr>
                <w:rFonts w:cstheme="minorHAnsi"/>
                <w:sz w:val="20"/>
                <w:szCs w:val="20"/>
              </w:rPr>
              <w:t>scheme</w:t>
            </w:r>
            <w:r w:rsidR="00EA697F">
              <w:rPr>
                <w:rFonts w:cstheme="minorHAnsi"/>
                <w:sz w:val="20"/>
                <w:szCs w:val="20"/>
              </w:rPr>
              <w:t xml:space="preserve">; </w:t>
            </w:r>
            <w:r w:rsidR="00B91726">
              <w:rPr>
                <w:rFonts w:cstheme="minorHAnsi"/>
                <w:sz w:val="20"/>
                <w:szCs w:val="20"/>
              </w:rPr>
              <w:t>S</w:t>
            </w:r>
            <w:r w:rsidR="00E86B6D" w:rsidRPr="00EA697F">
              <w:rPr>
                <w:rFonts w:cstheme="minorHAnsi"/>
                <w:sz w:val="20"/>
                <w:szCs w:val="20"/>
              </w:rPr>
              <w:t>elf-</w:t>
            </w:r>
            <w:r w:rsidR="00B91726">
              <w:rPr>
                <w:rFonts w:cstheme="minorHAnsi"/>
                <w:sz w:val="20"/>
                <w:szCs w:val="20"/>
              </w:rPr>
              <w:t>R</w:t>
            </w:r>
            <w:r w:rsidR="00E86B6D" w:rsidRPr="00EA697F">
              <w:rPr>
                <w:rFonts w:cstheme="minorHAnsi"/>
                <w:sz w:val="20"/>
                <w:szCs w:val="20"/>
              </w:rPr>
              <w:t>eported</w:t>
            </w:r>
            <w:r w:rsidR="00EA697F" w:rsidRPr="00EA697F">
              <w:rPr>
                <w:rFonts w:cstheme="minorHAnsi"/>
                <w:sz w:val="20"/>
                <w:szCs w:val="20"/>
              </w:rPr>
              <w:t xml:space="preserve"> </w:t>
            </w:r>
            <w:r w:rsidR="00B91726">
              <w:rPr>
                <w:rFonts w:cstheme="minorHAnsi"/>
                <w:sz w:val="20"/>
                <w:szCs w:val="20"/>
              </w:rPr>
              <w:t>W</w:t>
            </w:r>
            <w:r w:rsidR="00EA697F" w:rsidRPr="00EA697F">
              <w:rPr>
                <w:rFonts w:cstheme="minorHAnsi"/>
                <w:sz w:val="20"/>
                <w:szCs w:val="20"/>
              </w:rPr>
              <w:t>ork-</w:t>
            </w:r>
            <w:r w:rsidR="00B91726">
              <w:rPr>
                <w:rFonts w:cstheme="minorHAnsi"/>
                <w:sz w:val="20"/>
                <w:szCs w:val="20"/>
              </w:rPr>
              <w:t>Re</w:t>
            </w:r>
            <w:r w:rsidR="00EA697F" w:rsidRPr="00EA697F">
              <w:rPr>
                <w:rFonts w:cstheme="minorHAnsi"/>
                <w:sz w:val="20"/>
                <w:szCs w:val="20"/>
              </w:rPr>
              <w:t xml:space="preserve">lated </w:t>
            </w:r>
            <w:r w:rsidR="00B91726">
              <w:rPr>
                <w:rFonts w:cstheme="minorHAnsi"/>
                <w:sz w:val="20"/>
                <w:szCs w:val="20"/>
              </w:rPr>
              <w:t>I</w:t>
            </w:r>
            <w:r w:rsidR="00EA697F" w:rsidRPr="00EA697F">
              <w:rPr>
                <w:rFonts w:cstheme="minorHAnsi"/>
                <w:sz w:val="20"/>
                <w:szCs w:val="20"/>
              </w:rPr>
              <w:t>llness</w:t>
            </w:r>
            <w:r w:rsidR="00EA697F">
              <w:rPr>
                <w:rFonts w:cstheme="minorHAnsi"/>
                <w:sz w:val="20"/>
                <w:szCs w:val="20"/>
              </w:rPr>
              <w:t xml:space="preserve"> surveys</w:t>
            </w:r>
            <w:r w:rsidR="00B91726">
              <w:rPr>
                <w:rFonts w:cstheme="minorHAnsi"/>
                <w:sz w:val="20"/>
                <w:szCs w:val="20"/>
              </w:rPr>
              <w:t xml:space="preserve"> (SWI)</w:t>
            </w:r>
            <w:r w:rsidR="00EA697F">
              <w:rPr>
                <w:rFonts w:cstheme="minorHAnsi"/>
                <w:sz w:val="20"/>
                <w:szCs w:val="20"/>
              </w:rPr>
              <w:t xml:space="preserve">, </w:t>
            </w:r>
            <w:r w:rsidR="00B178F1">
              <w:rPr>
                <w:rFonts w:cstheme="minorHAnsi"/>
                <w:sz w:val="20"/>
                <w:szCs w:val="20"/>
              </w:rPr>
              <w:t xml:space="preserve">EPIDERM (an HSE-sponsored national skin surveillance project); the </w:t>
            </w:r>
            <w:r w:rsidR="00EA697F" w:rsidRPr="00EA697F">
              <w:rPr>
                <w:rFonts w:cstheme="minorHAnsi"/>
                <w:sz w:val="20"/>
                <w:szCs w:val="20"/>
              </w:rPr>
              <w:t>Danish</w:t>
            </w:r>
            <w:r w:rsidR="00B91726">
              <w:rPr>
                <w:rFonts w:cstheme="minorHAnsi"/>
                <w:sz w:val="20"/>
                <w:szCs w:val="20"/>
              </w:rPr>
              <w:t xml:space="preserve"> </w:t>
            </w:r>
            <w:r w:rsidR="00B178F1">
              <w:rPr>
                <w:rFonts w:cstheme="minorHAnsi"/>
                <w:sz w:val="20"/>
                <w:szCs w:val="20"/>
              </w:rPr>
              <w:t>Technological Institute</w:t>
            </w:r>
            <w:r w:rsidR="00134393">
              <w:rPr>
                <w:rFonts w:cstheme="minorHAnsi"/>
                <w:sz w:val="20"/>
                <w:szCs w:val="20"/>
              </w:rPr>
              <w:t>.</w:t>
            </w:r>
            <w:r w:rsidR="00EA697F">
              <w:rPr>
                <w:rFonts w:cstheme="minorHAnsi"/>
                <w:sz w:val="20"/>
                <w:szCs w:val="20"/>
              </w:rPr>
              <w:t xml:space="preserve"> </w:t>
            </w:r>
            <w:r w:rsidR="00134393">
              <w:rPr>
                <w:rFonts w:cstheme="minorHAnsi"/>
                <w:sz w:val="20"/>
                <w:szCs w:val="20"/>
              </w:rPr>
              <w:t>I</w:t>
            </w:r>
            <w:r w:rsidR="00E86B6D">
              <w:rPr>
                <w:rFonts w:cstheme="minorHAnsi"/>
                <w:sz w:val="20"/>
                <w:szCs w:val="20"/>
              </w:rPr>
              <w:t>ndustry</w:t>
            </w:r>
            <w:r>
              <w:rPr>
                <w:rFonts w:cstheme="minorHAnsi"/>
                <w:sz w:val="20"/>
                <w:szCs w:val="20"/>
              </w:rPr>
              <w:t xml:space="preserve"> </w:t>
            </w:r>
            <w:r w:rsidR="00EA697F">
              <w:rPr>
                <w:rFonts w:cstheme="minorHAnsi"/>
                <w:sz w:val="20"/>
                <w:szCs w:val="20"/>
              </w:rPr>
              <w:t xml:space="preserve">information informed </w:t>
            </w:r>
            <w:r>
              <w:rPr>
                <w:rFonts w:cstheme="minorHAnsi"/>
                <w:sz w:val="20"/>
                <w:szCs w:val="20"/>
              </w:rPr>
              <w:t xml:space="preserve">estimates of the number of </w:t>
            </w:r>
            <w:r w:rsidR="00E86B6D">
              <w:rPr>
                <w:rFonts w:cstheme="minorHAnsi"/>
                <w:sz w:val="20"/>
                <w:szCs w:val="20"/>
              </w:rPr>
              <w:t xml:space="preserve">companies that manufacturer cement preparations in Great Britain, </w:t>
            </w:r>
            <w:r w:rsidR="007715C1">
              <w:rPr>
                <w:rFonts w:cstheme="minorHAnsi"/>
                <w:sz w:val="20"/>
                <w:szCs w:val="20"/>
              </w:rPr>
              <w:t xml:space="preserve">the number of </w:t>
            </w:r>
            <w:r>
              <w:rPr>
                <w:rFonts w:cstheme="minorHAnsi"/>
                <w:sz w:val="20"/>
                <w:szCs w:val="20"/>
              </w:rPr>
              <w:t>dosing units requ</w:t>
            </w:r>
            <w:r w:rsidR="00EA697F">
              <w:rPr>
                <w:rFonts w:cstheme="minorHAnsi"/>
                <w:sz w:val="20"/>
                <w:szCs w:val="20"/>
              </w:rPr>
              <w:t>ired for a given mass of cement,</w:t>
            </w:r>
            <w:r>
              <w:rPr>
                <w:rFonts w:cstheme="minorHAnsi"/>
                <w:sz w:val="20"/>
                <w:szCs w:val="20"/>
              </w:rPr>
              <w:t xml:space="preserve"> the c</w:t>
            </w:r>
            <w:r w:rsidR="00EA697F">
              <w:rPr>
                <w:rFonts w:cstheme="minorHAnsi"/>
                <w:sz w:val="20"/>
                <w:szCs w:val="20"/>
              </w:rPr>
              <w:t>apital cost of each dosing unit</w:t>
            </w:r>
            <w:r w:rsidR="00EA697F" w:rsidRPr="00C02633">
              <w:rPr>
                <w:rFonts w:cstheme="minorHAnsi"/>
                <w:sz w:val="20"/>
                <w:szCs w:val="20"/>
              </w:rPr>
              <w:t>,</w:t>
            </w:r>
            <w:r w:rsidRPr="00C02633">
              <w:rPr>
                <w:rFonts w:cstheme="minorHAnsi"/>
                <w:sz w:val="20"/>
                <w:szCs w:val="20"/>
              </w:rPr>
              <w:t xml:space="preserve"> estimate</w:t>
            </w:r>
            <w:r w:rsidR="00EA697F" w:rsidRPr="00C02633">
              <w:rPr>
                <w:rFonts w:cstheme="minorHAnsi"/>
                <w:sz w:val="20"/>
                <w:szCs w:val="20"/>
              </w:rPr>
              <w:t>s</w:t>
            </w:r>
            <w:r w:rsidRPr="00C02633">
              <w:rPr>
                <w:rFonts w:cstheme="minorHAnsi"/>
                <w:sz w:val="20"/>
                <w:szCs w:val="20"/>
              </w:rPr>
              <w:t xml:space="preserve"> of how much cement </w:t>
            </w:r>
            <w:r w:rsidR="00EA697F" w:rsidRPr="00C02633">
              <w:rPr>
                <w:rFonts w:cstheme="minorHAnsi"/>
                <w:sz w:val="20"/>
                <w:szCs w:val="20"/>
              </w:rPr>
              <w:t xml:space="preserve">would be </w:t>
            </w:r>
            <w:r w:rsidRPr="00C02633">
              <w:rPr>
                <w:rFonts w:cstheme="minorHAnsi"/>
                <w:sz w:val="20"/>
                <w:szCs w:val="20"/>
              </w:rPr>
              <w:t>used in controlled closed or automated processes and therefore not covered by the</w:t>
            </w:r>
            <w:r w:rsidR="00EA697F" w:rsidRPr="00C02633">
              <w:rPr>
                <w:rFonts w:cstheme="minorHAnsi"/>
                <w:sz w:val="20"/>
                <w:szCs w:val="20"/>
              </w:rPr>
              <w:t xml:space="preserve"> regulations</w:t>
            </w:r>
            <w:r w:rsidR="00D94C32" w:rsidRPr="00C02633">
              <w:rPr>
                <w:rFonts w:cstheme="minorHAnsi"/>
                <w:sz w:val="20"/>
                <w:szCs w:val="20"/>
              </w:rPr>
              <w:t>,</w:t>
            </w:r>
            <w:r w:rsidR="00D94C32">
              <w:rPr>
                <w:rFonts w:cstheme="minorHAnsi"/>
                <w:sz w:val="20"/>
                <w:szCs w:val="20"/>
              </w:rPr>
              <w:t xml:space="preserve"> estimates of the amount of cement delivered to the cement preparations industry each year</w:t>
            </w:r>
            <w:r w:rsidR="007F265D">
              <w:rPr>
                <w:rFonts w:cstheme="minorHAnsi"/>
                <w:sz w:val="20"/>
                <w:szCs w:val="20"/>
              </w:rPr>
              <w:t>, the amount of ferrous sulphate required to achieve a sufficient reduction in chromate VI, the price of ferrous sulphate,</w:t>
            </w:r>
            <w:r w:rsidR="007715C1">
              <w:rPr>
                <w:rFonts w:cstheme="minorHAnsi"/>
                <w:sz w:val="20"/>
                <w:szCs w:val="20"/>
              </w:rPr>
              <w:t xml:space="preserve"> the amount of cement, bagged cement, ready-mixed cement sold each year</w:t>
            </w:r>
            <w:r w:rsidR="00E86B6D">
              <w:rPr>
                <w:rFonts w:cstheme="minorHAnsi"/>
                <w:sz w:val="20"/>
                <w:szCs w:val="20"/>
              </w:rPr>
              <w:t xml:space="preserve">; </w:t>
            </w:r>
          </w:p>
          <w:p w14:paraId="007599D9" w14:textId="77777777"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09C0724" w14:textId="0F32CCD6" w:rsidR="00134393" w:rsidRDefault="00644210" w:rsidP="007715C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134393">
              <w:rPr>
                <w:rFonts w:cstheme="minorHAnsi"/>
                <w:sz w:val="20"/>
                <w:szCs w:val="20"/>
              </w:rPr>
              <w:t xml:space="preserve">Business actors (via the public consultation): </w:t>
            </w:r>
            <w:r>
              <w:rPr>
                <w:rFonts w:cstheme="minorHAnsi"/>
                <w:sz w:val="20"/>
                <w:szCs w:val="20"/>
              </w:rPr>
              <w:t>claimed that “</w:t>
            </w:r>
            <w:r w:rsidRPr="002C4282">
              <w:rPr>
                <w:rFonts w:cstheme="minorHAnsi"/>
                <w:sz w:val="20"/>
                <w:szCs w:val="20"/>
              </w:rPr>
              <w:t>the assessment of costs should be based on the worst</w:t>
            </w:r>
            <w:r>
              <w:rPr>
                <w:rFonts w:cstheme="minorHAnsi"/>
                <w:sz w:val="20"/>
                <w:szCs w:val="20"/>
              </w:rPr>
              <w:t>-case</w:t>
            </w:r>
            <w:r w:rsidRPr="002C4282">
              <w:rPr>
                <w:rFonts w:cstheme="minorHAnsi"/>
                <w:sz w:val="20"/>
                <w:szCs w:val="20"/>
              </w:rPr>
              <w:t xml:space="preserve"> number of dosing units</w:t>
            </w:r>
            <w:r w:rsidR="00134393">
              <w:rPr>
                <w:rFonts w:cstheme="minorHAnsi"/>
                <w:sz w:val="20"/>
                <w:szCs w:val="20"/>
              </w:rPr>
              <w:t>”.</w:t>
            </w:r>
          </w:p>
          <w:p w14:paraId="295EB167" w14:textId="6D3130A9"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The British Adhesives and Sealants Associations (BASA) provided uncertain estimates (range 13-18) </w:t>
            </w:r>
            <w:r w:rsidR="00E86B6D">
              <w:rPr>
                <w:rFonts w:cstheme="minorHAnsi"/>
                <w:sz w:val="20"/>
                <w:szCs w:val="20"/>
              </w:rPr>
              <w:t xml:space="preserve">of the number of companies that manufacture cement preparations </w:t>
            </w:r>
            <w:r w:rsidR="00D94C32">
              <w:rPr>
                <w:rFonts w:cstheme="minorHAnsi"/>
                <w:sz w:val="20"/>
                <w:szCs w:val="20"/>
              </w:rPr>
              <w:t>(relevant to the estimating</w:t>
            </w:r>
            <w:r>
              <w:rPr>
                <w:rFonts w:cstheme="minorHAnsi"/>
                <w:sz w:val="20"/>
                <w:szCs w:val="20"/>
              </w:rPr>
              <w:t xml:space="preserve"> the number of dosing units required).</w:t>
            </w:r>
          </w:p>
          <w:p w14:paraId="18730816" w14:textId="77777777"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6C83ADA" w14:textId="50529EC8"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w:t>
            </w:r>
            <w:r w:rsidR="00DF6F0B">
              <w:rPr>
                <w:rFonts w:cstheme="minorHAnsi"/>
                <w:sz w:val="20"/>
                <w:szCs w:val="20"/>
              </w:rPr>
              <w:t xml:space="preserve">epresentatives of preparation manufacturers raised concerns </w:t>
            </w:r>
            <w:r>
              <w:rPr>
                <w:rFonts w:cstheme="minorHAnsi"/>
                <w:sz w:val="20"/>
                <w:szCs w:val="20"/>
              </w:rPr>
              <w:t xml:space="preserve">(via the public consultation) </w:t>
            </w:r>
            <w:r w:rsidR="00DF6F0B">
              <w:rPr>
                <w:rFonts w:cstheme="minorHAnsi"/>
                <w:sz w:val="20"/>
                <w:szCs w:val="20"/>
              </w:rPr>
              <w:t>about the amount of reducing agent needed for cement preparations and th</w:t>
            </w:r>
            <w:r w:rsidR="006D0C5C">
              <w:rPr>
                <w:rFonts w:cstheme="minorHAnsi"/>
                <w:sz w:val="20"/>
                <w:szCs w:val="20"/>
              </w:rPr>
              <w:t>e impact on product performance</w:t>
            </w:r>
            <w:r>
              <w:rPr>
                <w:rFonts w:cstheme="minorHAnsi"/>
                <w:sz w:val="20"/>
                <w:szCs w:val="20"/>
              </w:rPr>
              <w:t>.</w:t>
            </w:r>
          </w:p>
          <w:p w14:paraId="09263CE4" w14:textId="77777777"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DF27521" w14:textId="46568D83" w:rsidR="00644210" w:rsidRPr="006D0C5C" w:rsidRDefault="007715C1" w:rsidP="00D80EAF">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715C1">
              <w:rPr>
                <w:rFonts w:cstheme="minorHAnsi"/>
                <w:sz w:val="20"/>
                <w:szCs w:val="20"/>
              </w:rPr>
              <w:t>BASA suggested that time-expired cements and cement preparations</w:t>
            </w:r>
            <w:r w:rsidR="00134393">
              <w:rPr>
                <w:rFonts w:cstheme="minorHAnsi"/>
                <w:sz w:val="20"/>
                <w:szCs w:val="20"/>
              </w:rPr>
              <w:t xml:space="preserve"> </w:t>
            </w:r>
            <w:r w:rsidRPr="007715C1">
              <w:rPr>
                <w:rFonts w:cstheme="minorHAnsi"/>
                <w:sz w:val="20"/>
                <w:szCs w:val="20"/>
              </w:rPr>
              <w:t>may need to be disposed of as special waste</w:t>
            </w:r>
            <w:r w:rsidR="00D80EAF">
              <w:rPr>
                <w:rFonts w:cstheme="minorHAnsi"/>
                <w:sz w:val="20"/>
                <w:szCs w:val="20"/>
              </w:rPr>
              <w:t xml:space="preserve">, but provided no figures to suggest how much this would </w:t>
            </w:r>
            <w:r w:rsidRPr="007715C1">
              <w:rPr>
                <w:rFonts w:cstheme="minorHAnsi"/>
                <w:sz w:val="20"/>
                <w:szCs w:val="20"/>
              </w:rPr>
              <w:t>increase costs</w:t>
            </w:r>
            <w:r w:rsidR="00D80EAF">
              <w:rPr>
                <w:rFonts w:cstheme="minorHAnsi"/>
                <w:sz w:val="20"/>
                <w:szCs w:val="20"/>
              </w:rPr>
              <w:t xml:space="preserve"> </w:t>
            </w:r>
            <w:r w:rsidRPr="007715C1">
              <w:rPr>
                <w:rFonts w:cstheme="minorHAnsi"/>
                <w:sz w:val="20"/>
                <w:szCs w:val="20"/>
              </w:rPr>
              <w:t>for manufacturers, suppliers and end users</w:t>
            </w:r>
            <w:r w:rsidR="00134393">
              <w:rPr>
                <w:rFonts w:cstheme="minorHAnsi"/>
                <w:sz w:val="20"/>
                <w:szCs w:val="20"/>
              </w:rPr>
              <w:t>.</w:t>
            </w:r>
          </w:p>
          <w:p w14:paraId="4FFC8414" w14:textId="77777777" w:rsidR="00644210" w:rsidRPr="00DE22C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F9357A0" w14:textId="41A06D13" w:rsidR="00134393" w:rsidRDefault="00644210"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3D4">
              <w:rPr>
                <w:rFonts w:cstheme="minorHAnsi"/>
                <w:b/>
                <w:sz w:val="20"/>
                <w:szCs w:val="20"/>
              </w:rPr>
              <w:t>Effect on estimates</w:t>
            </w:r>
            <w:r w:rsidR="008E70CD">
              <w:rPr>
                <w:rFonts w:cstheme="minorHAnsi"/>
                <w:b/>
                <w:sz w:val="20"/>
                <w:szCs w:val="20"/>
              </w:rPr>
              <w:t xml:space="preserve">: </w:t>
            </w:r>
            <w:r w:rsidR="00134393">
              <w:rPr>
                <w:rFonts w:cstheme="minorHAnsi"/>
                <w:sz w:val="20"/>
                <w:szCs w:val="20"/>
              </w:rPr>
              <w:t>E</w:t>
            </w:r>
            <w:r w:rsidRPr="002C4282">
              <w:rPr>
                <w:rFonts w:cstheme="minorHAnsi"/>
                <w:sz w:val="20"/>
                <w:szCs w:val="20"/>
              </w:rPr>
              <w:t xml:space="preserve">stimates </w:t>
            </w:r>
            <w:r>
              <w:rPr>
                <w:rFonts w:cstheme="minorHAnsi"/>
                <w:sz w:val="20"/>
                <w:szCs w:val="20"/>
              </w:rPr>
              <w:t>of the number of dosing units required for a given mass of cement were</w:t>
            </w:r>
            <w:r w:rsidR="00D94C32">
              <w:rPr>
                <w:rFonts w:cstheme="minorHAnsi"/>
                <w:sz w:val="20"/>
                <w:szCs w:val="20"/>
              </w:rPr>
              <w:t xml:space="preserve"> adjusted (estimates of the number of companies manufacturing cement preparations were </w:t>
            </w:r>
            <w:r w:rsidR="00134393">
              <w:rPr>
                <w:rFonts w:cstheme="minorHAnsi"/>
                <w:sz w:val="20"/>
                <w:szCs w:val="20"/>
              </w:rPr>
              <w:t>accepted without verification).</w:t>
            </w:r>
            <w:r w:rsidR="00BC002E">
              <w:rPr>
                <w:rFonts w:cstheme="minorHAnsi"/>
                <w:sz w:val="20"/>
                <w:szCs w:val="20"/>
              </w:rPr>
              <w:t xml:space="preserve"> </w:t>
            </w:r>
            <w:r w:rsidR="00134393">
              <w:rPr>
                <w:rFonts w:cstheme="minorHAnsi"/>
                <w:sz w:val="20"/>
                <w:szCs w:val="20"/>
              </w:rPr>
              <w:t>E</w:t>
            </w:r>
            <w:r w:rsidR="00D94C32">
              <w:rPr>
                <w:rFonts w:cstheme="minorHAnsi"/>
                <w:sz w:val="20"/>
                <w:szCs w:val="20"/>
              </w:rPr>
              <w:t xml:space="preserve">stimates of the amount of cement delivered to the cement preparations industry were accepted </w:t>
            </w:r>
            <w:r w:rsidR="00E91799">
              <w:rPr>
                <w:rFonts w:cstheme="minorHAnsi"/>
                <w:sz w:val="20"/>
                <w:szCs w:val="20"/>
              </w:rPr>
              <w:t>(without apparent verification)</w:t>
            </w:r>
            <w:r w:rsidR="00134393">
              <w:rPr>
                <w:rFonts w:cstheme="minorHAnsi"/>
                <w:sz w:val="20"/>
                <w:szCs w:val="20"/>
              </w:rPr>
              <w:t>.</w:t>
            </w:r>
            <w:r w:rsidR="00BC002E">
              <w:rPr>
                <w:rFonts w:cstheme="minorHAnsi"/>
                <w:sz w:val="20"/>
                <w:szCs w:val="20"/>
              </w:rPr>
              <w:t xml:space="preserve"> </w:t>
            </w:r>
            <w:r w:rsidR="00134393">
              <w:rPr>
                <w:rFonts w:cstheme="minorHAnsi"/>
                <w:sz w:val="20"/>
                <w:szCs w:val="20"/>
              </w:rPr>
              <w:t>E</w:t>
            </w:r>
            <w:r w:rsidR="007F265D">
              <w:rPr>
                <w:rFonts w:cstheme="minorHAnsi"/>
                <w:sz w:val="20"/>
                <w:szCs w:val="20"/>
              </w:rPr>
              <w:t>stimates of the capital cost dosing units was accepted without verification</w:t>
            </w:r>
            <w:r w:rsidR="00D80EAF">
              <w:rPr>
                <w:rFonts w:cstheme="minorHAnsi"/>
                <w:sz w:val="20"/>
                <w:szCs w:val="20"/>
              </w:rPr>
              <w:t xml:space="preserve"> (even though this was understood to conflict with the view from European producers who were already implementing the directives, several of whom indicated that they did not face extra equipment costs and simply incorporated the process using existing equipment)</w:t>
            </w:r>
            <w:r w:rsidR="00134393">
              <w:rPr>
                <w:rFonts w:cstheme="minorHAnsi"/>
                <w:sz w:val="20"/>
                <w:szCs w:val="20"/>
              </w:rPr>
              <w:t>.</w:t>
            </w:r>
          </w:p>
          <w:p w14:paraId="76119677" w14:textId="77777777"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17082CA" w14:textId="0559C8E6"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E</w:t>
            </w:r>
            <w:r w:rsidR="007F265D">
              <w:rPr>
                <w:rFonts w:cstheme="minorHAnsi"/>
                <w:sz w:val="20"/>
                <w:szCs w:val="20"/>
              </w:rPr>
              <w:t>stimates of the amount of ferrous sulphate required to achieve a sufficient reduction in chromate VI were accepted without verification (and notwithstanding other evidence suggesting a lower amount</w:t>
            </w:r>
            <w:r w:rsidR="00D80EAF">
              <w:rPr>
                <w:rFonts w:cstheme="minorHAnsi"/>
                <w:sz w:val="20"/>
                <w:szCs w:val="20"/>
              </w:rPr>
              <w:t xml:space="preserve"> would be satisfactory</w:t>
            </w:r>
            <w:r>
              <w:rPr>
                <w:rFonts w:cstheme="minorHAnsi"/>
                <w:sz w:val="20"/>
                <w:szCs w:val="20"/>
              </w:rPr>
              <w:t>).</w:t>
            </w:r>
            <w:r w:rsidR="00BC002E">
              <w:rPr>
                <w:rFonts w:cstheme="minorHAnsi"/>
                <w:sz w:val="20"/>
                <w:szCs w:val="20"/>
              </w:rPr>
              <w:t xml:space="preserve"> </w:t>
            </w:r>
            <w:r>
              <w:rPr>
                <w:rFonts w:cstheme="minorHAnsi"/>
                <w:sz w:val="20"/>
                <w:szCs w:val="20"/>
              </w:rPr>
              <w:t>E</w:t>
            </w:r>
            <w:r w:rsidR="007F265D">
              <w:rPr>
                <w:rFonts w:cstheme="minorHAnsi"/>
                <w:sz w:val="20"/>
                <w:szCs w:val="20"/>
              </w:rPr>
              <w:t>stimates of the price of ferrous sulphate were increased</w:t>
            </w:r>
            <w:r w:rsidR="007715C1">
              <w:rPr>
                <w:rFonts w:cstheme="minorHAnsi"/>
                <w:sz w:val="20"/>
                <w:szCs w:val="20"/>
              </w:rPr>
              <w:t xml:space="preserve"> (information provided by the industry was not verified)</w:t>
            </w:r>
            <w:r>
              <w:rPr>
                <w:rFonts w:cstheme="minorHAnsi"/>
                <w:sz w:val="20"/>
                <w:szCs w:val="20"/>
              </w:rPr>
              <w:t>.</w:t>
            </w:r>
            <w:r w:rsidR="00BC002E">
              <w:rPr>
                <w:rFonts w:cstheme="minorHAnsi"/>
                <w:sz w:val="20"/>
                <w:szCs w:val="20"/>
              </w:rPr>
              <w:t xml:space="preserve"> </w:t>
            </w:r>
            <w:r>
              <w:rPr>
                <w:rFonts w:cstheme="minorHAnsi"/>
                <w:sz w:val="20"/>
                <w:szCs w:val="20"/>
              </w:rPr>
              <w:t>E</w:t>
            </w:r>
            <w:r w:rsidR="007715C1">
              <w:rPr>
                <w:rFonts w:cstheme="minorHAnsi"/>
                <w:sz w:val="20"/>
                <w:szCs w:val="20"/>
              </w:rPr>
              <w:t xml:space="preserve">stimates of the amount of cement sold were accepted </w:t>
            </w:r>
            <w:r w:rsidR="00E91799">
              <w:rPr>
                <w:rFonts w:cstheme="minorHAnsi"/>
                <w:sz w:val="20"/>
                <w:szCs w:val="20"/>
              </w:rPr>
              <w:t>(without apparent verification)</w:t>
            </w:r>
            <w:r>
              <w:rPr>
                <w:rFonts w:cstheme="minorHAnsi"/>
                <w:sz w:val="20"/>
                <w:szCs w:val="20"/>
              </w:rPr>
              <w:t>.</w:t>
            </w:r>
            <w:r w:rsidR="00BC002E">
              <w:rPr>
                <w:rFonts w:cstheme="minorHAnsi"/>
                <w:sz w:val="20"/>
                <w:szCs w:val="20"/>
              </w:rPr>
              <w:t xml:space="preserve"> </w:t>
            </w:r>
            <w:r>
              <w:rPr>
                <w:rFonts w:cstheme="minorHAnsi"/>
                <w:sz w:val="20"/>
                <w:szCs w:val="20"/>
              </w:rPr>
              <w:t>E</w:t>
            </w:r>
            <w:r w:rsidR="007715C1" w:rsidRPr="007715C1">
              <w:rPr>
                <w:rFonts w:cstheme="minorHAnsi"/>
                <w:sz w:val="20"/>
                <w:szCs w:val="20"/>
              </w:rPr>
              <w:t xml:space="preserve">stimates of how much cement would be used in controlled closed or automated processes were accepted </w:t>
            </w:r>
            <w:r w:rsidR="00E91799">
              <w:rPr>
                <w:rFonts w:cstheme="minorHAnsi"/>
                <w:sz w:val="20"/>
                <w:szCs w:val="20"/>
              </w:rPr>
              <w:t>(without apparent verification)</w:t>
            </w:r>
            <w:r>
              <w:rPr>
                <w:rFonts w:cstheme="minorHAnsi"/>
                <w:sz w:val="20"/>
                <w:szCs w:val="20"/>
              </w:rPr>
              <w:t>.</w:t>
            </w:r>
          </w:p>
          <w:p w14:paraId="4FBDD079" w14:textId="77777777"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094E257" w14:textId="10399C1A"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w:t>
            </w:r>
            <w:r w:rsidR="00644210">
              <w:rPr>
                <w:rFonts w:cstheme="minorHAnsi"/>
                <w:sz w:val="20"/>
                <w:szCs w:val="20"/>
              </w:rPr>
              <w:t>n re</w:t>
            </w:r>
            <w:r w:rsidR="00BC002E">
              <w:rPr>
                <w:rFonts w:cstheme="minorHAnsi"/>
                <w:sz w:val="20"/>
                <w:szCs w:val="20"/>
              </w:rPr>
              <w:t xml:space="preserve">sponse </w:t>
            </w:r>
            <w:r w:rsidR="00644210">
              <w:rPr>
                <w:rFonts w:cstheme="minorHAnsi"/>
                <w:sz w:val="20"/>
                <w:szCs w:val="20"/>
              </w:rPr>
              <w:t xml:space="preserve">to the claim that assessment costs should be based on the worst-case number of dosing units, </w:t>
            </w:r>
            <w:r w:rsidR="00BC002E">
              <w:rPr>
                <w:rFonts w:cstheme="minorHAnsi"/>
                <w:sz w:val="20"/>
                <w:szCs w:val="20"/>
              </w:rPr>
              <w:t xml:space="preserve">it was noted </w:t>
            </w:r>
            <w:r w:rsidR="00644210">
              <w:rPr>
                <w:rFonts w:cstheme="minorHAnsi"/>
                <w:sz w:val="20"/>
                <w:szCs w:val="20"/>
              </w:rPr>
              <w:t xml:space="preserve">that this neglected the fact that </w:t>
            </w:r>
            <w:r w:rsidR="00644210" w:rsidRPr="002C4282">
              <w:rPr>
                <w:rFonts w:cstheme="minorHAnsi"/>
                <w:sz w:val="20"/>
                <w:szCs w:val="20"/>
              </w:rPr>
              <w:t xml:space="preserve">some cement plants </w:t>
            </w:r>
            <w:r w:rsidR="00644210">
              <w:rPr>
                <w:rFonts w:cstheme="minorHAnsi"/>
                <w:sz w:val="20"/>
                <w:szCs w:val="20"/>
              </w:rPr>
              <w:t xml:space="preserve">had </w:t>
            </w:r>
            <w:r w:rsidR="00644210" w:rsidRPr="002C4282">
              <w:rPr>
                <w:rFonts w:cstheme="minorHAnsi"/>
                <w:sz w:val="20"/>
                <w:szCs w:val="20"/>
              </w:rPr>
              <w:t>equipment</w:t>
            </w:r>
            <w:r w:rsidR="00644210">
              <w:rPr>
                <w:rFonts w:cstheme="minorHAnsi"/>
                <w:sz w:val="20"/>
                <w:szCs w:val="20"/>
              </w:rPr>
              <w:t xml:space="preserve"> </w:t>
            </w:r>
            <w:r w:rsidR="00644210" w:rsidRPr="002C4282">
              <w:rPr>
                <w:rFonts w:cstheme="minorHAnsi"/>
                <w:sz w:val="20"/>
                <w:szCs w:val="20"/>
              </w:rPr>
              <w:t xml:space="preserve">(such as blenders) that </w:t>
            </w:r>
            <w:r w:rsidR="00644210">
              <w:rPr>
                <w:rFonts w:cstheme="minorHAnsi"/>
                <w:sz w:val="20"/>
                <w:szCs w:val="20"/>
              </w:rPr>
              <w:t xml:space="preserve">could be used in place of </w:t>
            </w:r>
            <w:r w:rsidR="00644210" w:rsidRPr="002C4282">
              <w:rPr>
                <w:rFonts w:cstheme="minorHAnsi"/>
                <w:sz w:val="20"/>
                <w:szCs w:val="20"/>
              </w:rPr>
              <w:t>dosing units</w:t>
            </w:r>
            <w:r w:rsidR="00644210">
              <w:rPr>
                <w:rFonts w:cstheme="minorHAnsi"/>
                <w:sz w:val="20"/>
                <w:szCs w:val="20"/>
              </w:rPr>
              <w:t xml:space="preserve"> and that some plants would not</w:t>
            </w:r>
            <w:r w:rsidR="00644210" w:rsidRPr="002C4282">
              <w:rPr>
                <w:rFonts w:cstheme="minorHAnsi"/>
                <w:sz w:val="20"/>
                <w:szCs w:val="20"/>
              </w:rPr>
              <w:t xml:space="preserve"> need to comply with the restriction if they</w:t>
            </w:r>
            <w:r w:rsidR="00644210">
              <w:rPr>
                <w:rFonts w:cstheme="minorHAnsi"/>
                <w:sz w:val="20"/>
                <w:szCs w:val="20"/>
              </w:rPr>
              <w:t xml:space="preserve"> </w:t>
            </w:r>
            <w:r w:rsidR="00644210" w:rsidRPr="002C4282">
              <w:rPr>
                <w:rFonts w:cstheme="minorHAnsi"/>
                <w:sz w:val="20"/>
                <w:szCs w:val="20"/>
              </w:rPr>
              <w:t>comprise the exempted “controlled closed and totally automated systems”</w:t>
            </w:r>
            <w:r w:rsidR="00644210">
              <w:rPr>
                <w:rFonts w:cstheme="minorHAnsi"/>
                <w:sz w:val="20"/>
                <w:szCs w:val="20"/>
              </w:rPr>
              <w:t xml:space="preserve"> </w:t>
            </w:r>
            <w:r w:rsidR="00644210" w:rsidRPr="002C4282">
              <w:rPr>
                <w:rFonts w:cstheme="minorHAnsi"/>
                <w:sz w:val="20"/>
                <w:szCs w:val="20"/>
              </w:rPr>
              <w:t xml:space="preserve">described in the </w:t>
            </w:r>
            <w:r w:rsidR="00644210">
              <w:rPr>
                <w:rFonts w:cstheme="minorHAnsi"/>
                <w:sz w:val="20"/>
                <w:szCs w:val="20"/>
              </w:rPr>
              <w:t xml:space="preserve">EU </w:t>
            </w:r>
            <w:r w:rsidR="00644210" w:rsidRPr="002C4282">
              <w:rPr>
                <w:rFonts w:cstheme="minorHAnsi"/>
                <w:sz w:val="20"/>
                <w:szCs w:val="20"/>
              </w:rPr>
              <w:t>Directive</w:t>
            </w:r>
            <w:r>
              <w:rPr>
                <w:rFonts w:cstheme="minorHAnsi"/>
                <w:sz w:val="20"/>
                <w:szCs w:val="20"/>
              </w:rPr>
              <w:t>.</w:t>
            </w:r>
            <w:r w:rsidR="00D94C32">
              <w:rPr>
                <w:rFonts w:cstheme="minorHAnsi"/>
                <w:sz w:val="20"/>
                <w:szCs w:val="20"/>
              </w:rPr>
              <w:t xml:space="preserve"> </w:t>
            </w:r>
          </w:p>
          <w:p w14:paraId="75115CF6" w14:textId="77777777" w:rsidR="00134393" w:rsidRDefault="00134393" w:rsidP="00D80EA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C322CC0" w14:textId="256FC638" w:rsidR="007715C1" w:rsidRPr="002C4282" w:rsidRDefault="00134393" w:rsidP="00BC002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w:t>
            </w:r>
            <w:r w:rsidR="00D94C32">
              <w:rPr>
                <w:rFonts w:cstheme="minorHAnsi"/>
                <w:sz w:val="20"/>
                <w:szCs w:val="20"/>
              </w:rPr>
              <w:t>oncerns</w:t>
            </w:r>
            <w:r w:rsidR="00DF6F0B">
              <w:rPr>
                <w:rFonts w:cstheme="minorHAnsi"/>
                <w:sz w:val="20"/>
                <w:szCs w:val="20"/>
              </w:rPr>
              <w:t xml:space="preserve"> </w:t>
            </w:r>
            <w:r w:rsidR="00D94C32">
              <w:rPr>
                <w:rFonts w:cstheme="minorHAnsi"/>
                <w:sz w:val="20"/>
                <w:szCs w:val="20"/>
              </w:rPr>
              <w:t xml:space="preserve">expressed over the amount of reducing agent needed for cement preparations and the impact on product performance were noted but not quantified (see </w:t>
            </w:r>
            <w:r>
              <w:rPr>
                <w:rFonts w:cstheme="minorHAnsi"/>
                <w:sz w:val="20"/>
                <w:szCs w:val="20"/>
              </w:rPr>
              <w:t xml:space="preserve">also </w:t>
            </w:r>
            <w:r w:rsidR="00D94C32">
              <w:rPr>
                <w:rFonts w:cstheme="minorHAnsi"/>
                <w:sz w:val="20"/>
                <w:szCs w:val="20"/>
              </w:rPr>
              <w:t>adjacent cell</w:t>
            </w:r>
            <w:r>
              <w:rPr>
                <w:rFonts w:cstheme="minorHAnsi"/>
                <w:sz w:val="20"/>
                <w:szCs w:val="20"/>
              </w:rPr>
              <w:t>).</w:t>
            </w:r>
            <w:r w:rsidR="00BC002E">
              <w:rPr>
                <w:rFonts w:cstheme="minorHAnsi"/>
                <w:sz w:val="20"/>
                <w:szCs w:val="20"/>
              </w:rPr>
              <w:t xml:space="preserve"> </w:t>
            </w:r>
            <w:r w:rsidR="00D80EAF" w:rsidRPr="007715C1">
              <w:rPr>
                <w:rFonts w:cstheme="minorHAnsi"/>
                <w:sz w:val="20"/>
                <w:szCs w:val="20"/>
              </w:rPr>
              <w:t>BASA</w:t>
            </w:r>
            <w:r w:rsidR="00D80EAF">
              <w:rPr>
                <w:rFonts w:cstheme="minorHAnsi"/>
                <w:sz w:val="20"/>
                <w:szCs w:val="20"/>
              </w:rPr>
              <w:t xml:space="preserve">’s concerns about </w:t>
            </w:r>
            <w:r w:rsidR="00D80EAF" w:rsidRPr="007715C1">
              <w:rPr>
                <w:rFonts w:cstheme="minorHAnsi"/>
                <w:sz w:val="20"/>
                <w:szCs w:val="20"/>
              </w:rPr>
              <w:t>time-expired cements and cement preparations</w:t>
            </w:r>
            <w:r w:rsidR="00D80EAF">
              <w:rPr>
                <w:rFonts w:cstheme="minorHAnsi"/>
                <w:sz w:val="20"/>
                <w:szCs w:val="20"/>
              </w:rPr>
              <w:t xml:space="preserve"> needing to </w:t>
            </w:r>
            <w:r w:rsidR="00D80EAF" w:rsidRPr="007715C1">
              <w:rPr>
                <w:rFonts w:cstheme="minorHAnsi"/>
                <w:sz w:val="20"/>
                <w:szCs w:val="20"/>
              </w:rPr>
              <w:t xml:space="preserve">be disposed of as special waste </w:t>
            </w:r>
            <w:r>
              <w:rPr>
                <w:rFonts w:cstheme="minorHAnsi"/>
                <w:sz w:val="20"/>
                <w:szCs w:val="20"/>
              </w:rPr>
              <w:t>were noted but not quantified.</w:t>
            </w:r>
            <w:r w:rsidR="00BC002E">
              <w:rPr>
                <w:rFonts w:cstheme="minorHAnsi"/>
                <w:sz w:val="20"/>
                <w:szCs w:val="20"/>
              </w:rPr>
              <w:t xml:space="preserve"> </w:t>
            </w:r>
            <w:r>
              <w:rPr>
                <w:rFonts w:cstheme="minorHAnsi"/>
                <w:sz w:val="20"/>
                <w:szCs w:val="20"/>
              </w:rPr>
              <w:t>T</w:t>
            </w:r>
            <w:r w:rsidR="00D80EAF">
              <w:rPr>
                <w:rFonts w:cstheme="minorHAnsi"/>
                <w:sz w:val="20"/>
                <w:szCs w:val="20"/>
              </w:rPr>
              <w:t xml:space="preserve">he HSE rejected one </w:t>
            </w:r>
            <w:r w:rsidR="00D80EAF" w:rsidRPr="00D80EAF">
              <w:rPr>
                <w:rFonts w:cstheme="minorHAnsi"/>
                <w:sz w:val="20"/>
                <w:szCs w:val="20"/>
              </w:rPr>
              <w:t>firm</w:t>
            </w:r>
            <w:r w:rsidR="00D80EAF">
              <w:rPr>
                <w:rFonts w:cstheme="minorHAnsi"/>
                <w:sz w:val="20"/>
                <w:szCs w:val="20"/>
              </w:rPr>
              <w:t>’s</w:t>
            </w:r>
            <w:r w:rsidR="00D80EAF" w:rsidRPr="00D80EAF">
              <w:rPr>
                <w:rFonts w:cstheme="minorHAnsi"/>
                <w:sz w:val="20"/>
                <w:szCs w:val="20"/>
              </w:rPr>
              <w:t xml:space="preserve"> evidence of </w:t>
            </w:r>
            <w:r>
              <w:rPr>
                <w:rFonts w:cstheme="minorHAnsi"/>
                <w:sz w:val="20"/>
                <w:szCs w:val="20"/>
              </w:rPr>
              <w:t>“</w:t>
            </w:r>
            <w:r w:rsidR="00D80EAF" w:rsidRPr="00D80EAF">
              <w:rPr>
                <w:rFonts w:cstheme="minorHAnsi"/>
                <w:sz w:val="20"/>
                <w:szCs w:val="20"/>
              </w:rPr>
              <w:t>excessive financial cost</w:t>
            </w:r>
            <w:r>
              <w:rPr>
                <w:rFonts w:cstheme="minorHAnsi"/>
                <w:sz w:val="20"/>
                <w:szCs w:val="20"/>
              </w:rPr>
              <w:t>”</w:t>
            </w:r>
            <w:r w:rsidR="00D80EAF" w:rsidRPr="00D80EAF">
              <w:rPr>
                <w:rFonts w:cstheme="minorHAnsi"/>
                <w:sz w:val="20"/>
                <w:szCs w:val="20"/>
              </w:rPr>
              <w:t xml:space="preserve"> </w:t>
            </w:r>
            <w:r w:rsidR="00D80EAF">
              <w:rPr>
                <w:rFonts w:cstheme="minorHAnsi"/>
                <w:sz w:val="20"/>
                <w:szCs w:val="20"/>
              </w:rPr>
              <w:t xml:space="preserve">as </w:t>
            </w:r>
            <w:r w:rsidR="00D80EAF" w:rsidRPr="00D80EAF">
              <w:rPr>
                <w:rFonts w:cstheme="minorHAnsi"/>
                <w:sz w:val="20"/>
                <w:szCs w:val="20"/>
              </w:rPr>
              <w:t>this was based on</w:t>
            </w:r>
            <w:r>
              <w:rPr>
                <w:rFonts w:cstheme="minorHAnsi"/>
                <w:sz w:val="20"/>
                <w:szCs w:val="20"/>
              </w:rPr>
              <w:t xml:space="preserve"> </w:t>
            </w:r>
            <w:r w:rsidR="00D80EAF">
              <w:rPr>
                <w:rFonts w:cstheme="minorHAnsi"/>
                <w:sz w:val="20"/>
                <w:szCs w:val="20"/>
              </w:rPr>
              <w:t>“</w:t>
            </w:r>
            <w:r w:rsidR="00D80EAF" w:rsidRPr="00D80EAF">
              <w:rPr>
                <w:rFonts w:cstheme="minorHAnsi"/>
                <w:sz w:val="20"/>
                <w:szCs w:val="20"/>
              </w:rPr>
              <w:t>extremely high prices for ferrous sulphate</w:t>
            </w:r>
            <w:r w:rsidR="00D80EAF">
              <w:rPr>
                <w:rFonts w:cstheme="minorHAnsi"/>
                <w:sz w:val="20"/>
                <w:szCs w:val="20"/>
              </w:rPr>
              <w:t>”.</w:t>
            </w:r>
          </w:p>
        </w:tc>
        <w:tc>
          <w:tcPr>
            <w:tcW w:w="4633" w:type="dxa"/>
          </w:tcPr>
          <w:p w14:paraId="70E7087D" w14:textId="1092439B"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Reported </w:t>
            </w:r>
            <w:r w:rsidR="000A443C">
              <w:rPr>
                <w:rFonts w:cstheme="minorHAnsi"/>
                <w:b/>
                <w:sz w:val="20"/>
                <w:szCs w:val="20"/>
              </w:rPr>
              <w:t>b</w:t>
            </w:r>
            <w:r>
              <w:rPr>
                <w:rFonts w:cstheme="minorHAnsi"/>
                <w:b/>
                <w:sz w:val="20"/>
                <w:szCs w:val="20"/>
              </w:rPr>
              <w:t>enefits</w:t>
            </w:r>
            <w:r w:rsidR="000A443C">
              <w:rPr>
                <w:rFonts w:cstheme="minorHAnsi"/>
                <w:b/>
                <w:sz w:val="20"/>
                <w:szCs w:val="20"/>
              </w:rPr>
              <w:t xml:space="preserve"> (workers)</w:t>
            </w:r>
            <w:r>
              <w:rPr>
                <w:rFonts w:cstheme="minorHAnsi"/>
                <w:b/>
                <w:sz w:val="20"/>
                <w:szCs w:val="20"/>
              </w:rPr>
              <w:t>:</w:t>
            </w:r>
            <w:r w:rsidR="000A443C">
              <w:rPr>
                <w:rFonts w:cstheme="minorHAnsi"/>
                <w:sz w:val="20"/>
                <w:szCs w:val="20"/>
              </w:rPr>
              <w:t xml:space="preserve"> reduction of lost income</w:t>
            </w:r>
            <w:r w:rsidR="000A443C" w:rsidRPr="002C4282">
              <w:rPr>
                <w:rFonts w:cstheme="minorHAnsi"/>
                <w:sz w:val="20"/>
                <w:szCs w:val="20"/>
              </w:rPr>
              <w:t xml:space="preserve"> through absence from work</w:t>
            </w:r>
            <w:r w:rsidR="000A443C">
              <w:rPr>
                <w:rFonts w:cstheme="minorHAnsi"/>
                <w:sz w:val="20"/>
                <w:szCs w:val="20"/>
              </w:rPr>
              <w:t>,</w:t>
            </w:r>
            <w:r w:rsidR="000A443C" w:rsidRPr="002C4282">
              <w:rPr>
                <w:rFonts w:cstheme="minorHAnsi"/>
                <w:sz w:val="20"/>
                <w:szCs w:val="20"/>
              </w:rPr>
              <w:t xml:space="preserve"> having to</w:t>
            </w:r>
            <w:r w:rsidR="000A443C">
              <w:rPr>
                <w:rFonts w:cstheme="minorHAnsi"/>
                <w:sz w:val="20"/>
                <w:szCs w:val="20"/>
              </w:rPr>
              <w:t xml:space="preserve"> </w:t>
            </w:r>
            <w:r w:rsidR="000A443C" w:rsidRPr="002C4282">
              <w:rPr>
                <w:rFonts w:cstheme="minorHAnsi"/>
                <w:sz w:val="20"/>
                <w:szCs w:val="20"/>
              </w:rPr>
              <w:t>change jobs or tak</w:t>
            </w:r>
            <w:r w:rsidR="000A443C">
              <w:rPr>
                <w:rFonts w:cstheme="minorHAnsi"/>
                <w:sz w:val="20"/>
                <w:szCs w:val="20"/>
              </w:rPr>
              <w:t>ing</w:t>
            </w:r>
            <w:r w:rsidR="000A443C" w:rsidRPr="002C4282">
              <w:rPr>
                <w:rFonts w:cstheme="minorHAnsi"/>
                <w:sz w:val="20"/>
                <w:szCs w:val="20"/>
              </w:rPr>
              <w:t xml:space="preserve"> early retirement</w:t>
            </w:r>
            <w:r w:rsidR="000A443C">
              <w:rPr>
                <w:rFonts w:cstheme="minorHAnsi"/>
                <w:sz w:val="20"/>
                <w:szCs w:val="20"/>
              </w:rPr>
              <w:t>; reduction of e</w:t>
            </w:r>
            <w:r w:rsidR="000A443C" w:rsidRPr="002C4282">
              <w:rPr>
                <w:rFonts w:cstheme="minorHAnsi"/>
                <w:sz w:val="20"/>
                <w:szCs w:val="20"/>
              </w:rPr>
              <w:t>xpenditure on medical treatment</w:t>
            </w:r>
            <w:r w:rsidR="00EA697F">
              <w:rPr>
                <w:rFonts w:cstheme="minorHAnsi"/>
                <w:sz w:val="20"/>
                <w:szCs w:val="20"/>
              </w:rPr>
              <w:t xml:space="preserve"> (e.g. prescription charges)</w:t>
            </w:r>
            <w:r w:rsidR="000A443C">
              <w:rPr>
                <w:rFonts w:cstheme="minorHAnsi"/>
                <w:sz w:val="20"/>
                <w:szCs w:val="20"/>
              </w:rPr>
              <w:t xml:space="preserve">; </w:t>
            </w:r>
            <w:r w:rsidR="00FD49D3">
              <w:rPr>
                <w:rFonts w:cstheme="minorHAnsi"/>
                <w:sz w:val="20"/>
                <w:szCs w:val="20"/>
              </w:rPr>
              <w:t xml:space="preserve">reduction of retraining costs for those leaving the industry; </w:t>
            </w:r>
            <w:r w:rsidR="000A443C">
              <w:rPr>
                <w:rFonts w:cstheme="minorHAnsi"/>
                <w:sz w:val="20"/>
                <w:szCs w:val="20"/>
              </w:rPr>
              <w:t>reduced pain and suffering</w:t>
            </w:r>
            <w:r w:rsidR="008E70CD">
              <w:rPr>
                <w:rFonts w:cstheme="minorHAnsi"/>
                <w:sz w:val="20"/>
                <w:szCs w:val="20"/>
              </w:rPr>
              <w:t>; indirect effects on families.</w:t>
            </w:r>
          </w:p>
          <w:p w14:paraId="1B196F12" w14:textId="39C6D257"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A422806" w14:textId="58E03A39" w:rsidR="009B2B8F" w:rsidRDefault="000A443C" w:rsidP="009B2B8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(employers):</w:t>
            </w:r>
            <w:r w:rsidR="009B2B8F">
              <w:rPr>
                <w:rFonts w:cstheme="minorHAnsi"/>
                <w:sz w:val="20"/>
                <w:szCs w:val="20"/>
              </w:rPr>
              <w:t xml:space="preserve"> increases in productivity and </w:t>
            </w:r>
            <w:r w:rsidR="00FD49D3">
              <w:rPr>
                <w:rFonts w:cstheme="minorHAnsi"/>
                <w:sz w:val="20"/>
                <w:szCs w:val="20"/>
              </w:rPr>
              <w:t xml:space="preserve">decreases in </w:t>
            </w:r>
            <w:r w:rsidR="009B2B8F">
              <w:rPr>
                <w:rFonts w:cstheme="minorHAnsi"/>
                <w:sz w:val="20"/>
                <w:szCs w:val="20"/>
              </w:rPr>
              <w:t>costs associated with reduction in work absences; increases in productivity from reduction in worker turnover associated with workers having to change jobs or take early retirement; reduction in direct costs associated with administration, recruitment and retraining relevant to higher worker turnover and work absences.</w:t>
            </w:r>
          </w:p>
          <w:p w14:paraId="27063211" w14:textId="77777777" w:rsidR="009B2B8F" w:rsidRDefault="009B2B8F" w:rsidP="009B2B8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080DD9" w14:textId="329BE292" w:rsidR="000A443C" w:rsidRPr="00162C0F"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Reported benefits (government):</w:t>
            </w:r>
            <w:r w:rsidR="00162C0F">
              <w:rPr>
                <w:rFonts w:cstheme="minorHAnsi"/>
                <w:b/>
                <w:sz w:val="20"/>
                <w:szCs w:val="20"/>
              </w:rPr>
              <w:t xml:space="preserve"> </w:t>
            </w:r>
            <w:r w:rsidR="00162C0F">
              <w:rPr>
                <w:rFonts w:cstheme="minorHAnsi"/>
                <w:sz w:val="20"/>
                <w:szCs w:val="20"/>
              </w:rPr>
              <w:t>reduce</w:t>
            </w:r>
            <w:r w:rsidR="008E70CD">
              <w:rPr>
                <w:rFonts w:cstheme="minorHAnsi"/>
                <w:sz w:val="20"/>
                <w:szCs w:val="20"/>
              </w:rPr>
              <w:t>d</w:t>
            </w:r>
            <w:r w:rsidR="00162C0F">
              <w:rPr>
                <w:rFonts w:cstheme="minorHAnsi"/>
                <w:sz w:val="20"/>
                <w:szCs w:val="20"/>
              </w:rPr>
              <w:t xml:space="preserve"> h</w:t>
            </w:r>
            <w:r w:rsidR="00EA697F">
              <w:rPr>
                <w:rFonts w:cstheme="minorHAnsi"/>
                <w:sz w:val="20"/>
                <w:szCs w:val="20"/>
              </w:rPr>
              <w:t>ealth service and welfare costs; reduced revenue from lower output.</w:t>
            </w:r>
          </w:p>
          <w:p w14:paraId="12D200C1" w14:textId="1D73ABE1"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995A051" w14:textId="7FE7DA48" w:rsidR="000A443C" w:rsidRPr="008E70CD"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(workers):</w:t>
            </w:r>
            <w:r w:rsidR="008E70CD">
              <w:rPr>
                <w:rFonts w:cstheme="minorHAnsi"/>
                <w:b/>
                <w:sz w:val="20"/>
                <w:szCs w:val="20"/>
              </w:rPr>
              <w:t xml:space="preserve"> </w:t>
            </w:r>
            <w:r w:rsidR="008E70CD">
              <w:rPr>
                <w:rFonts w:cstheme="minorHAnsi"/>
                <w:sz w:val="20"/>
                <w:szCs w:val="20"/>
              </w:rPr>
              <w:t>none.</w:t>
            </w:r>
          </w:p>
          <w:p w14:paraId="3B95889E" w14:textId="72A6F621"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6A577ADB" w14:textId="3DB58B10" w:rsidR="000A443C" w:rsidRPr="009B2B8F" w:rsidRDefault="000A443C" w:rsidP="000A443C">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Non-reported benefits (employers):</w:t>
            </w:r>
            <w:r w:rsidR="009B2B8F">
              <w:rPr>
                <w:rFonts w:cstheme="minorHAnsi"/>
                <w:b/>
                <w:sz w:val="20"/>
                <w:szCs w:val="20"/>
              </w:rPr>
              <w:t xml:space="preserve"> </w:t>
            </w:r>
            <w:r w:rsidR="00FD49D3">
              <w:rPr>
                <w:rFonts w:cstheme="minorHAnsi"/>
                <w:sz w:val="20"/>
                <w:szCs w:val="20"/>
              </w:rPr>
              <w:t>none.</w:t>
            </w:r>
          </w:p>
          <w:p w14:paraId="0A3D3CF0" w14:textId="39112230"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3644B26" w14:textId="332D6923" w:rsidR="000A443C" w:rsidRPr="008E70CD" w:rsidRDefault="000A443C" w:rsidP="000A443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Non-reported benefits (government):</w:t>
            </w:r>
            <w:r w:rsidR="008E70CD">
              <w:rPr>
                <w:rFonts w:cstheme="minorHAnsi"/>
                <w:sz w:val="20"/>
                <w:szCs w:val="20"/>
              </w:rPr>
              <w:t xml:space="preserve"> none.</w:t>
            </w:r>
          </w:p>
          <w:p w14:paraId="2FE9B227" w14:textId="77777777"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76781814" w14:textId="17015A93" w:rsidR="000A443C" w:rsidRP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Disputed benefits:</w:t>
            </w:r>
            <w:r>
              <w:rPr>
                <w:rFonts w:cstheme="minorHAnsi"/>
                <w:sz w:val="20"/>
                <w:szCs w:val="20"/>
              </w:rPr>
              <w:t xml:space="preserve"> none.</w:t>
            </w:r>
          </w:p>
          <w:p w14:paraId="660D7C5E" w14:textId="19006A6F"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FFFD806" w14:textId="2588B3C0" w:rsidR="008E70CD" w:rsidRDefault="008E70CD"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Monetised benefits (workers):</w:t>
            </w:r>
            <w:r w:rsidR="00FD49D3">
              <w:rPr>
                <w:rFonts w:cstheme="minorHAnsi"/>
                <w:b/>
                <w:sz w:val="20"/>
                <w:szCs w:val="20"/>
              </w:rPr>
              <w:t xml:space="preserve"> </w:t>
            </w:r>
            <w:r w:rsidR="00FD49D3">
              <w:rPr>
                <w:rFonts w:cstheme="minorHAnsi"/>
                <w:sz w:val="20"/>
                <w:szCs w:val="20"/>
              </w:rPr>
              <w:t>reduction of lost income</w:t>
            </w:r>
            <w:r w:rsidR="00FD49D3" w:rsidRPr="002C4282">
              <w:rPr>
                <w:rFonts w:cstheme="minorHAnsi"/>
                <w:sz w:val="20"/>
                <w:szCs w:val="20"/>
              </w:rPr>
              <w:t xml:space="preserve"> through absence from work</w:t>
            </w:r>
            <w:r w:rsidR="00FD49D3">
              <w:rPr>
                <w:rFonts w:cstheme="minorHAnsi"/>
                <w:sz w:val="20"/>
                <w:szCs w:val="20"/>
              </w:rPr>
              <w:t>,</w:t>
            </w:r>
            <w:r w:rsidR="00FD49D3" w:rsidRPr="002C4282">
              <w:rPr>
                <w:rFonts w:cstheme="minorHAnsi"/>
                <w:sz w:val="20"/>
                <w:szCs w:val="20"/>
              </w:rPr>
              <w:t xml:space="preserve"> having to</w:t>
            </w:r>
            <w:r w:rsidR="00FD49D3">
              <w:rPr>
                <w:rFonts w:cstheme="minorHAnsi"/>
                <w:sz w:val="20"/>
                <w:szCs w:val="20"/>
              </w:rPr>
              <w:t xml:space="preserve"> </w:t>
            </w:r>
            <w:r w:rsidR="00FD49D3" w:rsidRPr="002C4282">
              <w:rPr>
                <w:rFonts w:cstheme="minorHAnsi"/>
                <w:sz w:val="20"/>
                <w:szCs w:val="20"/>
              </w:rPr>
              <w:t>change jobs or tak</w:t>
            </w:r>
            <w:r w:rsidR="00FD49D3">
              <w:rPr>
                <w:rFonts w:cstheme="minorHAnsi"/>
                <w:sz w:val="20"/>
                <w:szCs w:val="20"/>
              </w:rPr>
              <w:t>ing</w:t>
            </w:r>
            <w:r w:rsidR="00FD49D3" w:rsidRPr="002C4282">
              <w:rPr>
                <w:rFonts w:cstheme="minorHAnsi"/>
                <w:sz w:val="20"/>
                <w:szCs w:val="20"/>
              </w:rPr>
              <w:t xml:space="preserve"> early retirement</w:t>
            </w:r>
            <w:r w:rsidR="00FD49D3">
              <w:rPr>
                <w:rFonts w:cstheme="minorHAnsi"/>
                <w:sz w:val="20"/>
                <w:szCs w:val="20"/>
              </w:rPr>
              <w:t>; reduction of e</w:t>
            </w:r>
            <w:r w:rsidR="00FD49D3" w:rsidRPr="002C4282">
              <w:rPr>
                <w:rFonts w:cstheme="minorHAnsi"/>
                <w:sz w:val="20"/>
                <w:szCs w:val="20"/>
              </w:rPr>
              <w:t>xpenditure on medical treatment</w:t>
            </w:r>
            <w:r w:rsidR="00FD49D3">
              <w:rPr>
                <w:rFonts w:cstheme="minorHAnsi"/>
                <w:sz w:val="20"/>
                <w:szCs w:val="20"/>
              </w:rPr>
              <w:t>; reduced pain and suffering;</w:t>
            </w:r>
            <w:r w:rsidR="00E86B6D">
              <w:rPr>
                <w:rFonts w:cstheme="minorHAnsi"/>
                <w:sz w:val="20"/>
                <w:szCs w:val="20"/>
              </w:rPr>
              <w:t xml:space="preserve"> </w:t>
            </w:r>
          </w:p>
          <w:p w14:paraId="6A967068" w14:textId="286346F6" w:rsidR="008E70CD" w:rsidRDefault="008E70CD"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308EC51" w14:textId="627FEEC1" w:rsidR="008E70CD" w:rsidRPr="00FD49D3" w:rsidRDefault="008E70CD" w:rsidP="008E70C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Monetised benefits (employers):</w:t>
            </w:r>
            <w:r w:rsidR="00FD49D3">
              <w:rPr>
                <w:rFonts w:cstheme="minorHAnsi"/>
                <w:sz w:val="20"/>
                <w:szCs w:val="20"/>
              </w:rPr>
              <w:t xml:space="preserve"> </w:t>
            </w:r>
            <w:r w:rsidR="00EA697F">
              <w:rPr>
                <w:rFonts w:cstheme="minorHAnsi"/>
                <w:sz w:val="20"/>
                <w:szCs w:val="20"/>
              </w:rPr>
              <w:t>some lost “output”</w:t>
            </w:r>
            <w:r w:rsidR="00E86B6D">
              <w:rPr>
                <w:rFonts w:cstheme="minorHAnsi"/>
                <w:sz w:val="20"/>
                <w:szCs w:val="20"/>
              </w:rPr>
              <w:t>; non-monetisation of mitigation of existing cases.</w:t>
            </w:r>
          </w:p>
          <w:p w14:paraId="03A6048B" w14:textId="585E8C28" w:rsidR="008E70CD" w:rsidRDefault="008E70CD"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25B5FDD" w14:textId="07F65E7E" w:rsidR="008E70CD" w:rsidRDefault="008E70CD"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Monetised benefits (government):</w:t>
            </w:r>
            <w:r w:rsidR="00FD49D3">
              <w:rPr>
                <w:rFonts w:cstheme="minorHAnsi"/>
                <w:b/>
                <w:sz w:val="20"/>
                <w:szCs w:val="20"/>
              </w:rPr>
              <w:t xml:space="preserve"> </w:t>
            </w:r>
            <w:r w:rsidR="00FD49D3">
              <w:rPr>
                <w:rFonts w:cstheme="minorHAnsi"/>
                <w:sz w:val="20"/>
                <w:szCs w:val="20"/>
              </w:rPr>
              <w:t>reduced health service costs</w:t>
            </w:r>
            <w:r w:rsidR="00EA697F">
              <w:rPr>
                <w:rFonts w:cstheme="minorHAnsi"/>
                <w:sz w:val="20"/>
                <w:szCs w:val="20"/>
              </w:rPr>
              <w:t xml:space="preserve"> (e.g. GP visits, costs of hospital outpatient and in-patient services)</w:t>
            </w:r>
            <w:r w:rsidR="00E86B6D">
              <w:rPr>
                <w:rFonts w:cstheme="minorHAnsi"/>
                <w:sz w:val="20"/>
                <w:szCs w:val="20"/>
              </w:rPr>
              <w:t>.</w:t>
            </w:r>
          </w:p>
          <w:p w14:paraId="45CD9381" w14:textId="77777777" w:rsidR="008E70CD" w:rsidRDefault="008E70CD"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70C6C89" w14:textId="364727A6" w:rsidR="008E70CD" w:rsidRDefault="00644210" w:rsidP="008E70C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Non-monetised benefits</w:t>
            </w:r>
            <w:r w:rsidR="000A443C">
              <w:rPr>
                <w:rFonts w:cstheme="minorHAnsi"/>
                <w:b/>
                <w:sz w:val="20"/>
                <w:szCs w:val="20"/>
              </w:rPr>
              <w:t xml:space="preserve"> (workers)</w:t>
            </w:r>
            <w:r>
              <w:rPr>
                <w:rFonts w:cstheme="minorHAnsi"/>
                <w:b/>
                <w:sz w:val="20"/>
                <w:szCs w:val="20"/>
              </w:rPr>
              <w:t>:</w:t>
            </w:r>
            <w:r w:rsidR="008E70CD">
              <w:rPr>
                <w:rFonts w:cstheme="minorHAnsi"/>
                <w:b/>
                <w:sz w:val="20"/>
                <w:szCs w:val="20"/>
              </w:rPr>
              <w:t xml:space="preserve"> </w:t>
            </w:r>
            <w:r w:rsidR="00FD49D3">
              <w:rPr>
                <w:rFonts w:cstheme="minorHAnsi"/>
                <w:sz w:val="20"/>
                <w:szCs w:val="20"/>
              </w:rPr>
              <w:t>retraining costs for those leaving the industry;</w:t>
            </w:r>
            <w:r w:rsidR="008E70CD">
              <w:rPr>
                <w:rFonts w:cstheme="minorHAnsi"/>
                <w:sz w:val="20"/>
                <w:szCs w:val="20"/>
              </w:rPr>
              <w:t xml:space="preserve"> indirect effects on families</w:t>
            </w:r>
            <w:r w:rsidR="00E86B6D">
              <w:rPr>
                <w:rFonts w:cstheme="minorHAnsi"/>
                <w:sz w:val="20"/>
                <w:szCs w:val="20"/>
              </w:rPr>
              <w:t xml:space="preserve">; non-monetisation </w:t>
            </w:r>
            <w:r w:rsidR="00B91726">
              <w:rPr>
                <w:rFonts w:cstheme="minorHAnsi"/>
                <w:sz w:val="20"/>
                <w:szCs w:val="20"/>
              </w:rPr>
              <w:t xml:space="preserve">of mitigation of existing cases; the impact assessment also noted limitations in the data used to estimate the number of new cases of allergic contact dermatitis (the EPIDERM Survey is restricted to dermatologists who participate voluntarily in the scheme, dermatologists will only see the most severe cases of allergic contact dermatitis, </w:t>
            </w:r>
            <w:r w:rsidR="00B178F1">
              <w:rPr>
                <w:rFonts w:cstheme="minorHAnsi"/>
                <w:sz w:val="20"/>
                <w:szCs w:val="20"/>
              </w:rPr>
              <w:t>non-specialist doctors or occupational health physicians who do not report to the scheme</w:t>
            </w:r>
            <w:r w:rsidR="00B91726">
              <w:rPr>
                <w:rFonts w:cstheme="minorHAnsi"/>
                <w:sz w:val="20"/>
                <w:szCs w:val="20"/>
              </w:rPr>
              <w:t xml:space="preserve"> </w:t>
            </w:r>
            <w:r w:rsidR="00B178F1">
              <w:rPr>
                <w:rFonts w:cstheme="minorHAnsi"/>
                <w:sz w:val="20"/>
                <w:szCs w:val="20"/>
              </w:rPr>
              <w:t xml:space="preserve">will treat many cases, </w:t>
            </w:r>
            <w:r w:rsidR="00B91726">
              <w:rPr>
                <w:rFonts w:cstheme="minorHAnsi"/>
                <w:sz w:val="20"/>
                <w:szCs w:val="20"/>
              </w:rPr>
              <w:t>SWI data are produced entirely from voluntary self-reporting) which by under-reporting the problem may lead to underestimation of potential benefits</w:t>
            </w:r>
            <w:r w:rsidR="00B178F1">
              <w:rPr>
                <w:rFonts w:cstheme="minorHAnsi"/>
                <w:sz w:val="20"/>
                <w:szCs w:val="20"/>
              </w:rPr>
              <w:t xml:space="preserve"> (the impact assessment reported that, the “true number of new cases a year could be substantially greater than the present range, and total benefits from the proposals would multiply accordingly”)</w:t>
            </w:r>
            <w:r w:rsidR="00B91726">
              <w:rPr>
                <w:rFonts w:cstheme="minorHAnsi"/>
                <w:sz w:val="20"/>
                <w:szCs w:val="20"/>
              </w:rPr>
              <w:t>.</w:t>
            </w:r>
          </w:p>
          <w:p w14:paraId="58619F4D" w14:textId="7F81F121" w:rsidR="00644210" w:rsidRPr="008E70CD"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281A587" w14:textId="0A6D2152" w:rsidR="000A443C" w:rsidRPr="008E70CD" w:rsidRDefault="000A443C" w:rsidP="000A443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Non-monetised benefits (employers):</w:t>
            </w:r>
            <w:r w:rsidR="008E70CD">
              <w:rPr>
                <w:rFonts w:cstheme="minorHAnsi"/>
                <w:sz w:val="20"/>
                <w:szCs w:val="20"/>
              </w:rPr>
              <w:t xml:space="preserve"> increases in productivity and costs associated with reduction in work absences; increases in productivity from reduction in worker turnover associated with workers having to change jobs or take early retirement; reduction in direct costs associated with administration, recruitment and retraining relevant to higher worker turnover and work absences</w:t>
            </w:r>
            <w:r w:rsidR="00E86B6D">
              <w:rPr>
                <w:rFonts w:cstheme="minorHAnsi"/>
                <w:sz w:val="20"/>
                <w:szCs w:val="20"/>
              </w:rPr>
              <w:t xml:space="preserve">; non-monetisation </w:t>
            </w:r>
            <w:r w:rsidR="00B91726">
              <w:rPr>
                <w:rFonts w:cstheme="minorHAnsi"/>
                <w:sz w:val="20"/>
                <w:szCs w:val="20"/>
              </w:rPr>
              <w:t>of mitigation of existing cases; see also comments immediately above about underreporting.</w:t>
            </w:r>
          </w:p>
          <w:p w14:paraId="470FC191" w14:textId="02B7FB52" w:rsidR="000A443C" w:rsidRDefault="000A443C"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3C55094A" w14:textId="669E49C6" w:rsidR="00644210" w:rsidRPr="00406497" w:rsidRDefault="000A443C" w:rsidP="00FD49D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Non-monetised benefits (government):</w:t>
            </w:r>
            <w:r w:rsidR="00E86B6D">
              <w:rPr>
                <w:rFonts w:cstheme="minorHAnsi"/>
                <w:sz w:val="20"/>
                <w:szCs w:val="20"/>
              </w:rPr>
              <w:t xml:space="preserve"> reduced welfare costs; non-monetisation of mitigation of existing cases.</w:t>
            </w:r>
          </w:p>
        </w:tc>
      </w:tr>
      <w:tr w:rsidR="00644210" w:rsidRPr="001C3290" w14:paraId="4C5B4D7F" w14:textId="77777777" w:rsidTr="00644210">
        <w:tc>
          <w:tcPr>
            <w:cnfStyle w:val="001000000000" w:firstRow="0" w:lastRow="0" w:firstColumn="1" w:lastColumn="0" w:oddVBand="0" w:evenVBand="0" w:oddHBand="0" w:evenHBand="0" w:firstRowFirstColumn="0" w:firstRowLastColumn="0" w:lastRowFirstColumn="0" w:lastRowLastColumn="0"/>
            <w:tcW w:w="1406" w:type="dxa"/>
          </w:tcPr>
          <w:p w14:paraId="5A5A549E" w14:textId="77777777" w:rsidR="00644210" w:rsidRPr="007C43DB" w:rsidRDefault="00644210" w:rsidP="00590ED7">
            <w:pPr>
              <w:rPr>
                <w:rFonts w:cstheme="minorHAnsi"/>
                <w:sz w:val="20"/>
                <w:szCs w:val="20"/>
              </w:rPr>
            </w:pPr>
            <w:r w:rsidRPr="007C43DB">
              <w:rPr>
                <w:rFonts w:cstheme="minorHAnsi"/>
                <w:sz w:val="20"/>
                <w:szCs w:val="20"/>
              </w:rPr>
              <w:t>Construction (Design and</w:t>
            </w:r>
          </w:p>
          <w:p w14:paraId="566D0491" w14:textId="5280E554" w:rsidR="00644210" w:rsidRPr="007C43DB" w:rsidRDefault="00644210" w:rsidP="00590ED7">
            <w:pPr>
              <w:rPr>
                <w:rFonts w:cstheme="minorHAnsi"/>
                <w:b w:val="0"/>
                <w:sz w:val="20"/>
                <w:szCs w:val="20"/>
              </w:rPr>
            </w:pPr>
            <w:r w:rsidRPr="007C43DB">
              <w:rPr>
                <w:rFonts w:cstheme="minorHAnsi"/>
                <w:sz w:val="20"/>
                <w:szCs w:val="20"/>
              </w:rPr>
              <w:t>Management) (CDM) Regulations 2015</w:t>
            </w:r>
            <w:r w:rsidRPr="007C43DB">
              <w:rPr>
                <w:rFonts w:cstheme="minorHAnsi"/>
                <w:b w:val="0"/>
                <w:sz w:val="20"/>
                <w:szCs w:val="20"/>
              </w:rPr>
              <w:t xml:space="preserve"> (92/57/EEC) (Health and Safety Executive, HSE)</w:t>
            </w:r>
            <w:r w:rsidRPr="007C43DB">
              <w:rPr>
                <w:rFonts w:cstheme="minorHAnsi"/>
                <w:sz w:val="20"/>
                <w:szCs w:val="20"/>
              </w:rPr>
              <w:fldChar w:fldCharType="begin"/>
            </w:r>
            <w:r w:rsidRPr="007C43DB">
              <w:rPr>
                <w:rFonts w:cstheme="minorHAnsi"/>
                <w:b w:val="0"/>
                <w:sz w:val="20"/>
                <w:szCs w:val="20"/>
              </w:rPr>
              <w:instrText xml:space="preserve"> ADDIN EN.CITE &lt;EndNote&gt;&lt;Cite&gt;&lt;Author&gt;Health and Safety Executive&lt;/Author&gt;&lt;Year&gt;2014&lt;/Year&gt;&lt;RecNum&gt;1618&lt;/RecNum&gt;&lt;DisplayText&gt; (Health and Safety Executive, 2014)&lt;/DisplayText&gt;&lt;record&gt;&lt;rec-number&gt;1618&lt;/rec-number&gt;&lt;foreign-keys&gt;&lt;key app="EN" db-id="drrvazw0t090vlef0e6praxba2d0xwps0wt0" timestamp="1491490659"&gt;1618&lt;/key&gt;&lt;/foreign-keys&gt;&lt;ref-type name="Report"&gt;27&lt;/ref-type&gt;&lt;contributors&gt;&lt;authors&gt;&lt;author&gt;Health and Safety Executive,&lt;/author&gt;&lt;/authors&gt;&lt;tertiary-authors&gt;&lt;author&gt;HSE&lt;/author&gt;&lt;/tertiary-authors&gt;&lt;/contributors&gt;&lt;titles&gt;&lt;title&gt;Construction (Design and Management) Regulations 2015 (CDM 2015)&lt;/title&gt;&lt;/titles&gt;&lt;dates&gt;&lt;year&gt;2014&lt;/year&gt;&lt;/dates&gt;&lt;pub-location&gt;London&lt;/pub-location&gt;&lt;publisher&gt;HSE&lt;/publisher&gt;&lt;urls&gt;&lt;related-urls&gt;&lt;url&gt;http://www.legislation.gov.uk/ukia/2015/42/pdfs/ukia_20150042_en.pdf&lt;/url&gt;&lt;/related-urls&gt;&lt;/urls&gt;&lt;access-date&gt;March 20, 2017&lt;/access-date&gt;&lt;/record&gt;&lt;/Cite&gt;&lt;/EndNote&gt;</w:instrText>
            </w:r>
            <w:r w:rsidRPr="007C43DB">
              <w:rPr>
                <w:rFonts w:cstheme="minorHAnsi"/>
                <w:sz w:val="20"/>
                <w:szCs w:val="20"/>
              </w:rPr>
              <w:fldChar w:fldCharType="separate"/>
            </w:r>
            <w:r w:rsidRPr="007C43DB">
              <w:rPr>
                <w:rFonts w:cstheme="minorHAnsi"/>
                <w:b w:val="0"/>
                <w:noProof/>
                <w:sz w:val="20"/>
                <w:szCs w:val="20"/>
              </w:rPr>
              <w:t xml:space="preserve"> </w:t>
            </w:r>
            <w:hyperlink w:anchor="_ENREF_14" w:tooltip="Health and Safety Executive, 2014 #1618" w:history="1">
              <w:r w:rsidR="006D11C0" w:rsidRPr="007C43DB">
                <w:rPr>
                  <w:rFonts w:cstheme="minorHAnsi"/>
                  <w:b w:val="0"/>
                  <w:noProof/>
                  <w:sz w:val="20"/>
                  <w:szCs w:val="20"/>
                </w:rPr>
                <w:t>(Health and Safety Executive, 2014</w:t>
              </w:r>
            </w:hyperlink>
            <w:r w:rsidRPr="007C43DB">
              <w:rPr>
                <w:rFonts w:cstheme="minorHAnsi"/>
                <w:b w:val="0"/>
                <w:noProof/>
                <w:sz w:val="20"/>
                <w:szCs w:val="20"/>
              </w:rPr>
              <w:t>)</w:t>
            </w:r>
            <w:r w:rsidRPr="007C43DB">
              <w:rPr>
                <w:rFonts w:cstheme="minorHAnsi"/>
                <w:sz w:val="20"/>
                <w:szCs w:val="20"/>
              </w:rPr>
              <w:fldChar w:fldCharType="end"/>
            </w:r>
          </w:p>
        </w:tc>
        <w:tc>
          <w:tcPr>
            <w:tcW w:w="4632" w:type="dxa"/>
          </w:tcPr>
          <w:p w14:paraId="70536550" w14:textId="5F49F60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r>
              <w:rPr>
                <w:rFonts w:cstheme="minorHAnsi"/>
                <w:sz w:val="20"/>
                <w:szCs w:val="20"/>
              </w:rPr>
              <w:t xml:space="preserve">Wide variations in estimates </w:t>
            </w:r>
            <w:r w:rsidRPr="00590ED7">
              <w:rPr>
                <w:rFonts w:cstheme="minorHAnsi"/>
                <w:sz w:val="20"/>
                <w:szCs w:val="20"/>
              </w:rPr>
              <w:t xml:space="preserve">for the time </w:t>
            </w:r>
            <w:r>
              <w:rPr>
                <w:rFonts w:cstheme="minorHAnsi"/>
                <w:sz w:val="20"/>
                <w:szCs w:val="20"/>
              </w:rPr>
              <w:t>taken for firms to familiarise themselves with the new Regulations (not a recurring cost for existing firms) were noted. These were explored further in</w:t>
            </w:r>
            <w:r w:rsidRPr="00590ED7">
              <w:rPr>
                <w:rFonts w:cstheme="minorHAnsi"/>
                <w:sz w:val="20"/>
                <w:szCs w:val="20"/>
              </w:rPr>
              <w:t xml:space="preserve"> interviews </w:t>
            </w:r>
            <w:r>
              <w:rPr>
                <w:rFonts w:cstheme="minorHAnsi"/>
                <w:sz w:val="20"/>
                <w:szCs w:val="20"/>
              </w:rPr>
              <w:t xml:space="preserve">with business actors </w:t>
            </w:r>
            <w:r w:rsidRPr="00590ED7">
              <w:rPr>
                <w:rFonts w:cstheme="minorHAnsi"/>
                <w:sz w:val="20"/>
                <w:szCs w:val="20"/>
              </w:rPr>
              <w:t>after the</w:t>
            </w:r>
            <w:r>
              <w:rPr>
                <w:rFonts w:cstheme="minorHAnsi"/>
                <w:sz w:val="20"/>
                <w:szCs w:val="20"/>
              </w:rPr>
              <w:t xml:space="preserve"> formal public </w:t>
            </w:r>
            <w:r w:rsidRPr="00590ED7">
              <w:rPr>
                <w:rFonts w:cstheme="minorHAnsi"/>
                <w:sz w:val="20"/>
                <w:szCs w:val="20"/>
              </w:rPr>
              <w:t>consultation.</w:t>
            </w:r>
            <w:r>
              <w:rPr>
                <w:rFonts w:cstheme="minorHAnsi"/>
                <w:sz w:val="20"/>
                <w:szCs w:val="20"/>
              </w:rPr>
              <w:t xml:space="preserve"> The assumption for the time take for familiarisation was subsequently increased from 1 hour to 3 hours. This was an industry average covering small contractors (who were assume to only read through the guidance and spend significantly less than 3 hours) and the “more professional end of the market”, where individuals would attend a 2 to 3-hour course.</w:t>
            </w:r>
          </w:p>
          <w:p w14:paraId="43601F82"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F9E71E6" w14:textId="2647E62F" w:rsidR="00644210" w:rsidRPr="00692FC4" w:rsidRDefault="00644210" w:rsidP="00692F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The EU Directive imposed a number of additional duties where a construction site has more than one contractor present. The CDM 2007 transposed the additional duties but used a measure of the duration of the project (more than 30 days or more than 500 person-days) instead of plurality of contractors. The CDM 2015 changed the additional duties threshold from project duration to contractor plurality for most duties. This was designed to simplify the structure of the Regulations, but it had the effect of increasing the number of projects attracting additional duties (particularly small projects). Projects over 30 days or 500 person days were already likely to involve more than one contractor and so would not be affected by the change in threshold, although a number of shorter-duration projects would. The impact assessment noted that i</w:t>
            </w:r>
            <w:r w:rsidRPr="00692FC4">
              <w:rPr>
                <w:rFonts w:cstheme="minorHAnsi"/>
                <w:sz w:val="20"/>
                <w:szCs w:val="20"/>
              </w:rPr>
              <w:t xml:space="preserve">t </w:t>
            </w:r>
            <w:r>
              <w:rPr>
                <w:rFonts w:cstheme="minorHAnsi"/>
                <w:sz w:val="20"/>
                <w:szCs w:val="20"/>
              </w:rPr>
              <w:t>was “</w:t>
            </w:r>
            <w:r w:rsidRPr="00692FC4">
              <w:rPr>
                <w:rFonts w:cstheme="minorHAnsi"/>
                <w:sz w:val="20"/>
                <w:szCs w:val="20"/>
              </w:rPr>
              <w:t>not straightforward to obtain an estimate for the total number of nondomestic</w:t>
            </w:r>
            <w:r>
              <w:rPr>
                <w:rFonts w:cstheme="minorHAnsi"/>
                <w:sz w:val="20"/>
                <w:szCs w:val="20"/>
              </w:rPr>
              <w:t xml:space="preserve"> </w:t>
            </w:r>
            <w:r w:rsidRPr="00692FC4">
              <w:rPr>
                <w:rFonts w:cstheme="minorHAnsi"/>
                <w:sz w:val="20"/>
                <w:szCs w:val="20"/>
              </w:rPr>
              <w:t>construction projects undertaken each year</w:t>
            </w:r>
            <w:r>
              <w:rPr>
                <w:rFonts w:cstheme="minorHAnsi"/>
                <w:sz w:val="20"/>
                <w:szCs w:val="20"/>
              </w:rPr>
              <w:t>”</w:t>
            </w:r>
            <w:r w:rsidRPr="00692FC4">
              <w:rPr>
                <w:rFonts w:cstheme="minorHAnsi"/>
                <w:sz w:val="20"/>
                <w:szCs w:val="20"/>
              </w:rPr>
              <w:t xml:space="preserve">. </w:t>
            </w:r>
            <w:r>
              <w:rPr>
                <w:rFonts w:cstheme="minorHAnsi"/>
                <w:sz w:val="20"/>
                <w:szCs w:val="20"/>
              </w:rPr>
              <w:t>O</w:t>
            </w:r>
            <w:r w:rsidR="00BC002E">
              <w:rPr>
                <w:rFonts w:cstheme="minorHAnsi"/>
                <w:sz w:val="20"/>
                <w:szCs w:val="20"/>
              </w:rPr>
              <w:t>ffice of National Statistics (O</w:t>
            </w:r>
            <w:r>
              <w:rPr>
                <w:rFonts w:cstheme="minorHAnsi"/>
                <w:sz w:val="20"/>
                <w:szCs w:val="20"/>
              </w:rPr>
              <w:t>NS</w:t>
            </w:r>
            <w:r w:rsidR="00BC002E">
              <w:rPr>
                <w:rFonts w:cstheme="minorHAnsi"/>
                <w:sz w:val="20"/>
                <w:szCs w:val="20"/>
              </w:rPr>
              <w:t>)</w:t>
            </w:r>
            <w:r>
              <w:rPr>
                <w:rFonts w:cstheme="minorHAnsi"/>
                <w:sz w:val="20"/>
                <w:szCs w:val="20"/>
              </w:rPr>
              <w:t xml:space="preserve"> </w:t>
            </w:r>
            <w:r w:rsidRPr="00692FC4">
              <w:rPr>
                <w:rFonts w:cstheme="minorHAnsi"/>
                <w:sz w:val="20"/>
                <w:szCs w:val="20"/>
              </w:rPr>
              <w:t xml:space="preserve">Construction Statistics </w:t>
            </w:r>
            <w:r>
              <w:rPr>
                <w:rFonts w:cstheme="minorHAnsi"/>
                <w:sz w:val="20"/>
                <w:szCs w:val="20"/>
              </w:rPr>
              <w:t>estimated</w:t>
            </w:r>
            <w:r w:rsidRPr="00692FC4">
              <w:rPr>
                <w:rFonts w:cstheme="minorHAnsi"/>
                <w:sz w:val="20"/>
                <w:szCs w:val="20"/>
              </w:rPr>
              <w:t xml:space="preserve"> approximately 37</w:t>
            </w:r>
            <w:r>
              <w:rPr>
                <w:rFonts w:cstheme="minorHAnsi"/>
                <w:sz w:val="20"/>
                <w:szCs w:val="20"/>
              </w:rPr>
              <w:t xml:space="preserve">,000 </w:t>
            </w:r>
            <w:r w:rsidRPr="00692FC4">
              <w:rPr>
                <w:rFonts w:cstheme="minorHAnsi"/>
                <w:sz w:val="20"/>
                <w:szCs w:val="20"/>
              </w:rPr>
              <w:t>projects of value greater than £100,000</w:t>
            </w:r>
            <w:r>
              <w:rPr>
                <w:rFonts w:cstheme="minorHAnsi"/>
                <w:sz w:val="20"/>
                <w:szCs w:val="20"/>
              </w:rPr>
              <w:t xml:space="preserve"> a year and 120,000</w:t>
            </w:r>
            <w:r w:rsidRPr="00692FC4">
              <w:rPr>
                <w:rFonts w:cstheme="minorHAnsi"/>
                <w:sz w:val="20"/>
                <w:szCs w:val="20"/>
              </w:rPr>
              <w:t xml:space="preserve"> pr</w:t>
            </w:r>
            <w:r>
              <w:rPr>
                <w:rFonts w:cstheme="minorHAnsi"/>
                <w:sz w:val="20"/>
                <w:szCs w:val="20"/>
              </w:rPr>
              <w:t>ojects of value below £100,000 (160,000)</w:t>
            </w:r>
            <w:r w:rsidRPr="00692FC4">
              <w:rPr>
                <w:rFonts w:cstheme="minorHAnsi"/>
                <w:sz w:val="20"/>
                <w:szCs w:val="20"/>
              </w:rPr>
              <w:t xml:space="preserve">. However, </w:t>
            </w:r>
            <w:r>
              <w:rPr>
                <w:rFonts w:cstheme="minorHAnsi"/>
                <w:sz w:val="20"/>
                <w:szCs w:val="20"/>
              </w:rPr>
              <w:t xml:space="preserve">the </w:t>
            </w:r>
            <w:r w:rsidRPr="00692FC4">
              <w:rPr>
                <w:rFonts w:cstheme="minorHAnsi"/>
                <w:sz w:val="20"/>
                <w:szCs w:val="20"/>
              </w:rPr>
              <w:t xml:space="preserve">number </w:t>
            </w:r>
            <w:r>
              <w:rPr>
                <w:rFonts w:cstheme="minorHAnsi"/>
                <w:sz w:val="20"/>
                <w:szCs w:val="20"/>
              </w:rPr>
              <w:t xml:space="preserve">conflicted with </w:t>
            </w:r>
            <w:r w:rsidRPr="00692FC4">
              <w:rPr>
                <w:rFonts w:cstheme="minorHAnsi"/>
                <w:sz w:val="20"/>
                <w:szCs w:val="20"/>
              </w:rPr>
              <w:t>HSE</w:t>
            </w:r>
            <w:r>
              <w:rPr>
                <w:rFonts w:cstheme="minorHAnsi"/>
                <w:sz w:val="20"/>
                <w:szCs w:val="20"/>
              </w:rPr>
              <w:t xml:space="preserve"> data and views of </w:t>
            </w:r>
            <w:r w:rsidRPr="00692FC4">
              <w:rPr>
                <w:rFonts w:cstheme="minorHAnsi"/>
                <w:sz w:val="20"/>
                <w:szCs w:val="20"/>
              </w:rPr>
              <w:t xml:space="preserve">HSE sector experts. </w:t>
            </w:r>
            <w:r>
              <w:rPr>
                <w:rFonts w:cstheme="minorHAnsi"/>
                <w:sz w:val="20"/>
                <w:szCs w:val="20"/>
              </w:rPr>
              <w:t xml:space="preserve">115,000 projects </w:t>
            </w:r>
            <w:r w:rsidRPr="00692FC4">
              <w:rPr>
                <w:rFonts w:cstheme="minorHAnsi"/>
                <w:sz w:val="20"/>
                <w:szCs w:val="20"/>
              </w:rPr>
              <w:t xml:space="preserve">of more than 30 days or 500 person-days </w:t>
            </w:r>
            <w:r>
              <w:rPr>
                <w:rFonts w:cstheme="minorHAnsi"/>
                <w:sz w:val="20"/>
                <w:szCs w:val="20"/>
              </w:rPr>
              <w:t>were already notified to the HSE annually, which would imply that</w:t>
            </w:r>
            <w:r w:rsidRPr="00692FC4">
              <w:rPr>
                <w:rFonts w:cstheme="minorHAnsi"/>
                <w:sz w:val="20"/>
                <w:szCs w:val="20"/>
              </w:rPr>
              <w:t xml:space="preserve"> there would be only 45</w:t>
            </w:r>
            <w:r>
              <w:rPr>
                <w:rFonts w:cstheme="minorHAnsi"/>
                <w:sz w:val="20"/>
                <w:szCs w:val="20"/>
              </w:rPr>
              <w:t>,000</w:t>
            </w:r>
            <w:r w:rsidRPr="00692FC4">
              <w:rPr>
                <w:rFonts w:cstheme="minorHAnsi"/>
                <w:sz w:val="20"/>
                <w:szCs w:val="20"/>
              </w:rPr>
              <w:t xml:space="preserve"> projects of under 30 days or 500 person-days</w:t>
            </w:r>
            <w:r>
              <w:rPr>
                <w:rFonts w:cstheme="minorHAnsi"/>
                <w:sz w:val="20"/>
                <w:szCs w:val="20"/>
              </w:rPr>
              <w:t xml:space="preserve"> (or lower if the rate of compliance for HSE notifications was less than </w:t>
            </w:r>
            <w:r w:rsidRPr="00692FC4">
              <w:rPr>
                <w:rFonts w:cstheme="minorHAnsi"/>
                <w:sz w:val="20"/>
                <w:szCs w:val="20"/>
              </w:rPr>
              <w:t>100%).</w:t>
            </w:r>
            <w:r>
              <w:rPr>
                <w:rFonts w:cstheme="minorHAnsi"/>
                <w:sz w:val="20"/>
                <w:szCs w:val="20"/>
              </w:rPr>
              <w:t xml:space="preserve"> The impact assessment, therefore, assumed that there was an equal split of non-commercial projects above and below the then existing threshold and </w:t>
            </w:r>
            <w:r w:rsidRPr="00692FC4">
              <w:rPr>
                <w:rFonts w:cstheme="minorHAnsi"/>
                <w:sz w:val="20"/>
                <w:szCs w:val="20"/>
              </w:rPr>
              <w:t>estimate</w:t>
            </w:r>
            <w:r>
              <w:rPr>
                <w:rFonts w:cstheme="minorHAnsi"/>
                <w:sz w:val="20"/>
                <w:szCs w:val="20"/>
              </w:rPr>
              <w:t>d</w:t>
            </w:r>
            <w:r w:rsidRPr="00692FC4">
              <w:rPr>
                <w:rFonts w:cstheme="minorHAnsi"/>
                <w:sz w:val="20"/>
                <w:szCs w:val="20"/>
              </w:rPr>
              <w:t xml:space="preserve"> of a total of 250,000 non-domestic</w:t>
            </w:r>
          </w:p>
          <w:p w14:paraId="5636C52D" w14:textId="43F2F456" w:rsidR="00644210" w:rsidRDefault="00644210" w:rsidP="006922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2FC4">
              <w:rPr>
                <w:rFonts w:cstheme="minorHAnsi"/>
                <w:sz w:val="20"/>
                <w:szCs w:val="20"/>
              </w:rPr>
              <w:t xml:space="preserve">projects a year. </w:t>
            </w:r>
            <w:r>
              <w:rPr>
                <w:rFonts w:cstheme="minorHAnsi"/>
                <w:sz w:val="20"/>
                <w:szCs w:val="20"/>
              </w:rPr>
              <w:t>This was then used in conjunction with ONS data on the proportion of new orders by value range (which did not include the smallest projects) and the HSE’s “own assumptions about the distribution at the lowest end of the market” and knowledge of which value projects were meeting the notification criteria under CDM 2007 to estimate that 60,000 additional projects would meet the additional duties threshold.</w:t>
            </w:r>
          </w:p>
          <w:p w14:paraId="5A945B9C" w14:textId="088B5DBF" w:rsidR="00644210" w:rsidRDefault="00644210" w:rsidP="006922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5981557" w14:textId="05671198" w:rsidR="00644210" w:rsidRPr="00FC2DBA" w:rsidRDefault="00644210" w:rsidP="006922F0">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sz w:val="20"/>
                <w:szCs w:val="20"/>
              </w:rPr>
              <w:t xml:space="preserve">Estimates of the familiarisation cost of the removal of an exemption for domestic clients (calculated by multiplying the number of clients, length of time for familiarisation, the opportunity costs of the client’s time, and expected level of compliance) were derived from relatively weak data concerning the number of multi- and single contractor projects each year (arrived at by combining HSE survey data on domestic construction activity with Census data on the number of owner occupied premises) and rates of compliance (derived from HSE survey data). Estimates of the costs of new duties were made with reference to relatively weak and contested data on the likely rate of compliance (based on estimates made in previous construction-related impact assessment). </w:t>
            </w:r>
          </w:p>
          <w:p w14:paraId="66CC2A5A" w14:textId="77777777" w:rsidR="00644210"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0AA5B32B" w14:textId="3ED0A6A8" w:rsidR="00644210" w:rsidRPr="00C7096B"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Dynamic effects: </w:t>
            </w:r>
            <w:r>
              <w:rPr>
                <w:rFonts w:cstheme="minorHAnsi"/>
                <w:sz w:val="20"/>
                <w:szCs w:val="20"/>
              </w:rPr>
              <w:t>not relevant.</w:t>
            </w:r>
          </w:p>
          <w:p w14:paraId="4EDD5102" w14:textId="77777777" w:rsidR="00644210" w:rsidRPr="00ED2083"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FC6987F" w14:textId="77F20899" w:rsidR="00644210" w:rsidRPr="00C7096B" w:rsidRDefault="00644210" w:rsidP="00ED208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evidence-based assumptions on compliance integrated into cost estimates.</w:t>
            </w:r>
          </w:p>
        </w:tc>
        <w:tc>
          <w:tcPr>
            <w:tcW w:w="4633" w:type="dxa"/>
          </w:tcPr>
          <w:p w14:paraId="4EF52731" w14:textId="2796D9EA" w:rsidR="00644210" w:rsidRPr="00B34B31"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BC002E">
              <w:rPr>
                <w:rFonts w:cstheme="minorHAnsi"/>
                <w:sz w:val="20"/>
                <w:szCs w:val="20"/>
              </w:rPr>
              <w:t xml:space="preserve">Official data sources included: the ONS Construction statistics; </w:t>
            </w:r>
            <w:r w:rsidR="00DF76DC">
              <w:rPr>
                <w:rFonts w:cstheme="minorHAnsi"/>
                <w:sz w:val="20"/>
                <w:szCs w:val="20"/>
              </w:rPr>
              <w:t xml:space="preserve">ONS </w:t>
            </w:r>
            <w:r w:rsidR="00BC002E">
              <w:rPr>
                <w:rFonts w:cstheme="minorHAnsi"/>
                <w:sz w:val="20"/>
                <w:szCs w:val="20"/>
              </w:rPr>
              <w:t xml:space="preserve">Annual Survey of Hours and Earnings; HSE survey data; HSE data arising from legal duties on constructions firms, Census data. Business sources of data included: </w:t>
            </w:r>
            <w:r>
              <w:rPr>
                <w:rFonts w:cstheme="minorHAnsi"/>
                <w:sz w:val="20"/>
                <w:szCs w:val="20"/>
              </w:rPr>
              <w:t>interviews</w:t>
            </w:r>
            <w:r w:rsidR="00BC002E">
              <w:rPr>
                <w:rFonts w:cstheme="minorHAnsi"/>
                <w:sz w:val="20"/>
                <w:szCs w:val="20"/>
              </w:rPr>
              <w:t xml:space="preserve"> with business actors; </w:t>
            </w:r>
            <w:r>
              <w:rPr>
                <w:rFonts w:cstheme="minorHAnsi"/>
                <w:sz w:val="20"/>
                <w:szCs w:val="20"/>
              </w:rPr>
              <w:t xml:space="preserve">public consultation responses for the present </w:t>
            </w:r>
            <w:r w:rsidR="00BC002E">
              <w:rPr>
                <w:rFonts w:cstheme="minorHAnsi"/>
                <w:sz w:val="20"/>
                <w:szCs w:val="20"/>
              </w:rPr>
              <w:t>and previous impact assessments;</w:t>
            </w:r>
            <w:r>
              <w:rPr>
                <w:rFonts w:cstheme="minorHAnsi"/>
                <w:sz w:val="20"/>
                <w:szCs w:val="20"/>
              </w:rPr>
              <w:t xml:space="preserve"> </w:t>
            </w:r>
            <w:r w:rsidR="00BC002E">
              <w:rPr>
                <w:rFonts w:cstheme="minorHAnsi"/>
                <w:sz w:val="20"/>
                <w:szCs w:val="20"/>
              </w:rPr>
              <w:t xml:space="preserve">business </w:t>
            </w:r>
            <w:r>
              <w:rPr>
                <w:rFonts w:cstheme="minorHAnsi"/>
                <w:sz w:val="20"/>
                <w:szCs w:val="20"/>
              </w:rPr>
              <w:t xml:space="preserve">responses to </w:t>
            </w:r>
            <w:r w:rsidR="00BC002E">
              <w:rPr>
                <w:rFonts w:cstheme="minorHAnsi"/>
                <w:sz w:val="20"/>
                <w:szCs w:val="20"/>
              </w:rPr>
              <w:t>the post-implementation review.</w:t>
            </w:r>
          </w:p>
          <w:p w14:paraId="1B9BE331" w14:textId="77777777"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DED73B8" w14:textId="5AC06797" w:rsidR="00644210" w:rsidRPr="00530E4E" w:rsidRDefault="00644210" w:rsidP="00B34B3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DF76DC">
              <w:rPr>
                <w:rFonts w:cstheme="minorHAnsi"/>
                <w:sz w:val="20"/>
                <w:szCs w:val="20"/>
              </w:rPr>
              <w:t>Business interview data and consultation responses claimed that: t</w:t>
            </w:r>
            <w:r w:rsidRPr="00B34B31">
              <w:rPr>
                <w:rFonts w:cstheme="minorHAnsi"/>
                <w:sz w:val="20"/>
                <w:szCs w:val="20"/>
              </w:rPr>
              <w:t>he time taken for familiarisation had been underestimated</w:t>
            </w:r>
            <w:r>
              <w:rPr>
                <w:rFonts w:cstheme="minorHAnsi"/>
                <w:sz w:val="20"/>
                <w:szCs w:val="20"/>
              </w:rPr>
              <w:t xml:space="preserve">; </w:t>
            </w:r>
            <w:r w:rsidRPr="00B34B31">
              <w:rPr>
                <w:rFonts w:cstheme="minorHAnsi"/>
                <w:sz w:val="20"/>
                <w:szCs w:val="20"/>
              </w:rPr>
              <w:t xml:space="preserve">some of the </w:t>
            </w:r>
            <w:r>
              <w:rPr>
                <w:rFonts w:cstheme="minorHAnsi"/>
                <w:sz w:val="20"/>
                <w:szCs w:val="20"/>
              </w:rPr>
              <w:t>costs of time used were too low;</w:t>
            </w:r>
            <w:r w:rsidRPr="00B34B31">
              <w:rPr>
                <w:rFonts w:cstheme="minorHAnsi"/>
                <w:sz w:val="20"/>
                <w:szCs w:val="20"/>
              </w:rPr>
              <w:t xml:space="preserve"> transitio</w:t>
            </w:r>
            <w:r>
              <w:rPr>
                <w:rFonts w:cstheme="minorHAnsi"/>
                <w:sz w:val="20"/>
                <w:szCs w:val="20"/>
              </w:rPr>
              <w:t>n</w:t>
            </w:r>
            <w:r w:rsidRPr="00B34B31">
              <w:rPr>
                <w:rFonts w:cstheme="minorHAnsi"/>
                <w:sz w:val="20"/>
                <w:szCs w:val="20"/>
              </w:rPr>
              <w:t>al</w:t>
            </w:r>
            <w:r>
              <w:rPr>
                <w:rFonts w:cstheme="minorHAnsi"/>
                <w:sz w:val="20"/>
                <w:szCs w:val="20"/>
              </w:rPr>
              <w:t xml:space="preserve"> </w:t>
            </w:r>
            <w:r w:rsidRPr="00B34B31">
              <w:rPr>
                <w:rFonts w:cstheme="minorHAnsi"/>
                <w:sz w:val="20"/>
                <w:szCs w:val="20"/>
              </w:rPr>
              <w:t xml:space="preserve">costs had not been </w:t>
            </w:r>
            <w:r>
              <w:rPr>
                <w:rFonts w:cstheme="minorHAnsi"/>
                <w:sz w:val="20"/>
                <w:szCs w:val="20"/>
              </w:rPr>
              <w:t>adequately addressed;</w:t>
            </w:r>
            <w:r w:rsidRPr="00B34B31">
              <w:rPr>
                <w:rFonts w:cstheme="minorHAnsi"/>
                <w:sz w:val="20"/>
                <w:szCs w:val="20"/>
              </w:rPr>
              <w:t xml:space="preserve"> assumed</w:t>
            </w:r>
            <w:r>
              <w:rPr>
                <w:rFonts w:cstheme="minorHAnsi"/>
                <w:sz w:val="20"/>
                <w:szCs w:val="20"/>
              </w:rPr>
              <w:t xml:space="preserve"> </w:t>
            </w:r>
            <w:r w:rsidRPr="00B34B31">
              <w:rPr>
                <w:rFonts w:cstheme="minorHAnsi"/>
                <w:sz w:val="20"/>
                <w:szCs w:val="20"/>
              </w:rPr>
              <w:t>savings from the replacement of the CDM co-ordinator role with that of</w:t>
            </w:r>
            <w:r>
              <w:rPr>
                <w:rFonts w:cstheme="minorHAnsi"/>
                <w:sz w:val="20"/>
                <w:szCs w:val="20"/>
              </w:rPr>
              <w:t xml:space="preserve"> the principal designer were </w:t>
            </w:r>
            <w:r w:rsidRPr="00B34B31">
              <w:rPr>
                <w:rFonts w:cstheme="minorHAnsi"/>
                <w:sz w:val="20"/>
                <w:szCs w:val="20"/>
              </w:rPr>
              <w:t xml:space="preserve">overestimated (many </w:t>
            </w:r>
            <w:r>
              <w:rPr>
                <w:rFonts w:cstheme="minorHAnsi"/>
                <w:sz w:val="20"/>
                <w:szCs w:val="20"/>
              </w:rPr>
              <w:t xml:space="preserve">respondents </w:t>
            </w:r>
            <w:r w:rsidRPr="00B34B31">
              <w:rPr>
                <w:rFonts w:cstheme="minorHAnsi"/>
                <w:sz w:val="20"/>
                <w:szCs w:val="20"/>
              </w:rPr>
              <w:t>suggested</w:t>
            </w:r>
            <w:r>
              <w:rPr>
                <w:rFonts w:cstheme="minorHAnsi"/>
                <w:sz w:val="20"/>
                <w:szCs w:val="20"/>
              </w:rPr>
              <w:t xml:space="preserve"> </w:t>
            </w:r>
            <w:r w:rsidRPr="00B34B31">
              <w:rPr>
                <w:rFonts w:cstheme="minorHAnsi"/>
                <w:sz w:val="20"/>
                <w:szCs w:val="20"/>
              </w:rPr>
              <w:t>that clients would continue to contract out</w:t>
            </w:r>
            <w:r>
              <w:rPr>
                <w:rFonts w:cstheme="minorHAnsi"/>
                <w:sz w:val="20"/>
                <w:szCs w:val="20"/>
              </w:rPr>
              <w:t xml:space="preserve"> the role to an external party); rates of compliance</w:t>
            </w:r>
            <w:r w:rsidR="00DF76DC">
              <w:rPr>
                <w:rFonts w:cstheme="minorHAnsi"/>
                <w:sz w:val="20"/>
                <w:szCs w:val="20"/>
              </w:rPr>
              <w:t xml:space="preserve"> were</w:t>
            </w:r>
            <w:r>
              <w:rPr>
                <w:rFonts w:cstheme="minorHAnsi"/>
                <w:sz w:val="20"/>
                <w:szCs w:val="20"/>
              </w:rPr>
              <w:t xml:space="preserve"> </w:t>
            </w:r>
            <w:r w:rsidRPr="00530E4E">
              <w:rPr>
                <w:rFonts w:cstheme="minorHAnsi"/>
                <w:sz w:val="20"/>
                <w:szCs w:val="20"/>
              </w:rPr>
              <w:t>underestimated; a</w:t>
            </w:r>
            <w:r w:rsidR="00DF76DC">
              <w:rPr>
                <w:rFonts w:cstheme="minorHAnsi"/>
                <w:sz w:val="20"/>
                <w:szCs w:val="20"/>
              </w:rPr>
              <w:t xml:space="preserve">ssumptions relating to </w:t>
            </w:r>
            <w:r w:rsidRPr="00530E4E">
              <w:rPr>
                <w:rFonts w:cstheme="minorHAnsi"/>
                <w:sz w:val="20"/>
                <w:szCs w:val="20"/>
              </w:rPr>
              <w:t>estimates arising from the change in the threshold for additional duties (see adjacent cell) were too low.</w:t>
            </w:r>
          </w:p>
          <w:p w14:paraId="0C036F36" w14:textId="77777777" w:rsidR="00644210" w:rsidRPr="00530E4E"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097D296C" w14:textId="0FC912B0" w:rsidR="00644210" w:rsidRDefault="00644210" w:rsidP="00AC6162">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E13D4">
              <w:rPr>
                <w:rFonts w:cstheme="minorHAnsi"/>
                <w:b/>
                <w:sz w:val="20"/>
                <w:szCs w:val="20"/>
              </w:rPr>
              <w:t>Effect on estimates</w:t>
            </w:r>
            <w:r>
              <w:rPr>
                <w:rFonts w:cstheme="minorHAnsi"/>
                <w:b/>
                <w:sz w:val="20"/>
                <w:szCs w:val="20"/>
              </w:rPr>
              <w:t xml:space="preserve">: </w:t>
            </w:r>
          </w:p>
          <w:p w14:paraId="66C0EDE4" w14:textId="7EC30734"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0ED7">
              <w:rPr>
                <w:rFonts w:cstheme="minorHAnsi"/>
                <w:sz w:val="20"/>
                <w:szCs w:val="20"/>
              </w:rPr>
              <w:t>Consultation responses from businesses (formal public consultation</w:t>
            </w:r>
            <w:r>
              <w:rPr>
                <w:rFonts w:cstheme="minorHAnsi"/>
                <w:sz w:val="20"/>
                <w:szCs w:val="20"/>
              </w:rPr>
              <w:t>,</w:t>
            </w:r>
            <w:r w:rsidRPr="00590ED7">
              <w:rPr>
                <w:rFonts w:cstheme="minorHAnsi"/>
                <w:sz w:val="20"/>
                <w:szCs w:val="20"/>
              </w:rPr>
              <w:t xml:space="preserve"> extensive additional informal engagement</w:t>
            </w:r>
            <w:r>
              <w:rPr>
                <w:rFonts w:cstheme="minorHAnsi"/>
                <w:sz w:val="20"/>
                <w:szCs w:val="20"/>
              </w:rPr>
              <w:t>, post-implementation review</w:t>
            </w:r>
            <w:r w:rsidRPr="00590ED7">
              <w:rPr>
                <w:rFonts w:cstheme="minorHAnsi"/>
                <w:sz w:val="20"/>
                <w:szCs w:val="20"/>
              </w:rPr>
              <w:t>) were used to finalise</w:t>
            </w:r>
            <w:r>
              <w:rPr>
                <w:rFonts w:cstheme="minorHAnsi"/>
                <w:sz w:val="20"/>
                <w:szCs w:val="20"/>
              </w:rPr>
              <w:t>: a)</w:t>
            </w:r>
            <w:r w:rsidRPr="00590ED7">
              <w:rPr>
                <w:rFonts w:cstheme="minorHAnsi"/>
                <w:sz w:val="20"/>
                <w:szCs w:val="20"/>
              </w:rPr>
              <w:t xml:space="preserve"> the assumptions for costs associated with wage costs</w:t>
            </w:r>
            <w:r>
              <w:rPr>
                <w:rFonts w:cstheme="minorHAnsi"/>
                <w:sz w:val="20"/>
                <w:szCs w:val="20"/>
              </w:rPr>
              <w:t>; b)</w:t>
            </w:r>
            <w:r w:rsidRPr="00590ED7">
              <w:rPr>
                <w:rFonts w:cstheme="minorHAnsi"/>
                <w:sz w:val="20"/>
                <w:szCs w:val="20"/>
              </w:rPr>
              <w:t xml:space="preserve"> the projected savings from the replacement of the CDM co-ordinator role with that of the principal designer</w:t>
            </w:r>
            <w:r>
              <w:rPr>
                <w:rFonts w:cstheme="minorHAnsi"/>
                <w:sz w:val="20"/>
                <w:szCs w:val="20"/>
              </w:rPr>
              <w:t>; c) rates of compliance; d) assumptions on the impact of changes in the threshold for additional duties; e) assumptions on the impact of the removal of a previous exemption for domestic clients.</w:t>
            </w:r>
          </w:p>
          <w:p w14:paraId="67260532" w14:textId="77777777"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E4E97C4" w14:textId="7F80A5AB" w:rsidR="00644210" w:rsidRPr="00590ED7" w:rsidRDefault="00644210" w:rsidP="00AF196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0ED7">
              <w:rPr>
                <w:rFonts w:cstheme="minorHAnsi"/>
                <w:sz w:val="20"/>
                <w:szCs w:val="20"/>
              </w:rPr>
              <w:t xml:space="preserve">In relation to the </w:t>
            </w:r>
            <w:r>
              <w:rPr>
                <w:rFonts w:cstheme="minorHAnsi"/>
                <w:sz w:val="20"/>
                <w:szCs w:val="20"/>
              </w:rPr>
              <w:t>first</w:t>
            </w:r>
            <w:r w:rsidRPr="00590ED7">
              <w:rPr>
                <w:rFonts w:cstheme="minorHAnsi"/>
                <w:sz w:val="20"/>
                <w:szCs w:val="20"/>
              </w:rPr>
              <w:t xml:space="preserve">, the HSE concluded that its original estimates of the cost of time involved in certain activities were too low. In the consultation-stage impact assessment the HSE assumed an average full economic cost per hour of approximately £15 per contractor, and of £25 per design professional on the basis of data from the </w:t>
            </w:r>
            <w:r w:rsidR="00DF76DC">
              <w:rPr>
                <w:rFonts w:cstheme="minorHAnsi"/>
                <w:sz w:val="20"/>
                <w:szCs w:val="20"/>
              </w:rPr>
              <w:t xml:space="preserve">ONS </w:t>
            </w:r>
            <w:r w:rsidRPr="00590ED7">
              <w:rPr>
                <w:rFonts w:cstheme="minorHAnsi"/>
                <w:sz w:val="20"/>
                <w:szCs w:val="20"/>
              </w:rPr>
              <w:t xml:space="preserve">Annual Survey of Hours and Earnings. It altered these assumptions following feedback from stakeholders, which suggested these figures were too low, especially for designers, who, when employed by a company, would have their services charged out at a rate higher than their wages. </w:t>
            </w:r>
          </w:p>
          <w:p w14:paraId="75445043" w14:textId="12732A2F"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55948F" w14:textId="5B3EF870"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90ED7">
              <w:rPr>
                <w:rFonts w:cstheme="minorHAnsi"/>
                <w:sz w:val="20"/>
                <w:szCs w:val="20"/>
              </w:rPr>
              <w:t xml:space="preserve">In relation to the </w:t>
            </w:r>
            <w:r>
              <w:rPr>
                <w:rFonts w:cstheme="minorHAnsi"/>
                <w:sz w:val="20"/>
                <w:szCs w:val="20"/>
              </w:rPr>
              <w:t>second, the HSE</w:t>
            </w:r>
            <w:r w:rsidRPr="00590ED7">
              <w:rPr>
                <w:rFonts w:cstheme="minorHAnsi"/>
                <w:sz w:val="20"/>
                <w:szCs w:val="20"/>
              </w:rPr>
              <w:t xml:space="preserve"> concluded that it had overestimated the savings to business</w:t>
            </w:r>
            <w:r>
              <w:rPr>
                <w:rFonts w:cstheme="minorHAnsi"/>
                <w:sz w:val="20"/>
                <w:szCs w:val="20"/>
              </w:rPr>
              <w:t xml:space="preserve"> </w:t>
            </w:r>
            <w:r w:rsidRPr="004E05AF">
              <w:rPr>
                <w:rFonts w:cstheme="minorHAnsi"/>
                <w:sz w:val="20"/>
                <w:szCs w:val="20"/>
              </w:rPr>
              <w:t>(estimated savings from identifying, collecting and passing on pre-construction information were reduced from a third to a fifth; estimated savings of co-ordinating the health and safety aspects of the design work were reduced from a half to a third; estimated savings from closer liaison between the principal contractor and designer regarding ongoing design, however, were highlighted in the consultation by business actors and not originally identified by the HSE).</w:t>
            </w:r>
          </w:p>
          <w:p w14:paraId="19CDB9A1" w14:textId="04572045"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D7DB52F" w14:textId="3497CDAF"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relation to the third, consultation responses to the revocation of other construction specific regulations were used to justify low estimates for the rate of compliance for familiarisation were used for self-employed contractors (5%) and employers (25%). On the basis of feedback received from the consultation for the present impact assessment the rate of compliance for familiarisation used for design professionals was reduced from 100% to 75%.</w:t>
            </w:r>
          </w:p>
          <w:p w14:paraId="3EBA88AB" w14:textId="1519D6A6"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114CA9C" w14:textId="77777777" w:rsidR="00644210" w:rsidRDefault="00644210" w:rsidP="00530E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relation to the fourth, estimates of time taken to discharge additional duties were increased.</w:t>
            </w:r>
          </w:p>
          <w:p w14:paraId="7DA55E6D" w14:textId="77777777" w:rsidR="00644210" w:rsidRDefault="00644210" w:rsidP="00530E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0D539BF" w14:textId="5CC34628" w:rsidR="00644210" w:rsidRPr="002C4282" w:rsidRDefault="00644210" w:rsidP="00530E4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relation to the fifth, the HSE do not appear to have adjusted their assumptions.</w:t>
            </w:r>
          </w:p>
        </w:tc>
        <w:tc>
          <w:tcPr>
            <w:tcW w:w="4633" w:type="dxa"/>
          </w:tcPr>
          <w:p w14:paraId="64FD29CB" w14:textId="17E7251B" w:rsidR="00644210" w:rsidRPr="00436B28" w:rsidRDefault="00644210" w:rsidP="00436B28">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Reported Benefits (workers): </w:t>
            </w:r>
            <w:r w:rsidRPr="00D15A66">
              <w:rPr>
                <w:rFonts w:cstheme="minorHAnsi"/>
                <w:sz w:val="20"/>
                <w:szCs w:val="20"/>
              </w:rPr>
              <w:t>i</w:t>
            </w:r>
            <w:r>
              <w:rPr>
                <w:rFonts w:cstheme="minorHAnsi"/>
                <w:sz w:val="20"/>
                <w:szCs w:val="20"/>
              </w:rPr>
              <w:t>mprovements in health and safety (</w:t>
            </w:r>
            <w:r w:rsidRPr="00590ED7">
              <w:rPr>
                <w:rFonts w:cstheme="minorHAnsi"/>
                <w:sz w:val="20"/>
                <w:szCs w:val="20"/>
              </w:rPr>
              <w:t xml:space="preserve">textual simplification, combined with the production of sector-specific guidance aimed at small contractors, was expected to lead to improved </w:t>
            </w:r>
            <w:r>
              <w:rPr>
                <w:rFonts w:cstheme="minorHAnsi"/>
                <w:sz w:val="20"/>
                <w:szCs w:val="20"/>
              </w:rPr>
              <w:t xml:space="preserve">health and safety in the sector as </w:t>
            </w:r>
            <w:r w:rsidRPr="00590ED7">
              <w:rPr>
                <w:rFonts w:cstheme="minorHAnsi"/>
                <w:sz w:val="20"/>
                <w:szCs w:val="20"/>
              </w:rPr>
              <w:t>small construction projects are disproportionately represented in serious and fatal accident statistics and non-compliance with regulatory req</w:t>
            </w:r>
            <w:r>
              <w:rPr>
                <w:rFonts w:cstheme="minorHAnsi"/>
                <w:sz w:val="20"/>
                <w:szCs w:val="20"/>
              </w:rPr>
              <w:t xml:space="preserve">uirements by small contractors, </w:t>
            </w:r>
            <w:r w:rsidRPr="00590ED7">
              <w:rPr>
                <w:rFonts w:cstheme="minorHAnsi"/>
                <w:sz w:val="20"/>
                <w:szCs w:val="20"/>
              </w:rPr>
              <w:t>throug</w:t>
            </w:r>
            <w:r>
              <w:rPr>
                <w:rFonts w:cstheme="minorHAnsi"/>
                <w:sz w:val="20"/>
                <w:szCs w:val="20"/>
              </w:rPr>
              <w:t>h ignorance of responsibilities,</w:t>
            </w:r>
            <w:r w:rsidRPr="00590ED7">
              <w:rPr>
                <w:rFonts w:cstheme="minorHAnsi"/>
                <w:sz w:val="20"/>
                <w:szCs w:val="20"/>
              </w:rPr>
              <w:t xml:space="preserve"> is commonplace</w:t>
            </w:r>
            <w:r>
              <w:rPr>
                <w:rFonts w:cstheme="minorHAnsi"/>
                <w:sz w:val="20"/>
                <w:szCs w:val="20"/>
              </w:rPr>
              <w:t>)</w:t>
            </w:r>
            <w:r w:rsidRPr="00590ED7">
              <w:rPr>
                <w:rFonts w:cstheme="minorHAnsi"/>
                <w:sz w:val="20"/>
                <w:szCs w:val="20"/>
              </w:rPr>
              <w:t>.</w:t>
            </w:r>
            <w:r w:rsidRPr="00436B28">
              <w:rPr>
                <w:rFonts w:cstheme="minorHAnsi"/>
                <w:b/>
                <w:sz w:val="20"/>
                <w:szCs w:val="20"/>
              </w:rPr>
              <w:t xml:space="preserve"> </w:t>
            </w:r>
          </w:p>
          <w:p w14:paraId="34292923" w14:textId="6BFD06DC"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5C4881F" w14:textId="1F6CD0C0" w:rsidR="00644210" w:rsidRPr="00FC3C6B"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Reported Benefits (employers): </w:t>
            </w:r>
            <w:r>
              <w:rPr>
                <w:rFonts w:cstheme="minorHAnsi"/>
                <w:sz w:val="20"/>
                <w:szCs w:val="20"/>
              </w:rPr>
              <w:t xml:space="preserve">efficiencies and savings resulting from </w:t>
            </w:r>
            <w:r w:rsidRPr="00590ED7">
              <w:rPr>
                <w:rFonts w:cstheme="minorHAnsi"/>
                <w:sz w:val="20"/>
                <w:szCs w:val="20"/>
              </w:rPr>
              <w:t>remov</w:t>
            </w:r>
            <w:r>
              <w:rPr>
                <w:rFonts w:cstheme="minorHAnsi"/>
                <w:sz w:val="20"/>
                <w:szCs w:val="20"/>
              </w:rPr>
              <w:t xml:space="preserve">al of the CDM co-ordinator role (regulations would encourage </w:t>
            </w:r>
            <w:r w:rsidRPr="00590ED7">
              <w:rPr>
                <w:rFonts w:cstheme="minorHAnsi"/>
                <w:sz w:val="20"/>
                <w:szCs w:val="20"/>
              </w:rPr>
              <w:t>those responsible for the design role under existing Regulations to assume the CDM co-ordinating role</w:t>
            </w:r>
            <w:r>
              <w:rPr>
                <w:rFonts w:cstheme="minorHAnsi"/>
                <w:sz w:val="20"/>
                <w:szCs w:val="20"/>
              </w:rPr>
              <w:t xml:space="preserve">, leading to reduction in </w:t>
            </w:r>
            <w:r w:rsidRPr="00590ED7">
              <w:rPr>
                <w:rFonts w:cstheme="minorHAnsi"/>
                <w:sz w:val="20"/>
                <w:szCs w:val="20"/>
              </w:rPr>
              <w:t>cost</w:t>
            </w:r>
            <w:r>
              <w:rPr>
                <w:rFonts w:cstheme="minorHAnsi"/>
                <w:sz w:val="20"/>
                <w:szCs w:val="20"/>
              </w:rPr>
              <w:t xml:space="preserve">s associated with </w:t>
            </w:r>
            <w:r w:rsidRPr="00590ED7">
              <w:rPr>
                <w:rFonts w:cstheme="minorHAnsi"/>
                <w:sz w:val="20"/>
                <w:szCs w:val="20"/>
              </w:rPr>
              <w:t>demonstrating competency and the adequacy of resources as part of the pre-qualification and bidding process, collecting and passing on pre-construction information</w:t>
            </w:r>
            <w:r>
              <w:rPr>
                <w:rFonts w:cstheme="minorHAnsi"/>
                <w:sz w:val="20"/>
                <w:szCs w:val="20"/>
              </w:rPr>
              <w:t xml:space="preserve"> would be reduced,</w:t>
            </w:r>
            <w:r w:rsidRPr="00590ED7">
              <w:rPr>
                <w:rFonts w:cstheme="minorHAnsi"/>
                <w:sz w:val="20"/>
                <w:szCs w:val="20"/>
              </w:rPr>
              <w:t xml:space="preserve"> co-ordinating the health and safety aspects of the design work</w:t>
            </w:r>
            <w:r>
              <w:rPr>
                <w:rFonts w:cstheme="minorHAnsi"/>
                <w:sz w:val="20"/>
                <w:szCs w:val="20"/>
              </w:rPr>
              <w:t xml:space="preserve">; </w:t>
            </w:r>
            <w:r w:rsidRPr="00590ED7">
              <w:rPr>
                <w:rFonts w:cstheme="minorHAnsi"/>
                <w:sz w:val="20"/>
                <w:szCs w:val="20"/>
              </w:rPr>
              <w:t>liaising with the principal contracto</w:t>
            </w:r>
            <w:r>
              <w:rPr>
                <w:rFonts w:cstheme="minorHAnsi"/>
                <w:sz w:val="20"/>
                <w:szCs w:val="20"/>
              </w:rPr>
              <w:t>r)</w:t>
            </w:r>
            <w:r w:rsidRPr="00590ED7">
              <w:rPr>
                <w:rFonts w:cstheme="minorHAnsi"/>
                <w:sz w:val="20"/>
                <w:szCs w:val="20"/>
              </w:rPr>
              <w:t xml:space="preserve">; not having to notify projects to HSE due to a change </w:t>
            </w:r>
            <w:r>
              <w:rPr>
                <w:rFonts w:cstheme="minorHAnsi"/>
                <w:sz w:val="20"/>
                <w:szCs w:val="20"/>
              </w:rPr>
              <w:t>in the trigger for notification;</w:t>
            </w:r>
            <w:r w:rsidRPr="00590ED7">
              <w:rPr>
                <w:rFonts w:cstheme="minorHAnsi"/>
                <w:sz w:val="20"/>
                <w:szCs w:val="20"/>
              </w:rPr>
              <w:t xml:space="preserve"> </w:t>
            </w:r>
            <w:r>
              <w:rPr>
                <w:rFonts w:cstheme="minorHAnsi"/>
                <w:sz w:val="20"/>
                <w:szCs w:val="20"/>
              </w:rPr>
              <w:t>savings to</w:t>
            </w:r>
            <w:r w:rsidRPr="00590ED7">
              <w:rPr>
                <w:rFonts w:cstheme="minorHAnsi"/>
                <w:sz w:val="20"/>
                <w:szCs w:val="20"/>
              </w:rPr>
              <w:t xml:space="preserve"> new businesses entering the market from having to familiarise themselves with shorter, more accessible and targeted regulations</w:t>
            </w:r>
            <w:r>
              <w:rPr>
                <w:rFonts w:cstheme="minorHAnsi"/>
                <w:sz w:val="20"/>
                <w:szCs w:val="20"/>
              </w:rPr>
              <w:t xml:space="preserve"> (reduced time and removal of need for commercial pre-qualification </w:t>
            </w:r>
            <w:r w:rsidRPr="00FC3C6B">
              <w:rPr>
                <w:rFonts w:cstheme="minorHAnsi"/>
                <w:sz w:val="20"/>
                <w:szCs w:val="20"/>
              </w:rPr>
              <w:t>schemes).</w:t>
            </w:r>
          </w:p>
          <w:p w14:paraId="16EB43DA" w14:textId="77777777" w:rsidR="00644210" w:rsidRPr="00C7096B"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643A556" w14:textId="223C7777" w:rsidR="00644210" w:rsidRPr="003B6AFB"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Reported Benefits (government):</w:t>
            </w:r>
            <w:r>
              <w:rPr>
                <w:rFonts w:cstheme="minorHAnsi"/>
                <w:sz w:val="20"/>
                <w:szCs w:val="20"/>
              </w:rPr>
              <w:t xml:space="preserve"> none reported</w:t>
            </w:r>
          </w:p>
          <w:p w14:paraId="6E9B10B5" w14:textId="4DDCD881"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6823A137" w14:textId="09CF3B4F" w:rsidR="00644210" w:rsidRDefault="00644210" w:rsidP="00C7096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Monetised Benefits (workers, excluding self-employed): </w:t>
            </w:r>
            <w:r>
              <w:rPr>
                <w:rFonts w:cstheme="minorHAnsi"/>
                <w:sz w:val="20"/>
                <w:szCs w:val="20"/>
              </w:rPr>
              <w:t>none (t</w:t>
            </w:r>
            <w:r w:rsidRPr="00590ED7">
              <w:rPr>
                <w:rFonts w:cstheme="minorHAnsi"/>
                <w:sz w:val="20"/>
                <w:szCs w:val="20"/>
              </w:rPr>
              <w:t xml:space="preserve">he </w:t>
            </w:r>
            <w:r>
              <w:rPr>
                <w:rFonts w:cstheme="minorHAnsi"/>
                <w:sz w:val="20"/>
                <w:szCs w:val="20"/>
              </w:rPr>
              <w:t xml:space="preserve">impact assessment reported that the effect </w:t>
            </w:r>
            <w:r w:rsidRPr="00590ED7">
              <w:rPr>
                <w:rFonts w:cstheme="minorHAnsi"/>
                <w:sz w:val="20"/>
                <w:szCs w:val="20"/>
              </w:rPr>
              <w:t xml:space="preserve">of the proposed measures on health and safety </w:t>
            </w:r>
            <w:r>
              <w:rPr>
                <w:rFonts w:cstheme="minorHAnsi"/>
                <w:sz w:val="20"/>
                <w:szCs w:val="20"/>
              </w:rPr>
              <w:t xml:space="preserve">were difficult to </w:t>
            </w:r>
            <w:r w:rsidRPr="00590ED7">
              <w:rPr>
                <w:rFonts w:cstheme="minorHAnsi"/>
                <w:sz w:val="20"/>
                <w:szCs w:val="20"/>
              </w:rPr>
              <w:t>quantify.</w:t>
            </w:r>
          </w:p>
          <w:p w14:paraId="24E91FD2" w14:textId="1E767AFB" w:rsidR="00644210"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7E48FDC1" w14:textId="0A0C7F1C" w:rsidR="00644210" w:rsidRPr="00C7096B" w:rsidRDefault="00644210" w:rsidP="00C7096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Monetised Benefits (employers, including self-employed): </w:t>
            </w:r>
            <w:r w:rsidRPr="00590ED7">
              <w:rPr>
                <w:rFonts w:cstheme="minorHAnsi"/>
                <w:sz w:val="20"/>
                <w:szCs w:val="20"/>
              </w:rPr>
              <w:t>efficiencies generated by the remov</w:t>
            </w:r>
            <w:r>
              <w:rPr>
                <w:rFonts w:cstheme="minorHAnsi"/>
                <w:sz w:val="20"/>
                <w:szCs w:val="20"/>
              </w:rPr>
              <w:t>al of the CDM co-ordinator role (see break-down above);</w:t>
            </w:r>
            <w:r w:rsidRPr="00590ED7">
              <w:rPr>
                <w:rFonts w:cstheme="minorHAnsi"/>
                <w:sz w:val="20"/>
                <w:szCs w:val="20"/>
              </w:rPr>
              <w:t xml:space="preserve"> </w:t>
            </w:r>
            <w:r>
              <w:rPr>
                <w:rFonts w:cstheme="minorHAnsi"/>
                <w:sz w:val="20"/>
                <w:szCs w:val="20"/>
              </w:rPr>
              <w:t xml:space="preserve">savings from </w:t>
            </w:r>
            <w:r w:rsidRPr="00590ED7">
              <w:rPr>
                <w:rFonts w:cstheme="minorHAnsi"/>
                <w:sz w:val="20"/>
                <w:szCs w:val="20"/>
              </w:rPr>
              <w:t xml:space="preserve">not having to notify projects to HSE due to a change </w:t>
            </w:r>
            <w:r>
              <w:rPr>
                <w:rFonts w:cstheme="minorHAnsi"/>
                <w:sz w:val="20"/>
                <w:szCs w:val="20"/>
              </w:rPr>
              <w:t>in the trigger for notification; savings for</w:t>
            </w:r>
            <w:r w:rsidRPr="00590ED7">
              <w:rPr>
                <w:rFonts w:cstheme="minorHAnsi"/>
                <w:sz w:val="20"/>
                <w:szCs w:val="20"/>
              </w:rPr>
              <w:t xml:space="preserve"> new businesses entering the market from having to familiarise themselves with shorter, simpler, more accessible and targeted regulations.</w:t>
            </w:r>
          </w:p>
          <w:p w14:paraId="4DE32CBC" w14:textId="77777777" w:rsidR="00644210" w:rsidRDefault="00644210" w:rsidP="00C7096B">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2A15E330" w14:textId="0CF3195D" w:rsidR="00644210" w:rsidRPr="00D15A66" w:rsidRDefault="00644210" w:rsidP="00436B2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Monetised Benefits (government): </w:t>
            </w:r>
            <w:r>
              <w:rPr>
                <w:rFonts w:cstheme="minorHAnsi"/>
                <w:sz w:val="20"/>
                <w:szCs w:val="20"/>
              </w:rPr>
              <w:t>none</w:t>
            </w:r>
          </w:p>
          <w:p w14:paraId="739F7B60" w14:textId="484D0544" w:rsidR="00644210" w:rsidRDefault="00644210" w:rsidP="00C7096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DCFD10D" w14:textId="280D9FB2" w:rsidR="00644210" w:rsidRPr="00C7096B" w:rsidRDefault="00644210" w:rsidP="00C7096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Non-reported benefits (government): </w:t>
            </w:r>
            <w:r>
              <w:rPr>
                <w:rFonts w:cstheme="minorHAnsi"/>
                <w:sz w:val="20"/>
                <w:szCs w:val="20"/>
              </w:rPr>
              <w:t>reduced health service costs (associated with potential improvements in health and safety); reduced costs involved in processing fewer notifications of projects.</w:t>
            </w:r>
          </w:p>
          <w:p w14:paraId="4258B1CC" w14:textId="77777777" w:rsidR="00644210" w:rsidRPr="00C7096B" w:rsidRDefault="00644210" w:rsidP="00B96D43">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p w14:paraId="5C23B130" w14:textId="51194B32"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benefits (workers): </w:t>
            </w:r>
            <w:r>
              <w:rPr>
                <w:rFonts w:cstheme="minorHAnsi"/>
                <w:sz w:val="20"/>
                <w:szCs w:val="20"/>
              </w:rPr>
              <w:t xml:space="preserve">improvements in </w:t>
            </w:r>
            <w:r w:rsidRPr="00590ED7">
              <w:rPr>
                <w:rFonts w:cstheme="minorHAnsi"/>
                <w:sz w:val="20"/>
                <w:szCs w:val="20"/>
              </w:rPr>
              <w:t>health and safety</w:t>
            </w:r>
            <w:r>
              <w:rPr>
                <w:rFonts w:cstheme="minorHAnsi"/>
                <w:sz w:val="20"/>
                <w:szCs w:val="20"/>
              </w:rPr>
              <w:t>.</w:t>
            </w:r>
          </w:p>
          <w:p w14:paraId="5266932E" w14:textId="442939A1"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C94C13B" w14:textId="23AC55FE"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benefits (employers): </w:t>
            </w:r>
            <w:r>
              <w:rPr>
                <w:rFonts w:cstheme="minorHAnsi"/>
                <w:sz w:val="20"/>
                <w:szCs w:val="20"/>
              </w:rPr>
              <w:t>salient reported benefits monetised.</w:t>
            </w:r>
          </w:p>
          <w:p w14:paraId="256BB4A3" w14:textId="2FFD9002" w:rsidR="00644210"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D8A5872" w14:textId="51335D18" w:rsidR="00644210" w:rsidRPr="00D15A66"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b/>
                <w:sz w:val="20"/>
                <w:szCs w:val="20"/>
              </w:rPr>
              <w:t xml:space="preserve">Non-monetised benefits (government): </w:t>
            </w:r>
            <w:r>
              <w:rPr>
                <w:rFonts w:cstheme="minorHAnsi"/>
                <w:sz w:val="20"/>
                <w:szCs w:val="20"/>
              </w:rPr>
              <w:t>see non-reported benefits (government).</w:t>
            </w:r>
          </w:p>
          <w:p w14:paraId="697BC5AC" w14:textId="1FD28511" w:rsidR="00644210" w:rsidRPr="00406497" w:rsidRDefault="00644210" w:rsidP="00590ED7">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44210" w:rsidRPr="001C3290" w14:paraId="770C54B9" w14:textId="77777777" w:rsidTr="00644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6" w:type="dxa"/>
          </w:tcPr>
          <w:p w14:paraId="65B8DE32" w14:textId="2C2B4769" w:rsidR="00644210" w:rsidRPr="007C43DB" w:rsidRDefault="00644210" w:rsidP="00590ED7">
            <w:pPr>
              <w:rPr>
                <w:rFonts w:cstheme="minorHAnsi"/>
                <w:b w:val="0"/>
                <w:sz w:val="20"/>
                <w:szCs w:val="20"/>
              </w:rPr>
            </w:pPr>
            <w:r w:rsidRPr="007C43DB">
              <w:rPr>
                <w:rFonts w:cstheme="minorHAnsi"/>
                <w:sz w:val="20"/>
                <w:szCs w:val="20"/>
              </w:rPr>
              <w:t>The Transnational Information and Consultation of Employees (Amendment) Regulations 2010</w:t>
            </w:r>
            <w:r w:rsidRPr="007C43DB">
              <w:rPr>
                <w:rFonts w:cstheme="minorHAnsi"/>
                <w:b w:val="0"/>
                <w:sz w:val="20"/>
                <w:szCs w:val="20"/>
              </w:rPr>
              <w:t xml:space="preserve"> (2009/38/EC) (Department of Trade and Industry, DTI)</w:t>
            </w:r>
            <w:r w:rsidR="00FE34AC" w:rsidRPr="007C43DB">
              <w:rPr>
                <w:rFonts w:cstheme="minorHAnsi"/>
                <w:b w:val="0"/>
                <w:sz w:val="20"/>
                <w:szCs w:val="20"/>
              </w:rPr>
              <w:t xml:space="preserve"> </w:t>
            </w:r>
            <w:r w:rsidR="00FE34AC" w:rsidRPr="007C43DB">
              <w:rPr>
                <w:rFonts w:cstheme="minorHAnsi"/>
                <w:sz w:val="20"/>
                <w:szCs w:val="20"/>
              </w:rPr>
              <w:fldChar w:fldCharType="begin"/>
            </w:r>
            <w:r w:rsidR="00FE34AC" w:rsidRPr="007C43DB">
              <w:rPr>
                <w:rFonts w:cstheme="minorHAnsi"/>
                <w:sz w:val="20"/>
                <w:szCs w:val="20"/>
              </w:rPr>
              <w:instrText xml:space="preserve"> ADDIN EN.CITE &lt;EndNote&gt;&lt;Cite&gt;&lt;Author&gt;Department of Trade and Industry&lt;/Author&gt;&lt;Year&gt;2006&lt;/Year&gt;&lt;RecNum&gt;1617&lt;/RecNum&gt;&lt;DisplayText&gt; (Department of Trade and Industry, 2006)&lt;/DisplayText&gt;&lt;record&gt;&lt;rec-number&gt;1617&lt;/rec-number&gt;&lt;foreign-keys&gt;&lt;key app="EN" db-id="drrvazw0t090vlef0e6praxba2d0xwps0wt0" timestamp="1491486857"&gt;1617&lt;/key&gt;&lt;/foreign-keys&gt;&lt;ref-type name="Report"&gt;27&lt;/ref-type&gt;&lt;contributors&gt;&lt;authors&gt;&lt;author&gt;Department of Trade and Industry,&lt;/author&gt;&lt;/authors&gt;&lt;tertiary-authors&gt;&lt;author&gt;DTI&lt;/author&gt;&lt;/tertiary-authors&gt;&lt;/contributors&gt;&lt;titles&gt;&lt;title&gt;1999 Compendium of Regulatory Impact Assessments&lt;/title&gt;&lt;/titles&gt;&lt;dates&gt;&lt;year&gt;2006&lt;/year&gt;&lt;/dates&gt;&lt;pub-location&gt;London&lt;/pub-location&gt;&lt;publisher&gt;DTI&lt;/publisher&gt;&lt;urls&gt;&lt;related-urls&gt;&lt;url&gt;http://webarchive.nationalarchives.gov.uk/20090609003228/http://www.berr.gov.uk/files/file34183.pdf&lt;/url&gt;&lt;/related-urls&gt;&lt;/urls&gt;&lt;access-date&gt;March 20, 2017&lt;/access-date&gt;&lt;/record&gt;&lt;/Cite&gt;&lt;/EndNote&gt;</w:instrText>
            </w:r>
            <w:r w:rsidR="00FE34AC" w:rsidRPr="007C43DB">
              <w:rPr>
                <w:rFonts w:cstheme="minorHAnsi"/>
                <w:sz w:val="20"/>
                <w:szCs w:val="20"/>
              </w:rPr>
              <w:fldChar w:fldCharType="separate"/>
            </w:r>
            <w:r w:rsidR="00FE34AC" w:rsidRPr="007C43DB">
              <w:rPr>
                <w:rFonts w:cstheme="minorHAnsi"/>
                <w:noProof/>
                <w:sz w:val="20"/>
                <w:szCs w:val="20"/>
              </w:rPr>
              <w:t xml:space="preserve"> </w:t>
            </w:r>
            <w:hyperlink w:anchor="_ENREF_6" w:tooltip="Department of Trade and Industry, 2006 #1617" w:history="1">
              <w:r w:rsidR="006D11C0" w:rsidRPr="007C43DB">
                <w:rPr>
                  <w:rFonts w:cstheme="minorHAnsi"/>
                  <w:b w:val="0"/>
                  <w:noProof/>
                  <w:sz w:val="20"/>
                  <w:szCs w:val="20"/>
                </w:rPr>
                <w:t>(Department of Trade and Industry, 2006</w:t>
              </w:r>
            </w:hyperlink>
            <w:r w:rsidR="00FE34AC" w:rsidRPr="007C43DB">
              <w:rPr>
                <w:rFonts w:cstheme="minorHAnsi"/>
                <w:b w:val="0"/>
                <w:noProof/>
                <w:sz w:val="20"/>
                <w:szCs w:val="20"/>
              </w:rPr>
              <w:t>)</w:t>
            </w:r>
            <w:r w:rsidR="00FE34AC" w:rsidRPr="007C43DB">
              <w:rPr>
                <w:rFonts w:cstheme="minorHAnsi"/>
                <w:sz w:val="20"/>
                <w:szCs w:val="20"/>
              </w:rPr>
              <w:fldChar w:fldCharType="end"/>
            </w:r>
          </w:p>
        </w:tc>
        <w:tc>
          <w:tcPr>
            <w:tcW w:w="4632" w:type="dxa"/>
          </w:tcPr>
          <w:p w14:paraId="019AE890" w14:textId="28DBC9C5"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C3C6B">
              <w:rPr>
                <w:rFonts w:cstheme="minorHAnsi"/>
                <w:b/>
                <w:sz w:val="20"/>
                <w:szCs w:val="20"/>
              </w:rPr>
              <w:t xml:space="preserve">Material </w:t>
            </w:r>
            <w:r w:rsidRPr="003D1A55">
              <w:rPr>
                <w:rFonts w:cstheme="minorHAnsi"/>
                <w:b/>
                <w:sz w:val="20"/>
                <w:szCs w:val="20"/>
              </w:rPr>
              <w:t>cost-relevant</w:t>
            </w:r>
            <w:r w:rsidRPr="00FC3C6B">
              <w:rPr>
                <w:rFonts w:cstheme="minorHAnsi"/>
                <w:b/>
                <w:sz w:val="20"/>
                <w:szCs w:val="20"/>
              </w:rPr>
              <w:t xml:space="preserve"> assumptions (based on weak or conflicting evidence)</w:t>
            </w:r>
            <w:r>
              <w:rPr>
                <w:rFonts w:cstheme="minorHAnsi"/>
                <w:b/>
                <w:sz w:val="20"/>
                <w:szCs w:val="20"/>
              </w:rPr>
              <w:t xml:space="preserve">: </w:t>
            </w:r>
          </w:p>
          <w:p w14:paraId="26F772C4" w14:textId="7D2B32D4" w:rsidR="00644210" w:rsidRDefault="00644210" w:rsidP="00ED20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A study commissioned by the DTI (see adjacent cell) to gather data on costs </w:t>
            </w:r>
            <w:r w:rsidRPr="00E55884">
              <w:rPr>
                <w:rFonts w:cstheme="minorHAnsi"/>
                <w:sz w:val="20"/>
                <w:szCs w:val="20"/>
              </w:rPr>
              <w:t xml:space="preserve">involved interviews with a small, but representative sample of </w:t>
            </w:r>
            <w:r>
              <w:rPr>
                <w:rFonts w:cstheme="minorHAnsi"/>
                <w:sz w:val="20"/>
                <w:szCs w:val="20"/>
              </w:rPr>
              <w:t>(primarily) human resource managers from companies</w:t>
            </w:r>
            <w:r w:rsidRPr="00E55884">
              <w:rPr>
                <w:rFonts w:cstheme="minorHAnsi"/>
                <w:sz w:val="20"/>
                <w:szCs w:val="20"/>
              </w:rPr>
              <w:t xml:space="preserve"> with employee information and consultation arrangements</w:t>
            </w:r>
            <w:r w:rsidRPr="00E55884">
              <w:rPr>
                <w:rFonts w:cstheme="minorHAnsi"/>
                <w:sz w:val="20"/>
                <w:szCs w:val="20"/>
              </w:rPr>
              <w:fldChar w:fldCharType="begin"/>
            </w:r>
            <w:r>
              <w:rPr>
                <w:rFonts w:cstheme="minorHAnsi"/>
                <w:sz w:val="20"/>
                <w:szCs w:val="20"/>
              </w:rPr>
              <w:instrText xml:space="preserve"> ADDIN EN.CITE &lt;EndNote&gt;&lt;Cite&gt;&lt;Author&gt;Weber&lt;/Author&gt;&lt;Year&gt;2000&lt;/Year&gt;&lt;RecNum&gt;1616&lt;/RecNum&gt;&lt;DisplayText&gt; (Weber&lt;style face="italic"&gt; et al.&lt;/style&gt;, 2000)&lt;/DisplayText&gt;&lt;record&gt;&lt;rec-number&gt;1616&lt;/rec-number&gt;&lt;foreign-keys&gt;&lt;key app="EN" db-id="drrvazw0t090vlef0e6praxba2d0xwps0wt0" timestamp="1491484661"&gt;1616&lt;/key&gt;&lt;/foreign-keys&gt;&lt;ref-type name="Report"&gt;27&lt;/ref-type&gt;&lt;contributors&gt;&lt;authors&gt;&lt;author&gt;Tina Weber&lt;/author&gt;&lt;author&gt;Foster, Peter&lt;/author&gt;&lt;author&gt;Kursat Levent Egriboz&lt;/author&gt;&lt;/authors&gt;&lt;tertiary-authors&gt;&lt;author&gt;Department of Trade and Industry&lt;/author&gt;&lt;/tertiary-authors&gt;&lt;/contributors&gt;&lt;titles&gt;&lt;title&gt;Cost and Benefits of the European Works Council Directive&lt;/title&gt;&lt;/titles&gt;&lt;dates&gt;&lt;year&gt;2000&lt;/year&gt;&lt;/dates&gt;&lt;pub-location&gt;London&lt;/pub-location&gt;&lt;publisher&gt;Department of Trade and Industry&lt;/publisher&gt;&lt;urls&gt;&lt;related-urls&gt;&lt;url&gt;http://webarchive.nationalarchives.gov.uk/20090609003228/http://www.berr.gov.uk/files/file11620.pdf&lt;/url&gt;&lt;/related-urls&gt;&lt;/urls&gt;&lt;access-date&gt;March 30, 2017&lt;/access-date&gt;&lt;/record&gt;&lt;/Cite&gt;&lt;/EndNote&gt;</w:instrText>
            </w:r>
            <w:r w:rsidRPr="00E55884">
              <w:rPr>
                <w:rFonts w:cstheme="minorHAnsi"/>
                <w:sz w:val="20"/>
                <w:szCs w:val="20"/>
              </w:rPr>
              <w:fldChar w:fldCharType="separate"/>
            </w:r>
            <w:r>
              <w:rPr>
                <w:rFonts w:cstheme="minorHAnsi"/>
                <w:noProof/>
                <w:sz w:val="20"/>
                <w:szCs w:val="20"/>
              </w:rPr>
              <w:t xml:space="preserve"> </w:t>
            </w:r>
            <w:hyperlink w:anchor="_ENREF_19" w:tooltip="Weber, 2000 #1616" w:history="1">
              <w:r w:rsidR="006D11C0">
                <w:rPr>
                  <w:rFonts w:cstheme="minorHAnsi"/>
                  <w:noProof/>
                  <w:sz w:val="20"/>
                  <w:szCs w:val="20"/>
                </w:rPr>
                <w:t>(Weber</w:t>
              </w:r>
              <w:r w:rsidR="006D11C0" w:rsidRPr="00BB4F0A">
                <w:rPr>
                  <w:rFonts w:cstheme="minorHAnsi"/>
                  <w:i/>
                  <w:noProof/>
                  <w:sz w:val="20"/>
                  <w:szCs w:val="20"/>
                </w:rPr>
                <w:t xml:space="preserve"> et al.</w:t>
              </w:r>
              <w:r w:rsidR="006D11C0">
                <w:rPr>
                  <w:rFonts w:cstheme="minorHAnsi"/>
                  <w:noProof/>
                  <w:sz w:val="20"/>
                  <w:szCs w:val="20"/>
                </w:rPr>
                <w:t>, 2000</w:t>
              </w:r>
            </w:hyperlink>
            <w:r>
              <w:rPr>
                <w:rFonts w:cstheme="minorHAnsi"/>
                <w:noProof/>
                <w:sz w:val="20"/>
                <w:szCs w:val="20"/>
              </w:rPr>
              <w:t>)</w:t>
            </w:r>
            <w:r w:rsidRPr="00E55884">
              <w:rPr>
                <w:rFonts w:cstheme="minorHAnsi"/>
                <w:sz w:val="20"/>
                <w:szCs w:val="20"/>
              </w:rPr>
              <w:fldChar w:fldCharType="end"/>
            </w:r>
            <w:r w:rsidR="006137DD">
              <w:rPr>
                <w:rFonts w:cstheme="minorHAnsi"/>
                <w:sz w:val="20"/>
                <w:szCs w:val="20"/>
              </w:rPr>
              <w:t>.</w:t>
            </w:r>
            <w:r>
              <w:rPr>
                <w:rFonts w:cstheme="minorHAnsi"/>
                <w:b/>
                <w:sz w:val="20"/>
                <w:szCs w:val="20"/>
              </w:rPr>
              <w:t xml:space="preserve"> </w:t>
            </w:r>
            <w:r w:rsidRPr="002C4282">
              <w:rPr>
                <w:rFonts w:cstheme="minorHAnsi"/>
                <w:sz w:val="20"/>
                <w:szCs w:val="20"/>
              </w:rPr>
              <w:t xml:space="preserve">None of the companies interviewed had carried out a cost-benefit analysis of their consultation arrangements. The authors </w:t>
            </w:r>
            <w:r>
              <w:rPr>
                <w:rFonts w:cstheme="minorHAnsi"/>
                <w:sz w:val="20"/>
                <w:szCs w:val="20"/>
              </w:rPr>
              <w:t xml:space="preserve">of the study </w:t>
            </w:r>
            <w:r w:rsidRPr="002C4282">
              <w:rPr>
                <w:rFonts w:cstheme="minorHAnsi"/>
                <w:sz w:val="20"/>
                <w:szCs w:val="20"/>
              </w:rPr>
              <w:t>reported “some difficulty in gathering</w:t>
            </w:r>
            <w:r>
              <w:rPr>
                <w:rFonts w:cstheme="minorHAnsi"/>
                <w:sz w:val="20"/>
                <w:szCs w:val="20"/>
              </w:rPr>
              <w:t xml:space="preserve"> </w:t>
            </w:r>
            <w:r w:rsidRPr="002C4282">
              <w:rPr>
                <w:rFonts w:cstheme="minorHAnsi"/>
                <w:sz w:val="20"/>
                <w:szCs w:val="20"/>
              </w:rPr>
              <w:t>information on costs” and noted that “several [business] respondents were not able to provide detailed estimates of costs” (on issues such as management time, all paid time off for employee representatives, administrative costs, dissemination costs)</w:t>
            </w:r>
            <w:r w:rsidRPr="00E55884">
              <w:rPr>
                <w:rFonts w:cstheme="minorHAnsi"/>
                <w:sz w:val="20"/>
                <w:szCs w:val="20"/>
              </w:rPr>
              <w:fldChar w:fldCharType="begin"/>
            </w:r>
            <w:r>
              <w:rPr>
                <w:rFonts w:cstheme="minorHAnsi"/>
                <w:sz w:val="20"/>
                <w:szCs w:val="20"/>
              </w:rPr>
              <w:instrText xml:space="preserve"> ADDIN EN.CITE &lt;EndNote&gt;&lt;Cite&gt;&lt;Author&gt;Weber&lt;/Author&gt;&lt;Year&gt;2000&lt;/Year&gt;&lt;RecNum&gt;1616&lt;/RecNum&gt;&lt;DisplayText&gt; (Weber&lt;style face="italic"&gt; et al.&lt;/style&gt;, 2000)&lt;/DisplayText&gt;&lt;record&gt;&lt;rec-number&gt;1616&lt;/rec-number&gt;&lt;foreign-keys&gt;&lt;key app="EN" db-id="drrvazw0t090vlef0e6praxba2d0xwps0wt0" timestamp="1491484661"&gt;1616&lt;/key&gt;&lt;/foreign-keys&gt;&lt;ref-type name="Report"&gt;27&lt;/ref-type&gt;&lt;contributors&gt;&lt;authors&gt;&lt;author&gt;Tina Weber&lt;/author&gt;&lt;author&gt;Foster, Peter&lt;/author&gt;&lt;author&gt;Kursat Levent Egriboz&lt;/author&gt;&lt;/authors&gt;&lt;tertiary-authors&gt;&lt;author&gt;Department of Trade and Industry&lt;/author&gt;&lt;/tertiary-authors&gt;&lt;/contributors&gt;&lt;titles&gt;&lt;title&gt;Cost and Benefits of the European Works Council Directive&lt;/title&gt;&lt;/titles&gt;&lt;dates&gt;&lt;year&gt;2000&lt;/year&gt;&lt;/dates&gt;&lt;pub-location&gt;London&lt;/pub-location&gt;&lt;publisher&gt;Department of Trade and Industry&lt;/publisher&gt;&lt;urls&gt;&lt;related-urls&gt;&lt;url&gt;http://webarchive.nationalarchives.gov.uk/20090609003228/http://www.berr.gov.uk/files/file11620.pdf&lt;/url&gt;&lt;/related-urls&gt;&lt;/urls&gt;&lt;access-date&gt;March 30, 2017&lt;/access-date&gt;&lt;/record&gt;&lt;/Cite&gt;&lt;/EndNote&gt;</w:instrText>
            </w:r>
            <w:r w:rsidRPr="00E55884">
              <w:rPr>
                <w:rFonts w:cstheme="minorHAnsi"/>
                <w:sz w:val="20"/>
                <w:szCs w:val="20"/>
              </w:rPr>
              <w:fldChar w:fldCharType="separate"/>
            </w:r>
            <w:r>
              <w:rPr>
                <w:rFonts w:cstheme="minorHAnsi"/>
                <w:noProof/>
                <w:sz w:val="20"/>
                <w:szCs w:val="20"/>
              </w:rPr>
              <w:t xml:space="preserve"> </w:t>
            </w:r>
            <w:hyperlink w:anchor="_ENREF_19" w:tooltip="Weber, 2000 #1616" w:history="1">
              <w:r w:rsidR="006D11C0">
                <w:rPr>
                  <w:rFonts w:cstheme="minorHAnsi"/>
                  <w:noProof/>
                  <w:sz w:val="20"/>
                  <w:szCs w:val="20"/>
                </w:rPr>
                <w:t>(Weber</w:t>
              </w:r>
              <w:r w:rsidR="006D11C0" w:rsidRPr="00BB4F0A">
                <w:rPr>
                  <w:rFonts w:cstheme="minorHAnsi"/>
                  <w:i/>
                  <w:noProof/>
                  <w:sz w:val="20"/>
                  <w:szCs w:val="20"/>
                </w:rPr>
                <w:t xml:space="preserve"> et al.</w:t>
              </w:r>
              <w:r w:rsidR="006D11C0">
                <w:rPr>
                  <w:rFonts w:cstheme="minorHAnsi"/>
                  <w:noProof/>
                  <w:sz w:val="20"/>
                  <w:szCs w:val="20"/>
                </w:rPr>
                <w:t>, 2000</w:t>
              </w:r>
            </w:hyperlink>
            <w:r>
              <w:rPr>
                <w:rFonts w:cstheme="minorHAnsi"/>
                <w:noProof/>
                <w:sz w:val="20"/>
                <w:szCs w:val="20"/>
              </w:rPr>
              <w:t>)</w:t>
            </w:r>
            <w:r w:rsidRPr="00E55884">
              <w:rPr>
                <w:rFonts w:cstheme="minorHAnsi"/>
                <w:sz w:val="20"/>
                <w:szCs w:val="20"/>
              </w:rPr>
              <w:fldChar w:fldCharType="end"/>
            </w:r>
            <w:r w:rsidR="006137DD">
              <w:rPr>
                <w:rFonts w:cstheme="minorHAnsi"/>
                <w:sz w:val="20"/>
                <w:szCs w:val="20"/>
              </w:rPr>
              <w:t>.</w:t>
            </w:r>
            <w:r w:rsidRPr="002C4282">
              <w:rPr>
                <w:rFonts w:cstheme="minorHAnsi"/>
                <w:sz w:val="20"/>
                <w:szCs w:val="20"/>
              </w:rPr>
              <w:t xml:space="preserve"> Where </w:t>
            </w:r>
            <w:r>
              <w:rPr>
                <w:rFonts w:cstheme="minorHAnsi"/>
                <w:sz w:val="20"/>
                <w:szCs w:val="20"/>
              </w:rPr>
              <w:t xml:space="preserve">companies could not </w:t>
            </w:r>
            <w:r w:rsidRPr="002C4282">
              <w:rPr>
                <w:rFonts w:cstheme="minorHAnsi"/>
                <w:sz w:val="20"/>
                <w:szCs w:val="20"/>
              </w:rPr>
              <w:t xml:space="preserve">provide detailed estimates of costs, the authors </w:t>
            </w:r>
            <w:r>
              <w:rPr>
                <w:rFonts w:cstheme="minorHAnsi"/>
                <w:sz w:val="20"/>
                <w:szCs w:val="20"/>
              </w:rPr>
              <w:t>constructed their own estimates using figures derived from those companies able to provide such information. Impact assessment estimates of annual running costs (meetings, etc.) and on-recurring costs (e.g. the administration of ballots) were based on this data.</w:t>
            </w:r>
          </w:p>
          <w:p w14:paraId="4FBFC206" w14:textId="77777777" w:rsidR="00644210"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2DD93B7" w14:textId="19C884F3" w:rsidR="00644210" w:rsidRPr="00EC7B04" w:rsidRDefault="00644210" w:rsidP="00ED208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Dynamic effects: </w:t>
            </w:r>
            <w:r>
              <w:rPr>
                <w:rFonts w:cstheme="minorHAnsi"/>
                <w:sz w:val="20"/>
                <w:szCs w:val="20"/>
              </w:rPr>
              <w:t>not explored</w:t>
            </w:r>
          </w:p>
          <w:p w14:paraId="791D62E5" w14:textId="77777777" w:rsidR="00644210" w:rsidRDefault="00644210" w:rsidP="00ED20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8428626" w14:textId="7C385E5D" w:rsidR="00644210" w:rsidRPr="00EC7B04" w:rsidRDefault="00644210" w:rsidP="00ED208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25B0">
              <w:rPr>
                <w:rFonts w:cstheme="minorHAnsi"/>
                <w:b/>
                <w:sz w:val="20"/>
                <w:szCs w:val="20"/>
              </w:rPr>
              <w:t>Assumptions relevant to the rate of compliance:</w:t>
            </w:r>
            <w:r>
              <w:rPr>
                <w:rFonts w:cstheme="minorHAnsi"/>
                <w:b/>
                <w:sz w:val="20"/>
                <w:szCs w:val="20"/>
              </w:rPr>
              <w:t xml:space="preserve"> </w:t>
            </w:r>
            <w:r>
              <w:rPr>
                <w:rFonts w:cstheme="minorHAnsi"/>
                <w:sz w:val="20"/>
                <w:szCs w:val="20"/>
              </w:rPr>
              <w:t>full compliance assumed.</w:t>
            </w:r>
          </w:p>
        </w:tc>
        <w:tc>
          <w:tcPr>
            <w:tcW w:w="4633" w:type="dxa"/>
          </w:tcPr>
          <w:p w14:paraId="21AAC3F7" w14:textId="0F2A07CF"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Summary of sources: </w:t>
            </w:r>
            <w:r w:rsidR="00DF76DC">
              <w:rPr>
                <w:rFonts w:cstheme="minorHAnsi"/>
                <w:sz w:val="20"/>
                <w:szCs w:val="20"/>
              </w:rPr>
              <w:t xml:space="preserve">Official sources included an </w:t>
            </w:r>
            <w:r w:rsidR="00B905E1">
              <w:rPr>
                <w:rFonts w:cstheme="minorHAnsi"/>
                <w:sz w:val="20"/>
                <w:szCs w:val="20"/>
              </w:rPr>
              <w:t>earlier impact assessment</w:t>
            </w:r>
            <w:r w:rsidRPr="00E55884">
              <w:rPr>
                <w:rFonts w:cstheme="minorHAnsi"/>
                <w:sz w:val="20"/>
                <w:szCs w:val="20"/>
              </w:rPr>
              <w:t>, much of the analysis of which was based on a study commissioned by the Department of Trade and Industry (DTI)</w:t>
            </w:r>
            <w:r>
              <w:rPr>
                <w:rFonts w:cstheme="minorHAnsi"/>
                <w:sz w:val="20"/>
                <w:szCs w:val="20"/>
              </w:rPr>
              <w:t xml:space="preserve">, </w:t>
            </w:r>
            <w:r w:rsidR="00DF76DC">
              <w:rPr>
                <w:rFonts w:cstheme="minorHAnsi"/>
                <w:sz w:val="20"/>
                <w:szCs w:val="20"/>
              </w:rPr>
              <w:t xml:space="preserve">which was </w:t>
            </w:r>
            <w:r>
              <w:rPr>
                <w:rFonts w:cstheme="minorHAnsi"/>
                <w:sz w:val="20"/>
                <w:szCs w:val="20"/>
              </w:rPr>
              <w:t>based on business</w:t>
            </w:r>
            <w:r w:rsidR="00DF76DC">
              <w:rPr>
                <w:rFonts w:cstheme="minorHAnsi"/>
                <w:sz w:val="20"/>
                <w:szCs w:val="20"/>
              </w:rPr>
              <w:t xml:space="preserve"> data (see adjacent cell). Data provided by the TUC </w:t>
            </w:r>
            <w:r>
              <w:rPr>
                <w:rFonts w:cstheme="minorHAnsi"/>
                <w:sz w:val="20"/>
                <w:szCs w:val="20"/>
              </w:rPr>
              <w:t>(</w:t>
            </w:r>
            <w:r w:rsidR="00DF76DC">
              <w:rPr>
                <w:rFonts w:cstheme="minorHAnsi"/>
                <w:sz w:val="20"/>
                <w:szCs w:val="20"/>
              </w:rPr>
              <w:t xml:space="preserve">for the </w:t>
            </w:r>
            <w:r>
              <w:rPr>
                <w:rFonts w:cstheme="minorHAnsi"/>
                <w:sz w:val="20"/>
                <w:szCs w:val="20"/>
              </w:rPr>
              <w:t>estimate of number of undertakings affected).</w:t>
            </w:r>
          </w:p>
          <w:p w14:paraId="11C8C7DF" w14:textId="77777777"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2F2CA942" w14:textId="183A9CBE"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34B31">
              <w:rPr>
                <w:rFonts w:cstheme="minorHAnsi"/>
                <w:b/>
                <w:sz w:val="20"/>
                <w:szCs w:val="20"/>
              </w:rPr>
              <w:t>Summary of business views</w:t>
            </w:r>
            <w:r>
              <w:rPr>
                <w:rFonts w:cstheme="minorHAnsi"/>
                <w:b/>
                <w:sz w:val="20"/>
                <w:szCs w:val="20"/>
              </w:rPr>
              <w:t xml:space="preserve">: </w:t>
            </w:r>
            <w:r w:rsidR="00DF76DC">
              <w:rPr>
                <w:rFonts w:cstheme="minorHAnsi"/>
                <w:sz w:val="20"/>
                <w:szCs w:val="20"/>
              </w:rPr>
              <w:t xml:space="preserve">Most </w:t>
            </w:r>
            <w:r>
              <w:rPr>
                <w:rFonts w:cstheme="minorHAnsi"/>
                <w:sz w:val="20"/>
                <w:szCs w:val="20"/>
              </w:rPr>
              <w:t xml:space="preserve">responses to the consultation were </w:t>
            </w:r>
            <w:r w:rsidR="00DF76DC">
              <w:rPr>
                <w:rFonts w:cstheme="minorHAnsi"/>
                <w:sz w:val="20"/>
                <w:szCs w:val="20"/>
              </w:rPr>
              <w:t xml:space="preserve">reported to be </w:t>
            </w:r>
            <w:r>
              <w:rPr>
                <w:rFonts w:cstheme="minorHAnsi"/>
                <w:sz w:val="20"/>
                <w:szCs w:val="20"/>
              </w:rPr>
              <w:t>supportive of the proposal.</w:t>
            </w:r>
          </w:p>
          <w:p w14:paraId="136624E2" w14:textId="50A1B77C" w:rsidR="00644210" w:rsidRDefault="00644210" w:rsidP="00AC6162">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6991062" w14:textId="7EC9803E"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3D4">
              <w:rPr>
                <w:rFonts w:cstheme="minorHAnsi"/>
                <w:b/>
                <w:sz w:val="20"/>
                <w:szCs w:val="20"/>
              </w:rPr>
              <w:t>Effect on estimates</w:t>
            </w:r>
            <w:r>
              <w:rPr>
                <w:rFonts w:cstheme="minorHAnsi"/>
                <w:b/>
                <w:sz w:val="20"/>
                <w:szCs w:val="20"/>
              </w:rPr>
              <w:t xml:space="preserve">: </w:t>
            </w:r>
            <w:r w:rsidR="00B905E1">
              <w:rPr>
                <w:rFonts w:cstheme="minorHAnsi"/>
                <w:sz w:val="20"/>
                <w:szCs w:val="20"/>
              </w:rPr>
              <w:t>See adjacent cell. There was</w:t>
            </w:r>
            <w:r>
              <w:rPr>
                <w:rFonts w:cstheme="minorHAnsi"/>
                <w:sz w:val="20"/>
                <w:szCs w:val="20"/>
              </w:rPr>
              <w:t xml:space="preserve"> no information in either the impact assessment or DTI study to indicate that information provided by business stakeholders were verified.</w:t>
            </w:r>
            <w:r w:rsidR="00FE34AC">
              <w:rPr>
                <w:rFonts w:cstheme="minorHAnsi"/>
                <w:sz w:val="20"/>
                <w:szCs w:val="20"/>
              </w:rPr>
              <w:t xml:space="preserve"> </w:t>
            </w:r>
          </w:p>
          <w:p w14:paraId="7B9FBCA1" w14:textId="61122D20" w:rsidR="00644210"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B211681" w14:textId="491667FA" w:rsidR="00644210" w:rsidRPr="002C4282" w:rsidRDefault="00644210" w:rsidP="00590ED7">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4633" w:type="dxa"/>
          </w:tcPr>
          <w:p w14:paraId="24FB33F3" w14:textId="5CA302BE" w:rsidR="00644210" w:rsidRPr="000A25B2"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Reported Benefits (workers): </w:t>
            </w:r>
            <w:r>
              <w:rPr>
                <w:rFonts w:cstheme="minorHAnsi"/>
                <w:sz w:val="20"/>
                <w:szCs w:val="20"/>
              </w:rPr>
              <w:t>increased staff well-being.</w:t>
            </w:r>
          </w:p>
          <w:p w14:paraId="159C1AF5" w14:textId="20C2D819"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1F4845D9" w14:textId="6277204F" w:rsidR="00644210" w:rsidRDefault="00644210" w:rsidP="006F3AD1">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Reported Benefits (employers):</w:t>
            </w:r>
            <w:r>
              <w:rPr>
                <w:rFonts w:cstheme="minorHAnsi"/>
                <w:sz w:val="20"/>
                <w:szCs w:val="20"/>
              </w:rPr>
              <w:t xml:space="preserve"> m</w:t>
            </w:r>
            <w:r w:rsidRPr="002C4282">
              <w:rPr>
                <w:rFonts w:cstheme="minorHAnsi"/>
                <w:sz w:val="20"/>
                <w:szCs w:val="20"/>
              </w:rPr>
              <w:t>ore effective information a</w:t>
            </w:r>
            <w:r>
              <w:rPr>
                <w:rFonts w:cstheme="minorHAnsi"/>
                <w:sz w:val="20"/>
                <w:szCs w:val="20"/>
              </w:rPr>
              <w:t>nd consultation of employees might</w:t>
            </w:r>
            <w:r w:rsidRPr="002C4282">
              <w:rPr>
                <w:rFonts w:cstheme="minorHAnsi"/>
                <w:sz w:val="20"/>
                <w:szCs w:val="20"/>
              </w:rPr>
              <w:t xml:space="preserve"> increase productivity and reduce staff turnover by demonstrating a positive commitment to employees, increasing co-operation (or </w:t>
            </w:r>
            <w:r>
              <w:rPr>
                <w:rFonts w:cstheme="minorHAnsi"/>
                <w:sz w:val="20"/>
                <w:szCs w:val="20"/>
              </w:rPr>
              <w:t>competition) between workplaces,</w:t>
            </w:r>
            <w:r w:rsidRPr="002C4282">
              <w:rPr>
                <w:rFonts w:cstheme="minorHAnsi"/>
                <w:sz w:val="20"/>
                <w:szCs w:val="20"/>
              </w:rPr>
              <w:t xml:space="preserve"> increasing trust b</w:t>
            </w:r>
            <w:r>
              <w:rPr>
                <w:rFonts w:cstheme="minorHAnsi"/>
                <w:sz w:val="20"/>
                <w:szCs w:val="20"/>
              </w:rPr>
              <w:t>etween employees and management,</w:t>
            </w:r>
            <w:r w:rsidRPr="002C4282">
              <w:rPr>
                <w:rFonts w:cstheme="minorHAnsi"/>
                <w:sz w:val="20"/>
                <w:szCs w:val="20"/>
              </w:rPr>
              <w:t xml:space="preserve"> promoting better employee</w:t>
            </w:r>
            <w:r>
              <w:rPr>
                <w:rFonts w:cstheme="minorHAnsi"/>
                <w:sz w:val="20"/>
                <w:szCs w:val="20"/>
              </w:rPr>
              <w:t xml:space="preserve"> understanding of the business, </w:t>
            </w:r>
            <w:r w:rsidRPr="002C4282">
              <w:rPr>
                <w:rFonts w:cstheme="minorHAnsi"/>
                <w:sz w:val="20"/>
                <w:szCs w:val="20"/>
              </w:rPr>
              <w:t>enhancing management understanding of the impact of restructuring on employees</w:t>
            </w:r>
            <w:r>
              <w:rPr>
                <w:rFonts w:cstheme="minorHAnsi"/>
                <w:sz w:val="20"/>
                <w:szCs w:val="20"/>
              </w:rPr>
              <w:t xml:space="preserve"> (collectively enabling organisations to introduce change and respond more flexibly to ch</w:t>
            </w:r>
            <w:r w:rsidR="00FE34AC">
              <w:rPr>
                <w:rFonts w:cstheme="minorHAnsi"/>
                <w:sz w:val="20"/>
                <w:szCs w:val="20"/>
              </w:rPr>
              <w:t>anges in economic circumstances</w:t>
            </w:r>
            <w:r w:rsidRPr="002C4282">
              <w:rPr>
                <w:rFonts w:cstheme="minorHAnsi"/>
                <w:sz w:val="20"/>
                <w:szCs w:val="20"/>
              </w:rPr>
              <w:t>.</w:t>
            </w:r>
            <w:r>
              <w:rPr>
                <w:rFonts w:cstheme="minorHAnsi"/>
                <w:b/>
                <w:sz w:val="20"/>
                <w:szCs w:val="20"/>
              </w:rPr>
              <w:t xml:space="preserve"> </w:t>
            </w:r>
          </w:p>
          <w:p w14:paraId="6DE903EB" w14:textId="32AC4E41"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C51BBAE" w14:textId="5C7F298B" w:rsidR="00644210" w:rsidRPr="0024564F" w:rsidRDefault="00644210" w:rsidP="006F3AD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Reported Benefits (government): </w:t>
            </w:r>
            <w:r>
              <w:rPr>
                <w:rFonts w:cstheme="minorHAnsi"/>
                <w:sz w:val="20"/>
                <w:szCs w:val="20"/>
              </w:rPr>
              <w:t>increased revenue (from higher output) and lower unemployment in so far as effective functioning of European Work Councils lead to less resistance to change that would facilitate more rapid adjustment in the economy.</w:t>
            </w:r>
          </w:p>
          <w:p w14:paraId="1742E4D7" w14:textId="77777777" w:rsidR="00644210" w:rsidRPr="006F3AD1"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404C2F3" w14:textId="75AC1F83" w:rsidR="00644210" w:rsidRPr="0024564F"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 xml:space="preserve">Non-reported benefits: </w:t>
            </w:r>
            <w:r>
              <w:rPr>
                <w:rFonts w:cstheme="minorHAnsi"/>
                <w:sz w:val="20"/>
                <w:szCs w:val="20"/>
              </w:rPr>
              <w:t>none.</w:t>
            </w:r>
          </w:p>
          <w:p w14:paraId="3FD5B09D" w14:textId="77777777" w:rsidR="00644210" w:rsidRDefault="00644210" w:rsidP="00B96D43">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0E94A1B5" w14:textId="0F8C995C" w:rsidR="00644210" w:rsidRPr="0024564F" w:rsidRDefault="00644210" w:rsidP="00E64B6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sz w:val="20"/>
                <w:szCs w:val="20"/>
              </w:rPr>
              <w:t>Non-monetised benefits (workers, employers, government):</w:t>
            </w:r>
            <w:r>
              <w:rPr>
                <w:rFonts w:cstheme="minorHAnsi"/>
                <w:sz w:val="20"/>
                <w:szCs w:val="20"/>
              </w:rPr>
              <w:t xml:space="preserve"> no reported benefits were monetised, the impact assessment reported that it would “not be possible to separate out and quantify the specific effects of European Work Councils”</w:t>
            </w:r>
            <w:r w:rsidRPr="002C4282">
              <w:rPr>
                <w:rFonts w:cstheme="minorHAnsi"/>
                <w:sz w:val="20"/>
                <w:szCs w:val="20"/>
              </w:rPr>
              <w:t>.</w:t>
            </w:r>
          </w:p>
        </w:tc>
      </w:tr>
    </w:tbl>
    <w:p w14:paraId="6939ADE9" w14:textId="77777777" w:rsidR="009B6065" w:rsidRPr="001C3290" w:rsidRDefault="009B6065" w:rsidP="009B6065">
      <w:pPr>
        <w:rPr>
          <w:rFonts w:cstheme="minorHAnsi"/>
        </w:rPr>
      </w:pPr>
    </w:p>
    <w:p w14:paraId="3982B1C7" w14:textId="77777777" w:rsidR="00590ED7" w:rsidRPr="00590ED7" w:rsidRDefault="00590ED7" w:rsidP="00590ED7">
      <w:pPr>
        <w:pStyle w:val="EndNoteBibliographyTitle"/>
      </w:pPr>
      <w:r w:rsidRPr="00590ED7">
        <w:t>References</w:t>
      </w:r>
    </w:p>
    <w:p w14:paraId="65EAEDBE" w14:textId="77777777" w:rsidR="00590ED7" w:rsidRPr="00590ED7" w:rsidRDefault="00590ED7" w:rsidP="00590ED7">
      <w:pPr>
        <w:pStyle w:val="EndNoteBibliographyTitle"/>
      </w:pPr>
    </w:p>
    <w:p w14:paraId="00AF72AF" w14:textId="77777777" w:rsidR="00590ED7" w:rsidRPr="00590ED7" w:rsidRDefault="00590ED7" w:rsidP="00590ED7">
      <w:pPr>
        <w:pStyle w:val="EndNoteBibliography"/>
        <w:spacing w:after="0"/>
        <w:ind w:left="720" w:hanging="720"/>
      </w:pPr>
      <w:r w:rsidRPr="00590ED7">
        <w:t>1.</w:t>
      </w:r>
      <w:r w:rsidRPr="00590ED7">
        <w:tab/>
        <w:t xml:space="preserve">Department of Business Innovation and Skills, </w:t>
      </w:r>
      <w:r w:rsidRPr="00590ED7">
        <w:rPr>
          <w:i/>
        </w:rPr>
        <w:t>Impact Assessment of the European Parliament and of the Council Directive on working conditions for temporary agency workers</w:t>
      </w:r>
      <w:r w:rsidRPr="00590ED7">
        <w:t>. 2010, Department of Business, Innovation and Skills: London.</w:t>
      </w:r>
    </w:p>
    <w:p w14:paraId="65CF6330" w14:textId="77777777" w:rsidR="00590ED7" w:rsidRPr="00590ED7" w:rsidRDefault="00590ED7" w:rsidP="00590ED7">
      <w:pPr>
        <w:pStyle w:val="EndNoteBibliography"/>
        <w:spacing w:after="0"/>
        <w:ind w:left="720" w:hanging="720"/>
      </w:pPr>
      <w:r w:rsidRPr="00590ED7">
        <w:t>2.</w:t>
      </w:r>
      <w:r w:rsidRPr="00590ED7">
        <w:tab/>
        <w:t xml:space="preserve">Department for Transport, </w:t>
      </w:r>
      <w:r w:rsidRPr="00590ED7">
        <w:rPr>
          <w:i/>
        </w:rPr>
        <w:t>Final Regulatory Impact Assessment for the Road Transport (Working Time) Regulations</w:t>
      </w:r>
      <w:r w:rsidRPr="00590ED7">
        <w:t>. 2002, Department for Transport: London.</w:t>
      </w:r>
    </w:p>
    <w:p w14:paraId="601D0A71" w14:textId="77777777" w:rsidR="00590ED7" w:rsidRPr="00590ED7" w:rsidRDefault="00590ED7" w:rsidP="00590ED7">
      <w:pPr>
        <w:pStyle w:val="EndNoteBibliography"/>
        <w:spacing w:after="0"/>
        <w:ind w:left="720" w:hanging="720"/>
      </w:pPr>
      <w:r w:rsidRPr="00590ED7">
        <w:t>3.</w:t>
      </w:r>
      <w:r w:rsidRPr="00590ED7">
        <w:tab/>
        <w:t xml:space="preserve">Department for Transport, </w:t>
      </w:r>
      <w:r w:rsidRPr="00590ED7">
        <w:rPr>
          <w:i/>
        </w:rPr>
        <w:t>The Road Transport (Working Time) Amendment Regulations 2012</w:t>
      </w:r>
      <w:r w:rsidRPr="00590ED7">
        <w:t>. 2011, Department for Transport: London.</w:t>
      </w:r>
    </w:p>
    <w:p w14:paraId="55268CD5" w14:textId="77777777" w:rsidR="00590ED7" w:rsidRPr="00590ED7" w:rsidRDefault="00590ED7" w:rsidP="00590ED7">
      <w:pPr>
        <w:pStyle w:val="EndNoteBibliography"/>
        <w:spacing w:after="0"/>
        <w:ind w:left="720" w:hanging="720"/>
      </w:pPr>
      <w:r w:rsidRPr="00590ED7">
        <w:t>4.</w:t>
      </w:r>
      <w:r w:rsidRPr="00590ED7">
        <w:tab/>
        <w:t xml:space="preserve">Health and Safety Executive, </w:t>
      </w:r>
      <w:r w:rsidRPr="00590ED7">
        <w:rPr>
          <w:i/>
        </w:rPr>
        <w:t>Construction (Design and Management) Regulations 2015 (CDM 2015)</w:t>
      </w:r>
      <w:r w:rsidRPr="00590ED7">
        <w:t>. 2014, HSE: London.</w:t>
      </w:r>
    </w:p>
    <w:p w14:paraId="42F5A3EA" w14:textId="77777777" w:rsidR="00590ED7" w:rsidRPr="00590ED7" w:rsidRDefault="00590ED7" w:rsidP="00590ED7">
      <w:pPr>
        <w:pStyle w:val="EndNoteBibliography"/>
        <w:spacing w:after="0"/>
        <w:ind w:left="720" w:hanging="720"/>
      </w:pPr>
      <w:r w:rsidRPr="00590ED7">
        <w:t>5.</w:t>
      </w:r>
      <w:r w:rsidRPr="00590ED7">
        <w:tab/>
        <w:t xml:space="preserve">Department for Business Enterprise and Regulatory Reform, </w:t>
      </w:r>
      <w:r w:rsidRPr="00590ED7">
        <w:rPr>
          <w:i/>
        </w:rPr>
        <w:t>Agency working in the UK: A review of the evidence</w:t>
      </w:r>
      <w:r w:rsidRPr="00590ED7">
        <w:t>. 2008, Department for Business Enterprise and Regulatory Reform: London.</w:t>
      </w:r>
    </w:p>
    <w:p w14:paraId="649E2E5C" w14:textId="77777777" w:rsidR="00590ED7" w:rsidRPr="00590ED7" w:rsidRDefault="00590ED7" w:rsidP="00590ED7">
      <w:pPr>
        <w:pStyle w:val="EndNoteBibliography"/>
        <w:spacing w:after="0"/>
        <w:ind w:left="720" w:hanging="720"/>
      </w:pPr>
      <w:r w:rsidRPr="00590ED7">
        <w:t>6.</w:t>
      </w:r>
      <w:r w:rsidRPr="00590ED7">
        <w:tab/>
        <w:t xml:space="preserve">Honey, S., et al., </w:t>
      </w:r>
      <w:r w:rsidRPr="00590ED7">
        <w:rPr>
          <w:i/>
        </w:rPr>
        <w:t>The Costs and Benefits of the Noise at Work Regulations 1989</w:t>
      </w:r>
      <w:r w:rsidRPr="00590ED7">
        <w:t>. 1996, Health and Safety Executive: Norwich.</w:t>
      </w:r>
    </w:p>
    <w:p w14:paraId="23655DE9" w14:textId="77777777" w:rsidR="00590ED7" w:rsidRPr="00590ED7" w:rsidRDefault="00590ED7" w:rsidP="00590ED7">
      <w:pPr>
        <w:pStyle w:val="EndNoteBibliography"/>
        <w:spacing w:after="0"/>
        <w:ind w:left="720" w:hanging="720"/>
      </w:pPr>
      <w:r w:rsidRPr="00590ED7">
        <w:t>7.</w:t>
      </w:r>
      <w:r w:rsidRPr="00590ED7">
        <w:tab/>
        <w:t xml:space="preserve">Health and Safety Executive, </w:t>
      </w:r>
      <w:r w:rsidRPr="00590ED7">
        <w:rPr>
          <w:i/>
        </w:rPr>
        <w:t>Impact Assessment: Control of Asbestos Regulations</w:t>
      </w:r>
      <w:r w:rsidRPr="00590ED7">
        <w:t>. 2011, HSE: London.</w:t>
      </w:r>
    </w:p>
    <w:p w14:paraId="02D068FF" w14:textId="77777777" w:rsidR="00590ED7" w:rsidRPr="00590ED7" w:rsidRDefault="00590ED7" w:rsidP="00590ED7">
      <w:pPr>
        <w:pStyle w:val="EndNoteBibliography"/>
        <w:spacing w:after="0"/>
        <w:ind w:left="720" w:hanging="720"/>
      </w:pPr>
      <w:r w:rsidRPr="00590ED7">
        <w:t>8.</w:t>
      </w:r>
      <w:r w:rsidRPr="00590ED7">
        <w:tab/>
        <w:t xml:space="preserve">Health and Safety Executive, </w:t>
      </w:r>
      <w:r w:rsidRPr="00590ED7">
        <w:rPr>
          <w:i/>
        </w:rPr>
        <w:t>Final Regulatory Impact Assessment for Control of Substances Hazardous to Health (Amendment) Rgulations 2004</w:t>
      </w:r>
      <w:r w:rsidRPr="00590ED7">
        <w:t>. 2003, Health and Safety Executive: London.</w:t>
      </w:r>
    </w:p>
    <w:p w14:paraId="1058BEB4" w14:textId="77777777" w:rsidR="00590ED7" w:rsidRPr="00590ED7" w:rsidRDefault="00590ED7" w:rsidP="00590ED7">
      <w:pPr>
        <w:pStyle w:val="EndNoteBibliography"/>
        <w:spacing w:after="0"/>
        <w:ind w:left="720" w:hanging="720"/>
      </w:pPr>
      <w:r w:rsidRPr="00590ED7">
        <w:t>9.</w:t>
      </w:r>
      <w:r w:rsidRPr="00590ED7">
        <w:tab/>
        <w:t xml:space="preserve">Weber, T., P. Foster, and K.L. Egriboz, </w:t>
      </w:r>
      <w:r w:rsidRPr="00590ED7">
        <w:rPr>
          <w:i/>
        </w:rPr>
        <w:t>Cost and Benefits of the European Works Council Directive</w:t>
      </w:r>
      <w:r w:rsidRPr="00590ED7">
        <w:t>. 2000, Department of Trade and Industry: London.</w:t>
      </w:r>
    </w:p>
    <w:p w14:paraId="3798BE7C" w14:textId="77777777" w:rsidR="00590ED7" w:rsidRPr="00590ED7" w:rsidRDefault="00590ED7" w:rsidP="00590ED7">
      <w:pPr>
        <w:pStyle w:val="EndNoteBibliography"/>
        <w:spacing w:after="0"/>
        <w:ind w:left="720" w:hanging="720"/>
      </w:pPr>
      <w:r w:rsidRPr="00590ED7">
        <w:t>10.</w:t>
      </w:r>
      <w:r w:rsidRPr="00590ED7">
        <w:tab/>
        <w:t xml:space="preserve">Department of Business Innovation and Skills, </w:t>
      </w:r>
      <w:r w:rsidRPr="00590ED7">
        <w:rPr>
          <w:i/>
        </w:rPr>
        <w:t>Impact Assessment: Implementation of the Recast European Works Council Directives</w:t>
      </w:r>
      <w:r w:rsidRPr="00590ED7">
        <w:t>. 2010, Department of Business, Innovation and Skills: London.</w:t>
      </w:r>
    </w:p>
    <w:p w14:paraId="79D06346" w14:textId="77777777" w:rsidR="00590ED7" w:rsidRPr="00590ED7" w:rsidRDefault="00590ED7" w:rsidP="00590ED7">
      <w:pPr>
        <w:pStyle w:val="EndNoteBibliography"/>
        <w:ind w:left="720" w:hanging="720"/>
      </w:pPr>
      <w:r w:rsidRPr="00590ED7">
        <w:t>11.</w:t>
      </w:r>
      <w:r w:rsidRPr="00590ED7">
        <w:tab/>
        <w:t xml:space="preserve">Department of Trade and Industry, </w:t>
      </w:r>
      <w:r w:rsidRPr="00590ED7">
        <w:rPr>
          <w:i/>
        </w:rPr>
        <w:t>1999 Compendium of Regulatory Impact Assessments</w:t>
      </w:r>
      <w:r w:rsidRPr="00590ED7">
        <w:t>. 2006, DTI: London.</w:t>
      </w:r>
    </w:p>
    <w:p w14:paraId="556AC575" w14:textId="4EE389F4" w:rsidR="009B6065" w:rsidRDefault="009B6065"/>
    <w:sectPr w:rsidR="009B6065" w:rsidSect="004B59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244D" w14:textId="77777777" w:rsidR="00DA5E59" w:rsidRDefault="00DA5E59" w:rsidP="00957A02">
      <w:pPr>
        <w:spacing w:after="0" w:line="240" w:lineRule="auto"/>
      </w:pPr>
      <w:r>
        <w:separator/>
      </w:r>
    </w:p>
  </w:endnote>
  <w:endnote w:type="continuationSeparator" w:id="0">
    <w:p w14:paraId="22001F3D" w14:textId="77777777" w:rsidR="00DA5E59" w:rsidRDefault="00DA5E59" w:rsidP="0095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F40C2" w14:textId="77777777" w:rsidR="00DA5E59" w:rsidRDefault="00DA5E59" w:rsidP="00957A02">
      <w:pPr>
        <w:spacing w:after="0" w:line="240" w:lineRule="auto"/>
      </w:pPr>
      <w:r>
        <w:separator/>
      </w:r>
    </w:p>
  </w:footnote>
  <w:footnote w:type="continuationSeparator" w:id="0">
    <w:p w14:paraId="04CD568D" w14:textId="77777777" w:rsidR="00DA5E59" w:rsidRDefault="00DA5E59" w:rsidP="0095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BDC"/>
    <w:multiLevelType w:val="multilevel"/>
    <w:tmpl w:val="116CE3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2B725E"/>
    <w:multiLevelType w:val="hybridMultilevel"/>
    <w:tmpl w:val="9BB4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566FE"/>
    <w:multiLevelType w:val="multilevel"/>
    <w:tmpl w:val="EF763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CC084C"/>
    <w:multiLevelType w:val="multilevel"/>
    <w:tmpl w:val="2C1C7B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0"/>
  </w:num>
  <w:num w:numId="4">
    <w:abstractNumId w:val="3"/>
  </w:num>
  <w:num w:numId="5">
    <w:abstractNumId w:val="3"/>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Social Polic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rrvazw0t090vlef0e6praxba2d0xwps0wt0&quot;&gt;Better Regulation&lt;record-ids&gt;&lt;item&gt;1385&lt;/item&gt;&lt;item&gt;1614&lt;/item&gt;&lt;item&gt;1616&lt;/item&gt;&lt;item&gt;1617&lt;/item&gt;&lt;item&gt;1618&lt;/item&gt;&lt;item&gt;1619&lt;/item&gt;&lt;item&gt;1625&lt;/item&gt;&lt;item&gt;1627&lt;/item&gt;&lt;item&gt;1628&lt;/item&gt;&lt;item&gt;1629&lt;/item&gt;&lt;item&gt;1631&lt;/item&gt;&lt;item&gt;1634&lt;/item&gt;&lt;item&gt;1640&lt;/item&gt;&lt;item&gt;1641&lt;/item&gt;&lt;item&gt;1642&lt;/item&gt;&lt;item&gt;1644&lt;/item&gt;&lt;item&gt;1645&lt;/item&gt;&lt;item&gt;1648&lt;/item&gt;&lt;item&gt;1649&lt;/item&gt;&lt;/record-ids&gt;&lt;/item&gt;&lt;/Libraries&gt;"/>
  </w:docVars>
  <w:rsids>
    <w:rsidRoot w:val="004B59C8"/>
    <w:rsid w:val="00000141"/>
    <w:rsid w:val="00000A5E"/>
    <w:rsid w:val="00000B23"/>
    <w:rsid w:val="000011FF"/>
    <w:rsid w:val="000013EF"/>
    <w:rsid w:val="000060BE"/>
    <w:rsid w:val="00011C0C"/>
    <w:rsid w:val="00015DF9"/>
    <w:rsid w:val="000279EC"/>
    <w:rsid w:val="0003305C"/>
    <w:rsid w:val="0004672C"/>
    <w:rsid w:val="00047D3A"/>
    <w:rsid w:val="00052193"/>
    <w:rsid w:val="00052D4C"/>
    <w:rsid w:val="0006341B"/>
    <w:rsid w:val="00067085"/>
    <w:rsid w:val="00074F69"/>
    <w:rsid w:val="00076B99"/>
    <w:rsid w:val="00077141"/>
    <w:rsid w:val="0008349B"/>
    <w:rsid w:val="000901A1"/>
    <w:rsid w:val="000908E3"/>
    <w:rsid w:val="000A1262"/>
    <w:rsid w:val="000A25B2"/>
    <w:rsid w:val="000A3AF9"/>
    <w:rsid w:val="000A3FF1"/>
    <w:rsid w:val="000A443C"/>
    <w:rsid w:val="000A7561"/>
    <w:rsid w:val="000B159E"/>
    <w:rsid w:val="000B2F40"/>
    <w:rsid w:val="000B4756"/>
    <w:rsid w:val="000B6898"/>
    <w:rsid w:val="000C5A45"/>
    <w:rsid w:val="000D56AA"/>
    <w:rsid w:val="000E181A"/>
    <w:rsid w:val="000E4129"/>
    <w:rsid w:val="000E4708"/>
    <w:rsid w:val="000E51F3"/>
    <w:rsid w:val="000F0ED1"/>
    <w:rsid w:val="00134393"/>
    <w:rsid w:val="00143C7F"/>
    <w:rsid w:val="001462A0"/>
    <w:rsid w:val="00150852"/>
    <w:rsid w:val="001509C1"/>
    <w:rsid w:val="00152BE4"/>
    <w:rsid w:val="00153491"/>
    <w:rsid w:val="00156233"/>
    <w:rsid w:val="00162C0F"/>
    <w:rsid w:val="00164352"/>
    <w:rsid w:val="00170B58"/>
    <w:rsid w:val="0017741B"/>
    <w:rsid w:val="001936EA"/>
    <w:rsid w:val="001B0E37"/>
    <w:rsid w:val="001B3C5F"/>
    <w:rsid w:val="001B5AD0"/>
    <w:rsid w:val="001C3290"/>
    <w:rsid w:val="001C3A7F"/>
    <w:rsid w:val="001C590C"/>
    <w:rsid w:val="001E0CCE"/>
    <w:rsid w:val="001F18B0"/>
    <w:rsid w:val="001F52E6"/>
    <w:rsid w:val="00205598"/>
    <w:rsid w:val="002058B4"/>
    <w:rsid w:val="00211C68"/>
    <w:rsid w:val="0021559E"/>
    <w:rsid w:val="00231A52"/>
    <w:rsid w:val="00235A43"/>
    <w:rsid w:val="0024564F"/>
    <w:rsid w:val="002503CB"/>
    <w:rsid w:val="00252887"/>
    <w:rsid w:val="00260B2F"/>
    <w:rsid w:val="00261692"/>
    <w:rsid w:val="002708F2"/>
    <w:rsid w:val="00272C25"/>
    <w:rsid w:val="00275078"/>
    <w:rsid w:val="0028070A"/>
    <w:rsid w:val="002873F1"/>
    <w:rsid w:val="00297DAB"/>
    <w:rsid w:val="002B36DE"/>
    <w:rsid w:val="002C29B6"/>
    <w:rsid w:val="002C4282"/>
    <w:rsid w:val="002C6D30"/>
    <w:rsid w:val="002D24BB"/>
    <w:rsid w:val="002D533A"/>
    <w:rsid w:val="002D6AB2"/>
    <w:rsid w:val="002E2FF1"/>
    <w:rsid w:val="00301A5F"/>
    <w:rsid w:val="00306684"/>
    <w:rsid w:val="00310130"/>
    <w:rsid w:val="00313D87"/>
    <w:rsid w:val="003153AD"/>
    <w:rsid w:val="0032206F"/>
    <w:rsid w:val="00322FCB"/>
    <w:rsid w:val="00325BFB"/>
    <w:rsid w:val="00326875"/>
    <w:rsid w:val="00341147"/>
    <w:rsid w:val="00361334"/>
    <w:rsid w:val="00370A49"/>
    <w:rsid w:val="003855B6"/>
    <w:rsid w:val="003862B0"/>
    <w:rsid w:val="00386955"/>
    <w:rsid w:val="00397D31"/>
    <w:rsid w:val="003B6AFB"/>
    <w:rsid w:val="003C4AC2"/>
    <w:rsid w:val="003D1A55"/>
    <w:rsid w:val="003D6E9F"/>
    <w:rsid w:val="003E2611"/>
    <w:rsid w:val="003F74F1"/>
    <w:rsid w:val="00405FEE"/>
    <w:rsid w:val="00406497"/>
    <w:rsid w:val="00412423"/>
    <w:rsid w:val="00416B34"/>
    <w:rsid w:val="00432DFF"/>
    <w:rsid w:val="00436B28"/>
    <w:rsid w:val="00451332"/>
    <w:rsid w:val="00454CAD"/>
    <w:rsid w:val="00461912"/>
    <w:rsid w:val="00462652"/>
    <w:rsid w:val="00470058"/>
    <w:rsid w:val="0047425F"/>
    <w:rsid w:val="00477401"/>
    <w:rsid w:val="00480327"/>
    <w:rsid w:val="004842C3"/>
    <w:rsid w:val="00485F69"/>
    <w:rsid w:val="00487C87"/>
    <w:rsid w:val="00490392"/>
    <w:rsid w:val="004904D9"/>
    <w:rsid w:val="00493DA9"/>
    <w:rsid w:val="004A0EF1"/>
    <w:rsid w:val="004A3AAD"/>
    <w:rsid w:val="004A57C6"/>
    <w:rsid w:val="004A716B"/>
    <w:rsid w:val="004B59C8"/>
    <w:rsid w:val="004B781E"/>
    <w:rsid w:val="004C4343"/>
    <w:rsid w:val="004C5E92"/>
    <w:rsid w:val="004D56FE"/>
    <w:rsid w:val="004D7E0F"/>
    <w:rsid w:val="004E05AF"/>
    <w:rsid w:val="004E1837"/>
    <w:rsid w:val="004E24EA"/>
    <w:rsid w:val="004E25B0"/>
    <w:rsid w:val="004E702E"/>
    <w:rsid w:val="004F4BC4"/>
    <w:rsid w:val="004F5DD9"/>
    <w:rsid w:val="00501568"/>
    <w:rsid w:val="00523A76"/>
    <w:rsid w:val="0052618C"/>
    <w:rsid w:val="0052729D"/>
    <w:rsid w:val="0052796C"/>
    <w:rsid w:val="00530E4E"/>
    <w:rsid w:val="0053107C"/>
    <w:rsid w:val="00531CC8"/>
    <w:rsid w:val="005433E0"/>
    <w:rsid w:val="00543DE1"/>
    <w:rsid w:val="005443E5"/>
    <w:rsid w:val="00547FDF"/>
    <w:rsid w:val="005624A5"/>
    <w:rsid w:val="005644BE"/>
    <w:rsid w:val="00572DC6"/>
    <w:rsid w:val="005760CD"/>
    <w:rsid w:val="005831C4"/>
    <w:rsid w:val="00590ED7"/>
    <w:rsid w:val="005A0A9F"/>
    <w:rsid w:val="005A26D1"/>
    <w:rsid w:val="005A5CDB"/>
    <w:rsid w:val="005B1D07"/>
    <w:rsid w:val="005B6DC0"/>
    <w:rsid w:val="005C694D"/>
    <w:rsid w:val="005C7799"/>
    <w:rsid w:val="005E5DF5"/>
    <w:rsid w:val="005F6FB2"/>
    <w:rsid w:val="0060170D"/>
    <w:rsid w:val="006022D7"/>
    <w:rsid w:val="006029C8"/>
    <w:rsid w:val="00602A4C"/>
    <w:rsid w:val="00602C70"/>
    <w:rsid w:val="00602F1C"/>
    <w:rsid w:val="00606D3F"/>
    <w:rsid w:val="00607B4D"/>
    <w:rsid w:val="006137DD"/>
    <w:rsid w:val="00621413"/>
    <w:rsid w:val="00634231"/>
    <w:rsid w:val="0063722A"/>
    <w:rsid w:val="006378AD"/>
    <w:rsid w:val="006417C2"/>
    <w:rsid w:val="00643495"/>
    <w:rsid w:val="00644210"/>
    <w:rsid w:val="00644666"/>
    <w:rsid w:val="00654F67"/>
    <w:rsid w:val="006663B7"/>
    <w:rsid w:val="0068445F"/>
    <w:rsid w:val="00684C38"/>
    <w:rsid w:val="006922F0"/>
    <w:rsid w:val="00692FC4"/>
    <w:rsid w:val="00695E4F"/>
    <w:rsid w:val="006A36F4"/>
    <w:rsid w:val="006A5DE1"/>
    <w:rsid w:val="006A7831"/>
    <w:rsid w:val="006B12AB"/>
    <w:rsid w:val="006B2590"/>
    <w:rsid w:val="006C12DA"/>
    <w:rsid w:val="006C51DA"/>
    <w:rsid w:val="006D0C5C"/>
    <w:rsid w:val="006D11C0"/>
    <w:rsid w:val="006E0797"/>
    <w:rsid w:val="006E0CCF"/>
    <w:rsid w:val="006E212C"/>
    <w:rsid w:val="006F3AD1"/>
    <w:rsid w:val="00702B97"/>
    <w:rsid w:val="00706142"/>
    <w:rsid w:val="007221D5"/>
    <w:rsid w:val="0072322D"/>
    <w:rsid w:val="00731A30"/>
    <w:rsid w:val="00733910"/>
    <w:rsid w:val="00741DD6"/>
    <w:rsid w:val="00741F5D"/>
    <w:rsid w:val="00767155"/>
    <w:rsid w:val="00767222"/>
    <w:rsid w:val="007715C1"/>
    <w:rsid w:val="0077313C"/>
    <w:rsid w:val="00774A5A"/>
    <w:rsid w:val="00781399"/>
    <w:rsid w:val="007842BF"/>
    <w:rsid w:val="0078751F"/>
    <w:rsid w:val="007A0393"/>
    <w:rsid w:val="007B07AE"/>
    <w:rsid w:val="007B5ECE"/>
    <w:rsid w:val="007B6D38"/>
    <w:rsid w:val="007C2EA9"/>
    <w:rsid w:val="007C43DB"/>
    <w:rsid w:val="007C7485"/>
    <w:rsid w:val="007E1952"/>
    <w:rsid w:val="007F1F28"/>
    <w:rsid w:val="007F265D"/>
    <w:rsid w:val="00805CED"/>
    <w:rsid w:val="008079BB"/>
    <w:rsid w:val="00807B49"/>
    <w:rsid w:val="0081253E"/>
    <w:rsid w:val="00812A60"/>
    <w:rsid w:val="00813070"/>
    <w:rsid w:val="008158C6"/>
    <w:rsid w:val="00823194"/>
    <w:rsid w:val="00830DFD"/>
    <w:rsid w:val="008346DE"/>
    <w:rsid w:val="008360AE"/>
    <w:rsid w:val="00852267"/>
    <w:rsid w:val="00856129"/>
    <w:rsid w:val="00863538"/>
    <w:rsid w:val="00864911"/>
    <w:rsid w:val="00865E2C"/>
    <w:rsid w:val="00875E2F"/>
    <w:rsid w:val="008A5F03"/>
    <w:rsid w:val="008A640E"/>
    <w:rsid w:val="008A68B5"/>
    <w:rsid w:val="008B6DF1"/>
    <w:rsid w:val="008C6AD2"/>
    <w:rsid w:val="008D0661"/>
    <w:rsid w:val="008E07D9"/>
    <w:rsid w:val="008E70CD"/>
    <w:rsid w:val="009003BC"/>
    <w:rsid w:val="00900A0F"/>
    <w:rsid w:val="009045CB"/>
    <w:rsid w:val="0091026B"/>
    <w:rsid w:val="009152B8"/>
    <w:rsid w:val="009208A8"/>
    <w:rsid w:val="00921199"/>
    <w:rsid w:val="009229D3"/>
    <w:rsid w:val="009274F0"/>
    <w:rsid w:val="009317A9"/>
    <w:rsid w:val="009338FC"/>
    <w:rsid w:val="00953A45"/>
    <w:rsid w:val="009546DA"/>
    <w:rsid w:val="00957A02"/>
    <w:rsid w:val="00962530"/>
    <w:rsid w:val="009625C7"/>
    <w:rsid w:val="00972A13"/>
    <w:rsid w:val="009878C1"/>
    <w:rsid w:val="00995DB4"/>
    <w:rsid w:val="009A0619"/>
    <w:rsid w:val="009A62A2"/>
    <w:rsid w:val="009A77DE"/>
    <w:rsid w:val="009B2204"/>
    <w:rsid w:val="009B2B8F"/>
    <w:rsid w:val="009B6065"/>
    <w:rsid w:val="009C4032"/>
    <w:rsid w:val="009C4ED8"/>
    <w:rsid w:val="009C70E6"/>
    <w:rsid w:val="009D1F7C"/>
    <w:rsid w:val="009D2423"/>
    <w:rsid w:val="009E0AF4"/>
    <w:rsid w:val="009E13D4"/>
    <w:rsid w:val="009E1B35"/>
    <w:rsid w:val="009F44AD"/>
    <w:rsid w:val="00A12E0C"/>
    <w:rsid w:val="00A208DA"/>
    <w:rsid w:val="00A238D5"/>
    <w:rsid w:val="00A35BAD"/>
    <w:rsid w:val="00A3608E"/>
    <w:rsid w:val="00A45A33"/>
    <w:rsid w:val="00A513B0"/>
    <w:rsid w:val="00A57673"/>
    <w:rsid w:val="00A65E95"/>
    <w:rsid w:val="00A6693A"/>
    <w:rsid w:val="00A67E81"/>
    <w:rsid w:val="00A75EF9"/>
    <w:rsid w:val="00A824F4"/>
    <w:rsid w:val="00A85173"/>
    <w:rsid w:val="00A95306"/>
    <w:rsid w:val="00A966A2"/>
    <w:rsid w:val="00AB627F"/>
    <w:rsid w:val="00AC1A0F"/>
    <w:rsid w:val="00AC6162"/>
    <w:rsid w:val="00AC65BF"/>
    <w:rsid w:val="00AE019B"/>
    <w:rsid w:val="00AE1693"/>
    <w:rsid w:val="00AE1BC9"/>
    <w:rsid w:val="00AF1963"/>
    <w:rsid w:val="00AF5AC7"/>
    <w:rsid w:val="00AF643F"/>
    <w:rsid w:val="00AF6645"/>
    <w:rsid w:val="00B01F01"/>
    <w:rsid w:val="00B10B4E"/>
    <w:rsid w:val="00B178F1"/>
    <w:rsid w:val="00B258BE"/>
    <w:rsid w:val="00B270D2"/>
    <w:rsid w:val="00B34B31"/>
    <w:rsid w:val="00B34DC0"/>
    <w:rsid w:val="00B368AB"/>
    <w:rsid w:val="00B37E03"/>
    <w:rsid w:val="00B6359A"/>
    <w:rsid w:val="00B731AC"/>
    <w:rsid w:val="00B74F63"/>
    <w:rsid w:val="00B7661D"/>
    <w:rsid w:val="00B76BAA"/>
    <w:rsid w:val="00B77C17"/>
    <w:rsid w:val="00B80873"/>
    <w:rsid w:val="00B905E1"/>
    <w:rsid w:val="00B91726"/>
    <w:rsid w:val="00B92B65"/>
    <w:rsid w:val="00B96D43"/>
    <w:rsid w:val="00B96D47"/>
    <w:rsid w:val="00B97ED0"/>
    <w:rsid w:val="00BB0030"/>
    <w:rsid w:val="00BB3E5D"/>
    <w:rsid w:val="00BB4F0A"/>
    <w:rsid w:val="00BB7187"/>
    <w:rsid w:val="00BC002E"/>
    <w:rsid w:val="00BC1E55"/>
    <w:rsid w:val="00BC3FA4"/>
    <w:rsid w:val="00BD181E"/>
    <w:rsid w:val="00BD7C94"/>
    <w:rsid w:val="00BD7D9D"/>
    <w:rsid w:val="00BE2257"/>
    <w:rsid w:val="00BF6BBD"/>
    <w:rsid w:val="00BF7626"/>
    <w:rsid w:val="00C02633"/>
    <w:rsid w:val="00C03E31"/>
    <w:rsid w:val="00C077BC"/>
    <w:rsid w:val="00C16709"/>
    <w:rsid w:val="00C21C75"/>
    <w:rsid w:val="00C327AF"/>
    <w:rsid w:val="00C35B6E"/>
    <w:rsid w:val="00C37821"/>
    <w:rsid w:val="00C40686"/>
    <w:rsid w:val="00C46086"/>
    <w:rsid w:val="00C57B98"/>
    <w:rsid w:val="00C61B5C"/>
    <w:rsid w:val="00C61D2B"/>
    <w:rsid w:val="00C64DAC"/>
    <w:rsid w:val="00C65E87"/>
    <w:rsid w:val="00C7096B"/>
    <w:rsid w:val="00C7332C"/>
    <w:rsid w:val="00C77698"/>
    <w:rsid w:val="00C83235"/>
    <w:rsid w:val="00C83B20"/>
    <w:rsid w:val="00C9248B"/>
    <w:rsid w:val="00CA4E35"/>
    <w:rsid w:val="00CC0DE3"/>
    <w:rsid w:val="00CC3E47"/>
    <w:rsid w:val="00CC4BCF"/>
    <w:rsid w:val="00CC68BB"/>
    <w:rsid w:val="00CC6F56"/>
    <w:rsid w:val="00CD5E5B"/>
    <w:rsid w:val="00CE6D50"/>
    <w:rsid w:val="00CF0530"/>
    <w:rsid w:val="00CF10DC"/>
    <w:rsid w:val="00D02804"/>
    <w:rsid w:val="00D032D1"/>
    <w:rsid w:val="00D03E36"/>
    <w:rsid w:val="00D10D72"/>
    <w:rsid w:val="00D12411"/>
    <w:rsid w:val="00D13032"/>
    <w:rsid w:val="00D15A66"/>
    <w:rsid w:val="00D16AFA"/>
    <w:rsid w:val="00D36A6D"/>
    <w:rsid w:val="00D37FAD"/>
    <w:rsid w:val="00D4178C"/>
    <w:rsid w:val="00D46F77"/>
    <w:rsid w:val="00D51E52"/>
    <w:rsid w:val="00D62086"/>
    <w:rsid w:val="00D64067"/>
    <w:rsid w:val="00D75C0F"/>
    <w:rsid w:val="00D76465"/>
    <w:rsid w:val="00D7675D"/>
    <w:rsid w:val="00D76A72"/>
    <w:rsid w:val="00D80EAF"/>
    <w:rsid w:val="00D821BC"/>
    <w:rsid w:val="00D8558C"/>
    <w:rsid w:val="00D877C1"/>
    <w:rsid w:val="00D93E31"/>
    <w:rsid w:val="00D942C5"/>
    <w:rsid w:val="00D94C32"/>
    <w:rsid w:val="00D97949"/>
    <w:rsid w:val="00DA5E59"/>
    <w:rsid w:val="00DA6387"/>
    <w:rsid w:val="00DB0CD7"/>
    <w:rsid w:val="00DB1782"/>
    <w:rsid w:val="00DB47A9"/>
    <w:rsid w:val="00DB5EF3"/>
    <w:rsid w:val="00DB7DE5"/>
    <w:rsid w:val="00DC66F5"/>
    <w:rsid w:val="00DC6E09"/>
    <w:rsid w:val="00DE00FA"/>
    <w:rsid w:val="00DE22C0"/>
    <w:rsid w:val="00DE41D8"/>
    <w:rsid w:val="00DF2ECD"/>
    <w:rsid w:val="00DF6F0B"/>
    <w:rsid w:val="00DF76DC"/>
    <w:rsid w:val="00E049A4"/>
    <w:rsid w:val="00E10059"/>
    <w:rsid w:val="00E1053E"/>
    <w:rsid w:val="00E11D9A"/>
    <w:rsid w:val="00E15B61"/>
    <w:rsid w:val="00E16428"/>
    <w:rsid w:val="00E2475B"/>
    <w:rsid w:val="00E25C08"/>
    <w:rsid w:val="00E30AED"/>
    <w:rsid w:val="00E3129D"/>
    <w:rsid w:val="00E31C85"/>
    <w:rsid w:val="00E37458"/>
    <w:rsid w:val="00E4353F"/>
    <w:rsid w:val="00E471B2"/>
    <w:rsid w:val="00E55884"/>
    <w:rsid w:val="00E56D19"/>
    <w:rsid w:val="00E60CEB"/>
    <w:rsid w:val="00E64B69"/>
    <w:rsid w:val="00E73038"/>
    <w:rsid w:val="00E86B6D"/>
    <w:rsid w:val="00E87A66"/>
    <w:rsid w:val="00E90A2E"/>
    <w:rsid w:val="00E91799"/>
    <w:rsid w:val="00E936D8"/>
    <w:rsid w:val="00E94C70"/>
    <w:rsid w:val="00E961D9"/>
    <w:rsid w:val="00EA29E9"/>
    <w:rsid w:val="00EA5A00"/>
    <w:rsid w:val="00EA697F"/>
    <w:rsid w:val="00EB0411"/>
    <w:rsid w:val="00EB7ACF"/>
    <w:rsid w:val="00EC7B04"/>
    <w:rsid w:val="00ED2083"/>
    <w:rsid w:val="00ED5E56"/>
    <w:rsid w:val="00ED6270"/>
    <w:rsid w:val="00EE22B9"/>
    <w:rsid w:val="00EF0867"/>
    <w:rsid w:val="00F00061"/>
    <w:rsid w:val="00F001A0"/>
    <w:rsid w:val="00F00C96"/>
    <w:rsid w:val="00F0447C"/>
    <w:rsid w:val="00F045C8"/>
    <w:rsid w:val="00F11ADC"/>
    <w:rsid w:val="00F147A7"/>
    <w:rsid w:val="00F200CF"/>
    <w:rsid w:val="00F210DD"/>
    <w:rsid w:val="00F22646"/>
    <w:rsid w:val="00F25EBC"/>
    <w:rsid w:val="00F42145"/>
    <w:rsid w:val="00F646DC"/>
    <w:rsid w:val="00F70511"/>
    <w:rsid w:val="00F7186B"/>
    <w:rsid w:val="00F7429A"/>
    <w:rsid w:val="00F763E2"/>
    <w:rsid w:val="00F802F1"/>
    <w:rsid w:val="00F91590"/>
    <w:rsid w:val="00F97631"/>
    <w:rsid w:val="00FA080A"/>
    <w:rsid w:val="00FA3F6A"/>
    <w:rsid w:val="00FB1BE9"/>
    <w:rsid w:val="00FC00CA"/>
    <w:rsid w:val="00FC2DBA"/>
    <w:rsid w:val="00FC2DEF"/>
    <w:rsid w:val="00FC3C6B"/>
    <w:rsid w:val="00FD4235"/>
    <w:rsid w:val="00FD49D3"/>
    <w:rsid w:val="00FD6639"/>
    <w:rsid w:val="00FE34AC"/>
    <w:rsid w:val="00FE7E23"/>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A45D"/>
  <w15:chartTrackingRefBased/>
  <w15:docId w15:val="{CB3A6CB8-E046-41AE-9A63-A760CFCA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59C8"/>
  </w:style>
  <w:style w:type="paragraph" w:styleId="Heading1">
    <w:name w:val="heading 1"/>
    <w:basedOn w:val="Normal"/>
    <w:next w:val="Normal"/>
    <w:link w:val="Heading1Char"/>
    <w:uiPriority w:val="9"/>
    <w:qFormat/>
    <w:rsid w:val="007E1952"/>
    <w:pPr>
      <w:keepNext/>
      <w:keepLines/>
      <w:numPr>
        <w:numId w:val="6"/>
      </w:numPr>
      <w:spacing w:before="240" w:after="0" w:line="276" w:lineRule="auto"/>
      <w:jc w:val="both"/>
      <w:outlineLvl w:val="0"/>
    </w:pPr>
    <w:rPr>
      <w:rFonts w:ascii="Calibri" w:eastAsiaTheme="majorEastAsia" w:hAnsi="Calibri" w:cs="Arial"/>
      <w:b/>
      <w:sz w:val="28"/>
      <w:szCs w:val="28"/>
    </w:rPr>
  </w:style>
  <w:style w:type="paragraph" w:styleId="Heading2">
    <w:name w:val="heading 2"/>
    <w:basedOn w:val="Heading1"/>
    <w:next w:val="Normal"/>
    <w:link w:val="Heading2Char"/>
    <w:uiPriority w:val="9"/>
    <w:unhideWhenUsed/>
    <w:qFormat/>
    <w:rsid w:val="007E1952"/>
    <w:pPr>
      <w:numPr>
        <w:ilvl w:val="1"/>
      </w:numPr>
      <w:outlineLvl w:val="1"/>
    </w:pPr>
    <w:rPr>
      <w:sz w:val="22"/>
      <w:szCs w:val="22"/>
    </w:rPr>
  </w:style>
  <w:style w:type="paragraph" w:styleId="Heading3">
    <w:name w:val="heading 3"/>
    <w:basedOn w:val="Heading2"/>
    <w:next w:val="Normal"/>
    <w:link w:val="Heading3Char"/>
    <w:uiPriority w:val="9"/>
    <w:unhideWhenUsed/>
    <w:qFormat/>
    <w:rsid w:val="007E1952"/>
    <w:pPr>
      <w:numPr>
        <w:ilvl w:val="2"/>
        <w:numId w:val="3"/>
      </w:numPr>
      <w:tabs>
        <w:tab w:val="clear" w:pos="2160"/>
      </w:tabs>
      <w:ind w:left="1224" w:hanging="504"/>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952"/>
    <w:rPr>
      <w:rFonts w:ascii="Calibri" w:eastAsiaTheme="majorEastAsia" w:hAnsi="Calibri" w:cs="Arial"/>
      <w:b/>
    </w:rPr>
  </w:style>
  <w:style w:type="paragraph" w:styleId="ListParagraph">
    <w:name w:val="List Paragraph"/>
    <w:basedOn w:val="Normal"/>
    <w:uiPriority w:val="34"/>
    <w:qFormat/>
    <w:rsid w:val="00FF0345"/>
    <w:pPr>
      <w:ind w:left="720"/>
      <w:contextualSpacing/>
    </w:pPr>
  </w:style>
  <w:style w:type="character" w:customStyle="1" w:styleId="Heading3Char">
    <w:name w:val="Heading 3 Char"/>
    <w:basedOn w:val="DefaultParagraphFont"/>
    <w:link w:val="Heading3"/>
    <w:uiPriority w:val="9"/>
    <w:rsid w:val="007E1952"/>
    <w:rPr>
      <w:rFonts w:ascii="Calibri" w:eastAsiaTheme="majorEastAsia" w:hAnsi="Calibri" w:cs="Arial"/>
      <w:u w:val="single"/>
    </w:rPr>
  </w:style>
  <w:style w:type="character" w:customStyle="1" w:styleId="Heading1Char">
    <w:name w:val="Heading 1 Char"/>
    <w:basedOn w:val="DefaultParagraphFont"/>
    <w:link w:val="Heading1"/>
    <w:uiPriority w:val="9"/>
    <w:rsid w:val="007E1952"/>
    <w:rPr>
      <w:rFonts w:ascii="Calibri" w:eastAsiaTheme="majorEastAsia" w:hAnsi="Calibri" w:cs="Arial"/>
      <w:b/>
      <w:sz w:val="28"/>
      <w:szCs w:val="28"/>
    </w:rPr>
  </w:style>
  <w:style w:type="table" w:styleId="GridTable4">
    <w:name w:val="Grid Table 4"/>
    <w:basedOn w:val="TableNormal"/>
    <w:uiPriority w:val="49"/>
    <w:rsid w:val="004B59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4B5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C8"/>
    <w:rPr>
      <w:rFonts w:ascii="Segoe UI" w:hAnsi="Segoe UI" w:cs="Segoe UI"/>
      <w:sz w:val="18"/>
      <w:szCs w:val="18"/>
    </w:rPr>
  </w:style>
  <w:style w:type="character" w:customStyle="1" w:styleId="titleauthoretc">
    <w:name w:val="titleauthoretc"/>
    <w:basedOn w:val="DefaultParagraphFont"/>
    <w:rsid w:val="00D75C0F"/>
  </w:style>
  <w:style w:type="character" w:styleId="CommentReference">
    <w:name w:val="annotation reference"/>
    <w:basedOn w:val="DefaultParagraphFont"/>
    <w:uiPriority w:val="99"/>
    <w:semiHidden/>
    <w:unhideWhenUsed/>
    <w:rsid w:val="000060BE"/>
    <w:rPr>
      <w:sz w:val="16"/>
      <w:szCs w:val="16"/>
    </w:rPr>
  </w:style>
  <w:style w:type="paragraph" w:styleId="CommentText">
    <w:name w:val="annotation text"/>
    <w:basedOn w:val="Normal"/>
    <w:link w:val="CommentTextChar"/>
    <w:uiPriority w:val="99"/>
    <w:unhideWhenUsed/>
    <w:rsid w:val="000060BE"/>
    <w:pPr>
      <w:spacing w:line="240" w:lineRule="auto"/>
    </w:pPr>
    <w:rPr>
      <w:sz w:val="20"/>
      <w:szCs w:val="20"/>
    </w:rPr>
  </w:style>
  <w:style w:type="character" w:customStyle="1" w:styleId="CommentTextChar">
    <w:name w:val="Comment Text Char"/>
    <w:basedOn w:val="DefaultParagraphFont"/>
    <w:link w:val="CommentText"/>
    <w:uiPriority w:val="99"/>
    <w:rsid w:val="000060BE"/>
    <w:rPr>
      <w:sz w:val="20"/>
      <w:szCs w:val="20"/>
    </w:rPr>
  </w:style>
  <w:style w:type="paragraph" w:styleId="CommentSubject">
    <w:name w:val="annotation subject"/>
    <w:basedOn w:val="CommentText"/>
    <w:next w:val="CommentText"/>
    <w:link w:val="CommentSubjectChar"/>
    <w:uiPriority w:val="99"/>
    <w:semiHidden/>
    <w:unhideWhenUsed/>
    <w:rsid w:val="000060BE"/>
    <w:rPr>
      <w:b/>
      <w:bCs/>
    </w:rPr>
  </w:style>
  <w:style w:type="character" w:customStyle="1" w:styleId="CommentSubjectChar">
    <w:name w:val="Comment Subject Char"/>
    <w:basedOn w:val="CommentTextChar"/>
    <w:link w:val="CommentSubject"/>
    <w:uiPriority w:val="99"/>
    <w:semiHidden/>
    <w:rsid w:val="000060BE"/>
    <w:rPr>
      <w:b/>
      <w:bCs/>
      <w:sz w:val="20"/>
      <w:szCs w:val="20"/>
    </w:rPr>
  </w:style>
  <w:style w:type="paragraph" w:styleId="EndnoteText">
    <w:name w:val="endnote text"/>
    <w:basedOn w:val="Normal"/>
    <w:link w:val="EndnoteTextChar"/>
    <w:uiPriority w:val="99"/>
    <w:unhideWhenUsed/>
    <w:rsid w:val="00957A02"/>
    <w:pPr>
      <w:spacing w:after="0" w:line="240" w:lineRule="auto"/>
    </w:pPr>
    <w:rPr>
      <w:sz w:val="20"/>
      <w:szCs w:val="20"/>
    </w:rPr>
  </w:style>
  <w:style w:type="character" w:customStyle="1" w:styleId="EndnoteTextChar">
    <w:name w:val="Endnote Text Char"/>
    <w:basedOn w:val="DefaultParagraphFont"/>
    <w:link w:val="EndnoteText"/>
    <w:uiPriority w:val="99"/>
    <w:rsid w:val="00957A02"/>
    <w:rPr>
      <w:sz w:val="20"/>
      <w:szCs w:val="20"/>
    </w:rPr>
  </w:style>
  <w:style w:type="character" w:styleId="EndnoteReference">
    <w:name w:val="endnote reference"/>
    <w:basedOn w:val="DefaultParagraphFont"/>
    <w:uiPriority w:val="99"/>
    <w:semiHidden/>
    <w:unhideWhenUsed/>
    <w:rsid w:val="00957A02"/>
    <w:rPr>
      <w:vertAlign w:val="superscript"/>
    </w:rPr>
  </w:style>
  <w:style w:type="table" w:styleId="TableGrid">
    <w:name w:val="Table Grid"/>
    <w:basedOn w:val="TableNormal"/>
    <w:uiPriority w:val="39"/>
    <w:rsid w:val="00F1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B808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ndNoteBibliographyTitle">
    <w:name w:val="EndNote Bibliography Title"/>
    <w:basedOn w:val="Normal"/>
    <w:link w:val="EndNoteBibliographyTitleChar"/>
    <w:rsid w:val="00B808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80873"/>
    <w:rPr>
      <w:rFonts w:ascii="Calibri" w:hAnsi="Calibri" w:cs="Calibri"/>
      <w:noProof/>
      <w:lang w:val="en-US"/>
    </w:rPr>
  </w:style>
  <w:style w:type="paragraph" w:customStyle="1" w:styleId="EndNoteBibliography">
    <w:name w:val="EndNote Bibliography"/>
    <w:basedOn w:val="Normal"/>
    <w:link w:val="EndNoteBibliographyChar"/>
    <w:rsid w:val="00B8087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80873"/>
    <w:rPr>
      <w:rFonts w:ascii="Calibri" w:hAnsi="Calibri" w:cs="Calibri"/>
      <w:noProof/>
      <w:lang w:val="en-US"/>
    </w:rPr>
  </w:style>
  <w:style w:type="character" w:styleId="Hyperlink">
    <w:name w:val="Hyperlink"/>
    <w:basedOn w:val="DefaultParagraphFont"/>
    <w:uiPriority w:val="99"/>
    <w:unhideWhenUsed/>
    <w:rsid w:val="000E4708"/>
    <w:rPr>
      <w:color w:val="0563C1" w:themeColor="hyperlink"/>
      <w:u w:val="single"/>
    </w:rPr>
  </w:style>
  <w:style w:type="paragraph" w:styleId="FootnoteText">
    <w:name w:val="footnote text"/>
    <w:basedOn w:val="Normal"/>
    <w:link w:val="FootnoteTextChar"/>
    <w:uiPriority w:val="99"/>
    <w:semiHidden/>
    <w:unhideWhenUsed/>
    <w:rsid w:val="004619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912"/>
    <w:rPr>
      <w:sz w:val="20"/>
      <w:szCs w:val="20"/>
    </w:rPr>
  </w:style>
  <w:style w:type="character" w:styleId="FootnoteReference">
    <w:name w:val="footnote reference"/>
    <w:basedOn w:val="DefaultParagraphFont"/>
    <w:uiPriority w:val="99"/>
    <w:semiHidden/>
    <w:unhideWhenUsed/>
    <w:rsid w:val="00461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2131">
      <w:bodyDiv w:val="1"/>
      <w:marLeft w:val="0"/>
      <w:marRight w:val="0"/>
      <w:marTop w:val="0"/>
      <w:marBottom w:val="0"/>
      <w:divBdr>
        <w:top w:val="none" w:sz="0" w:space="0" w:color="auto"/>
        <w:left w:val="none" w:sz="0" w:space="0" w:color="auto"/>
        <w:bottom w:val="none" w:sz="0" w:space="0" w:color="auto"/>
        <w:right w:val="none" w:sz="0" w:space="0" w:color="auto"/>
      </w:divBdr>
    </w:div>
    <w:div w:id="187105334">
      <w:bodyDiv w:val="1"/>
      <w:marLeft w:val="0"/>
      <w:marRight w:val="0"/>
      <w:marTop w:val="0"/>
      <w:marBottom w:val="0"/>
      <w:divBdr>
        <w:top w:val="none" w:sz="0" w:space="0" w:color="auto"/>
        <w:left w:val="none" w:sz="0" w:space="0" w:color="auto"/>
        <w:bottom w:val="none" w:sz="0" w:space="0" w:color="auto"/>
        <w:right w:val="none" w:sz="0" w:space="0" w:color="auto"/>
      </w:divBdr>
    </w:div>
    <w:div w:id="461077549">
      <w:bodyDiv w:val="1"/>
      <w:marLeft w:val="0"/>
      <w:marRight w:val="0"/>
      <w:marTop w:val="0"/>
      <w:marBottom w:val="0"/>
      <w:divBdr>
        <w:top w:val="none" w:sz="0" w:space="0" w:color="auto"/>
        <w:left w:val="none" w:sz="0" w:space="0" w:color="auto"/>
        <w:bottom w:val="none" w:sz="0" w:space="0" w:color="auto"/>
        <w:right w:val="none" w:sz="0" w:space="0" w:color="auto"/>
      </w:divBdr>
    </w:div>
    <w:div w:id="493642381">
      <w:bodyDiv w:val="1"/>
      <w:marLeft w:val="0"/>
      <w:marRight w:val="0"/>
      <w:marTop w:val="0"/>
      <w:marBottom w:val="0"/>
      <w:divBdr>
        <w:top w:val="none" w:sz="0" w:space="0" w:color="auto"/>
        <w:left w:val="none" w:sz="0" w:space="0" w:color="auto"/>
        <w:bottom w:val="none" w:sz="0" w:space="0" w:color="auto"/>
        <w:right w:val="none" w:sz="0" w:space="0" w:color="auto"/>
      </w:divBdr>
    </w:div>
    <w:div w:id="697778776">
      <w:bodyDiv w:val="1"/>
      <w:marLeft w:val="0"/>
      <w:marRight w:val="0"/>
      <w:marTop w:val="0"/>
      <w:marBottom w:val="0"/>
      <w:divBdr>
        <w:top w:val="none" w:sz="0" w:space="0" w:color="auto"/>
        <w:left w:val="none" w:sz="0" w:space="0" w:color="auto"/>
        <w:bottom w:val="none" w:sz="0" w:space="0" w:color="auto"/>
        <w:right w:val="none" w:sz="0" w:space="0" w:color="auto"/>
      </w:divBdr>
    </w:div>
    <w:div w:id="815218197">
      <w:bodyDiv w:val="1"/>
      <w:marLeft w:val="0"/>
      <w:marRight w:val="0"/>
      <w:marTop w:val="0"/>
      <w:marBottom w:val="0"/>
      <w:divBdr>
        <w:top w:val="none" w:sz="0" w:space="0" w:color="auto"/>
        <w:left w:val="none" w:sz="0" w:space="0" w:color="auto"/>
        <w:bottom w:val="none" w:sz="0" w:space="0" w:color="auto"/>
        <w:right w:val="none" w:sz="0" w:space="0" w:color="auto"/>
      </w:divBdr>
      <w:divsChild>
        <w:div w:id="115150696">
          <w:marLeft w:val="0"/>
          <w:marRight w:val="0"/>
          <w:marTop w:val="0"/>
          <w:marBottom w:val="0"/>
          <w:divBdr>
            <w:top w:val="none" w:sz="0" w:space="0" w:color="auto"/>
            <w:left w:val="none" w:sz="0" w:space="0" w:color="auto"/>
            <w:bottom w:val="none" w:sz="0" w:space="0" w:color="auto"/>
            <w:right w:val="none" w:sz="0" w:space="0" w:color="auto"/>
          </w:divBdr>
        </w:div>
        <w:div w:id="116923261">
          <w:marLeft w:val="0"/>
          <w:marRight w:val="0"/>
          <w:marTop w:val="0"/>
          <w:marBottom w:val="0"/>
          <w:divBdr>
            <w:top w:val="none" w:sz="0" w:space="0" w:color="auto"/>
            <w:left w:val="none" w:sz="0" w:space="0" w:color="auto"/>
            <w:bottom w:val="none" w:sz="0" w:space="0" w:color="auto"/>
            <w:right w:val="none" w:sz="0" w:space="0" w:color="auto"/>
          </w:divBdr>
        </w:div>
        <w:div w:id="271129209">
          <w:marLeft w:val="0"/>
          <w:marRight w:val="0"/>
          <w:marTop w:val="0"/>
          <w:marBottom w:val="0"/>
          <w:divBdr>
            <w:top w:val="none" w:sz="0" w:space="0" w:color="auto"/>
            <w:left w:val="none" w:sz="0" w:space="0" w:color="auto"/>
            <w:bottom w:val="none" w:sz="0" w:space="0" w:color="auto"/>
            <w:right w:val="none" w:sz="0" w:space="0" w:color="auto"/>
          </w:divBdr>
        </w:div>
        <w:div w:id="468324289">
          <w:marLeft w:val="0"/>
          <w:marRight w:val="0"/>
          <w:marTop w:val="0"/>
          <w:marBottom w:val="0"/>
          <w:divBdr>
            <w:top w:val="none" w:sz="0" w:space="0" w:color="auto"/>
            <w:left w:val="none" w:sz="0" w:space="0" w:color="auto"/>
            <w:bottom w:val="none" w:sz="0" w:space="0" w:color="auto"/>
            <w:right w:val="none" w:sz="0" w:space="0" w:color="auto"/>
          </w:divBdr>
        </w:div>
        <w:div w:id="484859050">
          <w:marLeft w:val="0"/>
          <w:marRight w:val="0"/>
          <w:marTop w:val="0"/>
          <w:marBottom w:val="0"/>
          <w:divBdr>
            <w:top w:val="none" w:sz="0" w:space="0" w:color="auto"/>
            <w:left w:val="none" w:sz="0" w:space="0" w:color="auto"/>
            <w:bottom w:val="none" w:sz="0" w:space="0" w:color="auto"/>
            <w:right w:val="none" w:sz="0" w:space="0" w:color="auto"/>
          </w:divBdr>
        </w:div>
        <w:div w:id="485708920">
          <w:marLeft w:val="0"/>
          <w:marRight w:val="0"/>
          <w:marTop w:val="0"/>
          <w:marBottom w:val="0"/>
          <w:divBdr>
            <w:top w:val="none" w:sz="0" w:space="0" w:color="auto"/>
            <w:left w:val="none" w:sz="0" w:space="0" w:color="auto"/>
            <w:bottom w:val="none" w:sz="0" w:space="0" w:color="auto"/>
            <w:right w:val="none" w:sz="0" w:space="0" w:color="auto"/>
          </w:divBdr>
        </w:div>
        <w:div w:id="548150800">
          <w:marLeft w:val="0"/>
          <w:marRight w:val="0"/>
          <w:marTop w:val="0"/>
          <w:marBottom w:val="0"/>
          <w:divBdr>
            <w:top w:val="none" w:sz="0" w:space="0" w:color="auto"/>
            <w:left w:val="none" w:sz="0" w:space="0" w:color="auto"/>
            <w:bottom w:val="none" w:sz="0" w:space="0" w:color="auto"/>
            <w:right w:val="none" w:sz="0" w:space="0" w:color="auto"/>
          </w:divBdr>
        </w:div>
        <w:div w:id="583491658">
          <w:marLeft w:val="0"/>
          <w:marRight w:val="0"/>
          <w:marTop w:val="0"/>
          <w:marBottom w:val="0"/>
          <w:divBdr>
            <w:top w:val="none" w:sz="0" w:space="0" w:color="auto"/>
            <w:left w:val="none" w:sz="0" w:space="0" w:color="auto"/>
            <w:bottom w:val="none" w:sz="0" w:space="0" w:color="auto"/>
            <w:right w:val="none" w:sz="0" w:space="0" w:color="auto"/>
          </w:divBdr>
        </w:div>
        <w:div w:id="763915600">
          <w:marLeft w:val="0"/>
          <w:marRight w:val="0"/>
          <w:marTop w:val="0"/>
          <w:marBottom w:val="0"/>
          <w:divBdr>
            <w:top w:val="none" w:sz="0" w:space="0" w:color="auto"/>
            <w:left w:val="none" w:sz="0" w:space="0" w:color="auto"/>
            <w:bottom w:val="none" w:sz="0" w:space="0" w:color="auto"/>
            <w:right w:val="none" w:sz="0" w:space="0" w:color="auto"/>
          </w:divBdr>
        </w:div>
        <w:div w:id="771246176">
          <w:marLeft w:val="0"/>
          <w:marRight w:val="0"/>
          <w:marTop w:val="0"/>
          <w:marBottom w:val="0"/>
          <w:divBdr>
            <w:top w:val="none" w:sz="0" w:space="0" w:color="auto"/>
            <w:left w:val="none" w:sz="0" w:space="0" w:color="auto"/>
            <w:bottom w:val="none" w:sz="0" w:space="0" w:color="auto"/>
            <w:right w:val="none" w:sz="0" w:space="0" w:color="auto"/>
          </w:divBdr>
        </w:div>
        <w:div w:id="833498132">
          <w:marLeft w:val="0"/>
          <w:marRight w:val="0"/>
          <w:marTop w:val="0"/>
          <w:marBottom w:val="0"/>
          <w:divBdr>
            <w:top w:val="none" w:sz="0" w:space="0" w:color="auto"/>
            <w:left w:val="none" w:sz="0" w:space="0" w:color="auto"/>
            <w:bottom w:val="none" w:sz="0" w:space="0" w:color="auto"/>
            <w:right w:val="none" w:sz="0" w:space="0" w:color="auto"/>
          </w:divBdr>
        </w:div>
        <w:div w:id="901791555">
          <w:marLeft w:val="0"/>
          <w:marRight w:val="0"/>
          <w:marTop w:val="0"/>
          <w:marBottom w:val="0"/>
          <w:divBdr>
            <w:top w:val="none" w:sz="0" w:space="0" w:color="auto"/>
            <w:left w:val="none" w:sz="0" w:space="0" w:color="auto"/>
            <w:bottom w:val="none" w:sz="0" w:space="0" w:color="auto"/>
            <w:right w:val="none" w:sz="0" w:space="0" w:color="auto"/>
          </w:divBdr>
        </w:div>
        <w:div w:id="1208027293">
          <w:marLeft w:val="0"/>
          <w:marRight w:val="0"/>
          <w:marTop w:val="0"/>
          <w:marBottom w:val="0"/>
          <w:divBdr>
            <w:top w:val="none" w:sz="0" w:space="0" w:color="auto"/>
            <w:left w:val="none" w:sz="0" w:space="0" w:color="auto"/>
            <w:bottom w:val="none" w:sz="0" w:space="0" w:color="auto"/>
            <w:right w:val="none" w:sz="0" w:space="0" w:color="auto"/>
          </w:divBdr>
        </w:div>
        <w:div w:id="1580359231">
          <w:marLeft w:val="0"/>
          <w:marRight w:val="0"/>
          <w:marTop w:val="0"/>
          <w:marBottom w:val="0"/>
          <w:divBdr>
            <w:top w:val="none" w:sz="0" w:space="0" w:color="auto"/>
            <w:left w:val="none" w:sz="0" w:space="0" w:color="auto"/>
            <w:bottom w:val="none" w:sz="0" w:space="0" w:color="auto"/>
            <w:right w:val="none" w:sz="0" w:space="0" w:color="auto"/>
          </w:divBdr>
        </w:div>
        <w:div w:id="1793211898">
          <w:marLeft w:val="0"/>
          <w:marRight w:val="0"/>
          <w:marTop w:val="0"/>
          <w:marBottom w:val="0"/>
          <w:divBdr>
            <w:top w:val="none" w:sz="0" w:space="0" w:color="auto"/>
            <w:left w:val="none" w:sz="0" w:space="0" w:color="auto"/>
            <w:bottom w:val="none" w:sz="0" w:space="0" w:color="auto"/>
            <w:right w:val="none" w:sz="0" w:space="0" w:color="auto"/>
          </w:divBdr>
        </w:div>
        <w:div w:id="2080402597">
          <w:marLeft w:val="0"/>
          <w:marRight w:val="0"/>
          <w:marTop w:val="0"/>
          <w:marBottom w:val="0"/>
          <w:divBdr>
            <w:top w:val="none" w:sz="0" w:space="0" w:color="auto"/>
            <w:left w:val="none" w:sz="0" w:space="0" w:color="auto"/>
            <w:bottom w:val="none" w:sz="0" w:space="0" w:color="auto"/>
            <w:right w:val="none" w:sz="0" w:space="0" w:color="auto"/>
          </w:divBdr>
        </w:div>
        <w:div w:id="2084713559">
          <w:marLeft w:val="0"/>
          <w:marRight w:val="0"/>
          <w:marTop w:val="0"/>
          <w:marBottom w:val="0"/>
          <w:divBdr>
            <w:top w:val="none" w:sz="0" w:space="0" w:color="auto"/>
            <w:left w:val="none" w:sz="0" w:space="0" w:color="auto"/>
            <w:bottom w:val="none" w:sz="0" w:space="0" w:color="auto"/>
            <w:right w:val="none" w:sz="0" w:space="0" w:color="auto"/>
          </w:divBdr>
        </w:div>
        <w:div w:id="2111852256">
          <w:marLeft w:val="0"/>
          <w:marRight w:val="0"/>
          <w:marTop w:val="0"/>
          <w:marBottom w:val="0"/>
          <w:divBdr>
            <w:top w:val="none" w:sz="0" w:space="0" w:color="auto"/>
            <w:left w:val="none" w:sz="0" w:space="0" w:color="auto"/>
            <w:bottom w:val="none" w:sz="0" w:space="0" w:color="auto"/>
            <w:right w:val="none" w:sz="0" w:space="0" w:color="auto"/>
          </w:divBdr>
        </w:div>
      </w:divsChild>
    </w:div>
    <w:div w:id="974482160">
      <w:bodyDiv w:val="1"/>
      <w:marLeft w:val="0"/>
      <w:marRight w:val="0"/>
      <w:marTop w:val="0"/>
      <w:marBottom w:val="0"/>
      <w:divBdr>
        <w:top w:val="none" w:sz="0" w:space="0" w:color="auto"/>
        <w:left w:val="none" w:sz="0" w:space="0" w:color="auto"/>
        <w:bottom w:val="none" w:sz="0" w:space="0" w:color="auto"/>
        <w:right w:val="none" w:sz="0" w:space="0" w:color="auto"/>
      </w:divBdr>
    </w:div>
    <w:div w:id="1042940642">
      <w:bodyDiv w:val="1"/>
      <w:marLeft w:val="0"/>
      <w:marRight w:val="0"/>
      <w:marTop w:val="0"/>
      <w:marBottom w:val="0"/>
      <w:divBdr>
        <w:top w:val="none" w:sz="0" w:space="0" w:color="auto"/>
        <w:left w:val="none" w:sz="0" w:space="0" w:color="auto"/>
        <w:bottom w:val="none" w:sz="0" w:space="0" w:color="auto"/>
        <w:right w:val="none" w:sz="0" w:space="0" w:color="auto"/>
      </w:divBdr>
    </w:div>
    <w:div w:id="1067997396">
      <w:bodyDiv w:val="1"/>
      <w:marLeft w:val="0"/>
      <w:marRight w:val="0"/>
      <w:marTop w:val="0"/>
      <w:marBottom w:val="0"/>
      <w:divBdr>
        <w:top w:val="none" w:sz="0" w:space="0" w:color="auto"/>
        <w:left w:val="none" w:sz="0" w:space="0" w:color="auto"/>
        <w:bottom w:val="none" w:sz="0" w:space="0" w:color="auto"/>
        <w:right w:val="none" w:sz="0" w:space="0" w:color="auto"/>
      </w:divBdr>
    </w:div>
    <w:div w:id="1174030024">
      <w:bodyDiv w:val="1"/>
      <w:marLeft w:val="0"/>
      <w:marRight w:val="0"/>
      <w:marTop w:val="0"/>
      <w:marBottom w:val="0"/>
      <w:divBdr>
        <w:top w:val="none" w:sz="0" w:space="0" w:color="auto"/>
        <w:left w:val="none" w:sz="0" w:space="0" w:color="auto"/>
        <w:bottom w:val="none" w:sz="0" w:space="0" w:color="auto"/>
        <w:right w:val="none" w:sz="0" w:space="0" w:color="auto"/>
      </w:divBdr>
    </w:div>
    <w:div w:id="1217282418">
      <w:bodyDiv w:val="1"/>
      <w:marLeft w:val="0"/>
      <w:marRight w:val="0"/>
      <w:marTop w:val="0"/>
      <w:marBottom w:val="0"/>
      <w:divBdr>
        <w:top w:val="none" w:sz="0" w:space="0" w:color="auto"/>
        <w:left w:val="none" w:sz="0" w:space="0" w:color="auto"/>
        <w:bottom w:val="none" w:sz="0" w:space="0" w:color="auto"/>
        <w:right w:val="none" w:sz="0" w:space="0" w:color="auto"/>
      </w:divBdr>
    </w:div>
    <w:div w:id="1273319871">
      <w:bodyDiv w:val="1"/>
      <w:marLeft w:val="0"/>
      <w:marRight w:val="0"/>
      <w:marTop w:val="0"/>
      <w:marBottom w:val="0"/>
      <w:divBdr>
        <w:top w:val="none" w:sz="0" w:space="0" w:color="auto"/>
        <w:left w:val="none" w:sz="0" w:space="0" w:color="auto"/>
        <w:bottom w:val="none" w:sz="0" w:space="0" w:color="auto"/>
        <w:right w:val="none" w:sz="0" w:space="0" w:color="auto"/>
      </w:divBdr>
      <w:divsChild>
        <w:div w:id="28378334">
          <w:marLeft w:val="0"/>
          <w:marRight w:val="0"/>
          <w:marTop w:val="0"/>
          <w:marBottom w:val="0"/>
          <w:divBdr>
            <w:top w:val="none" w:sz="0" w:space="0" w:color="auto"/>
            <w:left w:val="none" w:sz="0" w:space="0" w:color="auto"/>
            <w:bottom w:val="none" w:sz="0" w:space="0" w:color="auto"/>
            <w:right w:val="none" w:sz="0" w:space="0" w:color="auto"/>
          </w:divBdr>
        </w:div>
        <w:div w:id="644159893">
          <w:marLeft w:val="0"/>
          <w:marRight w:val="0"/>
          <w:marTop w:val="0"/>
          <w:marBottom w:val="0"/>
          <w:divBdr>
            <w:top w:val="none" w:sz="0" w:space="0" w:color="auto"/>
            <w:left w:val="none" w:sz="0" w:space="0" w:color="auto"/>
            <w:bottom w:val="none" w:sz="0" w:space="0" w:color="auto"/>
            <w:right w:val="none" w:sz="0" w:space="0" w:color="auto"/>
          </w:divBdr>
        </w:div>
        <w:div w:id="716860766">
          <w:marLeft w:val="0"/>
          <w:marRight w:val="0"/>
          <w:marTop w:val="0"/>
          <w:marBottom w:val="0"/>
          <w:divBdr>
            <w:top w:val="none" w:sz="0" w:space="0" w:color="auto"/>
            <w:left w:val="none" w:sz="0" w:space="0" w:color="auto"/>
            <w:bottom w:val="none" w:sz="0" w:space="0" w:color="auto"/>
            <w:right w:val="none" w:sz="0" w:space="0" w:color="auto"/>
          </w:divBdr>
        </w:div>
        <w:div w:id="853500579">
          <w:marLeft w:val="0"/>
          <w:marRight w:val="0"/>
          <w:marTop w:val="0"/>
          <w:marBottom w:val="0"/>
          <w:divBdr>
            <w:top w:val="none" w:sz="0" w:space="0" w:color="auto"/>
            <w:left w:val="none" w:sz="0" w:space="0" w:color="auto"/>
            <w:bottom w:val="none" w:sz="0" w:space="0" w:color="auto"/>
            <w:right w:val="none" w:sz="0" w:space="0" w:color="auto"/>
          </w:divBdr>
        </w:div>
        <w:div w:id="1269851186">
          <w:marLeft w:val="0"/>
          <w:marRight w:val="0"/>
          <w:marTop w:val="0"/>
          <w:marBottom w:val="0"/>
          <w:divBdr>
            <w:top w:val="none" w:sz="0" w:space="0" w:color="auto"/>
            <w:left w:val="none" w:sz="0" w:space="0" w:color="auto"/>
            <w:bottom w:val="none" w:sz="0" w:space="0" w:color="auto"/>
            <w:right w:val="none" w:sz="0" w:space="0" w:color="auto"/>
          </w:divBdr>
        </w:div>
        <w:div w:id="1674410934">
          <w:marLeft w:val="0"/>
          <w:marRight w:val="0"/>
          <w:marTop w:val="0"/>
          <w:marBottom w:val="0"/>
          <w:divBdr>
            <w:top w:val="none" w:sz="0" w:space="0" w:color="auto"/>
            <w:left w:val="none" w:sz="0" w:space="0" w:color="auto"/>
            <w:bottom w:val="none" w:sz="0" w:space="0" w:color="auto"/>
            <w:right w:val="none" w:sz="0" w:space="0" w:color="auto"/>
          </w:divBdr>
        </w:div>
        <w:div w:id="1733652338">
          <w:marLeft w:val="0"/>
          <w:marRight w:val="0"/>
          <w:marTop w:val="0"/>
          <w:marBottom w:val="0"/>
          <w:divBdr>
            <w:top w:val="none" w:sz="0" w:space="0" w:color="auto"/>
            <w:left w:val="none" w:sz="0" w:space="0" w:color="auto"/>
            <w:bottom w:val="none" w:sz="0" w:space="0" w:color="auto"/>
            <w:right w:val="none" w:sz="0" w:space="0" w:color="auto"/>
          </w:divBdr>
        </w:div>
        <w:div w:id="1822425474">
          <w:marLeft w:val="0"/>
          <w:marRight w:val="0"/>
          <w:marTop w:val="0"/>
          <w:marBottom w:val="0"/>
          <w:divBdr>
            <w:top w:val="none" w:sz="0" w:space="0" w:color="auto"/>
            <w:left w:val="none" w:sz="0" w:space="0" w:color="auto"/>
            <w:bottom w:val="none" w:sz="0" w:space="0" w:color="auto"/>
            <w:right w:val="none" w:sz="0" w:space="0" w:color="auto"/>
          </w:divBdr>
        </w:div>
        <w:div w:id="2129886236">
          <w:marLeft w:val="0"/>
          <w:marRight w:val="0"/>
          <w:marTop w:val="0"/>
          <w:marBottom w:val="0"/>
          <w:divBdr>
            <w:top w:val="none" w:sz="0" w:space="0" w:color="auto"/>
            <w:left w:val="none" w:sz="0" w:space="0" w:color="auto"/>
            <w:bottom w:val="none" w:sz="0" w:space="0" w:color="auto"/>
            <w:right w:val="none" w:sz="0" w:space="0" w:color="auto"/>
          </w:divBdr>
        </w:div>
      </w:divsChild>
    </w:div>
    <w:div w:id="1327592264">
      <w:bodyDiv w:val="1"/>
      <w:marLeft w:val="0"/>
      <w:marRight w:val="0"/>
      <w:marTop w:val="0"/>
      <w:marBottom w:val="0"/>
      <w:divBdr>
        <w:top w:val="none" w:sz="0" w:space="0" w:color="auto"/>
        <w:left w:val="none" w:sz="0" w:space="0" w:color="auto"/>
        <w:bottom w:val="none" w:sz="0" w:space="0" w:color="auto"/>
        <w:right w:val="none" w:sz="0" w:space="0" w:color="auto"/>
      </w:divBdr>
    </w:div>
    <w:div w:id="1486818089">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sChild>
        <w:div w:id="416709750">
          <w:marLeft w:val="0"/>
          <w:marRight w:val="0"/>
          <w:marTop w:val="0"/>
          <w:marBottom w:val="0"/>
          <w:divBdr>
            <w:top w:val="none" w:sz="0" w:space="0" w:color="auto"/>
            <w:left w:val="none" w:sz="0" w:space="0" w:color="auto"/>
            <w:bottom w:val="none" w:sz="0" w:space="0" w:color="auto"/>
            <w:right w:val="none" w:sz="0" w:space="0" w:color="auto"/>
          </w:divBdr>
        </w:div>
        <w:div w:id="2073506443">
          <w:marLeft w:val="0"/>
          <w:marRight w:val="0"/>
          <w:marTop w:val="0"/>
          <w:marBottom w:val="0"/>
          <w:divBdr>
            <w:top w:val="none" w:sz="0" w:space="0" w:color="auto"/>
            <w:left w:val="none" w:sz="0" w:space="0" w:color="auto"/>
            <w:bottom w:val="none" w:sz="0" w:space="0" w:color="auto"/>
            <w:right w:val="none" w:sz="0" w:space="0" w:color="auto"/>
          </w:divBdr>
        </w:div>
      </w:divsChild>
    </w:div>
    <w:div w:id="1690327707">
      <w:bodyDiv w:val="1"/>
      <w:marLeft w:val="0"/>
      <w:marRight w:val="0"/>
      <w:marTop w:val="0"/>
      <w:marBottom w:val="0"/>
      <w:divBdr>
        <w:top w:val="none" w:sz="0" w:space="0" w:color="auto"/>
        <w:left w:val="none" w:sz="0" w:space="0" w:color="auto"/>
        <w:bottom w:val="none" w:sz="0" w:space="0" w:color="auto"/>
        <w:right w:val="none" w:sz="0" w:space="0" w:color="auto"/>
      </w:divBdr>
      <w:divsChild>
        <w:div w:id="1082607587">
          <w:marLeft w:val="0"/>
          <w:marRight w:val="0"/>
          <w:marTop w:val="0"/>
          <w:marBottom w:val="0"/>
          <w:divBdr>
            <w:top w:val="none" w:sz="0" w:space="0" w:color="auto"/>
            <w:left w:val="none" w:sz="0" w:space="0" w:color="auto"/>
            <w:bottom w:val="none" w:sz="0" w:space="0" w:color="auto"/>
            <w:right w:val="none" w:sz="0" w:space="0" w:color="auto"/>
          </w:divBdr>
        </w:div>
        <w:div w:id="1351420054">
          <w:marLeft w:val="0"/>
          <w:marRight w:val="0"/>
          <w:marTop w:val="0"/>
          <w:marBottom w:val="0"/>
          <w:divBdr>
            <w:top w:val="none" w:sz="0" w:space="0" w:color="auto"/>
            <w:left w:val="none" w:sz="0" w:space="0" w:color="auto"/>
            <w:bottom w:val="none" w:sz="0" w:space="0" w:color="auto"/>
            <w:right w:val="none" w:sz="0" w:space="0" w:color="auto"/>
          </w:divBdr>
        </w:div>
        <w:div w:id="1693071589">
          <w:marLeft w:val="0"/>
          <w:marRight w:val="0"/>
          <w:marTop w:val="0"/>
          <w:marBottom w:val="0"/>
          <w:divBdr>
            <w:top w:val="none" w:sz="0" w:space="0" w:color="auto"/>
            <w:left w:val="none" w:sz="0" w:space="0" w:color="auto"/>
            <w:bottom w:val="none" w:sz="0" w:space="0" w:color="auto"/>
            <w:right w:val="none" w:sz="0" w:space="0" w:color="auto"/>
          </w:divBdr>
        </w:div>
        <w:div w:id="1813256556">
          <w:marLeft w:val="0"/>
          <w:marRight w:val="0"/>
          <w:marTop w:val="0"/>
          <w:marBottom w:val="0"/>
          <w:divBdr>
            <w:top w:val="none" w:sz="0" w:space="0" w:color="auto"/>
            <w:left w:val="none" w:sz="0" w:space="0" w:color="auto"/>
            <w:bottom w:val="none" w:sz="0" w:space="0" w:color="auto"/>
            <w:right w:val="none" w:sz="0" w:space="0" w:color="auto"/>
          </w:divBdr>
        </w:div>
        <w:div w:id="1820459414">
          <w:marLeft w:val="0"/>
          <w:marRight w:val="0"/>
          <w:marTop w:val="0"/>
          <w:marBottom w:val="0"/>
          <w:divBdr>
            <w:top w:val="none" w:sz="0" w:space="0" w:color="auto"/>
            <w:left w:val="none" w:sz="0" w:space="0" w:color="auto"/>
            <w:bottom w:val="none" w:sz="0" w:space="0" w:color="auto"/>
            <w:right w:val="none" w:sz="0" w:space="0" w:color="auto"/>
          </w:divBdr>
        </w:div>
        <w:div w:id="1895850968">
          <w:marLeft w:val="0"/>
          <w:marRight w:val="0"/>
          <w:marTop w:val="0"/>
          <w:marBottom w:val="0"/>
          <w:divBdr>
            <w:top w:val="none" w:sz="0" w:space="0" w:color="auto"/>
            <w:left w:val="none" w:sz="0" w:space="0" w:color="auto"/>
            <w:bottom w:val="none" w:sz="0" w:space="0" w:color="auto"/>
            <w:right w:val="none" w:sz="0" w:space="0" w:color="auto"/>
          </w:divBdr>
        </w:div>
      </w:divsChild>
    </w:div>
    <w:div w:id="1692490858">
      <w:bodyDiv w:val="1"/>
      <w:marLeft w:val="0"/>
      <w:marRight w:val="0"/>
      <w:marTop w:val="0"/>
      <w:marBottom w:val="0"/>
      <w:divBdr>
        <w:top w:val="none" w:sz="0" w:space="0" w:color="auto"/>
        <w:left w:val="none" w:sz="0" w:space="0" w:color="auto"/>
        <w:bottom w:val="none" w:sz="0" w:space="0" w:color="auto"/>
        <w:right w:val="none" w:sz="0" w:space="0" w:color="auto"/>
      </w:divBdr>
    </w:div>
    <w:div w:id="1725518396">
      <w:bodyDiv w:val="1"/>
      <w:marLeft w:val="0"/>
      <w:marRight w:val="0"/>
      <w:marTop w:val="0"/>
      <w:marBottom w:val="0"/>
      <w:divBdr>
        <w:top w:val="none" w:sz="0" w:space="0" w:color="auto"/>
        <w:left w:val="none" w:sz="0" w:space="0" w:color="auto"/>
        <w:bottom w:val="none" w:sz="0" w:space="0" w:color="auto"/>
        <w:right w:val="none" w:sz="0" w:space="0" w:color="auto"/>
      </w:divBdr>
    </w:div>
    <w:div w:id="1736200706">
      <w:bodyDiv w:val="1"/>
      <w:marLeft w:val="0"/>
      <w:marRight w:val="0"/>
      <w:marTop w:val="0"/>
      <w:marBottom w:val="0"/>
      <w:divBdr>
        <w:top w:val="none" w:sz="0" w:space="0" w:color="auto"/>
        <w:left w:val="none" w:sz="0" w:space="0" w:color="auto"/>
        <w:bottom w:val="none" w:sz="0" w:space="0" w:color="auto"/>
        <w:right w:val="none" w:sz="0" w:space="0" w:color="auto"/>
      </w:divBdr>
    </w:div>
    <w:div w:id="1786727518">
      <w:bodyDiv w:val="1"/>
      <w:marLeft w:val="0"/>
      <w:marRight w:val="0"/>
      <w:marTop w:val="0"/>
      <w:marBottom w:val="0"/>
      <w:divBdr>
        <w:top w:val="none" w:sz="0" w:space="0" w:color="auto"/>
        <w:left w:val="none" w:sz="0" w:space="0" w:color="auto"/>
        <w:bottom w:val="none" w:sz="0" w:space="0" w:color="auto"/>
        <w:right w:val="none" w:sz="0" w:space="0" w:color="auto"/>
      </w:divBdr>
      <w:divsChild>
        <w:div w:id="46300627">
          <w:marLeft w:val="0"/>
          <w:marRight w:val="0"/>
          <w:marTop w:val="0"/>
          <w:marBottom w:val="0"/>
          <w:divBdr>
            <w:top w:val="none" w:sz="0" w:space="0" w:color="auto"/>
            <w:left w:val="none" w:sz="0" w:space="0" w:color="auto"/>
            <w:bottom w:val="none" w:sz="0" w:space="0" w:color="auto"/>
            <w:right w:val="none" w:sz="0" w:space="0" w:color="auto"/>
          </w:divBdr>
        </w:div>
        <w:div w:id="376780921">
          <w:marLeft w:val="0"/>
          <w:marRight w:val="0"/>
          <w:marTop w:val="0"/>
          <w:marBottom w:val="0"/>
          <w:divBdr>
            <w:top w:val="none" w:sz="0" w:space="0" w:color="auto"/>
            <w:left w:val="none" w:sz="0" w:space="0" w:color="auto"/>
            <w:bottom w:val="none" w:sz="0" w:space="0" w:color="auto"/>
            <w:right w:val="none" w:sz="0" w:space="0" w:color="auto"/>
          </w:divBdr>
        </w:div>
        <w:div w:id="409423311">
          <w:marLeft w:val="0"/>
          <w:marRight w:val="0"/>
          <w:marTop w:val="0"/>
          <w:marBottom w:val="0"/>
          <w:divBdr>
            <w:top w:val="none" w:sz="0" w:space="0" w:color="auto"/>
            <w:left w:val="none" w:sz="0" w:space="0" w:color="auto"/>
            <w:bottom w:val="none" w:sz="0" w:space="0" w:color="auto"/>
            <w:right w:val="none" w:sz="0" w:space="0" w:color="auto"/>
          </w:divBdr>
        </w:div>
        <w:div w:id="480079999">
          <w:marLeft w:val="0"/>
          <w:marRight w:val="0"/>
          <w:marTop w:val="0"/>
          <w:marBottom w:val="0"/>
          <w:divBdr>
            <w:top w:val="none" w:sz="0" w:space="0" w:color="auto"/>
            <w:left w:val="none" w:sz="0" w:space="0" w:color="auto"/>
            <w:bottom w:val="none" w:sz="0" w:space="0" w:color="auto"/>
            <w:right w:val="none" w:sz="0" w:space="0" w:color="auto"/>
          </w:divBdr>
        </w:div>
        <w:div w:id="498691133">
          <w:marLeft w:val="0"/>
          <w:marRight w:val="0"/>
          <w:marTop w:val="0"/>
          <w:marBottom w:val="0"/>
          <w:divBdr>
            <w:top w:val="none" w:sz="0" w:space="0" w:color="auto"/>
            <w:left w:val="none" w:sz="0" w:space="0" w:color="auto"/>
            <w:bottom w:val="none" w:sz="0" w:space="0" w:color="auto"/>
            <w:right w:val="none" w:sz="0" w:space="0" w:color="auto"/>
          </w:divBdr>
        </w:div>
        <w:div w:id="654526959">
          <w:marLeft w:val="0"/>
          <w:marRight w:val="0"/>
          <w:marTop w:val="0"/>
          <w:marBottom w:val="0"/>
          <w:divBdr>
            <w:top w:val="none" w:sz="0" w:space="0" w:color="auto"/>
            <w:left w:val="none" w:sz="0" w:space="0" w:color="auto"/>
            <w:bottom w:val="none" w:sz="0" w:space="0" w:color="auto"/>
            <w:right w:val="none" w:sz="0" w:space="0" w:color="auto"/>
          </w:divBdr>
        </w:div>
        <w:div w:id="1206522078">
          <w:marLeft w:val="0"/>
          <w:marRight w:val="0"/>
          <w:marTop w:val="0"/>
          <w:marBottom w:val="0"/>
          <w:divBdr>
            <w:top w:val="none" w:sz="0" w:space="0" w:color="auto"/>
            <w:left w:val="none" w:sz="0" w:space="0" w:color="auto"/>
            <w:bottom w:val="none" w:sz="0" w:space="0" w:color="auto"/>
            <w:right w:val="none" w:sz="0" w:space="0" w:color="auto"/>
          </w:divBdr>
        </w:div>
        <w:div w:id="1288470122">
          <w:marLeft w:val="0"/>
          <w:marRight w:val="0"/>
          <w:marTop w:val="0"/>
          <w:marBottom w:val="0"/>
          <w:divBdr>
            <w:top w:val="none" w:sz="0" w:space="0" w:color="auto"/>
            <w:left w:val="none" w:sz="0" w:space="0" w:color="auto"/>
            <w:bottom w:val="none" w:sz="0" w:space="0" w:color="auto"/>
            <w:right w:val="none" w:sz="0" w:space="0" w:color="auto"/>
          </w:divBdr>
        </w:div>
        <w:div w:id="176476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chive.nationalarchives.gov.uk/20090609003228/http://www.berr.gov.uk/files/file48720.pdf" TargetMode="External"/><Relationship Id="rId13" Type="http://schemas.openxmlformats.org/officeDocument/2006/relationships/hyperlink" Target="http://webarchive.nationalarchives.gov.uk/20090609003228/http://www.berr.gov.uk/files/file34183.pdf" TargetMode="External"/><Relationship Id="rId18" Type="http://schemas.openxmlformats.org/officeDocument/2006/relationships/hyperlink" Target="http://www.legislation.gov.uk/ukia/2011/471/pdfs/ukia_20110471_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barchive.nationalarchives.gov.uk/20121107103953/http://assets.dft.gov.uk/publications/fatigue-and-road-safety-a-critical-analysis-of-recent-evidence/rswp21report.pdf" TargetMode="External"/><Relationship Id="rId7" Type="http://schemas.openxmlformats.org/officeDocument/2006/relationships/endnotes" Target="endnotes.xml"/><Relationship Id="rId12" Type="http://schemas.openxmlformats.org/officeDocument/2006/relationships/hyperlink" Target="http://collections.europarchive.org/tna/20060213205515/http://dti.gov.uk/access/ria/pdf/workingtime.pdf" TargetMode="External"/><Relationship Id="rId17" Type="http://schemas.openxmlformats.org/officeDocument/2006/relationships/hyperlink" Target="http://webarchive.nationalarchives.gov.uk/20060810174143/http://hse.gov.uk/ria/wah/ri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vibration/ria05.pdf" TargetMode="External"/><Relationship Id="rId20" Type="http://schemas.openxmlformats.org/officeDocument/2006/relationships/hyperlink" Target="http://www.hse.gov.uk/research/crr_pdf/1996/crr961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0/93/pdfs/uksiem_20100093_en.pdf" TargetMode="External"/><Relationship Id="rId24" Type="http://schemas.openxmlformats.org/officeDocument/2006/relationships/hyperlink" Target="http://webarchive.nationalarchives.gov.uk/20090609003228/http://www.berr.gov.uk/files/file11620.pdf" TargetMode="External"/><Relationship Id="rId5" Type="http://schemas.openxmlformats.org/officeDocument/2006/relationships/webSettings" Target="webSettings.xml"/><Relationship Id="rId15" Type="http://schemas.openxmlformats.org/officeDocument/2006/relationships/hyperlink" Target="http://webarchive.nationalarchives.gov.uk/20060810174143/http://hse.gov.uk/ria/chemical/coshh-cement.pdf" TargetMode="External"/><Relationship Id="rId23" Type="http://schemas.openxmlformats.org/officeDocument/2006/relationships/hyperlink" Target="http://www.hse.gov.uk/research/rrpdf/rr783.pdf" TargetMode="External"/><Relationship Id="rId10" Type="http://schemas.openxmlformats.org/officeDocument/2006/relationships/hyperlink" Target="http://www.legislation.gov.uk/ukia/2011/485/pdfs/ukia_20110485_en.pdf" TargetMode="External"/><Relationship Id="rId19" Type="http://schemas.openxmlformats.org/officeDocument/2006/relationships/hyperlink" Target="http://www.legislation.gov.uk/ukia/2015/42/pdfs/ukia_20150042_en.pdf" TargetMode="External"/><Relationship Id="rId4" Type="http://schemas.openxmlformats.org/officeDocument/2006/relationships/settings" Target="settings.xml"/><Relationship Id="rId9" Type="http://schemas.openxmlformats.org/officeDocument/2006/relationships/hyperlink" Target="http://webarchive.nationalarchives.gov.uk/20051219094446/http://dft.gov.uk/stellent/groups/dft_freight/documents/page/dft_freight_037111.pdf" TargetMode="External"/><Relationship Id="rId14" Type="http://schemas.openxmlformats.org/officeDocument/2006/relationships/hyperlink" Target="http://webarchive.nationalarchives.gov.uk/20121212135622/http://www.bis.gov.uk/files/file48720.pdf" TargetMode="External"/><Relationship Id="rId22" Type="http://schemas.openxmlformats.org/officeDocument/2006/relationships/hyperlink" Target="http://www.hse.gov.uk/research/crr_pdf/1999/crr992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C1E5C-35D8-470A-B2C6-2135F146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4916</TotalTime>
  <Pages>36</Pages>
  <Words>23680</Words>
  <Characters>134982</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Fooks, Gary</dc:creator>
  <cp:keywords/>
  <dc:description/>
  <cp:lastModifiedBy>Gary Fooks</cp:lastModifiedBy>
  <cp:revision>9</cp:revision>
  <cp:lastPrinted>2017-05-11T10:57:00Z</cp:lastPrinted>
  <dcterms:created xsi:type="dcterms:W3CDTF">2017-05-20T12:37:00Z</dcterms:created>
  <dcterms:modified xsi:type="dcterms:W3CDTF">2017-06-05T12:45:00Z</dcterms:modified>
</cp:coreProperties>
</file>