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E26C9" w14:textId="77777777" w:rsidR="00AA2D5C" w:rsidRDefault="00AA2D5C" w:rsidP="00316E94">
      <w:pPr>
        <w:ind w:firstLine="0"/>
        <w:jc w:val="both"/>
        <w:rPr>
          <w:rFonts w:cs="Times New Roman"/>
          <w:b/>
        </w:rPr>
      </w:pPr>
      <w:bookmarkStart w:id="0" w:name="_GoBack"/>
      <w:bookmarkEnd w:id="0"/>
    </w:p>
    <w:p w14:paraId="12D61F43" w14:textId="77777777" w:rsidR="000863A4" w:rsidRPr="005462C4" w:rsidRDefault="000863A4" w:rsidP="00316E94">
      <w:pPr>
        <w:ind w:firstLine="0"/>
        <w:jc w:val="both"/>
        <w:rPr>
          <w:bCs/>
        </w:rPr>
      </w:pPr>
      <w:r w:rsidRPr="005462C4">
        <w:rPr>
          <w:rFonts w:cs="Times New Roman"/>
          <w:b/>
        </w:rPr>
        <w:t xml:space="preserve">Online Appendix 1: </w:t>
      </w:r>
      <w:r w:rsidRPr="005462C4">
        <w:rPr>
          <w:b/>
        </w:rPr>
        <w:t>Propensity score matching procedure</w:t>
      </w:r>
    </w:p>
    <w:p w14:paraId="47A5B584" w14:textId="77777777" w:rsidR="008B2EB4" w:rsidRDefault="008B2EB4" w:rsidP="008B2EB4">
      <w:pPr>
        <w:ind w:firstLine="0"/>
        <w:jc w:val="both"/>
      </w:pPr>
    </w:p>
    <w:p w14:paraId="3B7A0FE0" w14:textId="15931BFF" w:rsidR="000863A4" w:rsidRPr="005462C4" w:rsidRDefault="000863A4" w:rsidP="008B2EB4">
      <w:pPr>
        <w:ind w:firstLine="0"/>
        <w:jc w:val="both"/>
        <w:rPr>
          <w:rFonts w:cs="Times New Roman"/>
        </w:rPr>
      </w:pPr>
      <w:r w:rsidRPr="005462C4">
        <w:t xml:space="preserve">The propensity score </w:t>
      </w:r>
      <w:r w:rsidR="007F48A5">
        <w:t>matching</w:t>
      </w:r>
      <w:r w:rsidR="007F48A5" w:rsidRPr="005462C4">
        <w:t xml:space="preserve"> </w:t>
      </w:r>
      <w:r w:rsidRPr="005462C4">
        <w:t xml:space="preserve">procedure was carried out in </w:t>
      </w:r>
      <w:r w:rsidR="008B2EB4">
        <w:t>5</w:t>
      </w:r>
      <w:r w:rsidRPr="005462C4">
        <w:t xml:space="preserve"> steps </w:t>
      </w:r>
      <w:r w:rsidR="007F48A5">
        <w:t>based on</w:t>
      </w:r>
      <w:r w:rsidRPr="005462C4">
        <w:t xml:space="preserve"> </w:t>
      </w:r>
      <w:r w:rsidRPr="005462C4">
        <w:fldChar w:fldCharType="begin"/>
      </w:r>
      <w:r w:rsidRPr="005462C4">
        <w:instrText xml:space="preserve"> ADDIN EN.CITE &lt;EndNote&gt;&lt;Cite AuthorYear="1"&gt;&lt;Author&gt;Caliendo&lt;/Author&gt;&lt;Year&gt;2008&lt;/Year&gt;&lt;RecNum&gt;1506&lt;/RecNum&gt;&lt;DisplayText&gt;Caliendo and Kopeinig (2008)&lt;/DisplayText&gt;&lt;record&gt;&lt;rec-number&gt;1506&lt;/rec-number&gt;&lt;foreign-keys&gt;&lt;key app="EN" db-id="et2905dt9re5v8efdwq5xevodrf0xfarsvx2" timestamp="1441480747"&gt;1506&lt;/key&gt;&lt;/foreign-keys&gt;&lt;ref-type name="Journal Article"&gt;17&lt;/ref-type&gt;&lt;contributors&gt;&lt;authors&gt;&lt;author&gt;Caliendo, Marco&lt;/author&gt;&lt;author&gt;Kopeinig, Sabine&lt;/author&gt;&lt;/authors&gt;&lt;/contributors&gt;&lt;titles&gt;&lt;title&gt;Some practical guidance for the implementation of propensity score matching&lt;/title&gt;&lt;secondary-title&gt;Journal of economic surveys&lt;/secondary-title&gt;&lt;/titles&gt;&lt;periodical&gt;&lt;full-title&gt;Journal of Economic Surveys&lt;/full-title&gt;&lt;/periodical&gt;&lt;pages&gt;31-72&lt;/pages&gt;&lt;volume&gt;22&lt;/volume&gt;&lt;number&gt;1&lt;/number&gt;&lt;dates&gt;&lt;year&gt;2008&lt;/year&gt;&lt;/dates&gt;&lt;isbn&gt;1467-6419&lt;/isbn&gt;&lt;urls&gt;&lt;/urls&gt;&lt;/record&gt;&lt;/Cite&gt;&lt;/EndNote&gt;</w:instrText>
      </w:r>
      <w:r w:rsidRPr="005462C4">
        <w:fldChar w:fldCharType="separate"/>
      </w:r>
      <w:r w:rsidRPr="005462C4">
        <w:rPr>
          <w:noProof/>
        </w:rPr>
        <w:t>Caliendo and Kopeinig (2008)</w:t>
      </w:r>
      <w:r w:rsidRPr="005462C4">
        <w:fldChar w:fldCharType="end"/>
      </w:r>
      <w:r w:rsidRPr="005462C4">
        <w:t>:</w:t>
      </w:r>
    </w:p>
    <w:p w14:paraId="54BFE99A" w14:textId="3DAC16EC" w:rsidR="000863A4" w:rsidRPr="005462C4" w:rsidRDefault="000863A4" w:rsidP="00685AD8">
      <w:pPr>
        <w:pStyle w:val="ListParagraph"/>
        <w:numPr>
          <w:ilvl w:val="0"/>
          <w:numId w:val="1"/>
        </w:numPr>
        <w:spacing w:after="240"/>
        <w:jc w:val="both"/>
        <w:rPr>
          <w:rFonts w:ascii="Garamond" w:hAnsi="Garamond" w:cs="Times New Roman"/>
        </w:rPr>
      </w:pPr>
      <w:r w:rsidRPr="005462C4">
        <w:rPr>
          <w:rFonts w:ascii="Garamond" w:eastAsia="Times New Roman" w:hAnsi="Garamond" w:cs="Times New Roman"/>
          <w:iCs/>
          <w:color w:val="000000"/>
          <w:u w:val="single"/>
        </w:rPr>
        <w:t>Choosing variables for propensity matching</w:t>
      </w:r>
      <w:r w:rsidRPr="005462C4">
        <w:rPr>
          <w:rFonts w:ascii="Garamond" w:eastAsia="Times New Roman" w:hAnsi="Garamond" w:cs="Times New Roman"/>
          <w:iCs/>
          <w:color w:val="000000"/>
        </w:rPr>
        <w:t>. We match</w:t>
      </w:r>
      <w:r w:rsidR="007F48A5">
        <w:rPr>
          <w:rFonts w:ascii="Garamond" w:eastAsia="Times New Roman" w:hAnsi="Garamond" w:cs="Times New Roman"/>
          <w:iCs/>
          <w:color w:val="000000"/>
        </w:rPr>
        <w:t>ed</w:t>
      </w:r>
      <w:r w:rsidRPr="005462C4">
        <w:rPr>
          <w:rFonts w:ascii="Garamond" w:eastAsia="Times New Roman" w:hAnsi="Garamond" w:cs="Times New Roman"/>
          <w:iCs/>
          <w:color w:val="000000"/>
        </w:rPr>
        <w:t xml:space="preserve"> immigrant and native-born individuals based on </w:t>
      </w:r>
      <w:r w:rsidR="004A3737">
        <w:rPr>
          <w:rFonts w:ascii="Garamond" w:eastAsia="Times New Roman" w:hAnsi="Garamond" w:cs="Times New Roman"/>
          <w:iCs/>
          <w:color w:val="000000"/>
        </w:rPr>
        <w:t xml:space="preserve">the following </w:t>
      </w:r>
      <w:r w:rsidRPr="005462C4">
        <w:rPr>
          <w:rFonts w:ascii="Garamond" w:eastAsia="Times New Roman" w:hAnsi="Garamond" w:cs="Times New Roman"/>
          <w:iCs/>
          <w:color w:val="000000"/>
        </w:rPr>
        <w:t xml:space="preserve">variables </w:t>
      </w:r>
      <w:r w:rsidR="009520B4" w:rsidRPr="005462C4">
        <w:rPr>
          <w:rFonts w:ascii="Garamond" w:eastAsia="Times New Roman" w:hAnsi="Garamond" w:cs="Times New Roman"/>
          <w:iCs/>
          <w:color w:val="000000"/>
        </w:rPr>
        <w:t xml:space="preserve">previously identified </w:t>
      </w:r>
      <w:r w:rsidRPr="005462C4">
        <w:rPr>
          <w:rFonts w:ascii="Garamond" w:eastAsia="Times New Roman" w:hAnsi="Garamond" w:cs="Times New Roman"/>
          <w:iCs/>
          <w:color w:val="000000"/>
        </w:rPr>
        <w:t>to be significantly related to volunteering</w:t>
      </w:r>
      <w:r w:rsidR="004A3737">
        <w:rPr>
          <w:rFonts w:ascii="Garamond" w:eastAsia="Times New Roman" w:hAnsi="Garamond" w:cs="Times New Roman"/>
          <w:iCs/>
          <w:color w:val="000000"/>
        </w:rPr>
        <w:t>:</w:t>
      </w:r>
      <w:r w:rsidRPr="005462C4">
        <w:rPr>
          <w:rFonts w:ascii="Garamond" w:eastAsia="Times New Roman" w:hAnsi="Garamond" w:cs="Times New Roman"/>
          <w:iCs/>
          <w:color w:val="000000"/>
        </w:rPr>
        <w:t xml:space="preserve"> age, gender, level</w:t>
      </w:r>
      <w:r w:rsidRPr="005462C4">
        <w:rPr>
          <w:rFonts w:ascii="Garamond" w:hAnsi="Garamond" w:cs="Times New Roman"/>
        </w:rPr>
        <w:t xml:space="preserve"> of education, employment status and membership in religious congregations. </w:t>
      </w:r>
      <w:r w:rsidR="001C5E75">
        <w:rPr>
          <w:rFonts w:ascii="Garamond" w:hAnsi="Garamond" w:cs="Times New Roman"/>
        </w:rPr>
        <w:t>W</w:t>
      </w:r>
      <w:r w:rsidRPr="005462C4">
        <w:rPr>
          <w:rFonts w:ascii="Garamond" w:hAnsi="Garamond" w:cs="Times New Roman"/>
        </w:rPr>
        <w:t xml:space="preserve">e included only variables indicating a significant relationship to the treatment group (immigrant) since inclusion of non-significant variables is likely to increase the variance of the estimates </w:t>
      </w:r>
      <w:r w:rsidRPr="005462C4">
        <w:rPr>
          <w:rFonts w:ascii="Garamond" w:hAnsi="Garamond" w:cs="Times New Roman"/>
        </w:rPr>
        <w:fldChar w:fldCharType="begin"/>
      </w:r>
      <w:r w:rsidRPr="005462C4">
        <w:rPr>
          <w:rFonts w:ascii="Garamond" w:hAnsi="Garamond" w:cs="Times New Roman"/>
        </w:rPr>
        <w:instrText xml:space="preserve"> ADDIN EN.CITE &lt;EndNote&gt;&lt;Cite&gt;&lt;Author&gt;Caliendo&lt;/Author&gt;&lt;Year&gt;2008&lt;/Year&gt;&lt;RecNum&gt;1506&lt;/RecNum&gt;&lt;DisplayText&gt;(Caliendo &amp;amp; Kopeinig, 2008)&lt;/DisplayText&gt;&lt;record&gt;&lt;rec-number&gt;1506&lt;/rec-number&gt;&lt;foreign-keys&gt;&lt;key app="EN" db-id="et2905dt9re5v8efdwq5xevodrf0xfarsvx2" timestamp="1441480747"&gt;1506&lt;/key&gt;&lt;/foreign-keys&gt;&lt;ref-type name="Journal Article"&gt;17&lt;/ref-type&gt;&lt;contributors&gt;&lt;authors&gt;&lt;author&gt;Caliendo, Marco&lt;/author&gt;&lt;author&gt;Kopeinig, Sabine&lt;/author&gt;&lt;/authors&gt;&lt;/contributors&gt;&lt;titles&gt;&lt;title&gt;Some practical guidance for the implementation of propensity score matching&lt;/title&gt;&lt;secondary-title&gt;Journal of economic surveys&lt;/secondary-title&gt;&lt;/titles&gt;&lt;periodical&gt;&lt;full-title&gt;Journal of Economic Surveys&lt;/full-title&gt;&lt;/periodical&gt;&lt;pages&gt;31-72&lt;/pages&gt;&lt;volume&gt;22&lt;/volume&gt;&lt;number&gt;1&lt;/number&gt;&lt;dates&gt;&lt;year&gt;2008&lt;/year&gt;&lt;/dates&gt;&lt;isbn&gt;1467-6419&lt;/isbn&gt;&lt;urls&gt;&lt;/urls&gt;&lt;/record&gt;&lt;/Cite&gt;&lt;/EndNote&gt;</w:instrText>
      </w:r>
      <w:r w:rsidRPr="005462C4">
        <w:rPr>
          <w:rFonts w:ascii="Garamond" w:hAnsi="Garamond" w:cs="Times New Roman"/>
        </w:rPr>
        <w:fldChar w:fldCharType="separate"/>
      </w:r>
      <w:r w:rsidR="00685AD8">
        <w:rPr>
          <w:rFonts w:ascii="Garamond" w:hAnsi="Garamond" w:cs="Times New Roman"/>
          <w:noProof/>
        </w:rPr>
        <w:t>(Caliendo and</w:t>
      </w:r>
      <w:r w:rsidRPr="005462C4">
        <w:rPr>
          <w:rFonts w:ascii="Garamond" w:hAnsi="Garamond" w:cs="Times New Roman"/>
          <w:noProof/>
        </w:rPr>
        <w:t xml:space="preserve"> Kopeinig, 2008)</w:t>
      </w:r>
      <w:r w:rsidRPr="005462C4">
        <w:rPr>
          <w:rFonts w:ascii="Garamond" w:hAnsi="Garamond" w:cs="Times New Roman"/>
        </w:rPr>
        <w:fldChar w:fldCharType="end"/>
      </w:r>
      <w:r w:rsidRPr="005462C4">
        <w:rPr>
          <w:rFonts w:ascii="Garamond" w:hAnsi="Garamond" w:cs="Times New Roman"/>
        </w:rPr>
        <w:t xml:space="preserve">. </w:t>
      </w:r>
    </w:p>
    <w:p w14:paraId="6171A1FE" w14:textId="1FF1AFEC" w:rsidR="000863A4" w:rsidRPr="00D35C19" w:rsidRDefault="000863A4" w:rsidP="009520B4">
      <w:pPr>
        <w:pStyle w:val="ListParagraph"/>
        <w:numPr>
          <w:ilvl w:val="0"/>
          <w:numId w:val="1"/>
        </w:numPr>
        <w:spacing w:after="120"/>
        <w:ind w:left="357" w:hanging="357"/>
        <w:jc w:val="both"/>
        <w:rPr>
          <w:rFonts w:ascii="Garamond" w:hAnsi="Garamond"/>
        </w:rPr>
      </w:pPr>
      <w:r w:rsidRPr="00D35C19">
        <w:rPr>
          <w:rFonts w:ascii="Garamond" w:hAnsi="Garamond" w:cs="Times New Roman"/>
          <w:u w:val="single"/>
        </w:rPr>
        <w:t>Test</w:t>
      </w:r>
      <w:r w:rsidR="00685AD8" w:rsidRPr="00D35C19">
        <w:rPr>
          <w:rFonts w:ascii="Garamond" w:hAnsi="Garamond" w:cs="Times New Roman"/>
          <w:u w:val="single"/>
        </w:rPr>
        <w:t>ing</w:t>
      </w:r>
      <w:r w:rsidRPr="00D35C19">
        <w:rPr>
          <w:rFonts w:ascii="Garamond" w:hAnsi="Garamond" w:cs="Times New Roman"/>
          <w:u w:val="single"/>
        </w:rPr>
        <w:t xml:space="preserve"> for crude differences</w:t>
      </w:r>
      <w:r w:rsidRPr="00D35C19">
        <w:rPr>
          <w:rFonts w:ascii="Garamond" w:hAnsi="Garamond" w:cs="Times New Roman"/>
        </w:rPr>
        <w:t xml:space="preserve">. Probit regression was used to test for crude differences between immigrant and native-born </w:t>
      </w:r>
      <w:r w:rsidR="001C5E75" w:rsidRPr="00D35C19">
        <w:rPr>
          <w:rFonts w:ascii="Garamond" w:hAnsi="Garamond" w:cs="Times New Roman"/>
        </w:rPr>
        <w:t xml:space="preserve">individuals </w:t>
      </w:r>
      <w:r w:rsidRPr="00D35C19">
        <w:rPr>
          <w:rFonts w:ascii="Garamond" w:hAnsi="Garamond" w:cs="Times New Roman"/>
        </w:rPr>
        <w:t xml:space="preserve">using the variables identified in step (1) as predictors. The results (Table A1) indicated that there were no significant differences on </w:t>
      </w:r>
      <w:r w:rsidRPr="00D35C19">
        <w:rPr>
          <w:rFonts w:ascii="Garamond" w:hAnsi="Garamond" w:cs="Times New Roman"/>
          <w:bCs/>
        </w:rPr>
        <w:t>gender</w:t>
      </w:r>
      <w:r w:rsidRPr="00D35C19">
        <w:rPr>
          <w:rFonts w:ascii="Garamond" w:hAnsi="Garamond" w:cs="Times New Roman"/>
        </w:rPr>
        <w:t xml:space="preserve"> and </w:t>
      </w:r>
      <w:r w:rsidRPr="00D35C19">
        <w:rPr>
          <w:rFonts w:ascii="Garamond" w:hAnsi="Garamond" w:cs="Times New Roman"/>
          <w:bCs/>
        </w:rPr>
        <w:t>religious membership</w:t>
      </w:r>
      <w:r w:rsidRPr="00D35C19">
        <w:rPr>
          <w:rFonts w:ascii="Garamond" w:hAnsi="Garamond" w:cs="Times New Roman"/>
        </w:rPr>
        <w:t xml:space="preserve">, thus we dropped these variables from the rest of the procedure and </w:t>
      </w:r>
      <w:r w:rsidRPr="00D35C19">
        <w:rPr>
          <w:rFonts w:ascii="Garamond" w:eastAsia="Times New Roman" w:hAnsi="Garamond" w:cs="Times New Roman"/>
          <w:color w:val="000000"/>
        </w:rPr>
        <w:t xml:space="preserve">matched </w:t>
      </w:r>
      <w:r w:rsidR="004A3737" w:rsidRPr="00D35C19">
        <w:rPr>
          <w:rFonts w:ascii="Garamond" w:eastAsia="Times New Roman" w:hAnsi="Garamond" w:cs="Times New Roman"/>
          <w:color w:val="000000"/>
        </w:rPr>
        <w:t xml:space="preserve">the two groups </w:t>
      </w:r>
      <w:r w:rsidRPr="00D35C19">
        <w:rPr>
          <w:rFonts w:ascii="Garamond" w:eastAsia="Times New Roman" w:hAnsi="Garamond" w:cs="Times New Roman"/>
          <w:color w:val="000000"/>
        </w:rPr>
        <w:t>on age, employment status, and education</w:t>
      </w:r>
      <w:r w:rsidRPr="00D35C19">
        <w:rPr>
          <w:rFonts w:ascii="Garamond" w:hAnsi="Garamond" w:cs="Times New Roman"/>
        </w:rPr>
        <w:t xml:space="preserve"> only </w:t>
      </w:r>
      <w:r w:rsidRPr="00D35C19">
        <w:rPr>
          <w:rFonts w:ascii="Garamond" w:hAnsi="Garamond" w:cs="Times New Roman"/>
        </w:rPr>
        <w:fldChar w:fldCharType="begin"/>
      </w:r>
      <w:r w:rsidRPr="00D35C19">
        <w:rPr>
          <w:rFonts w:ascii="Garamond" w:hAnsi="Garamond" w:cs="Times New Roman"/>
        </w:rPr>
        <w:instrText xml:space="preserve"> ADDIN EN.CITE &lt;EndNote&gt;&lt;Cite&gt;&lt;Author&gt;Caliendo&lt;/Author&gt;&lt;Year&gt;2008&lt;/Year&gt;&lt;RecNum&gt;1506&lt;/RecNum&gt;&lt;DisplayText&gt;(Caliendo &amp;amp; Kopeinig, 2008)&lt;/DisplayText&gt;&lt;record&gt;&lt;rec-number&gt;1506&lt;/rec-number&gt;&lt;foreign-keys&gt;&lt;key app="EN" db-id="et2905dt9re5v8efdwq5xevodrf0xfarsvx2" timestamp="1441480747"&gt;1506&lt;/key&gt;&lt;/foreign-keys&gt;&lt;ref-type name="Journal Article"&gt;17&lt;/ref-type&gt;&lt;contributors&gt;&lt;authors&gt;&lt;author&gt;Caliendo, Marco&lt;/author&gt;&lt;author&gt;Kopeinig, Sabine&lt;/author&gt;&lt;/authors&gt;&lt;/contributors&gt;&lt;titles&gt;&lt;title&gt;Some practical guidance for the implementation of propensity score matching&lt;/title&gt;&lt;secondary-title&gt;Journal of economic surveys&lt;/secondary-title&gt;&lt;/titles&gt;&lt;periodical&gt;&lt;full-title&gt;Journal of Economic Surveys&lt;/full-title&gt;&lt;/periodical&gt;&lt;pages&gt;31-72&lt;/pages&gt;&lt;volume&gt;22&lt;/volume&gt;&lt;number&gt;1&lt;/number&gt;&lt;dates&gt;&lt;year&gt;2008&lt;/year&gt;&lt;/dates&gt;&lt;isbn&gt;1467-6419&lt;/isbn&gt;&lt;urls&gt;&lt;/urls&gt;&lt;/record&gt;&lt;/Cite&gt;&lt;/EndNote&gt;</w:instrText>
      </w:r>
      <w:r w:rsidRPr="00D35C19">
        <w:rPr>
          <w:rFonts w:ascii="Garamond" w:hAnsi="Garamond" w:cs="Times New Roman"/>
        </w:rPr>
        <w:fldChar w:fldCharType="separate"/>
      </w:r>
      <w:r w:rsidR="00685AD8" w:rsidRPr="00D35C19">
        <w:rPr>
          <w:rFonts w:ascii="Garamond" w:hAnsi="Garamond" w:cs="Times New Roman"/>
          <w:noProof/>
        </w:rPr>
        <w:t>(Caliendo and</w:t>
      </w:r>
      <w:r w:rsidRPr="00D35C19">
        <w:rPr>
          <w:rFonts w:ascii="Garamond" w:hAnsi="Garamond" w:cs="Times New Roman"/>
          <w:noProof/>
        </w:rPr>
        <w:t xml:space="preserve"> Kopeinig, 2008)</w:t>
      </w:r>
      <w:r w:rsidRPr="00D35C19">
        <w:rPr>
          <w:rFonts w:ascii="Garamond" w:hAnsi="Garamond" w:cs="Times New Roman"/>
        </w:rPr>
        <w:fldChar w:fldCharType="end"/>
      </w:r>
      <w:r w:rsidRPr="00D35C19">
        <w:rPr>
          <w:rFonts w:ascii="Garamond" w:hAnsi="Garamond" w:cs="Times New Roman"/>
        </w:rPr>
        <w:t xml:space="preserve">. </w:t>
      </w:r>
    </w:p>
    <w:p w14:paraId="5F608070" w14:textId="77777777" w:rsidR="000863A4" w:rsidRPr="005462C4" w:rsidRDefault="000863A4" w:rsidP="008B2EB4">
      <w:pPr>
        <w:pStyle w:val="Caption"/>
        <w:spacing w:after="120"/>
        <w:ind w:firstLine="0"/>
        <w:jc w:val="both"/>
        <w:rPr>
          <w:b/>
          <w:bCs/>
        </w:rPr>
      </w:pPr>
      <w:r w:rsidRPr="005462C4">
        <w:rPr>
          <w:b/>
          <w:bCs/>
        </w:rPr>
        <w:t>Table A1 - Probit regression (DV: immigrant)</w:t>
      </w:r>
    </w:p>
    <w:tbl>
      <w:tblPr>
        <w:tblW w:w="6237" w:type="dxa"/>
        <w:tblInd w:w="465" w:type="dxa"/>
        <w:tblLook w:val="04A0" w:firstRow="1" w:lastRow="0" w:firstColumn="1" w:lastColumn="0" w:noHBand="0" w:noVBand="1"/>
      </w:tblPr>
      <w:tblGrid>
        <w:gridCol w:w="2489"/>
        <w:gridCol w:w="1303"/>
        <w:gridCol w:w="1063"/>
        <w:gridCol w:w="1382"/>
      </w:tblGrid>
      <w:tr w:rsidR="000863A4" w:rsidRPr="005462C4" w14:paraId="7F14CCF8" w14:textId="77777777" w:rsidTr="009A22DF">
        <w:trPr>
          <w:trHeight w:val="300"/>
        </w:trPr>
        <w:tc>
          <w:tcPr>
            <w:tcW w:w="2489" w:type="dxa"/>
            <w:tcBorders>
              <w:top w:val="single" w:sz="4" w:space="0" w:color="auto"/>
              <w:left w:val="nil"/>
              <w:bottom w:val="single" w:sz="4" w:space="0" w:color="auto"/>
              <w:right w:val="nil"/>
            </w:tcBorders>
            <w:shd w:val="clear" w:color="auto" w:fill="auto"/>
            <w:vAlign w:val="center"/>
            <w:hideMark/>
          </w:tcPr>
          <w:p w14:paraId="142C297F" w14:textId="77777777" w:rsidR="000863A4" w:rsidRPr="005462C4" w:rsidRDefault="000863A4" w:rsidP="00316E94">
            <w:pPr>
              <w:ind w:firstLine="0"/>
              <w:jc w:val="both"/>
              <w:rPr>
                <w:rFonts w:eastAsia="Times New Roman" w:cs="Times New Roman"/>
                <w:b/>
                <w:bCs/>
                <w:color w:val="000000"/>
                <w:szCs w:val="20"/>
              </w:rPr>
            </w:pPr>
            <w:r w:rsidRPr="005462C4">
              <w:rPr>
                <w:rFonts w:eastAsia="Times New Roman" w:cs="Times New Roman"/>
                <w:b/>
                <w:bCs/>
                <w:color w:val="000000"/>
                <w:szCs w:val="20"/>
              </w:rPr>
              <w:t> </w:t>
            </w:r>
          </w:p>
        </w:tc>
        <w:tc>
          <w:tcPr>
            <w:tcW w:w="1303" w:type="dxa"/>
            <w:tcBorders>
              <w:top w:val="single" w:sz="4" w:space="0" w:color="auto"/>
              <w:left w:val="nil"/>
              <w:bottom w:val="single" w:sz="4" w:space="0" w:color="auto"/>
              <w:right w:val="nil"/>
            </w:tcBorders>
            <w:shd w:val="clear" w:color="auto" w:fill="auto"/>
            <w:vAlign w:val="center"/>
            <w:hideMark/>
          </w:tcPr>
          <w:p w14:paraId="7D40BAAF" w14:textId="77777777" w:rsidR="000863A4" w:rsidRPr="005462C4" w:rsidRDefault="000863A4" w:rsidP="00316E94">
            <w:pPr>
              <w:ind w:firstLine="0"/>
              <w:jc w:val="both"/>
              <w:rPr>
                <w:rFonts w:eastAsia="Times New Roman" w:cs="Times New Roman"/>
                <w:b/>
                <w:bCs/>
                <w:color w:val="000000"/>
                <w:szCs w:val="20"/>
              </w:rPr>
            </w:pPr>
            <w:r w:rsidRPr="005462C4">
              <w:rPr>
                <w:rFonts w:eastAsia="Times New Roman" w:cs="Times New Roman"/>
                <w:b/>
                <w:bCs/>
                <w:color w:val="000000"/>
                <w:szCs w:val="20"/>
              </w:rPr>
              <w:t>B(SE)</w:t>
            </w:r>
          </w:p>
        </w:tc>
        <w:tc>
          <w:tcPr>
            <w:tcW w:w="1063" w:type="dxa"/>
            <w:tcBorders>
              <w:top w:val="single" w:sz="4" w:space="0" w:color="auto"/>
              <w:left w:val="nil"/>
              <w:bottom w:val="single" w:sz="4" w:space="0" w:color="auto"/>
              <w:right w:val="nil"/>
            </w:tcBorders>
            <w:shd w:val="clear" w:color="auto" w:fill="auto"/>
            <w:vAlign w:val="center"/>
            <w:hideMark/>
          </w:tcPr>
          <w:p w14:paraId="3746CBB4" w14:textId="77777777" w:rsidR="000863A4" w:rsidRPr="005462C4" w:rsidRDefault="000863A4" w:rsidP="00316E94">
            <w:pPr>
              <w:ind w:firstLine="0"/>
              <w:jc w:val="both"/>
              <w:rPr>
                <w:rFonts w:eastAsia="Times New Roman" w:cs="Times New Roman"/>
                <w:b/>
                <w:bCs/>
                <w:color w:val="000000"/>
                <w:szCs w:val="20"/>
              </w:rPr>
            </w:pPr>
            <w:r w:rsidRPr="005462C4">
              <w:rPr>
                <w:rFonts w:eastAsia="Times New Roman" w:cs="Times New Roman"/>
                <w:b/>
                <w:bCs/>
                <w:color w:val="000000"/>
                <w:szCs w:val="20"/>
              </w:rPr>
              <w:t>p</w:t>
            </w:r>
          </w:p>
        </w:tc>
        <w:tc>
          <w:tcPr>
            <w:tcW w:w="1382" w:type="dxa"/>
            <w:tcBorders>
              <w:top w:val="single" w:sz="4" w:space="0" w:color="auto"/>
              <w:left w:val="nil"/>
              <w:bottom w:val="single" w:sz="4" w:space="0" w:color="auto"/>
              <w:right w:val="nil"/>
            </w:tcBorders>
            <w:shd w:val="clear" w:color="auto" w:fill="auto"/>
            <w:vAlign w:val="center"/>
            <w:hideMark/>
          </w:tcPr>
          <w:p w14:paraId="3201833F" w14:textId="77777777" w:rsidR="000863A4" w:rsidRPr="005462C4" w:rsidRDefault="000863A4" w:rsidP="00316E94">
            <w:pPr>
              <w:ind w:firstLine="0"/>
              <w:jc w:val="both"/>
              <w:rPr>
                <w:rFonts w:eastAsia="Times New Roman" w:cs="Times New Roman"/>
                <w:b/>
                <w:bCs/>
                <w:color w:val="000000"/>
                <w:szCs w:val="20"/>
              </w:rPr>
            </w:pPr>
            <w:r w:rsidRPr="005462C4">
              <w:rPr>
                <w:rFonts w:eastAsia="Times New Roman" w:cs="Times New Roman"/>
                <w:b/>
                <w:bCs/>
                <w:color w:val="000000"/>
                <w:szCs w:val="20"/>
              </w:rPr>
              <w:t>CI</w:t>
            </w:r>
          </w:p>
        </w:tc>
      </w:tr>
      <w:tr w:rsidR="000863A4" w:rsidRPr="005462C4" w14:paraId="2C877152" w14:textId="77777777" w:rsidTr="00BA0C1E">
        <w:trPr>
          <w:trHeight w:val="395"/>
        </w:trPr>
        <w:tc>
          <w:tcPr>
            <w:tcW w:w="2489" w:type="dxa"/>
            <w:tcBorders>
              <w:top w:val="nil"/>
              <w:left w:val="nil"/>
              <w:bottom w:val="nil"/>
              <w:right w:val="nil"/>
            </w:tcBorders>
            <w:shd w:val="clear" w:color="auto" w:fill="F2F2F2" w:themeFill="background1" w:themeFillShade="F2"/>
            <w:vAlign w:val="center"/>
            <w:hideMark/>
          </w:tcPr>
          <w:p w14:paraId="5C083210"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Age</w:t>
            </w:r>
          </w:p>
        </w:tc>
        <w:tc>
          <w:tcPr>
            <w:tcW w:w="1303" w:type="dxa"/>
            <w:tcBorders>
              <w:top w:val="nil"/>
              <w:left w:val="nil"/>
              <w:bottom w:val="nil"/>
              <w:right w:val="nil"/>
            </w:tcBorders>
            <w:shd w:val="clear" w:color="auto" w:fill="F2F2F2" w:themeFill="background1" w:themeFillShade="F2"/>
            <w:vAlign w:val="center"/>
            <w:hideMark/>
          </w:tcPr>
          <w:p w14:paraId="41758646"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-.01 (.00)</w:t>
            </w:r>
          </w:p>
        </w:tc>
        <w:tc>
          <w:tcPr>
            <w:tcW w:w="1063" w:type="dxa"/>
            <w:tcBorders>
              <w:top w:val="nil"/>
              <w:left w:val="nil"/>
              <w:bottom w:val="nil"/>
              <w:right w:val="nil"/>
            </w:tcBorders>
            <w:shd w:val="clear" w:color="auto" w:fill="F2F2F2" w:themeFill="background1" w:themeFillShade="F2"/>
            <w:vAlign w:val="center"/>
            <w:hideMark/>
          </w:tcPr>
          <w:p w14:paraId="54AD0BF0"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0.0000</w:t>
            </w:r>
          </w:p>
        </w:tc>
        <w:tc>
          <w:tcPr>
            <w:tcW w:w="1382" w:type="dxa"/>
            <w:tcBorders>
              <w:top w:val="nil"/>
              <w:left w:val="nil"/>
              <w:bottom w:val="nil"/>
              <w:right w:val="nil"/>
            </w:tcBorders>
            <w:shd w:val="clear" w:color="auto" w:fill="F2F2F2" w:themeFill="background1" w:themeFillShade="F2"/>
            <w:vAlign w:val="center"/>
            <w:hideMark/>
          </w:tcPr>
          <w:p w14:paraId="0DAFCE3B"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[-.02, -.01]</w:t>
            </w:r>
          </w:p>
        </w:tc>
      </w:tr>
      <w:tr w:rsidR="000863A4" w:rsidRPr="005462C4" w14:paraId="78B7E517" w14:textId="77777777" w:rsidTr="009A22DF">
        <w:trPr>
          <w:trHeight w:val="300"/>
        </w:trPr>
        <w:tc>
          <w:tcPr>
            <w:tcW w:w="2489" w:type="dxa"/>
            <w:tcBorders>
              <w:top w:val="nil"/>
              <w:left w:val="nil"/>
              <w:bottom w:val="nil"/>
              <w:right w:val="nil"/>
            </w:tcBorders>
            <w:shd w:val="clear" w:color="auto" w:fill="auto"/>
            <w:vAlign w:val="center"/>
            <w:hideMark/>
          </w:tcPr>
          <w:p w14:paraId="63131FFE"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Gender</w:t>
            </w:r>
          </w:p>
        </w:tc>
        <w:tc>
          <w:tcPr>
            <w:tcW w:w="1303" w:type="dxa"/>
            <w:tcBorders>
              <w:top w:val="nil"/>
              <w:left w:val="nil"/>
              <w:bottom w:val="nil"/>
              <w:right w:val="nil"/>
            </w:tcBorders>
            <w:shd w:val="clear" w:color="auto" w:fill="auto"/>
            <w:vAlign w:val="center"/>
            <w:hideMark/>
          </w:tcPr>
          <w:p w14:paraId="6FBF3EDE"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-.03 (.08)</w:t>
            </w:r>
          </w:p>
        </w:tc>
        <w:tc>
          <w:tcPr>
            <w:tcW w:w="1063" w:type="dxa"/>
            <w:tcBorders>
              <w:top w:val="nil"/>
              <w:left w:val="nil"/>
              <w:bottom w:val="nil"/>
              <w:right w:val="nil"/>
            </w:tcBorders>
            <w:shd w:val="clear" w:color="auto" w:fill="auto"/>
            <w:vAlign w:val="center"/>
            <w:hideMark/>
          </w:tcPr>
          <w:p w14:paraId="16DBC48F"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0.2800</w:t>
            </w:r>
          </w:p>
        </w:tc>
        <w:tc>
          <w:tcPr>
            <w:tcW w:w="1382" w:type="dxa"/>
            <w:tcBorders>
              <w:top w:val="nil"/>
              <w:left w:val="nil"/>
              <w:bottom w:val="nil"/>
              <w:right w:val="nil"/>
            </w:tcBorders>
            <w:shd w:val="clear" w:color="auto" w:fill="auto"/>
            <w:vAlign w:val="center"/>
            <w:hideMark/>
          </w:tcPr>
          <w:p w14:paraId="081069CF"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[-.08, .02]</w:t>
            </w:r>
          </w:p>
        </w:tc>
      </w:tr>
      <w:tr w:rsidR="000863A4" w:rsidRPr="005462C4" w14:paraId="41CD6A2E" w14:textId="77777777" w:rsidTr="00BA0C1E">
        <w:trPr>
          <w:trHeight w:val="300"/>
        </w:trPr>
        <w:tc>
          <w:tcPr>
            <w:tcW w:w="2489" w:type="dxa"/>
            <w:tcBorders>
              <w:top w:val="nil"/>
              <w:left w:val="nil"/>
              <w:right w:val="nil"/>
            </w:tcBorders>
            <w:shd w:val="clear" w:color="auto" w:fill="F2F2F2" w:themeFill="background1" w:themeFillShade="F2"/>
            <w:vAlign w:val="center"/>
            <w:hideMark/>
          </w:tcPr>
          <w:p w14:paraId="41DC9AB7"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Employed</w:t>
            </w:r>
          </w:p>
        </w:tc>
        <w:tc>
          <w:tcPr>
            <w:tcW w:w="1303" w:type="dxa"/>
            <w:tcBorders>
              <w:top w:val="nil"/>
              <w:left w:val="nil"/>
              <w:right w:val="nil"/>
            </w:tcBorders>
            <w:shd w:val="clear" w:color="auto" w:fill="F2F2F2" w:themeFill="background1" w:themeFillShade="F2"/>
            <w:vAlign w:val="center"/>
            <w:hideMark/>
          </w:tcPr>
          <w:p w14:paraId="472845F5"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-.17 (.03)</w:t>
            </w:r>
          </w:p>
        </w:tc>
        <w:tc>
          <w:tcPr>
            <w:tcW w:w="1063" w:type="dxa"/>
            <w:tcBorders>
              <w:top w:val="nil"/>
              <w:left w:val="nil"/>
              <w:right w:val="nil"/>
            </w:tcBorders>
            <w:shd w:val="clear" w:color="auto" w:fill="F2F2F2" w:themeFill="background1" w:themeFillShade="F2"/>
            <w:vAlign w:val="center"/>
            <w:hideMark/>
          </w:tcPr>
          <w:p w14:paraId="6F109BEC"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0.0000</w:t>
            </w:r>
          </w:p>
        </w:tc>
        <w:tc>
          <w:tcPr>
            <w:tcW w:w="1382" w:type="dxa"/>
            <w:tcBorders>
              <w:top w:val="nil"/>
              <w:left w:val="nil"/>
              <w:right w:val="nil"/>
            </w:tcBorders>
            <w:shd w:val="clear" w:color="auto" w:fill="F2F2F2" w:themeFill="background1" w:themeFillShade="F2"/>
            <w:vAlign w:val="center"/>
            <w:hideMark/>
          </w:tcPr>
          <w:p w14:paraId="6B3A975B"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[-.22, -.11]</w:t>
            </w:r>
          </w:p>
        </w:tc>
      </w:tr>
      <w:tr w:rsidR="000863A4" w:rsidRPr="005462C4" w14:paraId="4327A5B0" w14:textId="77777777" w:rsidTr="00BA0C1E">
        <w:trPr>
          <w:trHeight w:val="300"/>
        </w:trPr>
        <w:tc>
          <w:tcPr>
            <w:tcW w:w="2489" w:type="dxa"/>
            <w:tcBorders>
              <w:top w:val="nil"/>
              <w:left w:val="nil"/>
              <w:right w:val="nil"/>
            </w:tcBorders>
            <w:shd w:val="clear" w:color="auto" w:fill="F2F2F2" w:themeFill="background1" w:themeFillShade="F2"/>
            <w:vAlign w:val="center"/>
            <w:hideMark/>
          </w:tcPr>
          <w:p w14:paraId="006F44C0"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 xml:space="preserve">College education </w:t>
            </w:r>
          </w:p>
        </w:tc>
        <w:tc>
          <w:tcPr>
            <w:tcW w:w="1303" w:type="dxa"/>
            <w:tcBorders>
              <w:top w:val="nil"/>
              <w:left w:val="nil"/>
              <w:right w:val="nil"/>
            </w:tcBorders>
            <w:shd w:val="clear" w:color="auto" w:fill="F2F2F2" w:themeFill="background1" w:themeFillShade="F2"/>
            <w:vAlign w:val="center"/>
            <w:hideMark/>
          </w:tcPr>
          <w:p w14:paraId="47AD2BA7"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.17 (.03)</w:t>
            </w:r>
          </w:p>
        </w:tc>
        <w:tc>
          <w:tcPr>
            <w:tcW w:w="1063" w:type="dxa"/>
            <w:tcBorders>
              <w:top w:val="nil"/>
              <w:left w:val="nil"/>
              <w:right w:val="nil"/>
            </w:tcBorders>
            <w:shd w:val="clear" w:color="auto" w:fill="F2F2F2" w:themeFill="background1" w:themeFillShade="F2"/>
            <w:vAlign w:val="center"/>
            <w:hideMark/>
          </w:tcPr>
          <w:p w14:paraId="59707E75"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0.0000</w:t>
            </w:r>
          </w:p>
        </w:tc>
        <w:tc>
          <w:tcPr>
            <w:tcW w:w="1382" w:type="dxa"/>
            <w:tcBorders>
              <w:top w:val="nil"/>
              <w:left w:val="nil"/>
              <w:right w:val="nil"/>
            </w:tcBorders>
            <w:shd w:val="clear" w:color="auto" w:fill="F2F2F2" w:themeFill="background1" w:themeFillShade="F2"/>
            <w:vAlign w:val="center"/>
            <w:hideMark/>
          </w:tcPr>
          <w:p w14:paraId="4BB03D2C"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[.11, .24]</w:t>
            </w:r>
          </w:p>
        </w:tc>
      </w:tr>
      <w:tr w:rsidR="000863A4" w:rsidRPr="005462C4" w14:paraId="6F0F23C7" w14:textId="77777777" w:rsidTr="009A22DF">
        <w:trPr>
          <w:trHeight w:val="300"/>
        </w:trPr>
        <w:tc>
          <w:tcPr>
            <w:tcW w:w="2489" w:type="dxa"/>
            <w:tcBorders>
              <w:left w:val="nil"/>
              <w:bottom w:val="single" w:sz="4" w:space="0" w:color="auto"/>
              <w:right w:val="nil"/>
            </w:tcBorders>
            <w:shd w:val="clear" w:color="auto" w:fill="auto"/>
            <w:vAlign w:val="center"/>
            <w:hideMark/>
          </w:tcPr>
          <w:p w14:paraId="630C2F92"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Religious membership</w:t>
            </w:r>
          </w:p>
        </w:tc>
        <w:tc>
          <w:tcPr>
            <w:tcW w:w="1303" w:type="dxa"/>
            <w:tcBorders>
              <w:left w:val="nil"/>
              <w:bottom w:val="single" w:sz="4" w:space="0" w:color="auto"/>
              <w:right w:val="nil"/>
            </w:tcBorders>
            <w:shd w:val="clear" w:color="auto" w:fill="auto"/>
            <w:vAlign w:val="center"/>
            <w:hideMark/>
          </w:tcPr>
          <w:p w14:paraId="6589DDB0"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-.01 (.03)</w:t>
            </w:r>
          </w:p>
        </w:tc>
        <w:tc>
          <w:tcPr>
            <w:tcW w:w="1063" w:type="dxa"/>
            <w:tcBorders>
              <w:left w:val="nil"/>
              <w:bottom w:val="single" w:sz="4" w:space="0" w:color="auto"/>
              <w:right w:val="nil"/>
            </w:tcBorders>
            <w:shd w:val="clear" w:color="auto" w:fill="auto"/>
            <w:noWrap/>
            <w:vAlign w:val="center"/>
            <w:hideMark/>
          </w:tcPr>
          <w:p w14:paraId="750A871F"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0.7700</w:t>
            </w:r>
          </w:p>
        </w:tc>
        <w:tc>
          <w:tcPr>
            <w:tcW w:w="1382" w:type="dxa"/>
            <w:tcBorders>
              <w:left w:val="nil"/>
              <w:bottom w:val="single" w:sz="4" w:space="0" w:color="auto"/>
              <w:right w:val="nil"/>
            </w:tcBorders>
            <w:shd w:val="clear" w:color="auto" w:fill="auto"/>
            <w:vAlign w:val="center"/>
            <w:hideMark/>
          </w:tcPr>
          <w:p w14:paraId="2FEE9677" w14:textId="77777777" w:rsidR="000863A4" w:rsidRPr="005462C4" w:rsidRDefault="000863A4" w:rsidP="00316E94">
            <w:pPr>
              <w:ind w:firstLine="0"/>
              <w:jc w:val="both"/>
              <w:rPr>
                <w:rFonts w:eastAsia="Times New Roman" w:cs="Times New Roman"/>
                <w:color w:val="000000"/>
                <w:szCs w:val="20"/>
              </w:rPr>
            </w:pPr>
            <w:r w:rsidRPr="005462C4">
              <w:rPr>
                <w:rFonts w:eastAsia="Times New Roman" w:cs="Times New Roman"/>
                <w:color w:val="000000"/>
                <w:szCs w:val="20"/>
              </w:rPr>
              <w:t>[-.06, .05]</w:t>
            </w:r>
          </w:p>
        </w:tc>
      </w:tr>
    </w:tbl>
    <w:p w14:paraId="32DC6D40" w14:textId="77777777" w:rsidR="000863A4" w:rsidRPr="005462C4" w:rsidRDefault="000863A4" w:rsidP="008B2EB4">
      <w:pPr>
        <w:pStyle w:val="ListParagraph"/>
        <w:spacing w:after="240" w:line="240" w:lineRule="auto"/>
        <w:ind w:left="360" w:firstLine="0"/>
        <w:jc w:val="both"/>
        <w:rPr>
          <w:rFonts w:ascii="Garamond" w:hAnsi="Garamond" w:cs="Times New Roman"/>
        </w:rPr>
      </w:pPr>
    </w:p>
    <w:p w14:paraId="4D57EFB7" w14:textId="73C22216" w:rsidR="000863A4" w:rsidRPr="005462C4" w:rsidRDefault="000863A4" w:rsidP="00685AD8">
      <w:pPr>
        <w:pStyle w:val="ListParagraph"/>
        <w:numPr>
          <w:ilvl w:val="0"/>
          <w:numId w:val="1"/>
        </w:numPr>
        <w:spacing w:after="240"/>
        <w:jc w:val="both"/>
        <w:rPr>
          <w:rFonts w:ascii="Garamond" w:hAnsi="Garamond" w:cs="Times New Roman"/>
        </w:rPr>
      </w:pPr>
      <w:r w:rsidRPr="005462C4">
        <w:rPr>
          <w:rFonts w:ascii="Garamond" w:hAnsi="Garamond" w:cs="Times New Roman"/>
          <w:u w:val="single"/>
        </w:rPr>
        <w:t>Common support condition</w:t>
      </w:r>
      <w:r w:rsidRPr="005462C4">
        <w:rPr>
          <w:rFonts w:ascii="Garamond" w:hAnsi="Garamond" w:cs="Times New Roman"/>
        </w:rPr>
        <w:t xml:space="preserve">. </w:t>
      </w:r>
      <w:r w:rsidR="00BA0C1E" w:rsidRPr="005462C4">
        <w:rPr>
          <w:rFonts w:ascii="Garamond" w:hAnsi="Garamond" w:cs="Times New Roman"/>
        </w:rPr>
        <w:t xml:space="preserve">This condition accounts for substantial overlap in the propensity score in both the immigrant and native-born groups and is necessary for high quality matching and subsequent estimation. </w:t>
      </w:r>
      <w:r w:rsidRPr="005462C4">
        <w:rPr>
          <w:rFonts w:ascii="Garamond" w:hAnsi="Garamond" w:cs="Times New Roman"/>
        </w:rPr>
        <w:t xml:space="preserve">We applied </w:t>
      </w:r>
      <w:r w:rsidR="00BA0C1E">
        <w:rPr>
          <w:rFonts w:ascii="Garamond" w:hAnsi="Garamond" w:cs="Times New Roman"/>
        </w:rPr>
        <w:t xml:space="preserve">in this step </w:t>
      </w:r>
      <w:r w:rsidRPr="005462C4">
        <w:rPr>
          <w:rFonts w:ascii="Garamond" w:hAnsi="Garamond" w:cs="Times New Roman"/>
        </w:rPr>
        <w:t xml:space="preserve">the common support condition to ensure that any combination of individual characteristics observed in the immigrant group is also observed in the group of native-born </w:t>
      </w:r>
      <w:r w:rsidRPr="005462C4">
        <w:rPr>
          <w:rFonts w:ascii="Garamond" w:hAnsi="Garamond" w:cs="Times New Roman"/>
        </w:rPr>
        <w:fldChar w:fldCharType="begin"/>
      </w:r>
      <w:r w:rsidR="004435B6">
        <w:rPr>
          <w:rFonts w:ascii="Garamond" w:hAnsi="Garamond" w:cs="Times New Roman"/>
        </w:rPr>
        <w:instrText xml:space="preserve"> ADDIN EN.CITE &lt;EndNote&gt;&lt;Cite&gt;&lt;Author&gt;Bryson&lt;/Author&gt;&lt;Year&gt;2002&lt;/Year&gt;&lt;RecNum&gt;1507&lt;/RecNum&gt;&lt;DisplayText&gt;(Bryson, Dorsett, &amp;amp; Purdon, 2002)&lt;/DisplayText&gt;&lt;record&gt;&lt;rec-number&gt;1507&lt;/rec-number&gt;&lt;foreign-keys&gt;&lt;key app="EN" db-id="et2905dt9re5v8efdwq5xevodrf0xfarsvx2" timestamp="1441485260"&gt;1507&lt;/key&gt;&lt;/foreign-keys&gt;&lt;ref-type name="Pamphlet"&gt;24&lt;/ref-type&gt;&lt;contributors&gt;&lt;authors&gt;&lt;author&gt;Bryson, Alex&lt;/author&gt;&lt;author&gt;Dorsett, Richard&lt;/author&gt;&lt;author&gt;Purdon, Susan&lt;/author&gt;&lt;/authors&gt;&lt;/contributors&gt;&lt;titles&gt;&lt;title&gt;The use of propensity score matching in the evaluation of active labour market policies&lt;/title&gt;&lt;/titles&gt;&lt;dates&gt;&lt;year&gt;2002&lt;/year&gt;&lt;/dates&gt;&lt;pub-location&gt;London&lt;/pub-location&gt;&lt;publisher&gt;Policy Studies Institute and National Centre for Social Research&lt;/publisher&gt;&lt;urls&gt;&lt;/urls&gt;&lt;/record&gt;&lt;/Cite&gt;&lt;/EndNote&gt;</w:instrText>
      </w:r>
      <w:r w:rsidRPr="005462C4">
        <w:rPr>
          <w:rFonts w:ascii="Garamond" w:hAnsi="Garamond" w:cs="Times New Roman"/>
        </w:rPr>
        <w:fldChar w:fldCharType="separate"/>
      </w:r>
      <w:r w:rsidR="00685AD8">
        <w:rPr>
          <w:rFonts w:ascii="Garamond" w:hAnsi="Garamond" w:cs="Times New Roman"/>
          <w:noProof/>
        </w:rPr>
        <w:t>(Bryson, Dorsett</w:t>
      </w:r>
      <w:r w:rsidRPr="005462C4">
        <w:rPr>
          <w:rFonts w:ascii="Garamond" w:hAnsi="Garamond" w:cs="Times New Roman"/>
          <w:noProof/>
        </w:rPr>
        <w:t xml:space="preserve"> </w:t>
      </w:r>
      <w:r w:rsidR="00685AD8">
        <w:rPr>
          <w:rFonts w:ascii="Garamond" w:hAnsi="Garamond" w:cs="Times New Roman"/>
          <w:noProof/>
        </w:rPr>
        <w:t>and</w:t>
      </w:r>
      <w:r w:rsidRPr="005462C4">
        <w:rPr>
          <w:rFonts w:ascii="Garamond" w:hAnsi="Garamond" w:cs="Times New Roman"/>
          <w:noProof/>
        </w:rPr>
        <w:t xml:space="preserve"> Purdon, 2002)</w:t>
      </w:r>
      <w:r w:rsidRPr="005462C4">
        <w:rPr>
          <w:rFonts w:ascii="Garamond" w:hAnsi="Garamond" w:cs="Times New Roman"/>
        </w:rPr>
        <w:fldChar w:fldCharType="end"/>
      </w:r>
      <w:r w:rsidRPr="005462C4">
        <w:rPr>
          <w:rFonts w:ascii="Garamond" w:hAnsi="Garamond" w:cs="Times New Roman"/>
        </w:rPr>
        <w:t xml:space="preserve">. </w:t>
      </w:r>
    </w:p>
    <w:p w14:paraId="4194138D" w14:textId="2E663473" w:rsidR="000863A4" w:rsidRPr="005462C4" w:rsidRDefault="000863A4" w:rsidP="00BC4BDD">
      <w:pPr>
        <w:pStyle w:val="ListParagraph"/>
        <w:numPr>
          <w:ilvl w:val="0"/>
          <w:numId w:val="1"/>
        </w:numPr>
        <w:spacing w:after="240"/>
        <w:jc w:val="both"/>
        <w:rPr>
          <w:rFonts w:ascii="Garamond" w:hAnsi="Garamond" w:cs="Times New Roman"/>
        </w:rPr>
      </w:pPr>
      <w:r w:rsidRPr="005462C4">
        <w:rPr>
          <w:rFonts w:ascii="Garamond" w:hAnsi="Garamond" w:cs="Times New Roman"/>
          <w:u w:val="single"/>
        </w:rPr>
        <w:t>Full matching</w:t>
      </w:r>
      <w:r w:rsidRPr="00982B38">
        <w:rPr>
          <w:rFonts w:ascii="Garamond" w:hAnsi="Garamond" w:cs="Times New Roman"/>
        </w:rPr>
        <w:t>.</w:t>
      </w:r>
      <w:r w:rsidRPr="005462C4">
        <w:rPr>
          <w:rFonts w:ascii="Garamond" w:hAnsi="Garamond" w:cs="Times New Roman"/>
        </w:rPr>
        <w:t xml:space="preserve"> In this step, immigrants and native-born were grouped based on similar propensity scores. Six blocks were identified as ideal to ensure that the mean propensity score is not different for </w:t>
      </w:r>
      <w:r w:rsidR="00BC4BDD">
        <w:rPr>
          <w:rFonts w:ascii="Garamond" w:hAnsi="Garamond" w:cs="Times New Roman"/>
        </w:rPr>
        <w:t>both groups</w:t>
      </w:r>
      <w:r w:rsidRPr="005462C4">
        <w:rPr>
          <w:rFonts w:ascii="Garamond" w:hAnsi="Garamond" w:cs="Times New Roman"/>
        </w:rPr>
        <w:t xml:space="preserve">. Nearest neighbor matching – a matching algorithm where </w:t>
      </w:r>
      <w:r w:rsidRPr="005462C4">
        <w:rPr>
          <w:rFonts w:ascii="Garamond" w:hAnsi="Garamond"/>
        </w:rPr>
        <w:t>native-</w:t>
      </w:r>
      <w:r w:rsidRPr="005462C4">
        <w:rPr>
          <w:rFonts w:ascii="Garamond" w:hAnsi="Garamond"/>
        </w:rPr>
        <w:lastRenderedPageBreak/>
        <w:t xml:space="preserve">born individuals are chosen in a way that is closest to the immigrants in the respective propensity scores </w:t>
      </w:r>
      <w:r w:rsidRPr="005462C4">
        <w:rPr>
          <w:rFonts w:ascii="Garamond" w:hAnsi="Garamond"/>
        </w:rPr>
        <w:fldChar w:fldCharType="begin"/>
      </w:r>
      <w:r w:rsidRPr="005462C4">
        <w:rPr>
          <w:rFonts w:ascii="Garamond" w:hAnsi="Garamond"/>
        </w:rPr>
        <w:instrText xml:space="preserve"> ADDIN EN.CITE &lt;EndNote&gt;&lt;Cite&gt;&lt;Author&gt;Caliendo&lt;/Author&gt;&lt;Year&gt;2008&lt;/Year&gt;&lt;RecNum&gt;1506&lt;/RecNum&gt;&lt;DisplayText&gt;(Caliendo &amp;amp; Kopeinig, 2008)&lt;/DisplayText&gt;&lt;record&gt;&lt;rec-number&gt;1506&lt;/rec-number&gt;&lt;foreign-keys&gt;&lt;key app="EN" db-id="et2905dt9re5v8efdwq5xevodrf0xfarsvx2" timestamp="1441480747"&gt;1506&lt;/key&gt;&lt;/foreign-keys&gt;&lt;ref-type name="Journal Article"&gt;17&lt;/ref-type&gt;&lt;contributors&gt;&lt;authors&gt;&lt;author&gt;Caliendo, Marco&lt;/author&gt;&lt;author&gt;Kopeinig, Sabine&lt;/author&gt;&lt;/authors&gt;&lt;/contributors&gt;&lt;titles&gt;&lt;title&gt;Some practical guidance for the implementation of propensity score matching&lt;/title&gt;&lt;secondary-title&gt;Journal of economic surveys&lt;/secondary-title&gt;&lt;/titles&gt;&lt;periodical&gt;&lt;full-title&gt;Journal of Economic Surveys&lt;/full-title&gt;&lt;/periodical&gt;&lt;pages&gt;31-72&lt;/pages&gt;&lt;volume&gt;22&lt;/volume&gt;&lt;number&gt;1&lt;/number&gt;&lt;dates&gt;&lt;year&gt;2008&lt;/year&gt;&lt;/dates&gt;&lt;isbn&gt;1467-6419&lt;/isbn&gt;&lt;urls&gt;&lt;/urls&gt;&lt;/record&gt;&lt;/Cite&gt;&lt;/EndNote&gt;</w:instrText>
      </w:r>
      <w:r w:rsidRPr="005462C4">
        <w:rPr>
          <w:rFonts w:ascii="Garamond" w:hAnsi="Garamond"/>
        </w:rPr>
        <w:fldChar w:fldCharType="separate"/>
      </w:r>
      <w:r w:rsidR="00685AD8">
        <w:rPr>
          <w:rFonts w:ascii="Garamond" w:hAnsi="Garamond"/>
        </w:rPr>
        <w:t>(Caliendo and</w:t>
      </w:r>
      <w:r w:rsidRPr="005462C4">
        <w:rPr>
          <w:rFonts w:ascii="Garamond" w:hAnsi="Garamond"/>
        </w:rPr>
        <w:t xml:space="preserve"> Kopeinig, 2008)</w:t>
      </w:r>
      <w:r w:rsidRPr="005462C4">
        <w:rPr>
          <w:rFonts w:ascii="Garamond" w:hAnsi="Garamond"/>
        </w:rPr>
        <w:fldChar w:fldCharType="end"/>
      </w:r>
      <w:r w:rsidRPr="005462C4">
        <w:rPr>
          <w:rFonts w:ascii="Garamond" w:hAnsi="Garamond"/>
        </w:rPr>
        <w:t xml:space="preserve"> – </w:t>
      </w:r>
      <w:r w:rsidRPr="005462C4">
        <w:rPr>
          <w:rFonts w:ascii="Garamond" w:hAnsi="Garamond" w:cs="Times New Roman"/>
        </w:rPr>
        <w:t>revealed that out of the full sample, 16,712 native-born could be matched to 1,461 immigrants. We calculate the Average Treatment Effect on the Treated (ATT). Based on the matching results, the ATT represents the average difference in volunteering behavior between immigrants and native-born, while keeping constant the chosen individual characte</w:t>
      </w:r>
      <w:r w:rsidR="004232F1">
        <w:rPr>
          <w:rFonts w:ascii="Garamond" w:hAnsi="Garamond" w:cs="Times New Roman"/>
        </w:rPr>
        <w:t>ristics in the model. E</w:t>
      </w:r>
      <w:r w:rsidRPr="005462C4">
        <w:rPr>
          <w:rFonts w:ascii="Garamond" w:hAnsi="Garamond" w:cs="Times New Roman"/>
        </w:rPr>
        <w:t xml:space="preserve">ven after the matching, immigrants tended to volunteer significantly less than native-born </w:t>
      </w:r>
      <w:r w:rsidR="00BC4BDD">
        <w:rPr>
          <w:rFonts w:ascii="Garamond" w:hAnsi="Garamond" w:cs="Times New Roman"/>
        </w:rPr>
        <w:t xml:space="preserve">individuals </w:t>
      </w:r>
      <w:r w:rsidRPr="005462C4">
        <w:rPr>
          <w:rFonts w:ascii="Garamond" w:hAnsi="Garamond" w:cs="Times New Roman"/>
        </w:rPr>
        <w:t xml:space="preserve">(ATT=-.114, </w:t>
      </w:r>
      <w:r w:rsidRPr="005462C4">
        <w:rPr>
          <w:rFonts w:ascii="Garamond" w:hAnsi="Garamond"/>
          <w:i/>
        </w:rPr>
        <w:t>t</w:t>
      </w:r>
      <w:r w:rsidRPr="005462C4">
        <w:rPr>
          <w:rFonts w:ascii="Garamond" w:hAnsi="Garamond" w:cs="Times New Roman"/>
        </w:rPr>
        <w:t xml:space="preserve">=-9.233, s.e.=.012, </w:t>
      </w:r>
      <w:r w:rsidRPr="005462C4">
        <w:rPr>
          <w:rFonts w:ascii="Garamond" w:hAnsi="Garamond"/>
          <w:i/>
        </w:rPr>
        <w:t>p</w:t>
      </w:r>
      <w:r w:rsidRPr="005462C4">
        <w:rPr>
          <w:rFonts w:ascii="Garamond" w:hAnsi="Garamond" w:cs="Times New Roman"/>
        </w:rPr>
        <w:t xml:space="preserve">&lt;.0001), further confirming the robustness of the initial result. </w:t>
      </w:r>
      <w:r w:rsidRPr="005462C4">
        <w:rPr>
          <w:rFonts w:ascii="Garamond" w:hAnsi="Garamond"/>
        </w:rPr>
        <w:t xml:space="preserve">We find similar results when bootstrapping (50 replications) the standard error of the treatment effect (ATT=-.114, t=-11.237, s.e.=.010, p&lt;.0001) and when using stratification matching as alternative </w:t>
      </w:r>
      <w:r w:rsidR="001751FE">
        <w:rPr>
          <w:rFonts w:ascii="Garamond" w:hAnsi="Garamond"/>
        </w:rPr>
        <w:t xml:space="preserve">techniques </w:t>
      </w:r>
      <w:r w:rsidRPr="005462C4">
        <w:rPr>
          <w:rFonts w:ascii="Garamond" w:hAnsi="Garamond"/>
        </w:rPr>
        <w:t xml:space="preserve">(ATT=-.116, t=-9.467, s.e.=.012, p&lt;.0001). </w:t>
      </w:r>
    </w:p>
    <w:p w14:paraId="1FA4441A" w14:textId="3D79CF31" w:rsidR="00316E94" w:rsidRPr="00316E94" w:rsidRDefault="000863A4" w:rsidP="00316E94">
      <w:pPr>
        <w:pStyle w:val="ListParagraph"/>
        <w:numPr>
          <w:ilvl w:val="0"/>
          <w:numId w:val="1"/>
        </w:numPr>
        <w:jc w:val="both"/>
        <w:rPr>
          <w:rFonts w:ascii="Garamond" w:hAnsi="Garamond" w:cs="Times New Roman"/>
        </w:rPr>
      </w:pPr>
      <w:r w:rsidRPr="005462C4">
        <w:rPr>
          <w:rFonts w:ascii="Garamond" w:hAnsi="Garamond" w:cs="Times New Roman"/>
          <w:u w:val="single"/>
        </w:rPr>
        <w:t>Creating the matched dataset.</w:t>
      </w:r>
      <w:r w:rsidRPr="005462C4">
        <w:rPr>
          <w:rFonts w:ascii="Garamond" w:hAnsi="Garamond" w:cs="Times New Roman"/>
        </w:rPr>
        <w:t xml:space="preserve"> Based on the propensity scores, we matched 1,461 immigrants one-on-one with 1,461 native-born to create a unique dataset (n=2,922) where we analyzed similarities and differences between the two groups.</w:t>
      </w:r>
    </w:p>
    <w:p w14:paraId="6EDA39E2" w14:textId="77777777" w:rsidR="00316E94" w:rsidRDefault="00316E94" w:rsidP="00316E94">
      <w:pPr>
        <w:spacing w:after="240"/>
        <w:ind w:firstLine="0"/>
        <w:rPr>
          <w:rFonts w:cs="Arial"/>
          <w:szCs w:val="20"/>
        </w:rPr>
      </w:pPr>
    </w:p>
    <w:p w14:paraId="44EB7FAC" w14:textId="77777777" w:rsidR="00316E94" w:rsidRPr="005462C4" w:rsidRDefault="00316E94" w:rsidP="00316E94">
      <w:pPr>
        <w:spacing w:after="240"/>
        <w:ind w:firstLine="0"/>
        <w:rPr>
          <w:rFonts w:cs="Arial"/>
          <w:szCs w:val="20"/>
        </w:rPr>
        <w:sectPr w:rsidR="00316E94" w:rsidRPr="005462C4" w:rsidSect="006325B7">
          <w:headerReference w:type="default" r:id="rId7"/>
          <w:footerReference w:type="even" r:id="rId8"/>
          <w:footerReference w:type="default" r:id="rId9"/>
          <w:pgSz w:w="12240" w:h="15840"/>
          <w:pgMar w:top="1440" w:right="1440" w:bottom="1440" w:left="1440" w:header="720" w:footer="720" w:gutter="0"/>
          <w:cols w:space="720"/>
          <w:docGrid w:linePitch="360"/>
        </w:sectPr>
      </w:pPr>
    </w:p>
    <w:p w14:paraId="7BD5657F" w14:textId="3550624B" w:rsidR="00316E94" w:rsidRPr="002A095B" w:rsidRDefault="00316E94" w:rsidP="00F93364">
      <w:pPr>
        <w:pStyle w:val="Caption"/>
        <w:spacing w:line="360" w:lineRule="auto"/>
        <w:ind w:firstLine="0"/>
        <w:jc w:val="both"/>
        <w:rPr>
          <w:b/>
          <w:bCs/>
          <w:szCs w:val="24"/>
        </w:rPr>
      </w:pPr>
      <w:r w:rsidRPr="002A095B">
        <w:rPr>
          <w:b/>
          <w:bCs/>
          <w:szCs w:val="24"/>
        </w:rPr>
        <w:t>Online Appendix 2: Descriptive statistics and bivariate correlation matrix of immigrants in the full sample (N=1,566)</w:t>
      </w:r>
      <w:r w:rsidR="00F93364" w:rsidRPr="002A095B">
        <w:rPr>
          <w:rFonts w:eastAsia="Times New Roman" w:cs="Times New Roman"/>
          <w:color w:val="000000"/>
          <w:szCs w:val="24"/>
          <w:vertAlign w:val="superscript"/>
        </w:rPr>
        <w:t xml:space="preserve"> a</w:t>
      </w:r>
    </w:p>
    <w:tbl>
      <w:tblPr>
        <w:tblW w:w="0" w:type="auto"/>
        <w:tblLook w:val="04A0" w:firstRow="1" w:lastRow="0" w:firstColumn="1" w:lastColumn="0" w:noHBand="0" w:noVBand="1"/>
      </w:tblPr>
      <w:tblGrid>
        <w:gridCol w:w="3364"/>
        <w:gridCol w:w="819"/>
        <w:gridCol w:w="574"/>
        <w:gridCol w:w="574"/>
        <w:gridCol w:w="822"/>
        <w:gridCol w:w="753"/>
        <w:gridCol w:w="822"/>
        <w:gridCol w:w="753"/>
        <w:gridCol w:w="822"/>
        <w:gridCol w:w="822"/>
        <w:gridCol w:w="753"/>
        <w:gridCol w:w="822"/>
        <w:gridCol w:w="718"/>
        <w:gridCol w:w="540"/>
      </w:tblGrid>
      <w:tr w:rsidR="00316E94" w:rsidRPr="00F465F1" w14:paraId="01F78034" w14:textId="77777777" w:rsidTr="00CD7806">
        <w:trPr>
          <w:trHeight w:val="227"/>
        </w:trPr>
        <w:tc>
          <w:tcPr>
            <w:tcW w:w="0" w:type="auto"/>
            <w:tcBorders>
              <w:top w:val="single" w:sz="4" w:space="0" w:color="auto"/>
              <w:bottom w:val="single" w:sz="4" w:space="0" w:color="auto"/>
              <w:right w:val="single" w:sz="4" w:space="0" w:color="auto"/>
            </w:tcBorders>
            <w:shd w:val="clear" w:color="auto" w:fill="auto"/>
            <w:noWrap/>
            <w:vAlign w:val="center"/>
            <w:hideMark/>
          </w:tcPr>
          <w:p w14:paraId="44A3A0FD" w14:textId="050E6B50" w:rsidR="00316E94" w:rsidRPr="00F465F1" w:rsidRDefault="00316E94" w:rsidP="00316E94">
            <w:pPr>
              <w:spacing w:line="240" w:lineRule="auto"/>
              <w:ind w:firstLine="0"/>
              <w:jc w:val="both"/>
              <w:rPr>
                <w:rFonts w:eastAsia="Times New Roman" w:cs="Times New Roman"/>
                <w:b/>
                <w:color w:val="000000"/>
                <w:sz w:val="22"/>
                <w:szCs w:val="22"/>
              </w:rPr>
            </w:pPr>
            <w:r w:rsidRPr="00F465F1">
              <w:rPr>
                <w:rFonts w:eastAsia="Times New Roman" w:cs="Times New Roman"/>
                <w:b/>
                <w:color w:val="000000"/>
                <w:sz w:val="22"/>
                <w:szCs w:val="22"/>
              </w:rPr>
              <w:t xml:space="preserve">Variable </w:t>
            </w:r>
          </w:p>
        </w:tc>
        <w:tc>
          <w:tcPr>
            <w:tcW w:w="0" w:type="auto"/>
            <w:tcBorders>
              <w:top w:val="single" w:sz="4" w:space="0" w:color="auto"/>
              <w:left w:val="single" w:sz="4" w:space="0" w:color="auto"/>
              <w:bottom w:val="single" w:sz="4" w:space="0" w:color="auto"/>
            </w:tcBorders>
            <w:vAlign w:val="center"/>
          </w:tcPr>
          <w:p w14:paraId="5463DA75" w14:textId="77777777" w:rsidR="00316E94" w:rsidRPr="00F465F1" w:rsidRDefault="00316E94" w:rsidP="00316E94">
            <w:pPr>
              <w:spacing w:line="240" w:lineRule="auto"/>
              <w:ind w:firstLine="0"/>
              <w:jc w:val="both"/>
              <w:rPr>
                <w:rFonts w:eastAsia="Times New Roman" w:cs="Times New Roman"/>
                <w:b/>
                <w:color w:val="000000"/>
                <w:sz w:val="22"/>
                <w:szCs w:val="22"/>
              </w:rPr>
            </w:pPr>
            <w:r w:rsidRPr="00F465F1">
              <w:rPr>
                <w:rFonts w:eastAsia="Times New Roman" w:cs="Times New Roman"/>
                <w:b/>
                <w:color w:val="000000"/>
                <w:sz w:val="22"/>
                <w:szCs w:val="22"/>
              </w:rPr>
              <w:t>Range</w:t>
            </w:r>
          </w:p>
        </w:tc>
        <w:tc>
          <w:tcPr>
            <w:tcW w:w="0" w:type="auto"/>
            <w:tcBorders>
              <w:top w:val="single" w:sz="4" w:space="0" w:color="auto"/>
              <w:bottom w:val="single" w:sz="4" w:space="0" w:color="auto"/>
            </w:tcBorders>
            <w:shd w:val="clear" w:color="auto" w:fill="auto"/>
            <w:noWrap/>
            <w:vAlign w:val="center"/>
            <w:hideMark/>
          </w:tcPr>
          <w:p w14:paraId="15C09E76" w14:textId="77777777" w:rsidR="00316E94" w:rsidRPr="00F465F1" w:rsidRDefault="00316E94" w:rsidP="00316E94">
            <w:pPr>
              <w:spacing w:line="240" w:lineRule="auto"/>
              <w:ind w:firstLine="0"/>
              <w:jc w:val="both"/>
              <w:rPr>
                <w:rFonts w:eastAsia="Times New Roman" w:cs="Times New Roman"/>
                <w:b/>
                <w:color w:val="000000"/>
                <w:sz w:val="22"/>
                <w:szCs w:val="22"/>
              </w:rPr>
            </w:pPr>
            <w:r w:rsidRPr="00F465F1">
              <w:rPr>
                <w:rFonts w:eastAsia="Times New Roman" w:cs="Times New Roman"/>
                <w:b/>
                <w:color w:val="000000"/>
                <w:sz w:val="22"/>
                <w:szCs w:val="22"/>
              </w:rPr>
              <w:t>M</w:t>
            </w:r>
          </w:p>
        </w:tc>
        <w:tc>
          <w:tcPr>
            <w:tcW w:w="0" w:type="auto"/>
            <w:tcBorders>
              <w:top w:val="single" w:sz="4" w:space="0" w:color="auto"/>
              <w:bottom w:val="single" w:sz="4" w:space="0" w:color="auto"/>
              <w:right w:val="single" w:sz="4" w:space="0" w:color="auto"/>
            </w:tcBorders>
            <w:shd w:val="clear" w:color="auto" w:fill="auto"/>
            <w:noWrap/>
            <w:vAlign w:val="center"/>
            <w:hideMark/>
          </w:tcPr>
          <w:p w14:paraId="198BD42F" w14:textId="77777777" w:rsidR="00316E94" w:rsidRPr="00F465F1" w:rsidRDefault="00316E94" w:rsidP="00316E94">
            <w:pPr>
              <w:spacing w:line="240" w:lineRule="auto"/>
              <w:ind w:firstLine="0"/>
              <w:jc w:val="both"/>
              <w:rPr>
                <w:rFonts w:eastAsia="Times New Roman" w:cs="Times New Roman"/>
                <w:b/>
                <w:color w:val="000000"/>
                <w:sz w:val="22"/>
                <w:szCs w:val="22"/>
              </w:rPr>
            </w:pPr>
            <w:r w:rsidRPr="00F465F1">
              <w:rPr>
                <w:rFonts w:eastAsia="Times New Roman" w:cs="Times New Roman"/>
                <w:b/>
                <w:color w:val="000000"/>
                <w:sz w:val="22"/>
                <w:szCs w:val="22"/>
              </w:rPr>
              <w:t>SD</w:t>
            </w:r>
          </w:p>
        </w:tc>
        <w:tc>
          <w:tcPr>
            <w:tcW w:w="0" w:type="auto"/>
            <w:tcBorders>
              <w:top w:val="single" w:sz="4" w:space="0" w:color="auto"/>
              <w:left w:val="single" w:sz="4" w:space="0" w:color="auto"/>
              <w:bottom w:val="single" w:sz="4" w:space="0" w:color="auto"/>
            </w:tcBorders>
            <w:shd w:val="clear" w:color="auto" w:fill="E7E6E6" w:themeFill="background2"/>
            <w:vAlign w:val="center"/>
            <w:hideMark/>
          </w:tcPr>
          <w:p w14:paraId="2457D536" w14:textId="77777777" w:rsidR="00316E94" w:rsidRPr="00F465F1" w:rsidRDefault="00316E94" w:rsidP="00316E94">
            <w:pPr>
              <w:spacing w:line="240" w:lineRule="auto"/>
              <w:ind w:firstLine="0"/>
              <w:jc w:val="both"/>
              <w:rPr>
                <w:rFonts w:eastAsia="Times New Roman" w:cs="Times New Roman"/>
                <w:bCs/>
                <w:color w:val="000000"/>
                <w:sz w:val="22"/>
                <w:szCs w:val="22"/>
              </w:rPr>
            </w:pPr>
            <w:r w:rsidRPr="00F465F1">
              <w:rPr>
                <w:rFonts w:eastAsia="Times New Roman" w:cs="Times New Roman"/>
                <w:bCs/>
                <w:color w:val="000000"/>
                <w:sz w:val="22"/>
                <w:szCs w:val="22"/>
              </w:rPr>
              <w:t>1</w:t>
            </w:r>
          </w:p>
        </w:tc>
        <w:tc>
          <w:tcPr>
            <w:tcW w:w="0" w:type="auto"/>
            <w:tcBorders>
              <w:top w:val="single" w:sz="4" w:space="0" w:color="auto"/>
              <w:bottom w:val="single" w:sz="4" w:space="0" w:color="auto"/>
            </w:tcBorders>
            <w:shd w:val="clear" w:color="auto" w:fill="auto"/>
            <w:vAlign w:val="center"/>
            <w:hideMark/>
          </w:tcPr>
          <w:p w14:paraId="589B2CB1" w14:textId="77777777" w:rsidR="00316E94" w:rsidRPr="00F465F1" w:rsidRDefault="00316E94" w:rsidP="00316E94">
            <w:pPr>
              <w:spacing w:line="240" w:lineRule="auto"/>
              <w:ind w:firstLine="0"/>
              <w:jc w:val="both"/>
              <w:rPr>
                <w:rFonts w:eastAsia="Times New Roman" w:cs="Times New Roman"/>
                <w:b/>
                <w:color w:val="000000"/>
                <w:sz w:val="22"/>
                <w:szCs w:val="22"/>
              </w:rPr>
            </w:pPr>
            <w:r w:rsidRPr="00F465F1">
              <w:rPr>
                <w:rFonts w:eastAsia="Times New Roman" w:cs="Times New Roman"/>
                <w:b/>
                <w:color w:val="000000"/>
                <w:sz w:val="22"/>
                <w:szCs w:val="22"/>
              </w:rPr>
              <w:t>2</w:t>
            </w:r>
          </w:p>
        </w:tc>
        <w:tc>
          <w:tcPr>
            <w:tcW w:w="0" w:type="auto"/>
            <w:tcBorders>
              <w:top w:val="single" w:sz="4" w:space="0" w:color="auto"/>
              <w:bottom w:val="single" w:sz="4" w:space="0" w:color="auto"/>
            </w:tcBorders>
            <w:shd w:val="clear" w:color="auto" w:fill="auto"/>
            <w:vAlign w:val="center"/>
            <w:hideMark/>
          </w:tcPr>
          <w:p w14:paraId="540E655B" w14:textId="77777777" w:rsidR="00316E94" w:rsidRPr="00F465F1" w:rsidRDefault="00316E94" w:rsidP="00316E94">
            <w:pPr>
              <w:spacing w:line="240" w:lineRule="auto"/>
              <w:ind w:firstLine="0"/>
              <w:jc w:val="both"/>
              <w:rPr>
                <w:rFonts w:eastAsia="Times New Roman" w:cs="Times New Roman"/>
                <w:b/>
                <w:color w:val="000000"/>
                <w:sz w:val="22"/>
                <w:szCs w:val="22"/>
              </w:rPr>
            </w:pPr>
            <w:r w:rsidRPr="00F465F1">
              <w:rPr>
                <w:rFonts w:eastAsia="Times New Roman" w:cs="Times New Roman"/>
                <w:b/>
                <w:color w:val="000000"/>
                <w:sz w:val="22"/>
                <w:szCs w:val="22"/>
              </w:rPr>
              <w:t>3</w:t>
            </w:r>
          </w:p>
        </w:tc>
        <w:tc>
          <w:tcPr>
            <w:tcW w:w="0" w:type="auto"/>
            <w:tcBorders>
              <w:top w:val="single" w:sz="4" w:space="0" w:color="auto"/>
              <w:bottom w:val="single" w:sz="4" w:space="0" w:color="auto"/>
            </w:tcBorders>
            <w:shd w:val="clear" w:color="auto" w:fill="auto"/>
            <w:vAlign w:val="center"/>
            <w:hideMark/>
          </w:tcPr>
          <w:p w14:paraId="475332D8" w14:textId="77777777" w:rsidR="00316E94" w:rsidRPr="00F465F1" w:rsidRDefault="00316E94" w:rsidP="00316E94">
            <w:pPr>
              <w:spacing w:line="240" w:lineRule="auto"/>
              <w:ind w:firstLine="0"/>
              <w:jc w:val="both"/>
              <w:rPr>
                <w:rFonts w:eastAsia="Times New Roman" w:cs="Times New Roman"/>
                <w:b/>
                <w:sz w:val="22"/>
                <w:szCs w:val="22"/>
              </w:rPr>
            </w:pPr>
            <w:r w:rsidRPr="00F465F1">
              <w:rPr>
                <w:rFonts w:eastAsia="Times New Roman" w:cs="Times New Roman"/>
                <w:b/>
                <w:sz w:val="22"/>
                <w:szCs w:val="22"/>
              </w:rPr>
              <w:t>4</w:t>
            </w:r>
          </w:p>
        </w:tc>
        <w:tc>
          <w:tcPr>
            <w:tcW w:w="0" w:type="auto"/>
            <w:tcBorders>
              <w:top w:val="single" w:sz="4" w:space="0" w:color="auto"/>
              <w:bottom w:val="single" w:sz="4" w:space="0" w:color="auto"/>
            </w:tcBorders>
            <w:shd w:val="clear" w:color="auto" w:fill="auto"/>
            <w:vAlign w:val="center"/>
            <w:hideMark/>
          </w:tcPr>
          <w:p w14:paraId="5DD259B1" w14:textId="77777777" w:rsidR="00316E94" w:rsidRPr="00F465F1" w:rsidRDefault="00316E94" w:rsidP="00316E94">
            <w:pPr>
              <w:spacing w:line="240" w:lineRule="auto"/>
              <w:ind w:firstLine="0"/>
              <w:jc w:val="both"/>
              <w:rPr>
                <w:rFonts w:eastAsia="Times New Roman" w:cs="Times New Roman"/>
                <w:b/>
                <w:sz w:val="22"/>
                <w:szCs w:val="22"/>
              </w:rPr>
            </w:pPr>
            <w:r w:rsidRPr="00F465F1">
              <w:rPr>
                <w:rFonts w:eastAsia="Times New Roman" w:cs="Times New Roman"/>
                <w:b/>
                <w:sz w:val="22"/>
                <w:szCs w:val="22"/>
              </w:rPr>
              <w:t>5</w:t>
            </w:r>
          </w:p>
        </w:tc>
        <w:tc>
          <w:tcPr>
            <w:tcW w:w="0" w:type="auto"/>
            <w:tcBorders>
              <w:top w:val="single" w:sz="4" w:space="0" w:color="auto"/>
              <w:bottom w:val="single" w:sz="4" w:space="0" w:color="auto"/>
            </w:tcBorders>
            <w:shd w:val="clear" w:color="auto" w:fill="auto"/>
            <w:vAlign w:val="center"/>
            <w:hideMark/>
          </w:tcPr>
          <w:p w14:paraId="69C7B13E" w14:textId="77777777" w:rsidR="00316E94" w:rsidRPr="00F465F1" w:rsidRDefault="00316E94" w:rsidP="00316E94">
            <w:pPr>
              <w:spacing w:line="240" w:lineRule="auto"/>
              <w:ind w:firstLine="0"/>
              <w:jc w:val="both"/>
              <w:rPr>
                <w:rFonts w:eastAsia="Times New Roman" w:cs="Times New Roman"/>
                <w:b/>
                <w:sz w:val="22"/>
                <w:szCs w:val="22"/>
              </w:rPr>
            </w:pPr>
            <w:r w:rsidRPr="00F465F1">
              <w:rPr>
                <w:rFonts w:eastAsia="Times New Roman" w:cs="Times New Roman"/>
                <w:b/>
                <w:sz w:val="22"/>
                <w:szCs w:val="22"/>
              </w:rPr>
              <w:t>6</w:t>
            </w:r>
          </w:p>
        </w:tc>
        <w:tc>
          <w:tcPr>
            <w:tcW w:w="0" w:type="auto"/>
            <w:tcBorders>
              <w:top w:val="single" w:sz="4" w:space="0" w:color="auto"/>
              <w:bottom w:val="single" w:sz="4" w:space="0" w:color="auto"/>
            </w:tcBorders>
            <w:shd w:val="clear" w:color="auto" w:fill="auto"/>
            <w:vAlign w:val="center"/>
            <w:hideMark/>
          </w:tcPr>
          <w:p w14:paraId="2CE77E7A" w14:textId="77777777" w:rsidR="00316E94" w:rsidRPr="00F465F1" w:rsidRDefault="00316E94" w:rsidP="00316E94">
            <w:pPr>
              <w:spacing w:line="240" w:lineRule="auto"/>
              <w:ind w:firstLine="0"/>
              <w:jc w:val="both"/>
              <w:rPr>
                <w:rFonts w:eastAsia="Times New Roman" w:cs="Times New Roman"/>
                <w:b/>
                <w:color w:val="000000"/>
                <w:sz w:val="22"/>
                <w:szCs w:val="22"/>
              </w:rPr>
            </w:pPr>
            <w:r w:rsidRPr="00F465F1">
              <w:rPr>
                <w:rFonts w:eastAsia="Times New Roman" w:cs="Times New Roman"/>
                <w:b/>
                <w:color w:val="000000"/>
                <w:sz w:val="22"/>
                <w:szCs w:val="22"/>
              </w:rPr>
              <w:t>7</w:t>
            </w:r>
          </w:p>
        </w:tc>
        <w:tc>
          <w:tcPr>
            <w:tcW w:w="0" w:type="auto"/>
            <w:tcBorders>
              <w:top w:val="single" w:sz="4" w:space="0" w:color="auto"/>
              <w:bottom w:val="single" w:sz="4" w:space="0" w:color="auto"/>
            </w:tcBorders>
            <w:shd w:val="clear" w:color="auto" w:fill="auto"/>
            <w:vAlign w:val="center"/>
            <w:hideMark/>
          </w:tcPr>
          <w:p w14:paraId="47EBD7D3" w14:textId="77777777" w:rsidR="00316E94" w:rsidRPr="00F465F1" w:rsidRDefault="00316E94" w:rsidP="00316E94">
            <w:pPr>
              <w:spacing w:line="240" w:lineRule="auto"/>
              <w:ind w:firstLine="0"/>
              <w:jc w:val="both"/>
              <w:rPr>
                <w:rFonts w:eastAsia="Times New Roman" w:cs="Times New Roman"/>
                <w:b/>
                <w:color w:val="000000"/>
                <w:sz w:val="22"/>
                <w:szCs w:val="22"/>
              </w:rPr>
            </w:pPr>
            <w:r w:rsidRPr="00F465F1">
              <w:rPr>
                <w:rFonts w:eastAsia="Times New Roman" w:cs="Times New Roman"/>
                <w:b/>
                <w:color w:val="000000"/>
                <w:sz w:val="22"/>
                <w:szCs w:val="22"/>
              </w:rPr>
              <w:t>8</w:t>
            </w:r>
          </w:p>
        </w:tc>
        <w:tc>
          <w:tcPr>
            <w:tcW w:w="0" w:type="auto"/>
            <w:tcBorders>
              <w:top w:val="single" w:sz="4" w:space="0" w:color="auto"/>
              <w:bottom w:val="single" w:sz="4" w:space="0" w:color="auto"/>
            </w:tcBorders>
            <w:shd w:val="clear" w:color="auto" w:fill="auto"/>
            <w:vAlign w:val="center"/>
            <w:hideMark/>
          </w:tcPr>
          <w:p w14:paraId="3DC39AC3" w14:textId="77777777" w:rsidR="00316E94" w:rsidRPr="00F465F1" w:rsidRDefault="00316E94" w:rsidP="00316E94">
            <w:pPr>
              <w:spacing w:line="240" w:lineRule="auto"/>
              <w:ind w:firstLine="0"/>
              <w:jc w:val="both"/>
              <w:rPr>
                <w:rFonts w:eastAsia="Times New Roman" w:cs="Times New Roman"/>
                <w:b/>
                <w:color w:val="000000"/>
                <w:sz w:val="22"/>
                <w:szCs w:val="22"/>
              </w:rPr>
            </w:pPr>
            <w:r w:rsidRPr="00F465F1">
              <w:rPr>
                <w:rFonts w:eastAsia="Times New Roman" w:cs="Times New Roman"/>
                <w:b/>
                <w:color w:val="000000"/>
                <w:sz w:val="22"/>
                <w:szCs w:val="22"/>
              </w:rPr>
              <w:t>9</w:t>
            </w:r>
          </w:p>
        </w:tc>
        <w:tc>
          <w:tcPr>
            <w:tcW w:w="0" w:type="auto"/>
            <w:tcBorders>
              <w:top w:val="single" w:sz="4" w:space="0" w:color="auto"/>
              <w:bottom w:val="single" w:sz="4" w:space="0" w:color="auto"/>
            </w:tcBorders>
            <w:shd w:val="clear" w:color="auto" w:fill="auto"/>
            <w:vAlign w:val="center"/>
            <w:hideMark/>
          </w:tcPr>
          <w:p w14:paraId="1414EDE7" w14:textId="77777777" w:rsidR="00316E94" w:rsidRPr="00F465F1" w:rsidRDefault="00316E94" w:rsidP="00316E94">
            <w:pPr>
              <w:spacing w:line="240" w:lineRule="auto"/>
              <w:ind w:firstLine="0"/>
              <w:jc w:val="both"/>
              <w:rPr>
                <w:rFonts w:eastAsia="Times New Roman" w:cs="Times New Roman"/>
                <w:b/>
                <w:color w:val="000000"/>
                <w:sz w:val="22"/>
                <w:szCs w:val="22"/>
              </w:rPr>
            </w:pPr>
            <w:r w:rsidRPr="00F465F1">
              <w:rPr>
                <w:rFonts w:eastAsia="Times New Roman" w:cs="Times New Roman"/>
                <w:b/>
                <w:color w:val="000000"/>
                <w:sz w:val="22"/>
                <w:szCs w:val="22"/>
              </w:rPr>
              <w:t>10</w:t>
            </w:r>
          </w:p>
        </w:tc>
      </w:tr>
      <w:tr w:rsidR="00316E94" w:rsidRPr="00CD7806" w14:paraId="31B51ADD" w14:textId="77777777" w:rsidTr="00CD7806">
        <w:trPr>
          <w:trHeight w:val="227"/>
        </w:trPr>
        <w:tc>
          <w:tcPr>
            <w:tcW w:w="0" w:type="auto"/>
            <w:tcBorders>
              <w:top w:val="single" w:sz="4" w:space="0" w:color="auto"/>
              <w:right w:val="single" w:sz="4" w:space="0" w:color="auto"/>
            </w:tcBorders>
            <w:shd w:val="clear" w:color="auto" w:fill="E7E6E6" w:themeFill="background2"/>
            <w:noWrap/>
            <w:vAlign w:val="center"/>
            <w:hideMark/>
          </w:tcPr>
          <w:p w14:paraId="0EFDF0BC" w14:textId="77777777" w:rsidR="00316E94" w:rsidRPr="00CD7806" w:rsidRDefault="00316E94" w:rsidP="00316E94">
            <w:pPr>
              <w:pStyle w:val="ListParagraph"/>
              <w:numPr>
                <w:ilvl w:val="0"/>
                <w:numId w:val="2"/>
              </w:numPr>
              <w:tabs>
                <w:tab w:val="left" w:pos="450"/>
              </w:tabs>
              <w:spacing w:line="240" w:lineRule="auto"/>
              <w:ind w:left="90" w:firstLine="0"/>
              <w:jc w:val="both"/>
              <w:rPr>
                <w:rFonts w:ascii="Garamond" w:eastAsia="Times New Roman" w:hAnsi="Garamond" w:cs="Times New Roman"/>
                <w:color w:val="000000"/>
                <w:sz w:val="22"/>
                <w:szCs w:val="22"/>
              </w:rPr>
            </w:pPr>
            <w:r w:rsidRPr="00CD7806">
              <w:rPr>
                <w:rFonts w:ascii="Garamond" w:eastAsia="Times New Roman" w:hAnsi="Garamond" w:cs="Times New Roman"/>
                <w:color w:val="000000"/>
                <w:sz w:val="22"/>
                <w:szCs w:val="22"/>
              </w:rPr>
              <w:t>Volunteering</w:t>
            </w:r>
          </w:p>
        </w:tc>
        <w:tc>
          <w:tcPr>
            <w:tcW w:w="0" w:type="auto"/>
            <w:tcBorders>
              <w:top w:val="single" w:sz="4" w:space="0" w:color="auto"/>
              <w:left w:val="single" w:sz="4" w:space="0" w:color="auto"/>
            </w:tcBorders>
            <w:shd w:val="clear" w:color="auto" w:fill="E7E6E6" w:themeFill="background2"/>
            <w:vAlign w:val="center"/>
          </w:tcPr>
          <w:p w14:paraId="3F09055C" w14:textId="77777777" w:rsidR="00316E94" w:rsidRPr="00CD7806" w:rsidRDefault="00316E94" w:rsidP="00316E94">
            <w:pPr>
              <w:spacing w:line="240" w:lineRule="auto"/>
              <w:ind w:firstLine="0"/>
              <w:jc w:val="both"/>
              <w:rPr>
                <w:rFonts w:eastAsia="Times New Roman" w:cs="Times New Roman"/>
                <w:color w:val="000000"/>
                <w:sz w:val="22"/>
                <w:szCs w:val="22"/>
              </w:rPr>
            </w:pPr>
            <w:r w:rsidRPr="00CD7806">
              <w:rPr>
                <w:rFonts w:eastAsia="Times New Roman" w:cs="Times New Roman"/>
                <w:color w:val="000000"/>
                <w:sz w:val="22"/>
                <w:szCs w:val="22"/>
              </w:rPr>
              <w:t>0-1</w:t>
            </w:r>
          </w:p>
        </w:tc>
        <w:tc>
          <w:tcPr>
            <w:tcW w:w="0" w:type="auto"/>
            <w:tcBorders>
              <w:top w:val="single" w:sz="4" w:space="0" w:color="auto"/>
            </w:tcBorders>
            <w:shd w:val="clear" w:color="auto" w:fill="E7E6E6" w:themeFill="background2"/>
            <w:noWrap/>
            <w:vAlign w:val="center"/>
            <w:hideMark/>
          </w:tcPr>
          <w:p w14:paraId="581F7994" w14:textId="77777777" w:rsidR="00316E94" w:rsidRPr="00CD7806" w:rsidRDefault="00316E94" w:rsidP="00316E94">
            <w:pPr>
              <w:spacing w:line="240" w:lineRule="auto"/>
              <w:ind w:firstLine="0"/>
              <w:jc w:val="both"/>
              <w:rPr>
                <w:rFonts w:eastAsia="Times New Roman" w:cs="Times New Roman"/>
                <w:color w:val="000000"/>
                <w:sz w:val="22"/>
                <w:szCs w:val="22"/>
              </w:rPr>
            </w:pPr>
            <w:r w:rsidRPr="00CD7806">
              <w:rPr>
                <w:rFonts w:eastAsia="Times New Roman" w:cs="Times New Roman"/>
                <w:color w:val="000000"/>
                <w:sz w:val="22"/>
                <w:szCs w:val="22"/>
              </w:rPr>
              <w:t>0.25</w:t>
            </w:r>
          </w:p>
        </w:tc>
        <w:tc>
          <w:tcPr>
            <w:tcW w:w="0" w:type="auto"/>
            <w:tcBorders>
              <w:top w:val="single" w:sz="4" w:space="0" w:color="auto"/>
              <w:right w:val="single" w:sz="4" w:space="0" w:color="auto"/>
            </w:tcBorders>
            <w:shd w:val="clear" w:color="auto" w:fill="E7E6E6" w:themeFill="background2"/>
            <w:noWrap/>
            <w:vAlign w:val="center"/>
            <w:hideMark/>
          </w:tcPr>
          <w:p w14:paraId="4A8816D4" w14:textId="77777777" w:rsidR="00316E94" w:rsidRPr="00CD7806" w:rsidRDefault="00316E94" w:rsidP="00316E94">
            <w:pPr>
              <w:spacing w:line="240" w:lineRule="auto"/>
              <w:ind w:firstLine="0"/>
              <w:jc w:val="both"/>
              <w:rPr>
                <w:rFonts w:eastAsia="Times New Roman" w:cs="Times New Roman"/>
                <w:color w:val="000000"/>
                <w:sz w:val="22"/>
                <w:szCs w:val="22"/>
              </w:rPr>
            </w:pPr>
            <w:r w:rsidRPr="00CD7806">
              <w:rPr>
                <w:rFonts w:eastAsia="Times New Roman" w:cs="Times New Roman"/>
                <w:color w:val="000000"/>
                <w:sz w:val="22"/>
                <w:szCs w:val="22"/>
              </w:rPr>
              <w:t>0.43</w:t>
            </w:r>
          </w:p>
        </w:tc>
        <w:tc>
          <w:tcPr>
            <w:tcW w:w="0" w:type="auto"/>
            <w:tcBorders>
              <w:top w:val="single" w:sz="4" w:space="0" w:color="auto"/>
              <w:left w:val="single" w:sz="4" w:space="0" w:color="auto"/>
            </w:tcBorders>
            <w:shd w:val="clear" w:color="auto" w:fill="E7E6E6" w:themeFill="background2"/>
            <w:vAlign w:val="center"/>
            <w:hideMark/>
          </w:tcPr>
          <w:p w14:paraId="61E0AAB7" w14:textId="77777777" w:rsidR="00316E94" w:rsidRPr="00CD7806" w:rsidRDefault="00316E94" w:rsidP="00316E94">
            <w:pPr>
              <w:spacing w:line="240" w:lineRule="auto"/>
              <w:ind w:firstLine="0"/>
              <w:jc w:val="both"/>
              <w:rPr>
                <w:rFonts w:eastAsia="Times New Roman" w:cs="Times New Roman"/>
                <w:color w:val="000000"/>
                <w:sz w:val="22"/>
                <w:szCs w:val="22"/>
              </w:rPr>
            </w:pPr>
            <w:r w:rsidRPr="00CD7806">
              <w:rPr>
                <w:rFonts w:eastAsia="Times New Roman" w:cs="Times New Roman"/>
                <w:color w:val="000000"/>
                <w:sz w:val="22"/>
                <w:szCs w:val="22"/>
              </w:rPr>
              <w:t>1</w:t>
            </w:r>
          </w:p>
        </w:tc>
        <w:tc>
          <w:tcPr>
            <w:tcW w:w="0" w:type="auto"/>
            <w:tcBorders>
              <w:top w:val="single" w:sz="4" w:space="0" w:color="auto"/>
            </w:tcBorders>
            <w:shd w:val="clear" w:color="auto" w:fill="auto"/>
            <w:vAlign w:val="center"/>
            <w:hideMark/>
          </w:tcPr>
          <w:p w14:paraId="0302174F" w14:textId="77777777" w:rsidR="00316E94" w:rsidRPr="00CD7806" w:rsidRDefault="00316E94" w:rsidP="00316E94">
            <w:pPr>
              <w:spacing w:line="240" w:lineRule="auto"/>
              <w:ind w:firstLine="0"/>
              <w:jc w:val="both"/>
              <w:rPr>
                <w:rFonts w:eastAsia="Times New Roman" w:cs="Times New Roman"/>
                <w:color w:val="000000"/>
                <w:sz w:val="22"/>
                <w:szCs w:val="22"/>
              </w:rPr>
            </w:pPr>
          </w:p>
        </w:tc>
        <w:tc>
          <w:tcPr>
            <w:tcW w:w="0" w:type="auto"/>
            <w:tcBorders>
              <w:top w:val="single" w:sz="4" w:space="0" w:color="auto"/>
            </w:tcBorders>
            <w:shd w:val="clear" w:color="auto" w:fill="auto"/>
            <w:vAlign w:val="center"/>
            <w:hideMark/>
          </w:tcPr>
          <w:p w14:paraId="0244E99A" w14:textId="77777777" w:rsidR="00316E94" w:rsidRPr="00CD7806" w:rsidRDefault="00316E94" w:rsidP="00316E94">
            <w:pPr>
              <w:spacing w:line="240" w:lineRule="auto"/>
              <w:ind w:firstLine="0"/>
              <w:jc w:val="both"/>
              <w:rPr>
                <w:rFonts w:eastAsia="Times New Roman" w:cs="Times New Roman"/>
                <w:sz w:val="22"/>
                <w:szCs w:val="22"/>
              </w:rPr>
            </w:pPr>
          </w:p>
        </w:tc>
        <w:tc>
          <w:tcPr>
            <w:tcW w:w="0" w:type="auto"/>
            <w:tcBorders>
              <w:top w:val="single" w:sz="4" w:space="0" w:color="auto"/>
            </w:tcBorders>
            <w:shd w:val="clear" w:color="auto" w:fill="auto"/>
            <w:vAlign w:val="center"/>
            <w:hideMark/>
          </w:tcPr>
          <w:p w14:paraId="28C25965" w14:textId="77777777" w:rsidR="00316E94" w:rsidRPr="00CD7806" w:rsidRDefault="00316E94" w:rsidP="00316E94">
            <w:pPr>
              <w:spacing w:line="240" w:lineRule="auto"/>
              <w:ind w:firstLine="0"/>
              <w:jc w:val="both"/>
              <w:rPr>
                <w:rFonts w:eastAsia="Times New Roman" w:cs="Times New Roman"/>
                <w:sz w:val="22"/>
                <w:szCs w:val="22"/>
              </w:rPr>
            </w:pPr>
          </w:p>
        </w:tc>
        <w:tc>
          <w:tcPr>
            <w:tcW w:w="0" w:type="auto"/>
            <w:tcBorders>
              <w:top w:val="single" w:sz="4" w:space="0" w:color="auto"/>
            </w:tcBorders>
            <w:shd w:val="clear" w:color="auto" w:fill="auto"/>
            <w:vAlign w:val="center"/>
            <w:hideMark/>
          </w:tcPr>
          <w:p w14:paraId="42EC34C1" w14:textId="77777777" w:rsidR="00316E94" w:rsidRPr="00CD7806" w:rsidRDefault="00316E94" w:rsidP="00316E94">
            <w:pPr>
              <w:spacing w:line="240" w:lineRule="auto"/>
              <w:ind w:firstLine="0"/>
              <w:jc w:val="both"/>
              <w:rPr>
                <w:rFonts w:eastAsia="Times New Roman" w:cs="Times New Roman"/>
                <w:sz w:val="22"/>
                <w:szCs w:val="22"/>
              </w:rPr>
            </w:pPr>
          </w:p>
        </w:tc>
        <w:tc>
          <w:tcPr>
            <w:tcW w:w="0" w:type="auto"/>
            <w:tcBorders>
              <w:top w:val="single" w:sz="4" w:space="0" w:color="auto"/>
            </w:tcBorders>
            <w:shd w:val="clear" w:color="auto" w:fill="auto"/>
            <w:vAlign w:val="center"/>
            <w:hideMark/>
          </w:tcPr>
          <w:p w14:paraId="7AB0A3BB" w14:textId="77777777" w:rsidR="00316E94" w:rsidRPr="00CD7806" w:rsidRDefault="00316E94" w:rsidP="00316E94">
            <w:pPr>
              <w:spacing w:line="240" w:lineRule="auto"/>
              <w:ind w:firstLine="0"/>
              <w:jc w:val="both"/>
              <w:rPr>
                <w:rFonts w:eastAsia="Times New Roman" w:cs="Times New Roman"/>
                <w:sz w:val="22"/>
                <w:szCs w:val="22"/>
              </w:rPr>
            </w:pPr>
          </w:p>
        </w:tc>
        <w:tc>
          <w:tcPr>
            <w:tcW w:w="0" w:type="auto"/>
            <w:tcBorders>
              <w:top w:val="single" w:sz="4" w:space="0" w:color="auto"/>
            </w:tcBorders>
            <w:shd w:val="clear" w:color="auto" w:fill="auto"/>
            <w:vAlign w:val="center"/>
            <w:hideMark/>
          </w:tcPr>
          <w:p w14:paraId="6586320B" w14:textId="77777777" w:rsidR="00316E94" w:rsidRPr="00CD7806" w:rsidRDefault="00316E94" w:rsidP="00316E94">
            <w:pPr>
              <w:spacing w:line="240" w:lineRule="auto"/>
              <w:ind w:firstLine="0"/>
              <w:jc w:val="both"/>
              <w:rPr>
                <w:rFonts w:eastAsia="Times New Roman" w:cs="Times New Roman"/>
                <w:sz w:val="22"/>
                <w:szCs w:val="22"/>
              </w:rPr>
            </w:pPr>
          </w:p>
        </w:tc>
        <w:tc>
          <w:tcPr>
            <w:tcW w:w="0" w:type="auto"/>
            <w:tcBorders>
              <w:top w:val="single" w:sz="4" w:space="0" w:color="auto"/>
            </w:tcBorders>
            <w:shd w:val="clear" w:color="auto" w:fill="auto"/>
            <w:vAlign w:val="center"/>
            <w:hideMark/>
          </w:tcPr>
          <w:p w14:paraId="683ACC9A" w14:textId="77777777" w:rsidR="00316E94" w:rsidRPr="00CD7806" w:rsidRDefault="00316E94" w:rsidP="00316E94">
            <w:pPr>
              <w:spacing w:line="240" w:lineRule="auto"/>
              <w:ind w:firstLine="0"/>
              <w:jc w:val="both"/>
              <w:rPr>
                <w:rFonts w:eastAsia="Times New Roman" w:cs="Times New Roman"/>
                <w:sz w:val="22"/>
                <w:szCs w:val="22"/>
              </w:rPr>
            </w:pPr>
          </w:p>
        </w:tc>
        <w:tc>
          <w:tcPr>
            <w:tcW w:w="0" w:type="auto"/>
            <w:tcBorders>
              <w:top w:val="single" w:sz="4" w:space="0" w:color="auto"/>
            </w:tcBorders>
            <w:shd w:val="clear" w:color="auto" w:fill="auto"/>
            <w:vAlign w:val="center"/>
            <w:hideMark/>
          </w:tcPr>
          <w:p w14:paraId="32C80C68" w14:textId="77777777" w:rsidR="00316E94" w:rsidRPr="00CD7806" w:rsidRDefault="00316E94" w:rsidP="00316E94">
            <w:pPr>
              <w:spacing w:line="240" w:lineRule="auto"/>
              <w:ind w:firstLine="0"/>
              <w:jc w:val="both"/>
              <w:rPr>
                <w:rFonts w:eastAsia="Times New Roman" w:cs="Times New Roman"/>
                <w:sz w:val="22"/>
                <w:szCs w:val="22"/>
              </w:rPr>
            </w:pPr>
          </w:p>
        </w:tc>
        <w:tc>
          <w:tcPr>
            <w:tcW w:w="0" w:type="auto"/>
            <w:tcBorders>
              <w:top w:val="single" w:sz="4" w:space="0" w:color="auto"/>
            </w:tcBorders>
            <w:shd w:val="clear" w:color="auto" w:fill="auto"/>
            <w:vAlign w:val="center"/>
            <w:hideMark/>
          </w:tcPr>
          <w:p w14:paraId="3F90D12A" w14:textId="77777777" w:rsidR="00316E94" w:rsidRPr="00CD7806" w:rsidRDefault="00316E94" w:rsidP="00316E94">
            <w:pPr>
              <w:spacing w:line="240" w:lineRule="auto"/>
              <w:ind w:firstLine="0"/>
              <w:jc w:val="both"/>
              <w:rPr>
                <w:rFonts w:eastAsia="Times New Roman" w:cs="Times New Roman"/>
                <w:sz w:val="22"/>
                <w:szCs w:val="22"/>
              </w:rPr>
            </w:pPr>
          </w:p>
        </w:tc>
      </w:tr>
      <w:tr w:rsidR="00316E94" w:rsidRPr="006325B7" w14:paraId="494F1E1B" w14:textId="77777777" w:rsidTr="00CD7806">
        <w:trPr>
          <w:trHeight w:val="227"/>
        </w:trPr>
        <w:tc>
          <w:tcPr>
            <w:tcW w:w="0" w:type="auto"/>
            <w:tcBorders>
              <w:right w:val="single" w:sz="4" w:space="0" w:color="auto"/>
            </w:tcBorders>
            <w:shd w:val="clear" w:color="auto" w:fill="auto"/>
            <w:vAlign w:val="center"/>
            <w:hideMark/>
          </w:tcPr>
          <w:p w14:paraId="0BD46BA0" w14:textId="77777777" w:rsidR="00316E94" w:rsidRPr="006325B7" w:rsidRDefault="00316E94" w:rsidP="00316E94">
            <w:pPr>
              <w:pStyle w:val="ListParagraph"/>
              <w:numPr>
                <w:ilvl w:val="0"/>
                <w:numId w:val="2"/>
              </w:numPr>
              <w:tabs>
                <w:tab w:val="left" w:pos="450"/>
              </w:tabs>
              <w:spacing w:line="240" w:lineRule="auto"/>
              <w:ind w:left="90" w:firstLine="0"/>
              <w:jc w:val="both"/>
              <w:rPr>
                <w:rFonts w:ascii="Garamond" w:eastAsia="Times New Roman" w:hAnsi="Garamond" w:cs="Times New Roman"/>
                <w:color w:val="000000"/>
                <w:sz w:val="22"/>
                <w:szCs w:val="22"/>
              </w:rPr>
            </w:pPr>
            <w:r w:rsidRPr="006325B7">
              <w:rPr>
                <w:rFonts w:ascii="Garamond" w:eastAsia="Times New Roman" w:hAnsi="Garamond" w:cs="Times New Roman"/>
                <w:color w:val="000000"/>
                <w:sz w:val="22"/>
                <w:szCs w:val="22"/>
              </w:rPr>
              <w:t>Male</w:t>
            </w:r>
          </w:p>
        </w:tc>
        <w:tc>
          <w:tcPr>
            <w:tcW w:w="0" w:type="auto"/>
            <w:tcBorders>
              <w:left w:val="single" w:sz="4" w:space="0" w:color="auto"/>
            </w:tcBorders>
            <w:vAlign w:val="center"/>
          </w:tcPr>
          <w:p w14:paraId="6F319CB5"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w:t>
            </w:r>
          </w:p>
        </w:tc>
        <w:tc>
          <w:tcPr>
            <w:tcW w:w="0" w:type="auto"/>
            <w:shd w:val="clear" w:color="auto" w:fill="auto"/>
            <w:noWrap/>
            <w:vAlign w:val="center"/>
            <w:hideMark/>
          </w:tcPr>
          <w:p w14:paraId="5D55C5D0"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0.43</w:t>
            </w:r>
          </w:p>
        </w:tc>
        <w:tc>
          <w:tcPr>
            <w:tcW w:w="0" w:type="auto"/>
            <w:tcBorders>
              <w:right w:val="single" w:sz="4" w:space="0" w:color="auto"/>
            </w:tcBorders>
            <w:shd w:val="clear" w:color="auto" w:fill="auto"/>
            <w:noWrap/>
            <w:vAlign w:val="center"/>
            <w:hideMark/>
          </w:tcPr>
          <w:p w14:paraId="3E92925B"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0.50</w:t>
            </w:r>
          </w:p>
        </w:tc>
        <w:tc>
          <w:tcPr>
            <w:tcW w:w="0" w:type="auto"/>
            <w:tcBorders>
              <w:left w:val="single" w:sz="4" w:space="0" w:color="auto"/>
            </w:tcBorders>
            <w:shd w:val="clear" w:color="auto" w:fill="E7E6E6" w:themeFill="background2"/>
            <w:vAlign w:val="center"/>
            <w:hideMark/>
          </w:tcPr>
          <w:p w14:paraId="18058613" w14:textId="77777777" w:rsidR="00316E94" w:rsidRPr="00CD7806" w:rsidRDefault="00316E94" w:rsidP="00316E94">
            <w:pPr>
              <w:spacing w:line="240" w:lineRule="auto"/>
              <w:ind w:firstLine="0"/>
              <w:jc w:val="both"/>
              <w:rPr>
                <w:rFonts w:eastAsia="Times New Roman" w:cs="Times New Roman"/>
                <w:bCs/>
                <w:color w:val="000000"/>
                <w:sz w:val="22"/>
                <w:szCs w:val="22"/>
              </w:rPr>
            </w:pPr>
            <w:r w:rsidRPr="00CD7806">
              <w:rPr>
                <w:rFonts w:eastAsia="Times New Roman" w:cs="Times New Roman"/>
                <w:bCs/>
                <w:color w:val="000000"/>
                <w:sz w:val="22"/>
                <w:szCs w:val="22"/>
              </w:rPr>
              <w:t>.02</w:t>
            </w:r>
          </w:p>
        </w:tc>
        <w:tc>
          <w:tcPr>
            <w:tcW w:w="0" w:type="auto"/>
            <w:shd w:val="clear" w:color="auto" w:fill="auto"/>
            <w:vAlign w:val="center"/>
            <w:hideMark/>
          </w:tcPr>
          <w:p w14:paraId="26F558A7"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w:t>
            </w:r>
          </w:p>
        </w:tc>
        <w:tc>
          <w:tcPr>
            <w:tcW w:w="0" w:type="auto"/>
            <w:shd w:val="clear" w:color="auto" w:fill="auto"/>
            <w:vAlign w:val="center"/>
            <w:hideMark/>
          </w:tcPr>
          <w:p w14:paraId="2D56B8AA" w14:textId="77777777" w:rsidR="00316E94" w:rsidRPr="006325B7" w:rsidRDefault="00316E94" w:rsidP="00316E94">
            <w:pPr>
              <w:spacing w:line="240" w:lineRule="auto"/>
              <w:ind w:firstLine="0"/>
              <w:jc w:val="both"/>
              <w:rPr>
                <w:rFonts w:eastAsia="Times New Roman" w:cs="Times New Roman"/>
                <w:color w:val="000000"/>
                <w:sz w:val="22"/>
                <w:szCs w:val="22"/>
              </w:rPr>
            </w:pPr>
          </w:p>
        </w:tc>
        <w:tc>
          <w:tcPr>
            <w:tcW w:w="0" w:type="auto"/>
            <w:shd w:val="clear" w:color="auto" w:fill="auto"/>
            <w:vAlign w:val="center"/>
            <w:hideMark/>
          </w:tcPr>
          <w:p w14:paraId="72F71BDC"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0CF4B96A"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2379DFF7"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1591D303"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1658CA1F"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674ECB4B"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54D9F9C0" w14:textId="77777777" w:rsidR="00316E94" w:rsidRPr="006325B7" w:rsidRDefault="00316E94" w:rsidP="00316E94">
            <w:pPr>
              <w:spacing w:line="240" w:lineRule="auto"/>
              <w:ind w:firstLine="0"/>
              <w:jc w:val="both"/>
              <w:rPr>
                <w:rFonts w:eastAsia="Times New Roman" w:cs="Times New Roman"/>
                <w:sz w:val="22"/>
                <w:szCs w:val="22"/>
              </w:rPr>
            </w:pPr>
          </w:p>
        </w:tc>
      </w:tr>
      <w:tr w:rsidR="00316E94" w:rsidRPr="006325B7" w14:paraId="67D8F398" w14:textId="77777777" w:rsidTr="00CD7806">
        <w:trPr>
          <w:trHeight w:val="227"/>
        </w:trPr>
        <w:tc>
          <w:tcPr>
            <w:tcW w:w="0" w:type="auto"/>
            <w:tcBorders>
              <w:right w:val="single" w:sz="4" w:space="0" w:color="auto"/>
            </w:tcBorders>
            <w:shd w:val="clear" w:color="auto" w:fill="auto"/>
            <w:vAlign w:val="center"/>
            <w:hideMark/>
          </w:tcPr>
          <w:p w14:paraId="7B42C61A" w14:textId="77777777" w:rsidR="00316E94" w:rsidRPr="006325B7" w:rsidRDefault="00316E94" w:rsidP="00316E94">
            <w:pPr>
              <w:pStyle w:val="ListParagraph"/>
              <w:numPr>
                <w:ilvl w:val="0"/>
                <w:numId w:val="2"/>
              </w:numPr>
              <w:tabs>
                <w:tab w:val="left" w:pos="450"/>
              </w:tabs>
              <w:spacing w:line="240" w:lineRule="auto"/>
              <w:ind w:left="90" w:firstLine="0"/>
              <w:jc w:val="both"/>
              <w:rPr>
                <w:rFonts w:ascii="Garamond" w:eastAsia="Times New Roman" w:hAnsi="Garamond" w:cs="Times New Roman"/>
                <w:color w:val="000000"/>
                <w:sz w:val="22"/>
                <w:szCs w:val="22"/>
              </w:rPr>
            </w:pPr>
            <w:r w:rsidRPr="006325B7">
              <w:rPr>
                <w:rFonts w:ascii="Garamond" w:eastAsia="Times New Roman" w:hAnsi="Garamond" w:cs="Times New Roman"/>
                <w:color w:val="000000"/>
                <w:sz w:val="22"/>
                <w:szCs w:val="22"/>
              </w:rPr>
              <w:t>Age</w:t>
            </w:r>
          </w:p>
        </w:tc>
        <w:tc>
          <w:tcPr>
            <w:tcW w:w="0" w:type="auto"/>
            <w:tcBorders>
              <w:left w:val="single" w:sz="4" w:space="0" w:color="auto"/>
            </w:tcBorders>
            <w:vAlign w:val="center"/>
          </w:tcPr>
          <w:p w14:paraId="4BB6BA8C"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18-93</w:t>
            </w:r>
          </w:p>
        </w:tc>
        <w:tc>
          <w:tcPr>
            <w:tcW w:w="0" w:type="auto"/>
            <w:shd w:val="clear" w:color="auto" w:fill="auto"/>
            <w:noWrap/>
            <w:vAlign w:val="center"/>
            <w:hideMark/>
          </w:tcPr>
          <w:p w14:paraId="3C1F644D"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41.8</w:t>
            </w:r>
          </w:p>
        </w:tc>
        <w:tc>
          <w:tcPr>
            <w:tcW w:w="0" w:type="auto"/>
            <w:tcBorders>
              <w:right w:val="single" w:sz="4" w:space="0" w:color="auto"/>
            </w:tcBorders>
            <w:shd w:val="clear" w:color="auto" w:fill="auto"/>
            <w:noWrap/>
            <w:vAlign w:val="center"/>
            <w:hideMark/>
          </w:tcPr>
          <w:p w14:paraId="1B57B6D7"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16.6</w:t>
            </w:r>
          </w:p>
        </w:tc>
        <w:tc>
          <w:tcPr>
            <w:tcW w:w="0" w:type="auto"/>
            <w:tcBorders>
              <w:left w:val="single" w:sz="4" w:space="0" w:color="auto"/>
            </w:tcBorders>
            <w:shd w:val="clear" w:color="auto" w:fill="E7E6E6" w:themeFill="background2"/>
            <w:vAlign w:val="center"/>
            <w:hideMark/>
          </w:tcPr>
          <w:p w14:paraId="0F0E19EB" w14:textId="77777777" w:rsidR="00316E94" w:rsidRPr="00CD7806" w:rsidRDefault="00316E94" w:rsidP="00316E94">
            <w:pPr>
              <w:spacing w:line="240" w:lineRule="auto"/>
              <w:ind w:firstLine="0"/>
              <w:jc w:val="both"/>
              <w:rPr>
                <w:rFonts w:eastAsia="Times New Roman" w:cs="Times New Roman"/>
                <w:bCs/>
                <w:color w:val="000000"/>
                <w:sz w:val="22"/>
                <w:szCs w:val="22"/>
              </w:rPr>
            </w:pPr>
            <w:r w:rsidRPr="00CD7806">
              <w:rPr>
                <w:rFonts w:eastAsia="Times New Roman" w:cs="Times New Roman"/>
                <w:bCs/>
                <w:color w:val="000000"/>
                <w:sz w:val="22"/>
                <w:szCs w:val="22"/>
              </w:rPr>
              <w:t>.05*</w:t>
            </w:r>
          </w:p>
        </w:tc>
        <w:tc>
          <w:tcPr>
            <w:tcW w:w="0" w:type="auto"/>
            <w:shd w:val="clear" w:color="auto" w:fill="auto"/>
            <w:vAlign w:val="center"/>
            <w:hideMark/>
          </w:tcPr>
          <w:p w14:paraId="2B050E9C"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-.02</w:t>
            </w:r>
          </w:p>
        </w:tc>
        <w:tc>
          <w:tcPr>
            <w:tcW w:w="0" w:type="auto"/>
            <w:shd w:val="clear" w:color="auto" w:fill="auto"/>
            <w:noWrap/>
            <w:vAlign w:val="center"/>
            <w:hideMark/>
          </w:tcPr>
          <w:p w14:paraId="7C0E4006"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w:t>
            </w:r>
          </w:p>
        </w:tc>
        <w:tc>
          <w:tcPr>
            <w:tcW w:w="0" w:type="auto"/>
            <w:shd w:val="clear" w:color="auto" w:fill="auto"/>
            <w:noWrap/>
            <w:vAlign w:val="center"/>
            <w:hideMark/>
          </w:tcPr>
          <w:p w14:paraId="49BB1FB7" w14:textId="77777777" w:rsidR="00316E94" w:rsidRPr="006325B7" w:rsidRDefault="00316E94" w:rsidP="00316E94">
            <w:pPr>
              <w:spacing w:line="240" w:lineRule="auto"/>
              <w:ind w:firstLine="0"/>
              <w:jc w:val="both"/>
              <w:rPr>
                <w:rFonts w:eastAsia="Times New Roman" w:cs="Times New Roman"/>
                <w:color w:val="000000"/>
                <w:sz w:val="22"/>
                <w:szCs w:val="22"/>
              </w:rPr>
            </w:pPr>
          </w:p>
        </w:tc>
        <w:tc>
          <w:tcPr>
            <w:tcW w:w="0" w:type="auto"/>
            <w:shd w:val="clear" w:color="auto" w:fill="auto"/>
            <w:noWrap/>
            <w:vAlign w:val="center"/>
            <w:hideMark/>
          </w:tcPr>
          <w:p w14:paraId="2ABC7AEF"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1BC4F94B"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6E9C7D3F"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047DD346"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6A1EE1CB"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3DC91FE2" w14:textId="77777777" w:rsidR="00316E94" w:rsidRPr="006325B7" w:rsidRDefault="00316E94" w:rsidP="00316E94">
            <w:pPr>
              <w:spacing w:line="240" w:lineRule="auto"/>
              <w:ind w:firstLine="0"/>
              <w:jc w:val="both"/>
              <w:rPr>
                <w:rFonts w:eastAsia="Times New Roman" w:cs="Times New Roman"/>
                <w:sz w:val="22"/>
                <w:szCs w:val="22"/>
              </w:rPr>
            </w:pPr>
          </w:p>
        </w:tc>
      </w:tr>
      <w:tr w:rsidR="00316E94" w:rsidRPr="006325B7" w14:paraId="0A0D2DCC" w14:textId="77777777" w:rsidTr="00CD7806">
        <w:trPr>
          <w:trHeight w:val="227"/>
        </w:trPr>
        <w:tc>
          <w:tcPr>
            <w:tcW w:w="0" w:type="auto"/>
            <w:tcBorders>
              <w:right w:val="single" w:sz="4" w:space="0" w:color="auto"/>
            </w:tcBorders>
            <w:shd w:val="clear" w:color="auto" w:fill="auto"/>
            <w:vAlign w:val="center"/>
            <w:hideMark/>
          </w:tcPr>
          <w:p w14:paraId="09060DE6" w14:textId="77777777" w:rsidR="00316E94" w:rsidRPr="006325B7" w:rsidRDefault="00316E94" w:rsidP="00316E94">
            <w:pPr>
              <w:pStyle w:val="ListParagraph"/>
              <w:numPr>
                <w:ilvl w:val="0"/>
                <w:numId w:val="2"/>
              </w:numPr>
              <w:tabs>
                <w:tab w:val="left" w:pos="450"/>
              </w:tabs>
              <w:spacing w:line="240" w:lineRule="auto"/>
              <w:ind w:left="90" w:firstLine="0"/>
              <w:jc w:val="both"/>
              <w:rPr>
                <w:rFonts w:ascii="Garamond" w:eastAsia="Times New Roman" w:hAnsi="Garamond" w:cs="Times New Roman"/>
                <w:color w:val="000000"/>
                <w:sz w:val="22"/>
                <w:szCs w:val="22"/>
              </w:rPr>
            </w:pPr>
            <w:r w:rsidRPr="006325B7">
              <w:rPr>
                <w:rFonts w:ascii="Garamond" w:eastAsia="Times New Roman" w:hAnsi="Garamond" w:cs="Times New Roman"/>
                <w:color w:val="000000"/>
                <w:sz w:val="22"/>
                <w:szCs w:val="22"/>
              </w:rPr>
              <w:t>College education</w:t>
            </w:r>
          </w:p>
        </w:tc>
        <w:tc>
          <w:tcPr>
            <w:tcW w:w="0" w:type="auto"/>
            <w:tcBorders>
              <w:left w:val="single" w:sz="4" w:space="0" w:color="auto"/>
            </w:tcBorders>
            <w:vAlign w:val="center"/>
          </w:tcPr>
          <w:p w14:paraId="484FF7D0"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w:t>
            </w:r>
          </w:p>
        </w:tc>
        <w:tc>
          <w:tcPr>
            <w:tcW w:w="0" w:type="auto"/>
            <w:shd w:val="clear" w:color="auto" w:fill="auto"/>
            <w:noWrap/>
            <w:vAlign w:val="center"/>
            <w:hideMark/>
          </w:tcPr>
          <w:p w14:paraId="3EE2B670"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0.25</w:t>
            </w:r>
          </w:p>
        </w:tc>
        <w:tc>
          <w:tcPr>
            <w:tcW w:w="0" w:type="auto"/>
            <w:tcBorders>
              <w:right w:val="single" w:sz="4" w:space="0" w:color="auto"/>
            </w:tcBorders>
            <w:shd w:val="clear" w:color="auto" w:fill="auto"/>
            <w:noWrap/>
            <w:vAlign w:val="center"/>
            <w:hideMark/>
          </w:tcPr>
          <w:p w14:paraId="1A7DB24B"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0.43</w:t>
            </w:r>
          </w:p>
        </w:tc>
        <w:tc>
          <w:tcPr>
            <w:tcW w:w="0" w:type="auto"/>
            <w:tcBorders>
              <w:left w:val="single" w:sz="4" w:space="0" w:color="auto"/>
            </w:tcBorders>
            <w:shd w:val="clear" w:color="auto" w:fill="E7E6E6" w:themeFill="background2"/>
            <w:vAlign w:val="center"/>
            <w:hideMark/>
          </w:tcPr>
          <w:p w14:paraId="632DA549" w14:textId="77777777" w:rsidR="00316E94" w:rsidRPr="00CD7806" w:rsidRDefault="00316E94" w:rsidP="00316E94">
            <w:pPr>
              <w:spacing w:line="240" w:lineRule="auto"/>
              <w:ind w:firstLine="0"/>
              <w:jc w:val="both"/>
              <w:rPr>
                <w:rFonts w:eastAsia="Times New Roman" w:cs="Times New Roman"/>
                <w:bCs/>
                <w:color w:val="000000"/>
                <w:sz w:val="22"/>
                <w:szCs w:val="22"/>
              </w:rPr>
            </w:pPr>
            <w:r w:rsidRPr="00CD7806">
              <w:rPr>
                <w:rFonts w:eastAsia="Times New Roman" w:cs="Times New Roman"/>
                <w:bCs/>
                <w:color w:val="000000"/>
                <w:sz w:val="22"/>
                <w:szCs w:val="22"/>
              </w:rPr>
              <w:t>.16***</w:t>
            </w:r>
          </w:p>
        </w:tc>
        <w:tc>
          <w:tcPr>
            <w:tcW w:w="0" w:type="auto"/>
            <w:shd w:val="clear" w:color="auto" w:fill="auto"/>
            <w:vAlign w:val="center"/>
            <w:hideMark/>
          </w:tcPr>
          <w:p w14:paraId="692ACAA4"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.02</w:t>
            </w:r>
          </w:p>
        </w:tc>
        <w:tc>
          <w:tcPr>
            <w:tcW w:w="0" w:type="auto"/>
            <w:shd w:val="clear" w:color="auto" w:fill="auto"/>
            <w:vAlign w:val="center"/>
            <w:hideMark/>
          </w:tcPr>
          <w:p w14:paraId="29ACEFB7"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.15***</w:t>
            </w:r>
          </w:p>
        </w:tc>
        <w:tc>
          <w:tcPr>
            <w:tcW w:w="0" w:type="auto"/>
            <w:shd w:val="clear" w:color="auto" w:fill="auto"/>
            <w:noWrap/>
            <w:vAlign w:val="center"/>
            <w:hideMark/>
          </w:tcPr>
          <w:p w14:paraId="6A74F5CD" w14:textId="77777777" w:rsidR="00316E94" w:rsidRPr="006325B7" w:rsidRDefault="00316E94" w:rsidP="00316E94">
            <w:pPr>
              <w:spacing w:line="240" w:lineRule="auto"/>
              <w:ind w:firstLine="0"/>
              <w:jc w:val="both"/>
              <w:rPr>
                <w:rFonts w:eastAsia="Times New Roman" w:cs="Times New Roman"/>
                <w:sz w:val="22"/>
                <w:szCs w:val="22"/>
              </w:rPr>
            </w:pPr>
            <w:r w:rsidRPr="006325B7">
              <w:rPr>
                <w:rFonts w:eastAsia="Times New Roman" w:cs="Times New Roman"/>
                <w:sz w:val="22"/>
                <w:szCs w:val="22"/>
              </w:rPr>
              <w:t>1</w:t>
            </w:r>
          </w:p>
        </w:tc>
        <w:tc>
          <w:tcPr>
            <w:tcW w:w="0" w:type="auto"/>
            <w:shd w:val="clear" w:color="auto" w:fill="auto"/>
            <w:noWrap/>
            <w:vAlign w:val="center"/>
            <w:hideMark/>
          </w:tcPr>
          <w:p w14:paraId="2406ADC3"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2F44E815"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01884A18"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648F33BD"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64C0BC44"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51036381" w14:textId="77777777" w:rsidR="00316E94" w:rsidRPr="006325B7" w:rsidRDefault="00316E94" w:rsidP="00316E94">
            <w:pPr>
              <w:spacing w:line="240" w:lineRule="auto"/>
              <w:ind w:firstLine="0"/>
              <w:jc w:val="both"/>
              <w:rPr>
                <w:rFonts w:eastAsia="Times New Roman" w:cs="Times New Roman"/>
                <w:sz w:val="22"/>
                <w:szCs w:val="22"/>
              </w:rPr>
            </w:pPr>
          </w:p>
        </w:tc>
      </w:tr>
      <w:tr w:rsidR="00316E94" w:rsidRPr="006325B7" w14:paraId="619BE5BE" w14:textId="77777777" w:rsidTr="00CD7806">
        <w:trPr>
          <w:trHeight w:val="227"/>
        </w:trPr>
        <w:tc>
          <w:tcPr>
            <w:tcW w:w="0" w:type="auto"/>
            <w:tcBorders>
              <w:right w:val="single" w:sz="4" w:space="0" w:color="auto"/>
            </w:tcBorders>
            <w:shd w:val="clear" w:color="auto" w:fill="auto"/>
            <w:vAlign w:val="center"/>
            <w:hideMark/>
          </w:tcPr>
          <w:p w14:paraId="36A2AE19" w14:textId="77777777" w:rsidR="00316E94" w:rsidRPr="006325B7" w:rsidRDefault="00316E94" w:rsidP="00316E94">
            <w:pPr>
              <w:pStyle w:val="ListParagraph"/>
              <w:numPr>
                <w:ilvl w:val="0"/>
                <w:numId w:val="2"/>
              </w:numPr>
              <w:tabs>
                <w:tab w:val="left" w:pos="450"/>
              </w:tabs>
              <w:spacing w:line="240" w:lineRule="auto"/>
              <w:ind w:left="90" w:firstLine="0"/>
              <w:jc w:val="both"/>
              <w:rPr>
                <w:rFonts w:ascii="Garamond" w:eastAsia="Times New Roman" w:hAnsi="Garamond" w:cs="Times New Roman"/>
                <w:color w:val="000000"/>
                <w:sz w:val="22"/>
                <w:szCs w:val="22"/>
              </w:rPr>
            </w:pPr>
            <w:r w:rsidRPr="006325B7">
              <w:rPr>
                <w:rFonts w:ascii="Garamond" w:eastAsia="Times New Roman" w:hAnsi="Garamond" w:cs="Times New Roman"/>
                <w:color w:val="000000"/>
                <w:sz w:val="22"/>
                <w:szCs w:val="22"/>
              </w:rPr>
              <w:t>Employed</w:t>
            </w:r>
          </w:p>
        </w:tc>
        <w:tc>
          <w:tcPr>
            <w:tcW w:w="0" w:type="auto"/>
            <w:tcBorders>
              <w:left w:val="single" w:sz="4" w:space="0" w:color="auto"/>
            </w:tcBorders>
            <w:vAlign w:val="center"/>
          </w:tcPr>
          <w:p w14:paraId="19FDB765"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w:t>
            </w:r>
          </w:p>
        </w:tc>
        <w:tc>
          <w:tcPr>
            <w:tcW w:w="0" w:type="auto"/>
            <w:shd w:val="clear" w:color="auto" w:fill="auto"/>
            <w:noWrap/>
            <w:vAlign w:val="center"/>
            <w:hideMark/>
          </w:tcPr>
          <w:p w14:paraId="35716E04"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0.51</w:t>
            </w:r>
          </w:p>
        </w:tc>
        <w:tc>
          <w:tcPr>
            <w:tcW w:w="0" w:type="auto"/>
            <w:tcBorders>
              <w:right w:val="single" w:sz="4" w:space="0" w:color="auto"/>
            </w:tcBorders>
            <w:shd w:val="clear" w:color="auto" w:fill="auto"/>
            <w:noWrap/>
            <w:vAlign w:val="center"/>
            <w:hideMark/>
          </w:tcPr>
          <w:p w14:paraId="5B965E80"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0.50</w:t>
            </w:r>
          </w:p>
        </w:tc>
        <w:tc>
          <w:tcPr>
            <w:tcW w:w="0" w:type="auto"/>
            <w:tcBorders>
              <w:left w:val="single" w:sz="4" w:space="0" w:color="auto"/>
            </w:tcBorders>
            <w:shd w:val="clear" w:color="auto" w:fill="E7E6E6" w:themeFill="background2"/>
            <w:vAlign w:val="center"/>
            <w:hideMark/>
          </w:tcPr>
          <w:p w14:paraId="32B4468B" w14:textId="77777777" w:rsidR="00316E94" w:rsidRPr="00CD7806" w:rsidRDefault="00316E94" w:rsidP="00316E94">
            <w:pPr>
              <w:spacing w:line="240" w:lineRule="auto"/>
              <w:ind w:firstLine="0"/>
              <w:jc w:val="both"/>
              <w:rPr>
                <w:rFonts w:eastAsia="Times New Roman" w:cs="Times New Roman"/>
                <w:bCs/>
                <w:color w:val="000000"/>
                <w:sz w:val="22"/>
                <w:szCs w:val="22"/>
              </w:rPr>
            </w:pPr>
            <w:r w:rsidRPr="00CD7806">
              <w:rPr>
                <w:rFonts w:eastAsia="Times New Roman" w:cs="Times New Roman"/>
                <w:bCs/>
                <w:color w:val="000000"/>
                <w:sz w:val="22"/>
                <w:szCs w:val="22"/>
              </w:rPr>
              <w:t>.05*</w:t>
            </w:r>
          </w:p>
        </w:tc>
        <w:tc>
          <w:tcPr>
            <w:tcW w:w="0" w:type="auto"/>
            <w:shd w:val="clear" w:color="auto" w:fill="auto"/>
            <w:vAlign w:val="center"/>
            <w:hideMark/>
          </w:tcPr>
          <w:p w14:paraId="49030781"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.08**</w:t>
            </w:r>
          </w:p>
        </w:tc>
        <w:tc>
          <w:tcPr>
            <w:tcW w:w="0" w:type="auto"/>
            <w:shd w:val="clear" w:color="auto" w:fill="auto"/>
            <w:vAlign w:val="center"/>
            <w:hideMark/>
          </w:tcPr>
          <w:p w14:paraId="1443C4DF"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-.08**</w:t>
            </w:r>
          </w:p>
        </w:tc>
        <w:tc>
          <w:tcPr>
            <w:tcW w:w="0" w:type="auto"/>
            <w:shd w:val="clear" w:color="auto" w:fill="auto"/>
            <w:vAlign w:val="center"/>
            <w:hideMark/>
          </w:tcPr>
          <w:p w14:paraId="06E44CCC" w14:textId="77777777" w:rsidR="00316E94" w:rsidRPr="006325B7" w:rsidRDefault="00316E94" w:rsidP="00316E94">
            <w:pPr>
              <w:spacing w:line="240" w:lineRule="auto"/>
              <w:ind w:firstLine="0"/>
              <w:jc w:val="both"/>
              <w:rPr>
                <w:rFonts w:eastAsia="Times New Roman" w:cs="Times New Roman"/>
                <w:sz w:val="22"/>
                <w:szCs w:val="22"/>
              </w:rPr>
            </w:pPr>
            <w:r w:rsidRPr="006325B7">
              <w:rPr>
                <w:rFonts w:eastAsia="Times New Roman" w:cs="Times New Roman"/>
                <w:sz w:val="22"/>
                <w:szCs w:val="22"/>
              </w:rPr>
              <w:t>.16***</w:t>
            </w:r>
          </w:p>
        </w:tc>
        <w:tc>
          <w:tcPr>
            <w:tcW w:w="0" w:type="auto"/>
            <w:shd w:val="clear" w:color="auto" w:fill="auto"/>
            <w:vAlign w:val="center"/>
            <w:hideMark/>
          </w:tcPr>
          <w:p w14:paraId="7F62E0E8" w14:textId="77777777" w:rsidR="00316E94" w:rsidRPr="006325B7" w:rsidRDefault="00316E94" w:rsidP="00316E94">
            <w:pPr>
              <w:spacing w:line="240" w:lineRule="auto"/>
              <w:ind w:firstLine="0"/>
              <w:jc w:val="both"/>
              <w:rPr>
                <w:rFonts w:eastAsia="Times New Roman" w:cs="Times New Roman"/>
                <w:sz w:val="22"/>
                <w:szCs w:val="22"/>
              </w:rPr>
            </w:pPr>
            <w:r w:rsidRPr="006325B7">
              <w:rPr>
                <w:rFonts w:eastAsia="Times New Roman" w:cs="Times New Roman"/>
                <w:sz w:val="22"/>
                <w:szCs w:val="22"/>
              </w:rPr>
              <w:t>1</w:t>
            </w:r>
          </w:p>
        </w:tc>
        <w:tc>
          <w:tcPr>
            <w:tcW w:w="0" w:type="auto"/>
            <w:shd w:val="clear" w:color="auto" w:fill="auto"/>
            <w:vAlign w:val="center"/>
            <w:hideMark/>
          </w:tcPr>
          <w:p w14:paraId="0F5B2A55"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3773B0B5"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6C4EE193"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2930ABBB"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4B38EAFE" w14:textId="77777777" w:rsidR="00316E94" w:rsidRPr="006325B7" w:rsidRDefault="00316E94" w:rsidP="00316E94">
            <w:pPr>
              <w:spacing w:line="240" w:lineRule="auto"/>
              <w:ind w:firstLine="0"/>
              <w:jc w:val="both"/>
              <w:rPr>
                <w:rFonts w:eastAsia="Times New Roman" w:cs="Times New Roman"/>
                <w:sz w:val="22"/>
                <w:szCs w:val="22"/>
              </w:rPr>
            </w:pPr>
          </w:p>
        </w:tc>
      </w:tr>
      <w:tr w:rsidR="00316E94" w:rsidRPr="006325B7" w14:paraId="221DDCBE" w14:textId="77777777" w:rsidTr="00CD7806">
        <w:trPr>
          <w:trHeight w:val="227"/>
        </w:trPr>
        <w:tc>
          <w:tcPr>
            <w:tcW w:w="0" w:type="auto"/>
            <w:gridSpan w:val="2"/>
            <w:shd w:val="clear" w:color="auto" w:fill="auto"/>
            <w:vAlign w:val="center"/>
          </w:tcPr>
          <w:p w14:paraId="34C99133" w14:textId="77777777" w:rsidR="00316E94" w:rsidRPr="006325B7" w:rsidRDefault="00316E94" w:rsidP="00316E94">
            <w:pPr>
              <w:spacing w:line="240" w:lineRule="auto"/>
              <w:ind w:firstLine="0"/>
              <w:jc w:val="both"/>
              <w:rPr>
                <w:rFonts w:eastAsia="Times New Roman" w:cs="Times New Roman"/>
                <w:bCs/>
                <w:color w:val="000000"/>
                <w:sz w:val="22"/>
                <w:szCs w:val="22"/>
              </w:rPr>
            </w:pPr>
            <w:r w:rsidRPr="006325B7">
              <w:rPr>
                <w:rFonts w:eastAsia="Times New Roman" w:cs="Times New Roman"/>
                <w:bCs/>
                <w:color w:val="000000"/>
                <w:sz w:val="22"/>
                <w:szCs w:val="22"/>
              </w:rPr>
              <w:t>Country of origin (clustered)</w:t>
            </w:r>
          </w:p>
        </w:tc>
        <w:tc>
          <w:tcPr>
            <w:tcW w:w="0" w:type="auto"/>
            <w:shd w:val="clear" w:color="auto" w:fill="auto"/>
            <w:vAlign w:val="center"/>
          </w:tcPr>
          <w:p w14:paraId="33D42FF0" w14:textId="77777777" w:rsidR="00316E94" w:rsidRPr="006325B7" w:rsidRDefault="00316E94" w:rsidP="00316E94">
            <w:pPr>
              <w:spacing w:line="240" w:lineRule="auto"/>
              <w:ind w:firstLine="0"/>
              <w:jc w:val="both"/>
              <w:rPr>
                <w:rFonts w:eastAsia="Times New Roman" w:cs="Times New Roman"/>
                <w:bCs/>
                <w:color w:val="000000"/>
                <w:sz w:val="22"/>
                <w:szCs w:val="22"/>
              </w:rPr>
            </w:pPr>
          </w:p>
        </w:tc>
        <w:tc>
          <w:tcPr>
            <w:tcW w:w="0" w:type="auto"/>
            <w:tcBorders>
              <w:right w:val="single" w:sz="4" w:space="0" w:color="auto"/>
            </w:tcBorders>
            <w:shd w:val="clear" w:color="auto" w:fill="auto"/>
            <w:vAlign w:val="center"/>
          </w:tcPr>
          <w:p w14:paraId="6E3FDEEE" w14:textId="77777777" w:rsidR="00316E94" w:rsidRPr="006325B7" w:rsidRDefault="00316E94" w:rsidP="00316E94">
            <w:pPr>
              <w:spacing w:line="240" w:lineRule="auto"/>
              <w:ind w:firstLine="0"/>
              <w:jc w:val="both"/>
              <w:rPr>
                <w:rFonts w:eastAsia="Times New Roman" w:cs="Times New Roman"/>
                <w:bCs/>
                <w:color w:val="000000"/>
                <w:sz w:val="22"/>
                <w:szCs w:val="22"/>
              </w:rPr>
            </w:pPr>
          </w:p>
        </w:tc>
        <w:tc>
          <w:tcPr>
            <w:tcW w:w="0" w:type="auto"/>
            <w:tcBorders>
              <w:left w:val="single" w:sz="4" w:space="0" w:color="auto"/>
            </w:tcBorders>
            <w:shd w:val="clear" w:color="auto" w:fill="E7E6E6" w:themeFill="background2"/>
            <w:vAlign w:val="center"/>
          </w:tcPr>
          <w:p w14:paraId="23583B03" w14:textId="77777777" w:rsidR="00316E94" w:rsidRPr="00CD7806" w:rsidRDefault="00316E94" w:rsidP="00316E94">
            <w:pPr>
              <w:spacing w:line="240" w:lineRule="auto"/>
              <w:ind w:firstLine="0"/>
              <w:jc w:val="both"/>
              <w:rPr>
                <w:rFonts w:eastAsia="Times New Roman" w:cs="Times New Roman"/>
                <w:bCs/>
                <w:color w:val="000000"/>
                <w:sz w:val="22"/>
                <w:szCs w:val="22"/>
              </w:rPr>
            </w:pPr>
          </w:p>
        </w:tc>
        <w:tc>
          <w:tcPr>
            <w:tcW w:w="0" w:type="auto"/>
            <w:shd w:val="clear" w:color="auto" w:fill="auto"/>
            <w:vAlign w:val="center"/>
          </w:tcPr>
          <w:p w14:paraId="0ADCA0F5" w14:textId="77777777" w:rsidR="00316E94" w:rsidRPr="006325B7" w:rsidRDefault="00316E94" w:rsidP="00316E94">
            <w:pPr>
              <w:spacing w:line="240" w:lineRule="auto"/>
              <w:ind w:firstLine="0"/>
              <w:jc w:val="both"/>
              <w:rPr>
                <w:rFonts w:eastAsia="Times New Roman" w:cs="Times New Roman"/>
                <w:bCs/>
                <w:color w:val="000000"/>
                <w:sz w:val="22"/>
                <w:szCs w:val="22"/>
              </w:rPr>
            </w:pPr>
          </w:p>
        </w:tc>
        <w:tc>
          <w:tcPr>
            <w:tcW w:w="0" w:type="auto"/>
            <w:shd w:val="clear" w:color="auto" w:fill="auto"/>
            <w:vAlign w:val="center"/>
          </w:tcPr>
          <w:p w14:paraId="4D1799B1" w14:textId="77777777" w:rsidR="00316E94" w:rsidRPr="006325B7" w:rsidRDefault="00316E94" w:rsidP="00316E94">
            <w:pPr>
              <w:spacing w:line="240" w:lineRule="auto"/>
              <w:ind w:firstLine="0"/>
              <w:jc w:val="both"/>
              <w:rPr>
                <w:rFonts w:eastAsia="Times New Roman" w:cs="Times New Roman"/>
                <w:bCs/>
                <w:color w:val="000000"/>
                <w:sz w:val="22"/>
                <w:szCs w:val="22"/>
              </w:rPr>
            </w:pPr>
          </w:p>
        </w:tc>
        <w:tc>
          <w:tcPr>
            <w:tcW w:w="0" w:type="auto"/>
            <w:shd w:val="clear" w:color="auto" w:fill="auto"/>
            <w:vAlign w:val="center"/>
          </w:tcPr>
          <w:p w14:paraId="1D6FE81B" w14:textId="77777777" w:rsidR="00316E94" w:rsidRPr="006325B7" w:rsidRDefault="00316E94" w:rsidP="00316E94">
            <w:pPr>
              <w:spacing w:line="240" w:lineRule="auto"/>
              <w:ind w:firstLine="0"/>
              <w:jc w:val="both"/>
              <w:rPr>
                <w:rFonts w:eastAsia="Times New Roman" w:cs="Times New Roman"/>
                <w:bCs/>
                <w:color w:val="000000"/>
                <w:sz w:val="22"/>
                <w:szCs w:val="22"/>
              </w:rPr>
            </w:pPr>
          </w:p>
        </w:tc>
        <w:tc>
          <w:tcPr>
            <w:tcW w:w="0" w:type="auto"/>
            <w:shd w:val="clear" w:color="auto" w:fill="auto"/>
            <w:vAlign w:val="center"/>
          </w:tcPr>
          <w:p w14:paraId="69280E40" w14:textId="77777777" w:rsidR="00316E94" w:rsidRPr="006325B7" w:rsidRDefault="00316E94" w:rsidP="00316E94">
            <w:pPr>
              <w:spacing w:line="240" w:lineRule="auto"/>
              <w:ind w:firstLine="0"/>
              <w:jc w:val="both"/>
              <w:rPr>
                <w:rFonts w:eastAsia="Times New Roman" w:cs="Times New Roman"/>
                <w:bCs/>
                <w:color w:val="000000"/>
                <w:sz w:val="22"/>
                <w:szCs w:val="22"/>
              </w:rPr>
            </w:pPr>
          </w:p>
        </w:tc>
        <w:tc>
          <w:tcPr>
            <w:tcW w:w="0" w:type="auto"/>
            <w:shd w:val="clear" w:color="auto" w:fill="auto"/>
            <w:vAlign w:val="center"/>
          </w:tcPr>
          <w:p w14:paraId="40B7A12A" w14:textId="77777777" w:rsidR="00316E94" w:rsidRPr="006325B7" w:rsidRDefault="00316E94" w:rsidP="00316E94">
            <w:pPr>
              <w:spacing w:line="240" w:lineRule="auto"/>
              <w:ind w:firstLine="0"/>
              <w:jc w:val="both"/>
              <w:rPr>
                <w:rFonts w:eastAsia="Times New Roman" w:cs="Times New Roman"/>
                <w:bCs/>
                <w:sz w:val="22"/>
                <w:szCs w:val="22"/>
              </w:rPr>
            </w:pPr>
          </w:p>
        </w:tc>
        <w:tc>
          <w:tcPr>
            <w:tcW w:w="0" w:type="auto"/>
            <w:shd w:val="clear" w:color="auto" w:fill="auto"/>
            <w:vAlign w:val="center"/>
          </w:tcPr>
          <w:p w14:paraId="5FAEA205" w14:textId="77777777" w:rsidR="00316E94" w:rsidRPr="006325B7" w:rsidRDefault="00316E94" w:rsidP="00316E94">
            <w:pPr>
              <w:spacing w:line="240" w:lineRule="auto"/>
              <w:ind w:firstLine="0"/>
              <w:jc w:val="both"/>
              <w:rPr>
                <w:rFonts w:eastAsia="Times New Roman" w:cs="Times New Roman"/>
                <w:bCs/>
                <w:sz w:val="22"/>
                <w:szCs w:val="22"/>
              </w:rPr>
            </w:pPr>
          </w:p>
        </w:tc>
        <w:tc>
          <w:tcPr>
            <w:tcW w:w="0" w:type="auto"/>
            <w:shd w:val="clear" w:color="auto" w:fill="auto"/>
            <w:vAlign w:val="center"/>
          </w:tcPr>
          <w:p w14:paraId="498A8AE2" w14:textId="77777777" w:rsidR="00316E94" w:rsidRPr="006325B7" w:rsidRDefault="00316E94" w:rsidP="00316E94">
            <w:pPr>
              <w:spacing w:line="240" w:lineRule="auto"/>
              <w:ind w:firstLine="0"/>
              <w:jc w:val="both"/>
              <w:rPr>
                <w:rFonts w:eastAsia="Times New Roman" w:cs="Times New Roman"/>
                <w:bCs/>
                <w:sz w:val="22"/>
                <w:szCs w:val="22"/>
              </w:rPr>
            </w:pPr>
          </w:p>
        </w:tc>
        <w:tc>
          <w:tcPr>
            <w:tcW w:w="0" w:type="auto"/>
            <w:shd w:val="clear" w:color="auto" w:fill="auto"/>
            <w:vAlign w:val="center"/>
          </w:tcPr>
          <w:p w14:paraId="62FEDD9C" w14:textId="77777777" w:rsidR="00316E94" w:rsidRPr="006325B7" w:rsidRDefault="00316E94" w:rsidP="00316E94">
            <w:pPr>
              <w:spacing w:line="240" w:lineRule="auto"/>
              <w:ind w:firstLine="0"/>
              <w:jc w:val="both"/>
              <w:rPr>
                <w:rFonts w:eastAsia="Times New Roman" w:cs="Times New Roman"/>
                <w:bCs/>
                <w:sz w:val="22"/>
                <w:szCs w:val="22"/>
              </w:rPr>
            </w:pPr>
          </w:p>
        </w:tc>
        <w:tc>
          <w:tcPr>
            <w:tcW w:w="0" w:type="auto"/>
            <w:shd w:val="clear" w:color="auto" w:fill="auto"/>
            <w:vAlign w:val="center"/>
          </w:tcPr>
          <w:p w14:paraId="66889DE2" w14:textId="77777777" w:rsidR="00316E94" w:rsidRPr="006325B7" w:rsidRDefault="00316E94" w:rsidP="00316E94">
            <w:pPr>
              <w:spacing w:line="240" w:lineRule="auto"/>
              <w:ind w:firstLine="0"/>
              <w:jc w:val="both"/>
              <w:rPr>
                <w:rFonts w:eastAsia="Times New Roman" w:cs="Times New Roman"/>
                <w:bCs/>
                <w:sz w:val="22"/>
                <w:szCs w:val="22"/>
              </w:rPr>
            </w:pPr>
          </w:p>
        </w:tc>
      </w:tr>
      <w:tr w:rsidR="00316E94" w:rsidRPr="006325B7" w14:paraId="03E3680E" w14:textId="77777777" w:rsidTr="00CD7806">
        <w:trPr>
          <w:trHeight w:val="227"/>
        </w:trPr>
        <w:tc>
          <w:tcPr>
            <w:tcW w:w="0" w:type="auto"/>
            <w:tcBorders>
              <w:right w:val="single" w:sz="4" w:space="0" w:color="auto"/>
            </w:tcBorders>
            <w:shd w:val="clear" w:color="auto" w:fill="auto"/>
            <w:vAlign w:val="center"/>
            <w:hideMark/>
          </w:tcPr>
          <w:p w14:paraId="6EAA1F3D" w14:textId="77777777" w:rsidR="00316E94" w:rsidRPr="006325B7" w:rsidRDefault="00316E94" w:rsidP="00316E94">
            <w:pPr>
              <w:pStyle w:val="ListParagraph"/>
              <w:numPr>
                <w:ilvl w:val="0"/>
                <w:numId w:val="2"/>
              </w:numPr>
              <w:spacing w:line="240" w:lineRule="auto"/>
              <w:ind w:firstLine="0"/>
              <w:jc w:val="both"/>
              <w:rPr>
                <w:rFonts w:ascii="Garamond" w:eastAsia="Times New Roman" w:hAnsi="Garamond" w:cs="Times New Roman"/>
                <w:i/>
                <w:color w:val="000000"/>
                <w:sz w:val="22"/>
                <w:szCs w:val="22"/>
              </w:rPr>
            </w:pPr>
            <w:r w:rsidRPr="006325B7">
              <w:rPr>
                <w:rFonts w:ascii="Garamond" w:eastAsia="Times New Roman" w:hAnsi="Garamond" w:cs="Times New Roman"/>
                <w:i/>
                <w:color w:val="000000"/>
                <w:sz w:val="22"/>
                <w:szCs w:val="22"/>
              </w:rPr>
              <w:t>Eastern Europe</w:t>
            </w:r>
          </w:p>
        </w:tc>
        <w:tc>
          <w:tcPr>
            <w:tcW w:w="0" w:type="auto"/>
            <w:tcBorders>
              <w:left w:val="single" w:sz="4" w:space="0" w:color="auto"/>
            </w:tcBorders>
            <w:vAlign w:val="center"/>
          </w:tcPr>
          <w:p w14:paraId="0F7D6C89"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w:t>
            </w:r>
          </w:p>
        </w:tc>
        <w:tc>
          <w:tcPr>
            <w:tcW w:w="0" w:type="auto"/>
            <w:shd w:val="clear" w:color="auto" w:fill="auto"/>
            <w:vAlign w:val="center"/>
            <w:hideMark/>
          </w:tcPr>
          <w:p w14:paraId="59B98388"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0.28</w:t>
            </w:r>
          </w:p>
        </w:tc>
        <w:tc>
          <w:tcPr>
            <w:tcW w:w="0" w:type="auto"/>
            <w:tcBorders>
              <w:right w:val="single" w:sz="4" w:space="0" w:color="auto"/>
            </w:tcBorders>
            <w:shd w:val="clear" w:color="auto" w:fill="auto"/>
            <w:vAlign w:val="center"/>
            <w:hideMark/>
          </w:tcPr>
          <w:p w14:paraId="3CF7E85A"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0.45</w:t>
            </w:r>
          </w:p>
        </w:tc>
        <w:tc>
          <w:tcPr>
            <w:tcW w:w="0" w:type="auto"/>
            <w:tcBorders>
              <w:left w:val="single" w:sz="4" w:space="0" w:color="auto"/>
            </w:tcBorders>
            <w:shd w:val="clear" w:color="auto" w:fill="E7E6E6" w:themeFill="background2"/>
            <w:vAlign w:val="center"/>
            <w:hideMark/>
          </w:tcPr>
          <w:p w14:paraId="0D998669" w14:textId="77777777" w:rsidR="00316E94" w:rsidRPr="00CD7806" w:rsidRDefault="00316E94" w:rsidP="00316E94">
            <w:pPr>
              <w:spacing w:line="240" w:lineRule="auto"/>
              <w:ind w:firstLine="0"/>
              <w:jc w:val="both"/>
              <w:rPr>
                <w:rFonts w:eastAsia="Times New Roman" w:cs="Times New Roman"/>
                <w:bCs/>
                <w:color w:val="000000"/>
                <w:sz w:val="22"/>
                <w:szCs w:val="22"/>
              </w:rPr>
            </w:pPr>
            <w:r w:rsidRPr="00CD7806">
              <w:rPr>
                <w:rFonts w:eastAsia="Times New Roman" w:cs="Times New Roman"/>
                <w:bCs/>
                <w:color w:val="000000"/>
                <w:sz w:val="22"/>
                <w:szCs w:val="22"/>
              </w:rPr>
              <w:t>.02</w:t>
            </w:r>
          </w:p>
        </w:tc>
        <w:tc>
          <w:tcPr>
            <w:tcW w:w="0" w:type="auto"/>
            <w:shd w:val="clear" w:color="auto" w:fill="auto"/>
            <w:vAlign w:val="center"/>
            <w:hideMark/>
          </w:tcPr>
          <w:p w14:paraId="55C62915"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-.06*</w:t>
            </w:r>
          </w:p>
        </w:tc>
        <w:tc>
          <w:tcPr>
            <w:tcW w:w="0" w:type="auto"/>
            <w:shd w:val="clear" w:color="auto" w:fill="auto"/>
            <w:vAlign w:val="center"/>
            <w:hideMark/>
          </w:tcPr>
          <w:p w14:paraId="2E22FAA6"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.20***</w:t>
            </w:r>
          </w:p>
        </w:tc>
        <w:tc>
          <w:tcPr>
            <w:tcW w:w="0" w:type="auto"/>
            <w:shd w:val="clear" w:color="auto" w:fill="auto"/>
            <w:vAlign w:val="center"/>
            <w:hideMark/>
          </w:tcPr>
          <w:p w14:paraId="0EF67AFD"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.02</w:t>
            </w:r>
          </w:p>
        </w:tc>
        <w:tc>
          <w:tcPr>
            <w:tcW w:w="0" w:type="auto"/>
            <w:shd w:val="clear" w:color="auto" w:fill="auto"/>
            <w:vAlign w:val="center"/>
            <w:hideMark/>
          </w:tcPr>
          <w:p w14:paraId="20D8F6BB"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-.07**</w:t>
            </w:r>
          </w:p>
        </w:tc>
        <w:tc>
          <w:tcPr>
            <w:tcW w:w="0" w:type="auto"/>
            <w:shd w:val="clear" w:color="auto" w:fill="auto"/>
            <w:vAlign w:val="center"/>
            <w:hideMark/>
          </w:tcPr>
          <w:p w14:paraId="3E7E2DF7"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09B621E5"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2B3EF468"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293305AF"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256DE47D" w14:textId="77777777" w:rsidR="00316E94" w:rsidRPr="006325B7" w:rsidRDefault="00316E94" w:rsidP="00316E94">
            <w:pPr>
              <w:spacing w:line="240" w:lineRule="auto"/>
              <w:ind w:firstLine="0"/>
              <w:jc w:val="both"/>
              <w:rPr>
                <w:rFonts w:eastAsia="Times New Roman" w:cs="Times New Roman"/>
                <w:sz w:val="22"/>
                <w:szCs w:val="22"/>
              </w:rPr>
            </w:pPr>
          </w:p>
        </w:tc>
      </w:tr>
      <w:tr w:rsidR="00316E94" w:rsidRPr="006325B7" w14:paraId="74EF5914" w14:textId="77777777" w:rsidTr="00CD7806">
        <w:trPr>
          <w:trHeight w:val="227"/>
        </w:trPr>
        <w:tc>
          <w:tcPr>
            <w:tcW w:w="0" w:type="auto"/>
            <w:tcBorders>
              <w:right w:val="single" w:sz="4" w:space="0" w:color="auto"/>
            </w:tcBorders>
            <w:shd w:val="clear" w:color="auto" w:fill="auto"/>
            <w:vAlign w:val="center"/>
            <w:hideMark/>
          </w:tcPr>
          <w:p w14:paraId="461B8FFE" w14:textId="77777777" w:rsidR="00316E94" w:rsidRPr="006325B7" w:rsidRDefault="00316E94" w:rsidP="00316E94">
            <w:pPr>
              <w:pStyle w:val="ListParagraph"/>
              <w:numPr>
                <w:ilvl w:val="0"/>
                <w:numId w:val="2"/>
              </w:numPr>
              <w:spacing w:line="240" w:lineRule="auto"/>
              <w:ind w:firstLine="0"/>
              <w:jc w:val="both"/>
              <w:rPr>
                <w:rFonts w:ascii="Garamond" w:eastAsia="Times New Roman" w:hAnsi="Garamond" w:cs="Times New Roman"/>
                <w:i/>
                <w:color w:val="000000"/>
                <w:sz w:val="22"/>
                <w:szCs w:val="22"/>
              </w:rPr>
            </w:pPr>
            <w:r w:rsidRPr="006325B7">
              <w:rPr>
                <w:rFonts w:ascii="Garamond" w:eastAsia="Times New Roman" w:hAnsi="Garamond" w:cs="Times New Roman"/>
                <w:i/>
                <w:color w:val="000000"/>
                <w:sz w:val="22"/>
                <w:szCs w:val="22"/>
              </w:rPr>
              <w:t>Rest of Europe</w:t>
            </w:r>
          </w:p>
        </w:tc>
        <w:tc>
          <w:tcPr>
            <w:tcW w:w="0" w:type="auto"/>
            <w:tcBorders>
              <w:left w:val="single" w:sz="4" w:space="0" w:color="auto"/>
            </w:tcBorders>
            <w:vAlign w:val="center"/>
          </w:tcPr>
          <w:p w14:paraId="2A6FD1E0"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w:t>
            </w:r>
          </w:p>
        </w:tc>
        <w:tc>
          <w:tcPr>
            <w:tcW w:w="0" w:type="auto"/>
            <w:shd w:val="clear" w:color="auto" w:fill="auto"/>
            <w:vAlign w:val="center"/>
            <w:hideMark/>
          </w:tcPr>
          <w:p w14:paraId="1ED3469C"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0.20</w:t>
            </w:r>
          </w:p>
        </w:tc>
        <w:tc>
          <w:tcPr>
            <w:tcW w:w="0" w:type="auto"/>
            <w:tcBorders>
              <w:right w:val="single" w:sz="4" w:space="0" w:color="auto"/>
            </w:tcBorders>
            <w:shd w:val="clear" w:color="auto" w:fill="auto"/>
            <w:vAlign w:val="center"/>
            <w:hideMark/>
          </w:tcPr>
          <w:p w14:paraId="2A48860C"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0.40</w:t>
            </w:r>
          </w:p>
        </w:tc>
        <w:tc>
          <w:tcPr>
            <w:tcW w:w="0" w:type="auto"/>
            <w:tcBorders>
              <w:left w:val="single" w:sz="4" w:space="0" w:color="auto"/>
            </w:tcBorders>
            <w:shd w:val="clear" w:color="auto" w:fill="E7E6E6" w:themeFill="background2"/>
            <w:vAlign w:val="center"/>
            <w:hideMark/>
          </w:tcPr>
          <w:p w14:paraId="3B4B36C1" w14:textId="77777777" w:rsidR="00316E94" w:rsidRPr="00CD7806" w:rsidRDefault="00316E94" w:rsidP="00316E94">
            <w:pPr>
              <w:spacing w:line="240" w:lineRule="auto"/>
              <w:ind w:firstLine="0"/>
              <w:jc w:val="both"/>
              <w:rPr>
                <w:rFonts w:eastAsia="Times New Roman" w:cs="Times New Roman"/>
                <w:bCs/>
                <w:color w:val="000000"/>
                <w:sz w:val="22"/>
                <w:szCs w:val="22"/>
              </w:rPr>
            </w:pPr>
            <w:r w:rsidRPr="00CD7806">
              <w:rPr>
                <w:rFonts w:eastAsia="Times New Roman" w:cs="Times New Roman"/>
                <w:bCs/>
                <w:color w:val="000000"/>
                <w:sz w:val="22"/>
                <w:szCs w:val="22"/>
              </w:rPr>
              <w:t>.08***</w:t>
            </w:r>
          </w:p>
        </w:tc>
        <w:tc>
          <w:tcPr>
            <w:tcW w:w="0" w:type="auto"/>
            <w:shd w:val="clear" w:color="auto" w:fill="auto"/>
            <w:vAlign w:val="center"/>
            <w:hideMark/>
          </w:tcPr>
          <w:p w14:paraId="4F804D06"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w:t>
            </w:r>
          </w:p>
        </w:tc>
        <w:tc>
          <w:tcPr>
            <w:tcW w:w="0" w:type="auto"/>
            <w:shd w:val="clear" w:color="auto" w:fill="auto"/>
            <w:vAlign w:val="center"/>
            <w:hideMark/>
          </w:tcPr>
          <w:p w14:paraId="0817C0E4"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.19***</w:t>
            </w:r>
          </w:p>
        </w:tc>
        <w:tc>
          <w:tcPr>
            <w:tcW w:w="0" w:type="auto"/>
            <w:shd w:val="clear" w:color="auto" w:fill="auto"/>
            <w:vAlign w:val="center"/>
            <w:hideMark/>
          </w:tcPr>
          <w:p w14:paraId="124F98EA"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.05+</w:t>
            </w:r>
          </w:p>
        </w:tc>
        <w:tc>
          <w:tcPr>
            <w:tcW w:w="0" w:type="auto"/>
            <w:shd w:val="clear" w:color="auto" w:fill="auto"/>
            <w:vAlign w:val="center"/>
            <w:hideMark/>
          </w:tcPr>
          <w:p w14:paraId="12A9F153"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.05+</w:t>
            </w:r>
          </w:p>
        </w:tc>
        <w:tc>
          <w:tcPr>
            <w:tcW w:w="0" w:type="auto"/>
            <w:shd w:val="clear" w:color="auto" w:fill="auto"/>
            <w:vAlign w:val="center"/>
            <w:hideMark/>
          </w:tcPr>
          <w:p w14:paraId="1C9BA5FE"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1A3BB487"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7F895BCE"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5393F9F3"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6EE8D2E4" w14:textId="77777777" w:rsidR="00316E94" w:rsidRPr="006325B7" w:rsidRDefault="00316E94" w:rsidP="00316E94">
            <w:pPr>
              <w:spacing w:line="240" w:lineRule="auto"/>
              <w:ind w:firstLine="0"/>
              <w:jc w:val="both"/>
              <w:rPr>
                <w:rFonts w:eastAsia="Times New Roman" w:cs="Times New Roman"/>
                <w:sz w:val="22"/>
                <w:szCs w:val="22"/>
              </w:rPr>
            </w:pPr>
          </w:p>
        </w:tc>
      </w:tr>
      <w:tr w:rsidR="00316E94" w:rsidRPr="006325B7" w14:paraId="0BE5855E" w14:textId="77777777" w:rsidTr="00CD7806">
        <w:trPr>
          <w:trHeight w:val="227"/>
        </w:trPr>
        <w:tc>
          <w:tcPr>
            <w:tcW w:w="0" w:type="auto"/>
            <w:tcBorders>
              <w:right w:val="single" w:sz="4" w:space="0" w:color="auto"/>
            </w:tcBorders>
            <w:shd w:val="clear" w:color="auto" w:fill="auto"/>
            <w:vAlign w:val="center"/>
            <w:hideMark/>
          </w:tcPr>
          <w:p w14:paraId="1D3955F8" w14:textId="0B59B490" w:rsidR="00316E94" w:rsidRPr="006325B7" w:rsidRDefault="00316E94" w:rsidP="00316E94">
            <w:pPr>
              <w:pStyle w:val="ListParagraph"/>
              <w:numPr>
                <w:ilvl w:val="0"/>
                <w:numId w:val="2"/>
              </w:numPr>
              <w:spacing w:line="240" w:lineRule="auto"/>
              <w:ind w:firstLine="0"/>
              <w:jc w:val="both"/>
              <w:rPr>
                <w:rFonts w:ascii="Garamond" w:eastAsia="Times New Roman" w:hAnsi="Garamond" w:cs="Times New Roman"/>
                <w:i/>
                <w:color w:val="000000"/>
                <w:sz w:val="22"/>
                <w:szCs w:val="22"/>
              </w:rPr>
            </w:pPr>
            <w:r w:rsidRPr="006325B7">
              <w:rPr>
                <w:rFonts w:ascii="Garamond" w:eastAsia="Times New Roman" w:hAnsi="Garamond" w:cs="Times New Roman"/>
                <w:i/>
                <w:color w:val="000000"/>
                <w:sz w:val="22"/>
                <w:szCs w:val="22"/>
              </w:rPr>
              <w:t xml:space="preserve">CIS </w:t>
            </w:r>
            <w:r w:rsidR="004D0470">
              <w:rPr>
                <w:rFonts w:ascii="Garamond" w:eastAsia="Times New Roman" w:hAnsi="Garamond" w:cs="Times New Roman"/>
                <w:i/>
                <w:color w:val="000000"/>
                <w:sz w:val="22"/>
                <w:szCs w:val="22"/>
                <w:vertAlign w:val="superscript"/>
              </w:rPr>
              <w:t>b</w:t>
            </w:r>
          </w:p>
        </w:tc>
        <w:tc>
          <w:tcPr>
            <w:tcW w:w="0" w:type="auto"/>
            <w:tcBorders>
              <w:left w:val="single" w:sz="4" w:space="0" w:color="auto"/>
            </w:tcBorders>
            <w:vAlign w:val="center"/>
          </w:tcPr>
          <w:p w14:paraId="3BA3CEC1"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w:t>
            </w:r>
          </w:p>
        </w:tc>
        <w:tc>
          <w:tcPr>
            <w:tcW w:w="0" w:type="auto"/>
            <w:shd w:val="clear" w:color="auto" w:fill="auto"/>
            <w:vAlign w:val="center"/>
            <w:hideMark/>
          </w:tcPr>
          <w:p w14:paraId="163F9CC8"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0.30</w:t>
            </w:r>
          </w:p>
        </w:tc>
        <w:tc>
          <w:tcPr>
            <w:tcW w:w="0" w:type="auto"/>
            <w:tcBorders>
              <w:right w:val="single" w:sz="4" w:space="0" w:color="auto"/>
            </w:tcBorders>
            <w:shd w:val="clear" w:color="auto" w:fill="auto"/>
            <w:vAlign w:val="center"/>
            <w:hideMark/>
          </w:tcPr>
          <w:p w14:paraId="216E4FE4"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0.46</w:t>
            </w:r>
          </w:p>
        </w:tc>
        <w:tc>
          <w:tcPr>
            <w:tcW w:w="0" w:type="auto"/>
            <w:tcBorders>
              <w:left w:val="single" w:sz="4" w:space="0" w:color="auto"/>
            </w:tcBorders>
            <w:shd w:val="clear" w:color="auto" w:fill="E7E6E6" w:themeFill="background2"/>
            <w:vAlign w:val="center"/>
            <w:hideMark/>
          </w:tcPr>
          <w:p w14:paraId="1FFBB040" w14:textId="77777777" w:rsidR="00316E94" w:rsidRPr="00CD7806" w:rsidRDefault="00316E94" w:rsidP="00316E94">
            <w:pPr>
              <w:spacing w:line="240" w:lineRule="auto"/>
              <w:ind w:firstLine="0"/>
              <w:jc w:val="both"/>
              <w:rPr>
                <w:rFonts w:eastAsia="Times New Roman" w:cs="Times New Roman"/>
                <w:bCs/>
                <w:color w:val="000000"/>
                <w:sz w:val="22"/>
                <w:szCs w:val="22"/>
              </w:rPr>
            </w:pPr>
            <w:r w:rsidRPr="00CD7806">
              <w:rPr>
                <w:rFonts w:eastAsia="Times New Roman" w:cs="Times New Roman"/>
                <w:bCs/>
                <w:color w:val="000000"/>
                <w:sz w:val="22"/>
                <w:szCs w:val="22"/>
              </w:rPr>
              <w:t>-.09***</w:t>
            </w:r>
          </w:p>
        </w:tc>
        <w:tc>
          <w:tcPr>
            <w:tcW w:w="0" w:type="auto"/>
            <w:shd w:val="clear" w:color="auto" w:fill="auto"/>
            <w:vAlign w:val="center"/>
            <w:hideMark/>
          </w:tcPr>
          <w:p w14:paraId="15A55999"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-.04+</w:t>
            </w:r>
          </w:p>
        </w:tc>
        <w:tc>
          <w:tcPr>
            <w:tcW w:w="0" w:type="auto"/>
            <w:shd w:val="clear" w:color="auto" w:fill="auto"/>
            <w:vAlign w:val="center"/>
            <w:hideMark/>
          </w:tcPr>
          <w:p w14:paraId="036B0DF7"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-.23***</w:t>
            </w:r>
          </w:p>
        </w:tc>
        <w:tc>
          <w:tcPr>
            <w:tcW w:w="0" w:type="auto"/>
            <w:shd w:val="clear" w:color="auto" w:fill="auto"/>
            <w:vAlign w:val="center"/>
            <w:hideMark/>
          </w:tcPr>
          <w:p w14:paraId="3D0365DE"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-.04</w:t>
            </w:r>
          </w:p>
        </w:tc>
        <w:tc>
          <w:tcPr>
            <w:tcW w:w="0" w:type="auto"/>
            <w:shd w:val="clear" w:color="auto" w:fill="auto"/>
            <w:vAlign w:val="center"/>
            <w:hideMark/>
          </w:tcPr>
          <w:p w14:paraId="4667C4C6"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-.00</w:t>
            </w:r>
          </w:p>
        </w:tc>
        <w:tc>
          <w:tcPr>
            <w:tcW w:w="0" w:type="auto"/>
            <w:shd w:val="clear" w:color="auto" w:fill="auto"/>
            <w:vAlign w:val="center"/>
            <w:hideMark/>
          </w:tcPr>
          <w:p w14:paraId="15F4B294"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677398A7"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58B4240B"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11D7B0FC"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1AAD781C" w14:textId="77777777" w:rsidR="00316E94" w:rsidRPr="006325B7" w:rsidRDefault="00316E94" w:rsidP="00316E94">
            <w:pPr>
              <w:spacing w:line="240" w:lineRule="auto"/>
              <w:ind w:firstLine="0"/>
              <w:jc w:val="both"/>
              <w:rPr>
                <w:rFonts w:eastAsia="Times New Roman" w:cs="Times New Roman"/>
                <w:sz w:val="22"/>
                <w:szCs w:val="22"/>
              </w:rPr>
            </w:pPr>
          </w:p>
        </w:tc>
      </w:tr>
      <w:tr w:rsidR="00316E94" w:rsidRPr="006325B7" w14:paraId="6CCC10AA" w14:textId="77777777" w:rsidTr="00CD7806">
        <w:trPr>
          <w:trHeight w:val="227"/>
        </w:trPr>
        <w:tc>
          <w:tcPr>
            <w:tcW w:w="0" w:type="auto"/>
            <w:tcBorders>
              <w:right w:val="single" w:sz="4" w:space="0" w:color="auto"/>
            </w:tcBorders>
            <w:shd w:val="clear" w:color="auto" w:fill="auto"/>
            <w:vAlign w:val="center"/>
            <w:hideMark/>
          </w:tcPr>
          <w:p w14:paraId="7F3A2DA7" w14:textId="77777777" w:rsidR="00316E94" w:rsidRPr="006325B7" w:rsidRDefault="00316E94" w:rsidP="00316E94">
            <w:pPr>
              <w:pStyle w:val="ListParagraph"/>
              <w:numPr>
                <w:ilvl w:val="0"/>
                <w:numId w:val="2"/>
              </w:numPr>
              <w:spacing w:line="240" w:lineRule="auto"/>
              <w:ind w:firstLine="0"/>
              <w:jc w:val="both"/>
              <w:rPr>
                <w:rFonts w:ascii="Garamond" w:eastAsia="Times New Roman" w:hAnsi="Garamond" w:cs="Times New Roman"/>
                <w:i/>
                <w:color w:val="000000"/>
                <w:sz w:val="22"/>
                <w:szCs w:val="22"/>
              </w:rPr>
            </w:pPr>
            <w:r w:rsidRPr="006325B7">
              <w:rPr>
                <w:rFonts w:ascii="Garamond" w:eastAsia="Times New Roman" w:hAnsi="Garamond" w:cs="Times New Roman"/>
                <w:i/>
                <w:color w:val="000000"/>
                <w:sz w:val="22"/>
                <w:szCs w:val="22"/>
              </w:rPr>
              <w:t>Asia</w:t>
            </w:r>
          </w:p>
        </w:tc>
        <w:tc>
          <w:tcPr>
            <w:tcW w:w="0" w:type="auto"/>
            <w:tcBorders>
              <w:left w:val="single" w:sz="4" w:space="0" w:color="auto"/>
            </w:tcBorders>
            <w:vAlign w:val="center"/>
          </w:tcPr>
          <w:p w14:paraId="75F65CF2"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w:t>
            </w:r>
          </w:p>
        </w:tc>
        <w:tc>
          <w:tcPr>
            <w:tcW w:w="0" w:type="auto"/>
            <w:shd w:val="clear" w:color="auto" w:fill="auto"/>
            <w:vAlign w:val="center"/>
            <w:hideMark/>
          </w:tcPr>
          <w:p w14:paraId="0758A4BB"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0.15</w:t>
            </w:r>
          </w:p>
        </w:tc>
        <w:tc>
          <w:tcPr>
            <w:tcW w:w="0" w:type="auto"/>
            <w:tcBorders>
              <w:right w:val="single" w:sz="4" w:space="0" w:color="auto"/>
            </w:tcBorders>
            <w:shd w:val="clear" w:color="auto" w:fill="auto"/>
            <w:vAlign w:val="center"/>
            <w:hideMark/>
          </w:tcPr>
          <w:p w14:paraId="6EB4544D"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0.35</w:t>
            </w:r>
          </w:p>
        </w:tc>
        <w:tc>
          <w:tcPr>
            <w:tcW w:w="0" w:type="auto"/>
            <w:tcBorders>
              <w:left w:val="single" w:sz="4" w:space="0" w:color="auto"/>
            </w:tcBorders>
            <w:shd w:val="clear" w:color="auto" w:fill="E7E6E6" w:themeFill="background2"/>
            <w:vAlign w:val="center"/>
            <w:hideMark/>
          </w:tcPr>
          <w:p w14:paraId="1712FAEC" w14:textId="77777777" w:rsidR="00316E94" w:rsidRPr="00CD7806" w:rsidRDefault="00316E94" w:rsidP="00316E94">
            <w:pPr>
              <w:spacing w:line="240" w:lineRule="auto"/>
              <w:ind w:firstLine="0"/>
              <w:jc w:val="both"/>
              <w:rPr>
                <w:rFonts w:eastAsia="Times New Roman" w:cs="Times New Roman"/>
                <w:bCs/>
                <w:color w:val="000000"/>
                <w:sz w:val="22"/>
                <w:szCs w:val="22"/>
              </w:rPr>
            </w:pPr>
            <w:r w:rsidRPr="00CD7806">
              <w:rPr>
                <w:rFonts w:eastAsia="Times New Roman" w:cs="Times New Roman"/>
                <w:bCs/>
                <w:color w:val="000000"/>
                <w:sz w:val="22"/>
                <w:szCs w:val="22"/>
              </w:rPr>
              <w:t>-.06*</w:t>
            </w:r>
          </w:p>
        </w:tc>
        <w:tc>
          <w:tcPr>
            <w:tcW w:w="0" w:type="auto"/>
            <w:shd w:val="clear" w:color="auto" w:fill="auto"/>
            <w:vAlign w:val="center"/>
            <w:hideMark/>
          </w:tcPr>
          <w:p w14:paraId="4E30E768"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.08***</w:t>
            </w:r>
          </w:p>
        </w:tc>
        <w:tc>
          <w:tcPr>
            <w:tcW w:w="0" w:type="auto"/>
            <w:shd w:val="clear" w:color="auto" w:fill="auto"/>
            <w:vAlign w:val="center"/>
            <w:hideMark/>
          </w:tcPr>
          <w:p w14:paraId="452A590C"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-.09***</w:t>
            </w:r>
          </w:p>
        </w:tc>
        <w:tc>
          <w:tcPr>
            <w:tcW w:w="0" w:type="auto"/>
            <w:shd w:val="clear" w:color="auto" w:fill="auto"/>
            <w:vAlign w:val="center"/>
            <w:hideMark/>
          </w:tcPr>
          <w:p w14:paraId="04A6FA27"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-.04</w:t>
            </w:r>
          </w:p>
        </w:tc>
        <w:tc>
          <w:tcPr>
            <w:tcW w:w="0" w:type="auto"/>
            <w:shd w:val="clear" w:color="auto" w:fill="auto"/>
            <w:vAlign w:val="center"/>
            <w:hideMark/>
          </w:tcPr>
          <w:p w14:paraId="14D76703"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.00</w:t>
            </w:r>
          </w:p>
        </w:tc>
        <w:tc>
          <w:tcPr>
            <w:tcW w:w="0" w:type="auto"/>
            <w:shd w:val="clear" w:color="auto" w:fill="auto"/>
            <w:vAlign w:val="center"/>
            <w:hideMark/>
          </w:tcPr>
          <w:p w14:paraId="2697A473"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228C98C2"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06CD212C"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067E4E88"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36977E11" w14:textId="77777777" w:rsidR="00316E94" w:rsidRPr="006325B7" w:rsidRDefault="00316E94" w:rsidP="00316E94">
            <w:pPr>
              <w:spacing w:line="240" w:lineRule="auto"/>
              <w:ind w:firstLine="0"/>
              <w:jc w:val="both"/>
              <w:rPr>
                <w:rFonts w:eastAsia="Times New Roman" w:cs="Times New Roman"/>
                <w:sz w:val="22"/>
                <w:szCs w:val="22"/>
              </w:rPr>
            </w:pPr>
          </w:p>
        </w:tc>
      </w:tr>
      <w:tr w:rsidR="00316E94" w:rsidRPr="006325B7" w14:paraId="53AA37EF" w14:textId="77777777" w:rsidTr="00CD7806">
        <w:trPr>
          <w:trHeight w:val="227"/>
        </w:trPr>
        <w:tc>
          <w:tcPr>
            <w:tcW w:w="0" w:type="auto"/>
            <w:tcBorders>
              <w:right w:val="single" w:sz="4" w:space="0" w:color="auto"/>
            </w:tcBorders>
            <w:shd w:val="clear" w:color="auto" w:fill="auto"/>
            <w:vAlign w:val="center"/>
            <w:hideMark/>
          </w:tcPr>
          <w:p w14:paraId="6BA83654" w14:textId="77777777" w:rsidR="00316E94" w:rsidRPr="006325B7" w:rsidRDefault="00316E94" w:rsidP="00316E94">
            <w:pPr>
              <w:pStyle w:val="ListParagraph"/>
              <w:numPr>
                <w:ilvl w:val="0"/>
                <w:numId w:val="2"/>
              </w:numPr>
              <w:spacing w:line="240" w:lineRule="auto"/>
              <w:ind w:firstLine="0"/>
              <w:jc w:val="both"/>
              <w:rPr>
                <w:rFonts w:ascii="Garamond" w:eastAsia="Times New Roman" w:hAnsi="Garamond" w:cs="Times New Roman"/>
                <w:i/>
                <w:color w:val="000000"/>
                <w:sz w:val="22"/>
                <w:szCs w:val="22"/>
              </w:rPr>
            </w:pPr>
            <w:r w:rsidRPr="006325B7">
              <w:rPr>
                <w:rFonts w:ascii="Garamond" w:eastAsia="Times New Roman" w:hAnsi="Garamond" w:cs="Times New Roman"/>
                <w:i/>
                <w:color w:val="000000"/>
                <w:sz w:val="22"/>
                <w:szCs w:val="22"/>
              </w:rPr>
              <w:t>All others</w:t>
            </w:r>
          </w:p>
        </w:tc>
        <w:tc>
          <w:tcPr>
            <w:tcW w:w="0" w:type="auto"/>
            <w:tcBorders>
              <w:left w:val="single" w:sz="4" w:space="0" w:color="auto"/>
            </w:tcBorders>
            <w:vAlign w:val="center"/>
          </w:tcPr>
          <w:p w14:paraId="2F391600"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w:t>
            </w:r>
          </w:p>
        </w:tc>
        <w:tc>
          <w:tcPr>
            <w:tcW w:w="0" w:type="auto"/>
            <w:shd w:val="clear" w:color="auto" w:fill="auto"/>
            <w:vAlign w:val="center"/>
            <w:hideMark/>
          </w:tcPr>
          <w:p w14:paraId="3C0DBD9D"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0.08</w:t>
            </w:r>
          </w:p>
        </w:tc>
        <w:tc>
          <w:tcPr>
            <w:tcW w:w="0" w:type="auto"/>
            <w:tcBorders>
              <w:right w:val="single" w:sz="4" w:space="0" w:color="auto"/>
            </w:tcBorders>
            <w:shd w:val="clear" w:color="auto" w:fill="auto"/>
            <w:vAlign w:val="center"/>
            <w:hideMark/>
          </w:tcPr>
          <w:p w14:paraId="7630120A"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0.27</w:t>
            </w:r>
          </w:p>
        </w:tc>
        <w:tc>
          <w:tcPr>
            <w:tcW w:w="0" w:type="auto"/>
            <w:tcBorders>
              <w:left w:val="single" w:sz="4" w:space="0" w:color="auto"/>
            </w:tcBorders>
            <w:shd w:val="clear" w:color="auto" w:fill="E7E6E6" w:themeFill="background2"/>
            <w:vAlign w:val="center"/>
            <w:hideMark/>
          </w:tcPr>
          <w:p w14:paraId="2D30F9F4" w14:textId="77777777" w:rsidR="00316E94" w:rsidRPr="00CD7806" w:rsidRDefault="00316E94" w:rsidP="00316E94">
            <w:pPr>
              <w:spacing w:line="240" w:lineRule="auto"/>
              <w:ind w:firstLine="0"/>
              <w:jc w:val="both"/>
              <w:rPr>
                <w:rFonts w:eastAsia="Times New Roman" w:cs="Times New Roman"/>
                <w:bCs/>
                <w:color w:val="000000"/>
                <w:sz w:val="22"/>
                <w:szCs w:val="22"/>
              </w:rPr>
            </w:pPr>
            <w:r w:rsidRPr="00CD7806">
              <w:rPr>
                <w:rFonts w:eastAsia="Times New Roman" w:cs="Times New Roman"/>
                <w:bCs/>
                <w:color w:val="000000"/>
                <w:sz w:val="22"/>
                <w:szCs w:val="22"/>
              </w:rPr>
              <w:t>.07**</w:t>
            </w:r>
          </w:p>
        </w:tc>
        <w:tc>
          <w:tcPr>
            <w:tcW w:w="0" w:type="auto"/>
            <w:shd w:val="clear" w:color="auto" w:fill="auto"/>
            <w:vAlign w:val="center"/>
            <w:hideMark/>
          </w:tcPr>
          <w:p w14:paraId="4AF1C3E8"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w:t>
            </w:r>
          </w:p>
        </w:tc>
        <w:tc>
          <w:tcPr>
            <w:tcW w:w="0" w:type="auto"/>
            <w:shd w:val="clear" w:color="auto" w:fill="auto"/>
            <w:vAlign w:val="center"/>
            <w:hideMark/>
          </w:tcPr>
          <w:p w14:paraId="37F572F3"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-.04</w:t>
            </w:r>
          </w:p>
        </w:tc>
        <w:tc>
          <w:tcPr>
            <w:tcW w:w="0" w:type="auto"/>
            <w:shd w:val="clear" w:color="auto" w:fill="auto"/>
            <w:vAlign w:val="center"/>
            <w:hideMark/>
          </w:tcPr>
          <w:p w14:paraId="5E479BAF"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.08**</w:t>
            </w:r>
          </w:p>
        </w:tc>
        <w:tc>
          <w:tcPr>
            <w:tcW w:w="0" w:type="auto"/>
            <w:shd w:val="clear" w:color="auto" w:fill="auto"/>
            <w:vAlign w:val="center"/>
            <w:hideMark/>
          </w:tcPr>
          <w:p w14:paraId="7C2C6662"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-.00</w:t>
            </w:r>
          </w:p>
        </w:tc>
        <w:tc>
          <w:tcPr>
            <w:tcW w:w="0" w:type="auto"/>
            <w:shd w:val="clear" w:color="auto" w:fill="auto"/>
            <w:vAlign w:val="center"/>
            <w:hideMark/>
          </w:tcPr>
          <w:p w14:paraId="4E60A753"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6D000061"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341B724A"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1BFC4DD6" w14:textId="77777777" w:rsidR="00316E94" w:rsidRPr="006325B7" w:rsidRDefault="00316E94"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3942D320" w14:textId="77777777" w:rsidR="00316E94" w:rsidRPr="006325B7" w:rsidRDefault="00316E94" w:rsidP="00316E94">
            <w:pPr>
              <w:spacing w:line="240" w:lineRule="auto"/>
              <w:ind w:firstLine="0"/>
              <w:jc w:val="both"/>
              <w:rPr>
                <w:rFonts w:eastAsia="Times New Roman" w:cs="Times New Roman"/>
                <w:sz w:val="22"/>
                <w:szCs w:val="22"/>
              </w:rPr>
            </w:pPr>
          </w:p>
        </w:tc>
      </w:tr>
      <w:tr w:rsidR="00316E94" w:rsidRPr="006325B7" w14:paraId="449D4305" w14:textId="77777777" w:rsidTr="00CD7806">
        <w:trPr>
          <w:trHeight w:val="227"/>
        </w:trPr>
        <w:tc>
          <w:tcPr>
            <w:tcW w:w="0" w:type="auto"/>
            <w:tcBorders>
              <w:right w:val="single" w:sz="4" w:space="0" w:color="auto"/>
            </w:tcBorders>
            <w:shd w:val="clear" w:color="auto" w:fill="auto"/>
            <w:vAlign w:val="center"/>
            <w:hideMark/>
          </w:tcPr>
          <w:p w14:paraId="4430A656" w14:textId="578F17BA" w:rsidR="00316E94" w:rsidRPr="006325B7" w:rsidRDefault="00316E94" w:rsidP="00316E94">
            <w:pPr>
              <w:pStyle w:val="ListParagraph"/>
              <w:numPr>
                <w:ilvl w:val="0"/>
                <w:numId w:val="2"/>
              </w:numPr>
              <w:tabs>
                <w:tab w:val="left" w:pos="405"/>
              </w:tabs>
              <w:spacing w:line="240" w:lineRule="auto"/>
              <w:ind w:left="90" w:firstLine="0"/>
              <w:jc w:val="both"/>
              <w:rPr>
                <w:rFonts w:ascii="Garamond" w:eastAsia="Times New Roman" w:hAnsi="Garamond" w:cs="Times New Roman"/>
                <w:color w:val="000000"/>
                <w:sz w:val="22"/>
                <w:szCs w:val="22"/>
              </w:rPr>
            </w:pPr>
            <w:r w:rsidRPr="006325B7">
              <w:rPr>
                <w:rFonts w:ascii="Garamond" w:eastAsia="Times New Roman" w:hAnsi="Garamond" w:cs="Times New Roman"/>
                <w:color w:val="000000"/>
                <w:sz w:val="22"/>
                <w:szCs w:val="22"/>
              </w:rPr>
              <w:t xml:space="preserve">Secular </w:t>
            </w:r>
            <w:r w:rsidR="00F93364">
              <w:rPr>
                <w:rFonts w:ascii="Garamond" w:eastAsia="Times New Roman" w:hAnsi="Garamond" w:cs="Times New Roman"/>
                <w:color w:val="000000"/>
                <w:sz w:val="22"/>
                <w:szCs w:val="22"/>
              </w:rPr>
              <w:t>m</w:t>
            </w:r>
            <w:r w:rsidRPr="006325B7">
              <w:rPr>
                <w:rFonts w:ascii="Garamond" w:eastAsia="Times New Roman" w:hAnsi="Garamond" w:cs="Times New Roman"/>
                <w:color w:val="000000"/>
                <w:sz w:val="22"/>
                <w:szCs w:val="22"/>
              </w:rPr>
              <w:t>embership</w:t>
            </w:r>
          </w:p>
        </w:tc>
        <w:tc>
          <w:tcPr>
            <w:tcW w:w="0" w:type="auto"/>
            <w:tcBorders>
              <w:left w:val="single" w:sz="4" w:space="0" w:color="auto"/>
            </w:tcBorders>
            <w:vAlign w:val="center"/>
          </w:tcPr>
          <w:p w14:paraId="196A1B45"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w:t>
            </w:r>
          </w:p>
        </w:tc>
        <w:tc>
          <w:tcPr>
            <w:tcW w:w="0" w:type="auto"/>
            <w:shd w:val="clear" w:color="auto" w:fill="auto"/>
            <w:vAlign w:val="center"/>
            <w:hideMark/>
          </w:tcPr>
          <w:p w14:paraId="16A4DA5F"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0.24</w:t>
            </w:r>
          </w:p>
        </w:tc>
        <w:tc>
          <w:tcPr>
            <w:tcW w:w="0" w:type="auto"/>
            <w:tcBorders>
              <w:right w:val="single" w:sz="4" w:space="0" w:color="auto"/>
            </w:tcBorders>
            <w:shd w:val="clear" w:color="auto" w:fill="auto"/>
            <w:vAlign w:val="center"/>
            <w:hideMark/>
          </w:tcPr>
          <w:p w14:paraId="4D5A19BF"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0.43</w:t>
            </w:r>
          </w:p>
        </w:tc>
        <w:tc>
          <w:tcPr>
            <w:tcW w:w="0" w:type="auto"/>
            <w:tcBorders>
              <w:left w:val="single" w:sz="4" w:space="0" w:color="auto"/>
            </w:tcBorders>
            <w:shd w:val="clear" w:color="auto" w:fill="E7E6E6" w:themeFill="background2"/>
            <w:vAlign w:val="center"/>
            <w:hideMark/>
          </w:tcPr>
          <w:p w14:paraId="149A86D0" w14:textId="77777777" w:rsidR="00316E94" w:rsidRPr="00CD7806" w:rsidRDefault="00316E94" w:rsidP="00316E94">
            <w:pPr>
              <w:spacing w:line="240" w:lineRule="auto"/>
              <w:ind w:firstLine="0"/>
              <w:jc w:val="both"/>
              <w:rPr>
                <w:rFonts w:eastAsia="Times New Roman" w:cs="Times New Roman"/>
                <w:bCs/>
                <w:color w:val="000000"/>
                <w:sz w:val="22"/>
                <w:szCs w:val="22"/>
              </w:rPr>
            </w:pPr>
            <w:r w:rsidRPr="00CD7806">
              <w:rPr>
                <w:rFonts w:eastAsia="Times New Roman" w:cs="Times New Roman"/>
                <w:bCs/>
                <w:color w:val="000000"/>
                <w:sz w:val="22"/>
                <w:szCs w:val="22"/>
              </w:rPr>
              <w:t>.37***</w:t>
            </w:r>
          </w:p>
        </w:tc>
        <w:tc>
          <w:tcPr>
            <w:tcW w:w="0" w:type="auto"/>
            <w:shd w:val="clear" w:color="auto" w:fill="auto"/>
            <w:vAlign w:val="center"/>
            <w:hideMark/>
          </w:tcPr>
          <w:p w14:paraId="0732858D"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.07**</w:t>
            </w:r>
          </w:p>
        </w:tc>
        <w:tc>
          <w:tcPr>
            <w:tcW w:w="0" w:type="auto"/>
            <w:shd w:val="clear" w:color="auto" w:fill="auto"/>
            <w:vAlign w:val="center"/>
            <w:hideMark/>
          </w:tcPr>
          <w:p w14:paraId="383A173D"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.18***</w:t>
            </w:r>
          </w:p>
        </w:tc>
        <w:tc>
          <w:tcPr>
            <w:tcW w:w="0" w:type="auto"/>
            <w:shd w:val="clear" w:color="auto" w:fill="auto"/>
            <w:vAlign w:val="center"/>
            <w:hideMark/>
          </w:tcPr>
          <w:p w14:paraId="279A4EA9"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.13***</w:t>
            </w:r>
          </w:p>
        </w:tc>
        <w:tc>
          <w:tcPr>
            <w:tcW w:w="0" w:type="auto"/>
            <w:shd w:val="clear" w:color="auto" w:fill="auto"/>
            <w:vAlign w:val="center"/>
            <w:hideMark/>
          </w:tcPr>
          <w:p w14:paraId="65C87884"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.00</w:t>
            </w:r>
          </w:p>
        </w:tc>
        <w:tc>
          <w:tcPr>
            <w:tcW w:w="0" w:type="auto"/>
            <w:shd w:val="clear" w:color="auto" w:fill="auto"/>
            <w:vAlign w:val="center"/>
            <w:hideMark/>
          </w:tcPr>
          <w:p w14:paraId="56C458F6" w14:textId="77777777" w:rsidR="00316E94" w:rsidRPr="006325B7" w:rsidRDefault="00316E94" w:rsidP="00316E94">
            <w:pPr>
              <w:spacing w:line="240" w:lineRule="auto"/>
              <w:ind w:firstLine="0"/>
              <w:jc w:val="both"/>
              <w:rPr>
                <w:rFonts w:eastAsia="Times New Roman" w:cs="Times New Roman"/>
                <w:sz w:val="22"/>
                <w:szCs w:val="22"/>
              </w:rPr>
            </w:pPr>
            <w:r w:rsidRPr="006325B7">
              <w:rPr>
                <w:rFonts w:eastAsia="Times New Roman" w:cs="Times New Roman"/>
                <w:sz w:val="22"/>
                <w:szCs w:val="22"/>
              </w:rPr>
              <w:t>.02</w:t>
            </w:r>
          </w:p>
        </w:tc>
        <w:tc>
          <w:tcPr>
            <w:tcW w:w="0" w:type="auto"/>
            <w:shd w:val="clear" w:color="auto" w:fill="auto"/>
            <w:vAlign w:val="center"/>
            <w:hideMark/>
          </w:tcPr>
          <w:p w14:paraId="4595BC9E"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.08**</w:t>
            </w:r>
          </w:p>
        </w:tc>
        <w:tc>
          <w:tcPr>
            <w:tcW w:w="0" w:type="auto"/>
            <w:shd w:val="clear" w:color="auto" w:fill="auto"/>
            <w:vAlign w:val="center"/>
            <w:hideMark/>
          </w:tcPr>
          <w:p w14:paraId="1C71DEC7"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-.10***</w:t>
            </w:r>
          </w:p>
        </w:tc>
        <w:tc>
          <w:tcPr>
            <w:tcW w:w="0" w:type="auto"/>
            <w:shd w:val="clear" w:color="auto" w:fill="auto"/>
            <w:vAlign w:val="center"/>
            <w:hideMark/>
          </w:tcPr>
          <w:p w14:paraId="577C48EA"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-.03</w:t>
            </w:r>
          </w:p>
        </w:tc>
        <w:tc>
          <w:tcPr>
            <w:tcW w:w="0" w:type="auto"/>
            <w:shd w:val="clear" w:color="auto" w:fill="auto"/>
            <w:vAlign w:val="center"/>
            <w:hideMark/>
          </w:tcPr>
          <w:p w14:paraId="560623EE"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.03</w:t>
            </w:r>
          </w:p>
        </w:tc>
      </w:tr>
      <w:tr w:rsidR="00316E94" w:rsidRPr="006325B7" w14:paraId="439F18E1" w14:textId="77777777" w:rsidTr="00CD7806">
        <w:trPr>
          <w:trHeight w:val="227"/>
        </w:trPr>
        <w:tc>
          <w:tcPr>
            <w:tcW w:w="0" w:type="auto"/>
            <w:tcBorders>
              <w:right w:val="single" w:sz="4" w:space="0" w:color="auto"/>
            </w:tcBorders>
            <w:shd w:val="clear" w:color="auto" w:fill="auto"/>
            <w:vAlign w:val="center"/>
            <w:hideMark/>
          </w:tcPr>
          <w:p w14:paraId="6020DD53" w14:textId="4FF6C364" w:rsidR="00316E94" w:rsidRPr="006325B7" w:rsidRDefault="00F93364" w:rsidP="00316E94">
            <w:pPr>
              <w:pStyle w:val="ListParagraph"/>
              <w:numPr>
                <w:ilvl w:val="0"/>
                <w:numId w:val="2"/>
              </w:numPr>
              <w:tabs>
                <w:tab w:val="left" w:pos="405"/>
              </w:tabs>
              <w:spacing w:line="240" w:lineRule="auto"/>
              <w:ind w:left="90" w:firstLine="0"/>
              <w:jc w:val="both"/>
              <w:rPr>
                <w:rFonts w:ascii="Garamond" w:eastAsia="Times New Roman" w:hAnsi="Garamond" w:cs="Times New Roman"/>
                <w:color w:val="000000"/>
                <w:sz w:val="22"/>
                <w:szCs w:val="22"/>
              </w:rPr>
            </w:pPr>
            <w:r>
              <w:rPr>
                <w:rFonts w:ascii="Garamond" w:eastAsia="Times New Roman" w:hAnsi="Garamond" w:cs="Times New Roman"/>
                <w:color w:val="000000"/>
                <w:sz w:val="22"/>
                <w:szCs w:val="22"/>
              </w:rPr>
              <w:t>Religious m</w:t>
            </w:r>
            <w:r w:rsidR="00316E94" w:rsidRPr="006325B7">
              <w:rPr>
                <w:rFonts w:ascii="Garamond" w:eastAsia="Times New Roman" w:hAnsi="Garamond" w:cs="Times New Roman"/>
                <w:color w:val="000000"/>
                <w:sz w:val="22"/>
                <w:szCs w:val="22"/>
              </w:rPr>
              <w:t>embership</w:t>
            </w:r>
          </w:p>
        </w:tc>
        <w:tc>
          <w:tcPr>
            <w:tcW w:w="0" w:type="auto"/>
            <w:tcBorders>
              <w:left w:val="single" w:sz="4" w:space="0" w:color="auto"/>
            </w:tcBorders>
            <w:vAlign w:val="center"/>
          </w:tcPr>
          <w:p w14:paraId="67D79011"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w:t>
            </w:r>
          </w:p>
        </w:tc>
        <w:tc>
          <w:tcPr>
            <w:tcW w:w="0" w:type="auto"/>
            <w:shd w:val="clear" w:color="auto" w:fill="auto"/>
            <w:vAlign w:val="center"/>
            <w:hideMark/>
          </w:tcPr>
          <w:p w14:paraId="53BED0FD"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0.54</w:t>
            </w:r>
          </w:p>
        </w:tc>
        <w:tc>
          <w:tcPr>
            <w:tcW w:w="0" w:type="auto"/>
            <w:tcBorders>
              <w:right w:val="single" w:sz="4" w:space="0" w:color="auto"/>
            </w:tcBorders>
            <w:shd w:val="clear" w:color="auto" w:fill="auto"/>
            <w:vAlign w:val="center"/>
            <w:hideMark/>
          </w:tcPr>
          <w:p w14:paraId="5A645A91"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0.50</w:t>
            </w:r>
          </w:p>
        </w:tc>
        <w:tc>
          <w:tcPr>
            <w:tcW w:w="0" w:type="auto"/>
            <w:tcBorders>
              <w:left w:val="single" w:sz="4" w:space="0" w:color="auto"/>
            </w:tcBorders>
            <w:shd w:val="clear" w:color="auto" w:fill="E7E6E6" w:themeFill="background2"/>
            <w:vAlign w:val="center"/>
            <w:hideMark/>
          </w:tcPr>
          <w:p w14:paraId="56F352A7" w14:textId="77777777" w:rsidR="00316E94" w:rsidRPr="00CD7806" w:rsidRDefault="00316E94" w:rsidP="00316E94">
            <w:pPr>
              <w:spacing w:line="240" w:lineRule="auto"/>
              <w:ind w:firstLine="0"/>
              <w:jc w:val="both"/>
              <w:rPr>
                <w:rFonts w:eastAsia="Times New Roman" w:cs="Times New Roman"/>
                <w:bCs/>
                <w:color w:val="000000"/>
                <w:sz w:val="22"/>
                <w:szCs w:val="22"/>
              </w:rPr>
            </w:pPr>
            <w:r w:rsidRPr="00CD7806">
              <w:rPr>
                <w:rFonts w:eastAsia="Times New Roman" w:cs="Times New Roman"/>
                <w:bCs/>
                <w:color w:val="000000"/>
                <w:sz w:val="22"/>
                <w:szCs w:val="22"/>
              </w:rPr>
              <w:t>.09***</w:t>
            </w:r>
          </w:p>
        </w:tc>
        <w:tc>
          <w:tcPr>
            <w:tcW w:w="0" w:type="auto"/>
            <w:shd w:val="clear" w:color="auto" w:fill="auto"/>
            <w:vAlign w:val="center"/>
            <w:hideMark/>
          </w:tcPr>
          <w:p w14:paraId="4FB6B2AC"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-.08**</w:t>
            </w:r>
          </w:p>
        </w:tc>
        <w:tc>
          <w:tcPr>
            <w:tcW w:w="0" w:type="auto"/>
            <w:shd w:val="clear" w:color="auto" w:fill="auto"/>
            <w:vAlign w:val="center"/>
            <w:hideMark/>
          </w:tcPr>
          <w:p w14:paraId="2EF160CE"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.08**</w:t>
            </w:r>
          </w:p>
        </w:tc>
        <w:tc>
          <w:tcPr>
            <w:tcW w:w="0" w:type="auto"/>
            <w:shd w:val="clear" w:color="auto" w:fill="auto"/>
            <w:vAlign w:val="center"/>
            <w:hideMark/>
          </w:tcPr>
          <w:p w14:paraId="7D1B7D06"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-.03</w:t>
            </w:r>
          </w:p>
        </w:tc>
        <w:tc>
          <w:tcPr>
            <w:tcW w:w="0" w:type="auto"/>
            <w:shd w:val="clear" w:color="auto" w:fill="auto"/>
            <w:vAlign w:val="center"/>
            <w:hideMark/>
          </w:tcPr>
          <w:p w14:paraId="2298463E"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-.05+</w:t>
            </w:r>
          </w:p>
        </w:tc>
        <w:tc>
          <w:tcPr>
            <w:tcW w:w="0" w:type="auto"/>
            <w:shd w:val="clear" w:color="auto" w:fill="auto"/>
            <w:vAlign w:val="center"/>
            <w:hideMark/>
          </w:tcPr>
          <w:p w14:paraId="46CB8420" w14:textId="77777777" w:rsidR="00316E94" w:rsidRPr="006325B7" w:rsidRDefault="00316E94" w:rsidP="00316E94">
            <w:pPr>
              <w:spacing w:line="240" w:lineRule="auto"/>
              <w:ind w:firstLine="0"/>
              <w:jc w:val="both"/>
              <w:rPr>
                <w:rFonts w:eastAsia="Times New Roman" w:cs="Times New Roman"/>
                <w:sz w:val="22"/>
                <w:szCs w:val="22"/>
              </w:rPr>
            </w:pPr>
            <w:r w:rsidRPr="006325B7">
              <w:rPr>
                <w:rFonts w:eastAsia="Times New Roman" w:cs="Times New Roman"/>
                <w:sz w:val="22"/>
                <w:szCs w:val="22"/>
              </w:rPr>
              <w:t>.07**</w:t>
            </w:r>
          </w:p>
        </w:tc>
        <w:tc>
          <w:tcPr>
            <w:tcW w:w="0" w:type="auto"/>
            <w:shd w:val="clear" w:color="auto" w:fill="auto"/>
            <w:vAlign w:val="center"/>
            <w:hideMark/>
          </w:tcPr>
          <w:p w14:paraId="0898A408"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.05*</w:t>
            </w:r>
          </w:p>
        </w:tc>
        <w:tc>
          <w:tcPr>
            <w:tcW w:w="0" w:type="auto"/>
            <w:shd w:val="clear" w:color="auto" w:fill="auto"/>
            <w:vAlign w:val="center"/>
            <w:hideMark/>
          </w:tcPr>
          <w:p w14:paraId="62D989AA"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-.03</w:t>
            </w:r>
          </w:p>
        </w:tc>
        <w:tc>
          <w:tcPr>
            <w:tcW w:w="0" w:type="auto"/>
            <w:shd w:val="clear" w:color="auto" w:fill="auto"/>
            <w:vAlign w:val="center"/>
            <w:hideMark/>
          </w:tcPr>
          <w:p w14:paraId="4E8338E4"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w:t>
            </w:r>
          </w:p>
        </w:tc>
        <w:tc>
          <w:tcPr>
            <w:tcW w:w="0" w:type="auto"/>
            <w:shd w:val="clear" w:color="auto" w:fill="auto"/>
            <w:vAlign w:val="center"/>
            <w:hideMark/>
          </w:tcPr>
          <w:p w14:paraId="1B2A5F84"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.02</w:t>
            </w:r>
          </w:p>
        </w:tc>
      </w:tr>
      <w:tr w:rsidR="00316E94" w:rsidRPr="006325B7" w14:paraId="67C3CC85" w14:textId="77777777" w:rsidTr="00CD7806">
        <w:trPr>
          <w:trHeight w:val="227"/>
        </w:trPr>
        <w:tc>
          <w:tcPr>
            <w:tcW w:w="0" w:type="auto"/>
            <w:tcBorders>
              <w:right w:val="single" w:sz="4" w:space="0" w:color="auto"/>
            </w:tcBorders>
            <w:shd w:val="clear" w:color="auto" w:fill="auto"/>
            <w:vAlign w:val="center"/>
            <w:hideMark/>
          </w:tcPr>
          <w:p w14:paraId="498A45FB" w14:textId="1900B13E" w:rsidR="00316E94" w:rsidRPr="006325B7" w:rsidRDefault="00F93364" w:rsidP="00316E94">
            <w:pPr>
              <w:pStyle w:val="ListParagraph"/>
              <w:numPr>
                <w:ilvl w:val="0"/>
                <w:numId w:val="2"/>
              </w:numPr>
              <w:tabs>
                <w:tab w:val="left" w:pos="405"/>
              </w:tabs>
              <w:spacing w:line="240" w:lineRule="auto"/>
              <w:ind w:left="90" w:firstLine="0"/>
              <w:jc w:val="both"/>
              <w:rPr>
                <w:rFonts w:ascii="Garamond" w:eastAsia="Times New Roman" w:hAnsi="Garamond" w:cs="Times New Roman"/>
                <w:color w:val="000000"/>
                <w:sz w:val="22"/>
                <w:szCs w:val="22"/>
              </w:rPr>
            </w:pPr>
            <w:r>
              <w:rPr>
                <w:rFonts w:ascii="Garamond" w:eastAsia="Times New Roman" w:hAnsi="Garamond" w:cs="Times New Roman"/>
                <w:color w:val="000000"/>
                <w:sz w:val="22"/>
                <w:szCs w:val="22"/>
              </w:rPr>
              <w:t>Interest in politics &amp; p</w:t>
            </w:r>
            <w:r w:rsidR="00316E94" w:rsidRPr="006325B7">
              <w:rPr>
                <w:rFonts w:ascii="Garamond" w:eastAsia="Times New Roman" w:hAnsi="Garamond" w:cs="Times New Roman"/>
                <w:color w:val="000000"/>
                <w:sz w:val="22"/>
                <w:szCs w:val="22"/>
              </w:rPr>
              <w:t>ublic life</w:t>
            </w:r>
          </w:p>
        </w:tc>
        <w:tc>
          <w:tcPr>
            <w:tcW w:w="0" w:type="auto"/>
            <w:tcBorders>
              <w:left w:val="single" w:sz="4" w:space="0" w:color="auto"/>
            </w:tcBorders>
            <w:vAlign w:val="center"/>
          </w:tcPr>
          <w:p w14:paraId="58AB8AA5"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1-3</w:t>
            </w:r>
          </w:p>
        </w:tc>
        <w:tc>
          <w:tcPr>
            <w:tcW w:w="0" w:type="auto"/>
            <w:shd w:val="clear" w:color="auto" w:fill="auto"/>
            <w:vAlign w:val="center"/>
            <w:hideMark/>
          </w:tcPr>
          <w:p w14:paraId="47F2BB53"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2.08</w:t>
            </w:r>
          </w:p>
        </w:tc>
        <w:tc>
          <w:tcPr>
            <w:tcW w:w="0" w:type="auto"/>
            <w:tcBorders>
              <w:right w:val="single" w:sz="4" w:space="0" w:color="auto"/>
            </w:tcBorders>
            <w:shd w:val="clear" w:color="auto" w:fill="auto"/>
            <w:vAlign w:val="center"/>
            <w:hideMark/>
          </w:tcPr>
          <w:p w14:paraId="460941C2"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0.72</w:t>
            </w:r>
          </w:p>
        </w:tc>
        <w:tc>
          <w:tcPr>
            <w:tcW w:w="0" w:type="auto"/>
            <w:tcBorders>
              <w:left w:val="single" w:sz="4" w:space="0" w:color="auto"/>
            </w:tcBorders>
            <w:shd w:val="clear" w:color="auto" w:fill="E7E6E6" w:themeFill="background2"/>
            <w:vAlign w:val="center"/>
            <w:hideMark/>
          </w:tcPr>
          <w:p w14:paraId="6C2C8AD0" w14:textId="77777777" w:rsidR="00316E94" w:rsidRPr="00CD7806" w:rsidRDefault="00316E94" w:rsidP="00316E94">
            <w:pPr>
              <w:spacing w:line="240" w:lineRule="auto"/>
              <w:ind w:firstLine="0"/>
              <w:jc w:val="both"/>
              <w:rPr>
                <w:rFonts w:eastAsia="Times New Roman" w:cs="Times New Roman"/>
                <w:bCs/>
                <w:color w:val="000000"/>
                <w:sz w:val="22"/>
                <w:szCs w:val="22"/>
              </w:rPr>
            </w:pPr>
            <w:r w:rsidRPr="00CD7806">
              <w:rPr>
                <w:rFonts w:eastAsia="Times New Roman" w:cs="Times New Roman"/>
                <w:bCs/>
                <w:color w:val="000000"/>
                <w:sz w:val="22"/>
                <w:szCs w:val="22"/>
              </w:rPr>
              <w:t>.16***</w:t>
            </w:r>
          </w:p>
        </w:tc>
        <w:tc>
          <w:tcPr>
            <w:tcW w:w="0" w:type="auto"/>
            <w:shd w:val="clear" w:color="auto" w:fill="auto"/>
            <w:vAlign w:val="center"/>
            <w:hideMark/>
          </w:tcPr>
          <w:p w14:paraId="03D63784"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.13***</w:t>
            </w:r>
          </w:p>
        </w:tc>
        <w:tc>
          <w:tcPr>
            <w:tcW w:w="0" w:type="auto"/>
            <w:shd w:val="clear" w:color="auto" w:fill="auto"/>
            <w:vAlign w:val="center"/>
            <w:hideMark/>
          </w:tcPr>
          <w:p w14:paraId="4C1C706F"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.19***</w:t>
            </w:r>
          </w:p>
        </w:tc>
        <w:tc>
          <w:tcPr>
            <w:tcW w:w="0" w:type="auto"/>
            <w:shd w:val="clear" w:color="auto" w:fill="auto"/>
            <w:vAlign w:val="center"/>
            <w:hideMark/>
          </w:tcPr>
          <w:p w14:paraId="7A1235FA"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.21***</w:t>
            </w:r>
          </w:p>
        </w:tc>
        <w:tc>
          <w:tcPr>
            <w:tcW w:w="0" w:type="auto"/>
            <w:shd w:val="clear" w:color="auto" w:fill="auto"/>
            <w:vAlign w:val="center"/>
            <w:hideMark/>
          </w:tcPr>
          <w:p w14:paraId="27ADA7FD"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.00</w:t>
            </w:r>
          </w:p>
        </w:tc>
        <w:tc>
          <w:tcPr>
            <w:tcW w:w="0" w:type="auto"/>
            <w:shd w:val="clear" w:color="auto" w:fill="auto"/>
            <w:vAlign w:val="center"/>
            <w:hideMark/>
          </w:tcPr>
          <w:p w14:paraId="4C126B9A" w14:textId="77777777" w:rsidR="00316E94" w:rsidRPr="006325B7" w:rsidRDefault="00316E94" w:rsidP="00316E94">
            <w:pPr>
              <w:spacing w:line="240" w:lineRule="auto"/>
              <w:ind w:firstLine="0"/>
              <w:jc w:val="both"/>
              <w:rPr>
                <w:rFonts w:eastAsia="Times New Roman" w:cs="Times New Roman"/>
                <w:sz w:val="22"/>
                <w:szCs w:val="22"/>
              </w:rPr>
            </w:pPr>
            <w:r w:rsidRPr="006325B7">
              <w:rPr>
                <w:rFonts w:eastAsia="Times New Roman" w:cs="Times New Roman"/>
                <w:sz w:val="22"/>
                <w:szCs w:val="22"/>
              </w:rPr>
              <w:t>.04</w:t>
            </w:r>
          </w:p>
        </w:tc>
        <w:tc>
          <w:tcPr>
            <w:tcW w:w="0" w:type="auto"/>
            <w:shd w:val="clear" w:color="auto" w:fill="auto"/>
            <w:vAlign w:val="center"/>
            <w:hideMark/>
          </w:tcPr>
          <w:p w14:paraId="79B6D2DA"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.09***</w:t>
            </w:r>
          </w:p>
        </w:tc>
        <w:tc>
          <w:tcPr>
            <w:tcW w:w="0" w:type="auto"/>
            <w:shd w:val="clear" w:color="auto" w:fill="auto"/>
            <w:vAlign w:val="center"/>
            <w:hideMark/>
          </w:tcPr>
          <w:p w14:paraId="75C3E237"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-.16***</w:t>
            </w:r>
          </w:p>
        </w:tc>
        <w:tc>
          <w:tcPr>
            <w:tcW w:w="0" w:type="auto"/>
            <w:shd w:val="clear" w:color="auto" w:fill="auto"/>
            <w:vAlign w:val="center"/>
            <w:hideMark/>
          </w:tcPr>
          <w:p w14:paraId="76CA3CE8"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-.05+</w:t>
            </w:r>
          </w:p>
        </w:tc>
        <w:tc>
          <w:tcPr>
            <w:tcW w:w="0" w:type="auto"/>
            <w:shd w:val="clear" w:color="auto" w:fill="auto"/>
            <w:vAlign w:val="center"/>
          </w:tcPr>
          <w:p w14:paraId="478F83E5"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.04</w:t>
            </w:r>
          </w:p>
        </w:tc>
      </w:tr>
      <w:tr w:rsidR="00316E94" w:rsidRPr="006325B7" w14:paraId="36567CF7" w14:textId="77777777" w:rsidTr="00CD7806">
        <w:trPr>
          <w:trHeight w:val="227"/>
        </w:trPr>
        <w:tc>
          <w:tcPr>
            <w:tcW w:w="0" w:type="auto"/>
            <w:tcBorders>
              <w:right w:val="single" w:sz="4" w:space="0" w:color="auto"/>
            </w:tcBorders>
            <w:shd w:val="clear" w:color="auto" w:fill="auto"/>
            <w:vAlign w:val="center"/>
            <w:hideMark/>
          </w:tcPr>
          <w:p w14:paraId="5D89EC79" w14:textId="77777777" w:rsidR="00316E94" w:rsidRPr="006325B7" w:rsidRDefault="00316E94" w:rsidP="00316E94">
            <w:pPr>
              <w:pStyle w:val="ListParagraph"/>
              <w:numPr>
                <w:ilvl w:val="0"/>
                <w:numId w:val="2"/>
              </w:numPr>
              <w:tabs>
                <w:tab w:val="left" w:pos="405"/>
              </w:tabs>
              <w:spacing w:line="240" w:lineRule="auto"/>
              <w:ind w:left="90" w:firstLine="0"/>
              <w:jc w:val="both"/>
              <w:rPr>
                <w:rFonts w:ascii="Garamond" w:eastAsia="Times New Roman" w:hAnsi="Garamond" w:cs="Times New Roman"/>
                <w:color w:val="000000"/>
                <w:sz w:val="22"/>
                <w:szCs w:val="22"/>
              </w:rPr>
            </w:pPr>
            <w:r w:rsidRPr="006325B7">
              <w:rPr>
                <w:rFonts w:ascii="Garamond" w:eastAsia="Times New Roman" w:hAnsi="Garamond" w:cs="Times New Roman"/>
                <w:color w:val="000000"/>
                <w:sz w:val="22"/>
                <w:szCs w:val="22"/>
              </w:rPr>
              <w:t>Social network</w:t>
            </w:r>
          </w:p>
        </w:tc>
        <w:tc>
          <w:tcPr>
            <w:tcW w:w="0" w:type="auto"/>
            <w:tcBorders>
              <w:left w:val="single" w:sz="4" w:space="0" w:color="auto"/>
            </w:tcBorders>
            <w:vAlign w:val="center"/>
          </w:tcPr>
          <w:p w14:paraId="0F41B5DA"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1-3</w:t>
            </w:r>
          </w:p>
        </w:tc>
        <w:tc>
          <w:tcPr>
            <w:tcW w:w="0" w:type="auto"/>
            <w:shd w:val="clear" w:color="auto" w:fill="auto"/>
            <w:vAlign w:val="center"/>
            <w:hideMark/>
          </w:tcPr>
          <w:p w14:paraId="66EA2224"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1.83</w:t>
            </w:r>
          </w:p>
        </w:tc>
        <w:tc>
          <w:tcPr>
            <w:tcW w:w="0" w:type="auto"/>
            <w:tcBorders>
              <w:right w:val="single" w:sz="4" w:space="0" w:color="auto"/>
            </w:tcBorders>
            <w:shd w:val="clear" w:color="auto" w:fill="auto"/>
            <w:vAlign w:val="center"/>
            <w:hideMark/>
          </w:tcPr>
          <w:p w14:paraId="3F2CB6E4"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0.73</w:t>
            </w:r>
          </w:p>
        </w:tc>
        <w:tc>
          <w:tcPr>
            <w:tcW w:w="0" w:type="auto"/>
            <w:tcBorders>
              <w:left w:val="single" w:sz="4" w:space="0" w:color="auto"/>
            </w:tcBorders>
            <w:shd w:val="clear" w:color="auto" w:fill="E7E6E6" w:themeFill="background2"/>
            <w:vAlign w:val="center"/>
            <w:hideMark/>
          </w:tcPr>
          <w:p w14:paraId="31710D50" w14:textId="77777777" w:rsidR="00316E94" w:rsidRPr="00CD7806" w:rsidRDefault="00316E94" w:rsidP="00316E94">
            <w:pPr>
              <w:spacing w:line="240" w:lineRule="auto"/>
              <w:ind w:firstLine="0"/>
              <w:jc w:val="both"/>
              <w:rPr>
                <w:rFonts w:eastAsia="Times New Roman" w:cs="Times New Roman"/>
                <w:bCs/>
                <w:color w:val="000000"/>
                <w:sz w:val="22"/>
                <w:szCs w:val="22"/>
              </w:rPr>
            </w:pPr>
            <w:r w:rsidRPr="00CD7806">
              <w:rPr>
                <w:rFonts w:eastAsia="Times New Roman" w:cs="Times New Roman"/>
                <w:bCs/>
                <w:color w:val="000000"/>
                <w:sz w:val="22"/>
                <w:szCs w:val="22"/>
              </w:rPr>
              <w:t>.12***</w:t>
            </w:r>
          </w:p>
        </w:tc>
        <w:tc>
          <w:tcPr>
            <w:tcW w:w="0" w:type="auto"/>
            <w:shd w:val="clear" w:color="auto" w:fill="auto"/>
            <w:vAlign w:val="center"/>
            <w:hideMark/>
          </w:tcPr>
          <w:p w14:paraId="591890A6"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.09***</w:t>
            </w:r>
          </w:p>
        </w:tc>
        <w:tc>
          <w:tcPr>
            <w:tcW w:w="0" w:type="auto"/>
            <w:shd w:val="clear" w:color="auto" w:fill="auto"/>
            <w:vAlign w:val="center"/>
            <w:hideMark/>
          </w:tcPr>
          <w:p w14:paraId="1E72214D"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-.16***</w:t>
            </w:r>
          </w:p>
        </w:tc>
        <w:tc>
          <w:tcPr>
            <w:tcW w:w="0" w:type="auto"/>
            <w:shd w:val="clear" w:color="auto" w:fill="auto"/>
            <w:vAlign w:val="center"/>
            <w:hideMark/>
          </w:tcPr>
          <w:p w14:paraId="1B743727"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-.05*</w:t>
            </w:r>
          </w:p>
        </w:tc>
        <w:tc>
          <w:tcPr>
            <w:tcW w:w="0" w:type="auto"/>
            <w:shd w:val="clear" w:color="auto" w:fill="auto"/>
            <w:vAlign w:val="center"/>
            <w:hideMark/>
          </w:tcPr>
          <w:p w14:paraId="5474A523"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-.04</w:t>
            </w:r>
          </w:p>
        </w:tc>
        <w:tc>
          <w:tcPr>
            <w:tcW w:w="0" w:type="auto"/>
            <w:shd w:val="clear" w:color="auto" w:fill="auto"/>
            <w:vAlign w:val="center"/>
            <w:hideMark/>
          </w:tcPr>
          <w:p w14:paraId="19F024FB" w14:textId="77777777" w:rsidR="00316E94" w:rsidRPr="006325B7" w:rsidRDefault="00316E94" w:rsidP="00316E94">
            <w:pPr>
              <w:spacing w:line="240" w:lineRule="auto"/>
              <w:ind w:firstLine="0"/>
              <w:jc w:val="both"/>
              <w:rPr>
                <w:rFonts w:eastAsia="Times New Roman" w:cs="Times New Roman"/>
                <w:sz w:val="22"/>
                <w:szCs w:val="22"/>
              </w:rPr>
            </w:pPr>
            <w:r w:rsidRPr="006325B7">
              <w:rPr>
                <w:rFonts w:eastAsia="Times New Roman" w:cs="Times New Roman"/>
                <w:sz w:val="22"/>
                <w:szCs w:val="22"/>
              </w:rPr>
              <w:t>-.09***</w:t>
            </w:r>
          </w:p>
        </w:tc>
        <w:tc>
          <w:tcPr>
            <w:tcW w:w="0" w:type="auto"/>
            <w:shd w:val="clear" w:color="auto" w:fill="auto"/>
            <w:vAlign w:val="center"/>
            <w:hideMark/>
          </w:tcPr>
          <w:p w14:paraId="2CC76EED"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-.03</w:t>
            </w:r>
          </w:p>
        </w:tc>
        <w:tc>
          <w:tcPr>
            <w:tcW w:w="0" w:type="auto"/>
            <w:shd w:val="clear" w:color="auto" w:fill="auto"/>
            <w:vAlign w:val="center"/>
            <w:hideMark/>
          </w:tcPr>
          <w:p w14:paraId="79F74758"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.03</w:t>
            </w:r>
          </w:p>
        </w:tc>
        <w:tc>
          <w:tcPr>
            <w:tcW w:w="0" w:type="auto"/>
            <w:shd w:val="clear" w:color="auto" w:fill="auto"/>
            <w:vAlign w:val="center"/>
            <w:hideMark/>
          </w:tcPr>
          <w:p w14:paraId="1E790597"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.03</w:t>
            </w:r>
          </w:p>
        </w:tc>
        <w:tc>
          <w:tcPr>
            <w:tcW w:w="0" w:type="auto"/>
            <w:shd w:val="clear" w:color="auto" w:fill="auto"/>
            <w:vAlign w:val="center"/>
            <w:hideMark/>
          </w:tcPr>
          <w:p w14:paraId="23D826D5"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-.00</w:t>
            </w:r>
          </w:p>
        </w:tc>
      </w:tr>
      <w:tr w:rsidR="00316E94" w:rsidRPr="006325B7" w14:paraId="3F1D89DA" w14:textId="77777777" w:rsidTr="00CD7806">
        <w:trPr>
          <w:trHeight w:val="227"/>
        </w:trPr>
        <w:tc>
          <w:tcPr>
            <w:tcW w:w="0" w:type="auto"/>
            <w:tcBorders>
              <w:bottom w:val="single" w:sz="4" w:space="0" w:color="auto"/>
              <w:right w:val="single" w:sz="4" w:space="0" w:color="auto"/>
            </w:tcBorders>
            <w:shd w:val="clear" w:color="auto" w:fill="auto"/>
            <w:vAlign w:val="center"/>
            <w:hideMark/>
          </w:tcPr>
          <w:p w14:paraId="0FF0CDA8" w14:textId="77777777" w:rsidR="00316E94" w:rsidRPr="006325B7" w:rsidRDefault="00316E94" w:rsidP="00316E94">
            <w:pPr>
              <w:pStyle w:val="ListParagraph"/>
              <w:numPr>
                <w:ilvl w:val="0"/>
                <w:numId w:val="2"/>
              </w:numPr>
              <w:tabs>
                <w:tab w:val="left" w:pos="405"/>
              </w:tabs>
              <w:spacing w:line="240" w:lineRule="auto"/>
              <w:ind w:left="90" w:firstLine="0"/>
              <w:jc w:val="both"/>
              <w:rPr>
                <w:rFonts w:ascii="Garamond" w:eastAsia="Times New Roman" w:hAnsi="Garamond" w:cs="Times New Roman"/>
                <w:color w:val="000000"/>
                <w:sz w:val="22"/>
                <w:szCs w:val="22"/>
              </w:rPr>
            </w:pPr>
            <w:r w:rsidRPr="006325B7">
              <w:rPr>
                <w:rFonts w:ascii="Garamond" w:eastAsia="Times New Roman" w:hAnsi="Garamond" w:cs="Times New Roman"/>
                <w:color w:val="000000"/>
                <w:sz w:val="22"/>
                <w:szCs w:val="22"/>
              </w:rPr>
              <w:t>Time since migration</w:t>
            </w:r>
          </w:p>
        </w:tc>
        <w:tc>
          <w:tcPr>
            <w:tcW w:w="0" w:type="auto"/>
            <w:tcBorders>
              <w:left w:val="single" w:sz="4" w:space="0" w:color="auto"/>
              <w:bottom w:val="single" w:sz="4" w:space="0" w:color="auto"/>
            </w:tcBorders>
            <w:vAlign w:val="center"/>
          </w:tcPr>
          <w:p w14:paraId="240E5B88"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1-83</w:t>
            </w:r>
          </w:p>
        </w:tc>
        <w:tc>
          <w:tcPr>
            <w:tcW w:w="0" w:type="auto"/>
            <w:tcBorders>
              <w:bottom w:val="single" w:sz="4" w:space="0" w:color="auto"/>
            </w:tcBorders>
            <w:shd w:val="clear" w:color="auto" w:fill="auto"/>
            <w:vAlign w:val="center"/>
            <w:hideMark/>
          </w:tcPr>
          <w:p w14:paraId="55DA3E68"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24.6</w:t>
            </w:r>
          </w:p>
        </w:tc>
        <w:tc>
          <w:tcPr>
            <w:tcW w:w="0" w:type="auto"/>
            <w:tcBorders>
              <w:bottom w:val="single" w:sz="4" w:space="0" w:color="auto"/>
              <w:right w:val="single" w:sz="4" w:space="0" w:color="auto"/>
            </w:tcBorders>
            <w:shd w:val="clear" w:color="auto" w:fill="auto"/>
            <w:vAlign w:val="center"/>
            <w:hideMark/>
          </w:tcPr>
          <w:p w14:paraId="3098F8FE"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16.8</w:t>
            </w:r>
          </w:p>
        </w:tc>
        <w:tc>
          <w:tcPr>
            <w:tcW w:w="0" w:type="auto"/>
            <w:tcBorders>
              <w:left w:val="single" w:sz="4" w:space="0" w:color="auto"/>
              <w:bottom w:val="single" w:sz="4" w:space="0" w:color="auto"/>
            </w:tcBorders>
            <w:shd w:val="clear" w:color="auto" w:fill="E7E6E6" w:themeFill="background2"/>
            <w:vAlign w:val="center"/>
            <w:hideMark/>
          </w:tcPr>
          <w:p w14:paraId="7795009C" w14:textId="77777777" w:rsidR="00316E94" w:rsidRPr="00CD7806" w:rsidRDefault="00316E94" w:rsidP="00316E94">
            <w:pPr>
              <w:spacing w:line="240" w:lineRule="auto"/>
              <w:ind w:firstLine="0"/>
              <w:jc w:val="both"/>
              <w:rPr>
                <w:rFonts w:eastAsia="Times New Roman" w:cs="Times New Roman"/>
                <w:bCs/>
                <w:color w:val="000000"/>
                <w:sz w:val="22"/>
                <w:szCs w:val="22"/>
              </w:rPr>
            </w:pPr>
            <w:r w:rsidRPr="00CD7806">
              <w:rPr>
                <w:rFonts w:eastAsia="Times New Roman" w:cs="Times New Roman"/>
                <w:bCs/>
                <w:color w:val="000000"/>
                <w:sz w:val="22"/>
                <w:szCs w:val="22"/>
              </w:rPr>
              <w:t>.11***</w:t>
            </w:r>
          </w:p>
        </w:tc>
        <w:tc>
          <w:tcPr>
            <w:tcW w:w="0" w:type="auto"/>
            <w:tcBorders>
              <w:bottom w:val="single" w:sz="4" w:space="0" w:color="auto"/>
            </w:tcBorders>
            <w:shd w:val="clear" w:color="auto" w:fill="auto"/>
            <w:vAlign w:val="center"/>
            <w:hideMark/>
          </w:tcPr>
          <w:p w14:paraId="2A4566CC"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w:t>
            </w:r>
          </w:p>
        </w:tc>
        <w:tc>
          <w:tcPr>
            <w:tcW w:w="0" w:type="auto"/>
            <w:tcBorders>
              <w:bottom w:val="single" w:sz="4" w:space="0" w:color="auto"/>
            </w:tcBorders>
            <w:shd w:val="clear" w:color="auto" w:fill="auto"/>
            <w:vAlign w:val="center"/>
            <w:hideMark/>
          </w:tcPr>
          <w:p w14:paraId="438558FB"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.73***</w:t>
            </w:r>
          </w:p>
        </w:tc>
        <w:tc>
          <w:tcPr>
            <w:tcW w:w="0" w:type="auto"/>
            <w:tcBorders>
              <w:bottom w:val="single" w:sz="4" w:space="0" w:color="auto"/>
            </w:tcBorders>
            <w:shd w:val="clear" w:color="auto" w:fill="auto"/>
            <w:vAlign w:val="center"/>
            <w:hideMark/>
          </w:tcPr>
          <w:p w14:paraId="6DB369DA"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.00</w:t>
            </w:r>
          </w:p>
        </w:tc>
        <w:tc>
          <w:tcPr>
            <w:tcW w:w="0" w:type="auto"/>
            <w:tcBorders>
              <w:bottom w:val="single" w:sz="4" w:space="0" w:color="auto"/>
            </w:tcBorders>
            <w:shd w:val="clear" w:color="auto" w:fill="auto"/>
            <w:vAlign w:val="center"/>
            <w:hideMark/>
          </w:tcPr>
          <w:p w14:paraId="16F0B3C7"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-.14***</w:t>
            </w:r>
          </w:p>
        </w:tc>
        <w:tc>
          <w:tcPr>
            <w:tcW w:w="0" w:type="auto"/>
            <w:tcBorders>
              <w:bottom w:val="single" w:sz="4" w:space="0" w:color="auto"/>
            </w:tcBorders>
            <w:shd w:val="clear" w:color="auto" w:fill="auto"/>
            <w:vAlign w:val="center"/>
            <w:hideMark/>
          </w:tcPr>
          <w:p w14:paraId="2B2D9C35" w14:textId="77777777" w:rsidR="00316E94" w:rsidRPr="006325B7" w:rsidRDefault="00316E94" w:rsidP="00316E94">
            <w:pPr>
              <w:spacing w:line="240" w:lineRule="auto"/>
              <w:ind w:firstLine="0"/>
              <w:jc w:val="both"/>
              <w:rPr>
                <w:rFonts w:eastAsia="Times New Roman" w:cs="Times New Roman"/>
                <w:sz w:val="22"/>
                <w:szCs w:val="22"/>
              </w:rPr>
            </w:pPr>
            <w:r w:rsidRPr="006325B7">
              <w:rPr>
                <w:rFonts w:eastAsia="Times New Roman" w:cs="Times New Roman"/>
                <w:sz w:val="22"/>
                <w:szCs w:val="22"/>
              </w:rPr>
              <w:t>.25***</w:t>
            </w:r>
          </w:p>
        </w:tc>
        <w:tc>
          <w:tcPr>
            <w:tcW w:w="0" w:type="auto"/>
            <w:tcBorders>
              <w:bottom w:val="single" w:sz="4" w:space="0" w:color="auto"/>
            </w:tcBorders>
            <w:shd w:val="clear" w:color="auto" w:fill="auto"/>
            <w:vAlign w:val="center"/>
            <w:hideMark/>
          </w:tcPr>
          <w:p w14:paraId="0FCE589A"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.19***</w:t>
            </w:r>
          </w:p>
        </w:tc>
        <w:tc>
          <w:tcPr>
            <w:tcW w:w="0" w:type="auto"/>
            <w:tcBorders>
              <w:bottom w:val="single" w:sz="4" w:space="0" w:color="auto"/>
            </w:tcBorders>
            <w:shd w:val="clear" w:color="auto" w:fill="auto"/>
            <w:vAlign w:val="center"/>
            <w:hideMark/>
          </w:tcPr>
          <w:p w14:paraId="7A29BA06"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-.38***</w:t>
            </w:r>
          </w:p>
        </w:tc>
        <w:tc>
          <w:tcPr>
            <w:tcW w:w="0" w:type="auto"/>
            <w:tcBorders>
              <w:bottom w:val="single" w:sz="4" w:space="0" w:color="auto"/>
            </w:tcBorders>
            <w:shd w:val="clear" w:color="auto" w:fill="auto"/>
            <w:vAlign w:val="center"/>
            <w:hideMark/>
          </w:tcPr>
          <w:p w14:paraId="2DD26D38"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-.03</w:t>
            </w:r>
          </w:p>
        </w:tc>
        <w:tc>
          <w:tcPr>
            <w:tcW w:w="0" w:type="auto"/>
            <w:tcBorders>
              <w:bottom w:val="single" w:sz="4" w:space="0" w:color="auto"/>
            </w:tcBorders>
            <w:shd w:val="clear" w:color="auto" w:fill="auto"/>
            <w:vAlign w:val="center"/>
            <w:hideMark/>
          </w:tcPr>
          <w:p w14:paraId="7CB4CCB0" w14:textId="77777777" w:rsidR="00316E94" w:rsidRPr="006325B7" w:rsidRDefault="00316E94"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-.03</w:t>
            </w:r>
          </w:p>
        </w:tc>
      </w:tr>
    </w:tbl>
    <w:p w14:paraId="6B3E4B3B" w14:textId="4BAE4D61" w:rsidR="00316E94" w:rsidRPr="003A6BA4" w:rsidRDefault="00316E94" w:rsidP="00316E94">
      <w:pPr>
        <w:spacing w:after="120"/>
        <w:ind w:firstLine="0"/>
        <w:jc w:val="both"/>
        <w:rPr>
          <w:rFonts w:cs="Times New Roman"/>
          <w:sz w:val="20"/>
          <w:szCs w:val="21"/>
        </w:rPr>
      </w:pPr>
      <w:r w:rsidRPr="006325B7">
        <w:rPr>
          <w:rFonts w:cs="Times New Roman"/>
          <w:sz w:val="20"/>
          <w:szCs w:val="21"/>
        </w:rPr>
        <w:t xml:space="preserve">Note: +p≤.10, *p≤.05, **p≤.01, ***p≤.001. </w:t>
      </w:r>
      <w:r w:rsidR="004D0470">
        <w:rPr>
          <w:rFonts w:cs="Times New Roman"/>
          <w:sz w:val="20"/>
          <w:szCs w:val="21"/>
        </w:rPr>
        <w:t>a v</w:t>
      </w:r>
      <w:r w:rsidRPr="006325B7">
        <w:rPr>
          <w:rFonts w:cs="Times New Roman"/>
          <w:sz w:val="20"/>
          <w:szCs w:val="21"/>
        </w:rPr>
        <w:t xml:space="preserve">alues are </w:t>
      </w:r>
      <w:r w:rsidR="004D0470" w:rsidRPr="004D0470">
        <w:rPr>
          <w:rFonts w:cs="Times New Roman"/>
          <w:sz w:val="20"/>
          <w:szCs w:val="20"/>
        </w:rPr>
        <w:t>Pearson</w:t>
      </w:r>
      <w:r w:rsidR="004D0470" w:rsidRPr="004D0470">
        <w:rPr>
          <w:rFonts w:cs="Arial"/>
          <w:sz w:val="20"/>
          <w:szCs w:val="15"/>
        </w:rPr>
        <w:t xml:space="preserve">-correlation coefficients </w:t>
      </w:r>
      <w:r w:rsidR="004D0470">
        <w:rPr>
          <w:rFonts w:cs="Times New Roman"/>
          <w:sz w:val="20"/>
          <w:szCs w:val="21"/>
        </w:rPr>
        <w:t>rounded to two decimals.  b</w:t>
      </w:r>
      <w:r w:rsidRPr="006325B7">
        <w:rPr>
          <w:rFonts w:cs="Times New Roman"/>
          <w:sz w:val="20"/>
          <w:szCs w:val="21"/>
        </w:rPr>
        <w:t xml:space="preserve"> CIS = Commonwealth of Independent States</w:t>
      </w:r>
    </w:p>
    <w:tbl>
      <w:tblPr>
        <w:tblW w:w="0" w:type="auto"/>
        <w:tblLook w:val="04A0" w:firstRow="1" w:lastRow="0" w:firstColumn="1" w:lastColumn="0" w:noHBand="0" w:noVBand="1"/>
      </w:tblPr>
      <w:tblGrid>
        <w:gridCol w:w="3417"/>
        <w:gridCol w:w="864"/>
        <w:gridCol w:w="574"/>
        <w:gridCol w:w="574"/>
        <w:gridCol w:w="856"/>
        <w:gridCol w:w="856"/>
        <w:gridCol w:w="856"/>
        <w:gridCol w:w="643"/>
        <w:gridCol w:w="407"/>
      </w:tblGrid>
      <w:tr w:rsidR="00654509" w:rsidRPr="00F465F1" w14:paraId="602C4FAD" w14:textId="77777777" w:rsidTr="009A22DF">
        <w:trPr>
          <w:trHeight w:val="320"/>
        </w:trPr>
        <w:tc>
          <w:tcPr>
            <w:tcW w:w="3417" w:type="dxa"/>
            <w:tcBorders>
              <w:top w:val="single" w:sz="4" w:space="0" w:color="auto"/>
              <w:bottom w:val="single" w:sz="4" w:space="0" w:color="auto"/>
              <w:right w:val="single" w:sz="4" w:space="0" w:color="auto"/>
            </w:tcBorders>
            <w:shd w:val="clear" w:color="auto" w:fill="auto"/>
            <w:noWrap/>
            <w:vAlign w:val="center"/>
            <w:hideMark/>
          </w:tcPr>
          <w:p w14:paraId="4FD90ADF" w14:textId="77777777" w:rsidR="00654509" w:rsidRPr="00F465F1" w:rsidRDefault="00654509" w:rsidP="00316E94">
            <w:pPr>
              <w:spacing w:line="240" w:lineRule="auto"/>
              <w:ind w:firstLine="0"/>
              <w:jc w:val="both"/>
              <w:rPr>
                <w:rFonts w:eastAsia="Times New Roman" w:cs="Times New Roman"/>
                <w:b/>
                <w:bCs/>
                <w:color w:val="000000"/>
                <w:sz w:val="22"/>
                <w:szCs w:val="22"/>
              </w:rPr>
            </w:pPr>
            <w:r w:rsidRPr="00F465F1">
              <w:rPr>
                <w:rFonts w:eastAsia="Times New Roman" w:cs="Times New Roman"/>
                <w:b/>
                <w:bCs/>
                <w:color w:val="000000"/>
                <w:sz w:val="22"/>
                <w:szCs w:val="22"/>
              </w:rPr>
              <w:t xml:space="preserve"> Variable </w:t>
            </w:r>
          </w:p>
        </w:tc>
        <w:tc>
          <w:tcPr>
            <w:tcW w:w="864" w:type="dxa"/>
            <w:tcBorders>
              <w:top w:val="single" w:sz="4" w:space="0" w:color="auto"/>
              <w:left w:val="single" w:sz="4" w:space="0" w:color="auto"/>
              <w:bottom w:val="single" w:sz="4" w:space="0" w:color="auto"/>
            </w:tcBorders>
            <w:vAlign w:val="center"/>
          </w:tcPr>
          <w:p w14:paraId="5482F157" w14:textId="77777777" w:rsidR="00654509" w:rsidRPr="00F465F1" w:rsidRDefault="00654509" w:rsidP="00316E94">
            <w:pPr>
              <w:spacing w:line="240" w:lineRule="auto"/>
              <w:ind w:firstLine="0"/>
              <w:jc w:val="both"/>
              <w:rPr>
                <w:rFonts w:eastAsia="Times New Roman" w:cs="Times New Roman"/>
                <w:b/>
                <w:bCs/>
                <w:color w:val="000000"/>
                <w:sz w:val="22"/>
                <w:szCs w:val="22"/>
              </w:rPr>
            </w:pPr>
            <w:r w:rsidRPr="00F465F1">
              <w:rPr>
                <w:rFonts w:eastAsia="Times New Roman" w:cs="Times New Roman"/>
                <w:b/>
                <w:bCs/>
                <w:color w:val="000000"/>
                <w:sz w:val="22"/>
                <w:szCs w:val="22"/>
              </w:rPr>
              <w:t>Range</w:t>
            </w:r>
          </w:p>
        </w:tc>
        <w:tc>
          <w:tcPr>
            <w:tcW w:w="0" w:type="auto"/>
            <w:tcBorders>
              <w:top w:val="single" w:sz="4" w:space="0" w:color="auto"/>
              <w:bottom w:val="single" w:sz="4" w:space="0" w:color="auto"/>
            </w:tcBorders>
            <w:shd w:val="clear" w:color="auto" w:fill="auto"/>
            <w:noWrap/>
            <w:vAlign w:val="center"/>
            <w:hideMark/>
          </w:tcPr>
          <w:p w14:paraId="3E7178C3" w14:textId="77777777" w:rsidR="00654509" w:rsidRPr="00F465F1" w:rsidRDefault="00654509" w:rsidP="00316E94">
            <w:pPr>
              <w:spacing w:line="240" w:lineRule="auto"/>
              <w:ind w:firstLine="0"/>
              <w:jc w:val="both"/>
              <w:rPr>
                <w:rFonts w:eastAsia="Times New Roman" w:cs="Times New Roman"/>
                <w:b/>
                <w:bCs/>
                <w:color w:val="000000"/>
                <w:sz w:val="22"/>
                <w:szCs w:val="22"/>
              </w:rPr>
            </w:pPr>
            <w:r w:rsidRPr="00F465F1">
              <w:rPr>
                <w:rFonts w:eastAsia="Times New Roman" w:cs="Times New Roman"/>
                <w:b/>
                <w:bCs/>
                <w:color w:val="000000"/>
                <w:sz w:val="22"/>
                <w:szCs w:val="22"/>
              </w:rPr>
              <w:t>M</w:t>
            </w:r>
          </w:p>
        </w:tc>
        <w:tc>
          <w:tcPr>
            <w:tcW w:w="0" w:type="auto"/>
            <w:tcBorders>
              <w:top w:val="single" w:sz="4" w:space="0" w:color="auto"/>
              <w:bottom w:val="single" w:sz="4" w:space="0" w:color="auto"/>
              <w:right w:val="single" w:sz="4" w:space="0" w:color="auto"/>
            </w:tcBorders>
            <w:shd w:val="clear" w:color="auto" w:fill="auto"/>
            <w:noWrap/>
            <w:vAlign w:val="center"/>
            <w:hideMark/>
          </w:tcPr>
          <w:p w14:paraId="2232A8BC" w14:textId="77777777" w:rsidR="00654509" w:rsidRPr="00F465F1" w:rsidRDefault="00654509" w:rsidP="00316E94">
            <w:pPr>
              <w:spacing w:line="240" w:lineRule="auto"/>
              <w:ind w:firstLine="0"/>
              <w:jc w:val="both"/>
              <w:rPr>
                <w:rFonts w:eastAsia="Times New Roman" w:cs="Times New Roman"/>
                <w:b/>
                <w:bCs/>
                <w:color w:val="000000"/>
                <w:sz w:val="22"/>
                <w:szCs w:val="22"/>
              </w:rPr>
            </w:pPr>
            <w:r w:rsidRPr="00F465F1">
              <w:rPr>
                <w:rFonts w:eastAsia="Times New Roman" w:cs="Times New Roman"/>
                <w:b/>
                <w:bCs/>
                <w:color w:val="000000"/>
                <w:sz w:val="22"/>
                <w:szCs w:val="22"/>
              </w:rPr>
              <w:t>SD</w:t>
            </w:r>
          </w:p>
        </w:tc>
        <w:tc>
          <w:tcPr>
            <w:tcW w:w="0" w:type="auto"/>
            <w:tcBorders>
              <w:top w:val="single" w:sz="4" w:space="0" w:color="auto"/>
              <w:left w:val="single" w:sz="4" w:space="0" w:color="auto"/>
              <w:bottom w:val="single" w:sz="4" w:space="0" w:color="auto"/>
            </w:tcBorders>
            <w:shd w:val="clear" w:color="auto" w:fill="auto"/>
            <w:vAlign w:val="center"/>
            <w:hideMark/>
          </w:tcPr>
          <w:p w14:paraId="0C7FEA40" w14:textId="77777777" w:rsidR="00654509" w:rsidRPr="00F465F1" w:rsidRDefault="00654509" w:rsidP="00316E94">
            <w:pPr>
              <w:spacing w:line="240" w:lineRule="auto"/>
              <w:ind w:firstLine="0"/>
              <w:jc w:val="both"/>
              <w:rPr>
                <w:rFonts w:eastAsia="Times New Roman" w:cs="Times New Roman"/>
                <w:b/>
                <w:bCs/>
                <w:color w:val="000000"/>
                <w:sz w:val="22"/>
                <w:szCs w:val="22"/>
              </w:rPr>
            </w:pPr>
            <w:r w:rsidRPr="00F465F1">
              <w:rPr>
                <w:rFonts w:eastAsia="Times New Roman" w:cs="Times New Roman"/>
                <w:b/>
                <w:bCs/>
                <w:color w:val="000000"/>
                <w:sz w:val="22"/>
                <w:szCs w:val="22"/>
              </w:rPr>
              <w:t>11</w:t>
            </w:r>
          </w:p>
        </w:tc>
        <w:tc>
          <w:tcPr>
            <w:tcW w:w="0" w:type="auto"/>
            <w:tcBorders>
              <w:top w:val="single" w:sz="4" w:space="0" w:color="auto"/>
              <w:bottom w:val="single" w:sz="4" w:space="0" w:color="auto"/>
            </w:tcBorders>
            <w:shd w:val="clear" w:color="auto" w:fill="auto"/>
            <w:vAlign w:val="center"/>
            <w:hideMark/>
          </w:tcPr>
          <w:p w14:paraId="224A4456" w14:textId="77777777" w:rsidR="00654509" w:rsidRPr="00F465F1" w:rsidRDefault="00654509" w:rsidP="00316E94">
            <w:pPr>
              <w:spacing w:line="240" w:lineRule="auto"/>
              <w:ind w:firstLine="0"/>
              <w:jc w:val="both"/>
              <w:rPr>
                <w:rFonts w:eastAsia="Times New Roman" w:cs="Times New Roman"/>
                <w:b/>
                <w:bCs/>
                <w:color w:val="000000"/>
                <w:sz w:val="22"/>
                <w:szCs w:val="22"/>
              </w:rPr>
            </w:pPr>
            <w:r w:rsidRPr="00F465F1">
              <w:rPr>
                <w:rFonts w:eastAsia="Times New Roman" w:cs="Times New Roman"/>
                <w:b/>
                <w:bCs/>
                <w:color w:val="000000"/>
                <w:sz w:val="22"/>
                <w:szCs w:val="22"/>
              </w:rPr>
              <w:t>12</w:t>
            </w:r>
          </w:p>
        </w:tc>
        <w:tc>
          <w:tcPr>
            <w:tcW w:w="0" w:type="auto"/>
            <w:tcBorders>
              <w:top w:val="single" w:sz="4" w:space="0" w:color="auto"/>
              <w:bottom w:val="single" w:sz="4" w:space="0" w:color="auto"/>
            </w:tcBorders>
            <w:shd w:val="clear" w:color="auto" w:fill="auto"/>
            <w:vAlign w:val="center"/>
            <w:hideMark/>
          </w:tcPr>
          <w:p w14:paraId="162C5BBB" w14:textId="77777777" w:rsidR="00654509" w:rsidRPr="00F465F1" w:rsidRDefault="00654509" w:rsidP="00316E94">
            <w:pPr>
              <w:spacing w:line="240" w:lineRule="auto"/>
              <w:ind w:firstLine="0"/>
              <w:jc w:val="both"/>
              <w:rPr>
                <w:rFonts w:eastAsia="Times New Roman" w:cs="Times New Roman"/>
                <w:b/>
                <w:bCs/>
                <w:color w:val="000000"/>
                <w:sz w:val="22"/>
                <w:szCs w:val="22"/>
              </w:rPr>
            </w:pPr>
            <w:r w:rsidRPr="00F465F1">
              <w:rPr>
                <w:rFonts w:eastAsia="Times New Roman" w:cs="Times New Roman"/>
                <w:b/>
                <w:bCs/>
                <w:color w:val="000000"/>
                <w:sz w:val="22"/>
                <w:szCs w:val="22"/>
              </w:rPr>
              <w:t>13</w:t>
            </w:r>
          </w:p>
        </w:tc>
        <w:tc>
          <w:tcPr>
            <w:tcW w:w="0" w:type="auto"/>
            <w:tcBorders>
              <w:top w:val="single" w:sz="4" w:space="0" w:color="auto"/>
              <w:bottom w:val="single" w:sz="4" w:space="0" w:color="auto"/>
            </w:tcBorders>
            <w:shd w:val="clear" w:color="auto" w:fill="auto"/>
            <w:vAlign w:val="center"/>
            <w:hideMark/>
          </w:tcPr>
          <w:p w14:paraId="3EC7C929" w14:textId="77777777" w:rsidR="00654509" w:rsidRPr="00F465F1" w:rsidRDefault="00654509" w:rsidP="00316E94">
            <w:pPr>
              <w:spacing w:line="240" w:lineRule="auto"/>
              <w:ind w:firstLine="0"/>
              <w:jc w:val="both"/>
              <w:rPr>
                <w:rFonts w:eastAsia="Times New Roman" w:cs="Times New Roman"/>
                <w:b/>
                <w:bCs/>
                <w:color w:val="000000"/>
                <w:sz w:val="22"/>
                <w:szCs w:val="22"/>
              </w:rPr>
            </w:pPr>
            <w:r w:rsidRPr="00F465F1">
              <w:rPr>
                <w:rFonts w:eastAsia="Times New Roman" w:cs="Times New Roman"/>
                <w:b/>
                <w:bCs/>
                <w:color w:val="000000"/>
                <w:sz w:val="22"/>
                <w:szCs w:val="22"/>
              </w:rPr>
              <w:t>14</w:t>
            </w:r>
          </w:p>
        </w:tc>
        <w:tc>
          <w:tcPr>
            <w:tcW w:w="0" w:type="auto"/>
            <w:tcBorders>
              <w:top w:val="single" w:sz="4" w:space="0" w:color="auto"/>
              <w:bottom w:val="single" w:sz="4" w:space="0" w:color="auto"/>
            </w:tcBorders>
            <w:shd w:val="clear" w:color="auto" w:fill="auto"/>
            <w:vAlign w:val="center"/>
            <w:hideMark/>
          </w:tcPr>
          <w:p w14:paraId="01BD8F3A" w14:textId="4CFECCA7" w:rsidR="00654509" w:rsidRPr="00F465F1" w:rsidRDefault="00654509" w:rsidP="00316E94">
            <w:pPr>
              <w:spacing w:line="240" w:lineRule="auto"/>
              <w:ind w:firstLine="0"/>
              <w:jc w:val="both"/>
              <w:rPr>
                <w:rFonts w:eastAsia="Times New Roman" w:cs="Times New Roman"/>
                <w:b/>
                <w:bCs/>
                <w:color w:val="000000"/>
                <w:sz w:val="22"/>
                <w:szCs w:val="22"/>
              </w:rPr>
            </w:pPr>
            <w:r w:rsidRPr="00F465F1">
              <w:rPr>
                <w:rFonts w:eastAsia="Times New Roman" w:cs="Times New Roman"/>
                <w:b/>
                <w:bCs/>
                <w:color w:val="000000"/>
                <w:sz w:val="22"/>
                <w:szCs w:val="22"/>
              </w:rPr>
              <w:t>15</w:t>
            </w:r>
          </w:p>
        </w:tc>
      </w:tr>
      <w:tr w:rsidR="00654509" w:rsidRPr="006325B7" w14:paraId="7BF7BA38" w14:textId="77777777" w:rsidTr="009A22DF">
        <w:trPr>
          <w:trHeight w:val="101"/>
        </w:trPr>
        <w:tc>
          <w:tcPr>
            <w:tcW w:w="3417" w:type="dxa"/>
            <w:tcBorders>
              <w:top w:val="single" w:sz="4" w:space="0" w:color="auto"/>
              <w:right w:val="single" w:sz="4" w:space="0" w:color="auto"/>
            </w:tcBorders>
            <w:shd w:val="clear" w:color="auto" w:fill="auto"/>
            <w:vAlign w:val="bottom"/>
            <w:hideMark/>
          </w:tcPr>
          <w:p w14:paraId="1EF9951D" w14:textId="4C6CE431" w:rsidR="00654509" w:rsidRPr="006325B7" w:rsidRDefault="00F93364" w:rsidP="00316E94">
            <w:pPr>
              <w:pStyle w:val="ListParagraph"/>
              <w:numPr>
                <w:ilvl w:val="0"/>
                <w:numId w:val="3"/>
              </w:numPr>
              <w:spacing w:line="240" w:lineRule="auto"/>
              <w:jc w:val="both"/>
              <w:rPr>
                <w:rFonts w:ascii="Garamond" w:eastAsia="Times New Roman" w:hAnsi="Garamond" w:cs="Times New Roman"/>
                <w:color w:val="000000"/>
                <w:sz w:val="22"/>
                <w:szCs w:val="22"/>
              </w:rPr>
            </w:pPr>
            <w:r>
              <w:rPr>
                <w:rFonts w:ascii="Garamond" w:eastAsia="Times New Roman" w:hAnsi="Garamond" w:cs="Times New Roman"/>
                <w:color w:val="000000"/>
                <w:sz w:val="22"/>
                <w:szCs w:val="22"/>
              </w:rPr>
              <w:t>Secular m</w:t>
            </w:r>
            <w:r w:rsidR="00654509" w:rsidRPr="006325B7">
              <w:rPr>
                <w:rFonts w:ascii="Garamond" w:eastAsia="Times New Roman" w:hAnsi="Garamond" w:cs="Times New Roman"/>
                <w:color w:val="000000"/>
                <w:sz w:val="22"/>
                <w:szCs w:val="22"/>
              </w:rPr>
              <w:t>embership</w:t>
            </w:r>
          </w:p>
        </w:tc>
        <w:tc>
          <w:tcPr>
            <w:tcW w:w="864" w:type="dxa"/>
            <w:tcBorders>
              <w:top w:val="single" w:sz="4" w:space="0" w:color="auto"/>
              <w:left w:val="single" w:sz="4" w:space="0" w:color="auto"/>
            </w:tcBorders>
            <w:vAlign w:val="center"/>
          </w:tcPr>
          <w:p w14:paraId="67DA4E47"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w:t>
            </w:r>
          </w:p>
        </w:tc>
        <w:tc>
          <w:tcPr>
            <w:tcW w:w="0" w:type="auto"/>
            <w:tcBorders>
              <w:top w:val="single" w:sz="4" w:space="0" w:color="auto"/>
            </w:tcBorders>
            <w:shd w:val="clear" w:color="auto" w:fill="auto"/>
            <w:vAlign w:val="center"/>
            <w:hideMark/>
          </w:tcPr>
          <w:p w14:paraId="3CF9E457"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0.24</w:t>
            </w:r>
          </w:p>
        </w:tc>
        <w:tc>
          <w:tcPr>
            <w:tcW w:w="0" w:type="auto"/>
            <w:tcBorders>
              <w:top w:val="single" w:sz="4" w:space="0" w:color="auto"/>
              <w:right w:val="single" w:sz="4" w:space="0" w:color="auto"/>
            </w:tcBorders>
            <w:shd w:val="clear" w:color="auto" w:fill="auto"/>
            <w:vAlign w:val="center"/>
            <w:hideMark/>
          </w:tcPr>
          <w:p w14:paraId="59B9C2AF"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0.43</w:t>
            </w:r>
          </w:p>
        </w:tc>
        <w:tc>
          <w:tcPr>
            <w:tcW w:w="0" w:type="auto"/>
            <w:tcBorders>
              <w:top w:val="single" w:sz="4" w:space="0" w:color="auto"/>
              <w:left w:val="single" w:sz="4" w:space="0" w:color="auto"/>
            </w:tcBorders>
            <w:shd w:val="clear" w:color="auto" w:fill="auto"/>
            <w:vAlign w:val="center"/>
            <w:hideMark/>
          </w:tcPr>
          <w:p w14:paraId="466E8EB0"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w:t>
            </w:r>
          </w:p>
        </w:tc>
        <w:tc>
          <w:tcPr>
            <w:tcW w:w="0" w:type="auto"/>
            <w:tcBorders>
              <w:top w:val="single" w:sz="4" w:space="0" w:color="auto"/>
            </w:tcBorders>
            <w:shd w:val="clear" w:color="auto" w:fill="auto"/>
            <w:vAlign w:val="center"/>
            <w:hideMark/>
          </w:tcPr>
          <w:p w14:paraId="1A64CAFC" w14:textId="77777777" w:rsidR="00654509" w:rsidRPr="006325B7" w:rsidRDefault="00654509" w:rsidP="00316E94">
            <w:pPr>
              <w:spacing w:line="240" w:lineRule="auto"/>
              <w:ind w:firstLine="0"/>
              <w:jc w:val="both"/>
              <w:rPr>
                <w:rFonts w:eastAsia="Times New Roman" w:cs="Times New Roman"/>
                <w:color w:val="000000"/>
                <w:sz w:val="22"/>
                <w:szCs w:val="22"/>
              </w:rPr>
            </w:pPr>
          </w:p>
        </w:tc>
        <w:tc>
          <w:tcPr>
            <w:tcW w:w="0" w:type="auto"/>
            <w:tcBorders>
              <w:top w:val="single" w:sz="4" w:space="0" w:color="auto"/>
            </w:tcBorders>
            <w:shd w:val="clear" w:color="auto" w:fill="auto"/>
            <w:vAlign w:val="center"/>
            <w:hideMark/>
          </w:tcPr>
          <w:p w14:paraId="27CBDF3E" w14:textId="77777777" w:rsidR="00654509" w:rsidRPr="006325B7" w:rsidRDefault="00654509" w:rsidP="00316E94">
            <w:pPr>
              <w:spacing w:line="240" w:lineRule="auto"/>
              <w:ind w:firstLine="0"/>
              <w:jc w:val="both"/>
              <w:rPr>
                <w:rFonts w:eastAsia="Times New Roman" w:cs="Times New Roman"/>
                <w:sz w:val="22"/>
                <w:szCs w:val="22"/>
              </w:rPr>
            </w:pPr>
          </w:p>
        </w:tc>
        <w:tc>
          <w:tcPr>
            <w:tcW w:w="0" w:type="auto"/>
            <w:tcBorders>
              <w:top w:val="single" w:sz="4" w:space="0" w:color="auto"/>
            </w:tcBorders>
            <w:shd w:val="clear" w:color="auto" w:fill="auto"/>
            <w:vAlign w:val="center"/>
            <w:hideMark/>
          </w:tcPr>
          <w:p w14:paraId="5340221E" w14:textId="77777777" w:rsidR="00654509" w:rsidRPr="006325B7" w:rsidRDefault="00654509" w:rsidP="00316E94">
            <w:pPr>
              <w:spacing w:line="240" w:lineRule="auto"/>
              <w:ind w:firstLine="0"/>
              <w:jc w:val="both"/>
              <w:rPr>
                <w:rFonts w:eastAsia="Times New Roman" w:cs="Times New Roman"/>
                <w:sz w:val="22"/>
                <w:szCs w:val="22"/>
              </w:rPr>
            </w:pPr>
          </w:p>
        </w:tc>
        <w:tc>
          <w:tcPr>
            <w:tcW w:w="0" w:type="auto"/>
            <w:tcBorders>
              <w:top w:val="single" w:sz="4" w:space="0" w:color="auto"/>
            </w:tcBorders>
            <w:shd w:val="clear" w:color="auto" w:fill="auto"/>
            <w:vAlign w:val="center"/>
            <w:hideMark/>
          </w:tcPr>
          <w:p w14:paraId="1865298D" w14:textId="77777777" w:rsidR="00654509" w:rsidRPr="006325B7" w:rsidRDefault="00654509" w:rsidP="00316E94">
            <w:pPr>
              <w:spacing w:line="240" w:lineRule="auto"/>
              <w:ind w:firstLine="0"/>
              <w:jc w:val="both"/>
              <w:rPr>
                <w:rFonts w:eastAsia="Times New Roman" w:cs="Times New Roman"/>
                <w:sz w:val="22"/>
                <w:szCs w:val="22"/>
              </w:rPr>
            </w:pPr>
          </w:p>
        </w:tc>
      </w:tr>
      <w:tr w:rsidR="00654509" w:rsidRPr="006325B7" w14:paraId="00A30EBC" w14:textId="77777777" w:rsidTr="009A22DF">
        <w:trPr>
          <w:trHeight w:val="90"/>
        </w:trPr>
        <w:tc>
          <w:tcPr>
            <w:tcW w:w="3417" w:type="dxa"/>
            <w:tcBorders>
              <w:right w:val="single" w:sz="4" w:space="0" w:color="auto"/>
            </w:tcBorders>
            <w:shd w:val="clear" w:color="auto" w:fill="auto"/>
            <w:vAlign w:val="bottom"/>
            <w:hideMark/>
          </w:tcPr>
          <w:p w14:paraId="69AFF8CB" w14:textId="074ED90F" w:rsidR="00654509" w:rsidRPr="006325B7" w:rsidRDefault="00F93364" w:rsidP="00316E94">
            <w:pPr>
              <w:pStyle w:val="ListParagraph"/>
              <w:numPr>
                <w:ilvl w:val="0"/>
                <w:numId w:val="3"/>
              </w:numPr>
              <w:spacing w:line="240" w:lineRule="auto"/>
              <w:jc w:val="both"/>
              <w:rPr>
                <w:rFonts w:ascii="Garamond" w:eastAsia="Times New Roman" w:hAnsi="Garamond" w:cs="Times New Roman"/>
                <w:color w:val="000000"/>
                <w:sz w:val="22"/>
                <w:szCs w:val="22"/>
              </w:rPr>
            </w:pPr>
            <w:r>
              <w:rPr>
                <w:rFonts w:ascii="Garamond" w:eastAsia="Times New Roman" w:hAnsi="Garamond" w:cs="Times New Roman"/>
                <w:color w:val="000000"/>
                <w:sz w:val="22"/>
                <w:szCs w:val="22"/>
              </w:rPr>
              <w:t>Religious m</w:t>
            </w:r>
            <w:r w:rsidR="00654509" w:rsidRPr="006325B7">
              <w:rPr>
                <w:rFonts w:ascii="Garamond" w:eastAsia="Times New Roman" w:hAnsi="Garamond" w:cs="Times New Roman"/>
                <w:color w:val="000000"/>
                <w:sz w:val="22"/>
                <w:szCs w:val="22"/>
              </w:rPr>
              <w:t>embership</w:t>
            </w:r>
          </w:p>
        </w:tc>
        <w:tc>
          <w:tcPr>
            <w:tcW w:w="864" w:type="dxa"/>
            <w:tcBorders>
              <w:left w:val="single" w:sz="4" w:space="0" w:color="auto"/>
            </w:tcBorders>
            <w:vAlign w:val="center"/>
          </w:tcPr>
          <w:p w14:paraId="1EE866BB"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w:t>
            </w:r>
          </w:p>
        </w:tc>
        <w:tc>
          <w:tcPr>
            <w:tcW w:w="0" w:type="auto"/>
            <w:shd w:val="clear" w:color="auto" w:fill="auto"/>
            <w:vAlign w:val="center"/>
            <w:hideMark/>
          </w:tcPr>
          <w:p w14:paraId="54B9C563"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0.54</w:t>
            </w:r>
          </w:p>
        </w:tc>
        <w:tc>
          <w:tcPr>
            <w:tcW w:w="0" w:type="auto"/>
            <w:tcBorders>
              <w:right w:val="single" w:sz="4" w:space="0" w:color="auto"/>
            </w:tcBorders>
            <w:shd w:val="clear" w:color="auto" w:fill="auto"/>
            <w:vAlign w:val="center"/>
            <w:hideMark/>
          </w:tcPr>
          <w:p w14:paraId="75D63C4E"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0.50</w:t>
            </w:r>
          </w:p>
        </w:tc>
        <w:tc>
          <w:tcPr>
            <w:tcW w:w="0" w:type="auto"/>
            <w:tcBorders>
              <w:left w:val="single" w:sz="4" w:space="0" w:color="auto"/>
            </w:tcBorders>
            <w:shd w:val="clear" w:color="auto" w:fill="auto"/>
            <w:vAlign w:val="center"/>
            <w:hideMark/>
          </w:tcPr>
          <w:p w14:paraId="36D47845"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0.10***</w:t>
            </w:r>
          </w:p>
        </w:tc>
        <w:tc>
          <w:tcPr>
            <w:tcW w:w="0" w:type="auto"/>
            <w:shd w:val="clear" w:color="auto" w:fill="auto"/>
            <w:vAlign w:val="center"/>
            <w:hideMark/>
          </w:tcPr>
          <w:p w14:paraId="1016B354"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w:t>
            </w:r>
          </w:p>
        </w:tc>
        <w:tc>
          <w:tcPr>
            <w:tcW w:w="0" w:type="auto"/>
            <w:shd w:val="clear" w:color="auto" w:fill="auto"/>
            <w:vAlign w:val="center"/>
            <w:hideMark/>
          </w:tcPr>
          <w:p w14:paraId="51EA6333" w14:textId="77777777" w:rsidR="00654509" w:rsidRPr="006325B7" w:rsidRDefault="00654509" w:rsidP="00316E94">
            <w:pPr>
              <w:spacing w:line="240" w:lineRule="auto"/>
              <w:ind w:firstLine="0"/>
              <w:jc w:val="both"/>
              <w:rPr>
                <w:rFonts w:eastAsia="Times New Roman" w:cs="Times New Roman"/>
                <w:color w:val="000000"/>
                <w:sz w:val="22"/>
                <w:szCs w:val="22"/>
              </w:rPr>
            </w:pPr>
          </w:p>
        </w:tc>
        <w:tc>
          <w:tcPr>
            <w:tcW w:w="0" w:type="auto"/>
            <w:shd w:val="clear" w:color="auto" w:fill="auto"/>
            <w:vAlign w:val="center"/>
            <w:hideMark/>
          </w:tcPr>
          <w:p w14:paraId="27EC7285" w14:textId="77777777" w:rsidR="00654509" w:rsidRPr="006325B7" w:rsidRDefault="00654509" w:rsidP="00316E94">
            <w:pPr>
              <w:spacing w:line="240" w:lineRule="auto"/>
              <w:ind w:firstLine="0"/>
              <w:jc w:val="both"/>
              <w:rPr>
                <w:rFonts w:eastAsia="Times New Roman" w:cs="Times New Roman"/>
                <w:sz w:val="22"/>
                <w:szCs w:val="22"/>
              </w:rPr>
            </w:pPr>
          </w:p>
        </w:tc>
        <w:tc>
          <w:tcPr>
            <w:tcW w:w="0" w:type="auto"/>
            <w:shd w:val="clear" w:color="auto" w:fill="auto"/>
            <w:vAlign w:val="center"/>
            <w:hideMark/>
          </w:tcPr>
          <w:p w14:paraId="49D161D5" w14:textId="77777777" w:rsidR="00654509" w:rsidRPr="006325B7" w:rsidRDefault="00654509" w:rsidP="00316E94">
            <w:pPr>
              <w:spacing w:line="240" w:lineRule="auto"/>
              <w:ind w:firstLine="0"/>
              <w:jc w:val="both"/>
              <w:rPr>
                <w:rFonts w:eastAsia="Times New Roman" w:cs="Times New Roman"/>
                <w:sz w:val="22"/>
                <w:szCs w:val="22"/>
              </w:rPr>
            </w:pPr>
          </w:p>
        </w:tc>
      </w:tr>
      <w:tr w:rsidR="00654509" w:rsidRPr="006325B7" w14:paraId="4D530DA3" w14:textId="77777777" w:rsidTr="009A22DF">
        <w:trPr>
          <w:trHeight w:val="90"/>
        </w:trPr>
        <w:tc>
          <w:tcPr>
            <w:tcW w:w="3417" w:type="dxa"/>
            <w:tcBorders>
              <w:right w:val="single" w:sz="4" w:space="0" w:color="auto"/>
            </w:tcBorders>
            <w:shd w:val="clear" w:color="auto" w:fill="auto"/>
            <w:vAlign w:val="bottom"/>
            <w:hideMark/>
          </w:tcPr>
          <w:p w14:paraId="0A78FA6C" w14:textId="77D1DCB7" w:rsidR="00654509" w:rsidRPr="006325B7" w:rsidRDefault="00F93364" w:rsidP="00316E94">
            <w:pPr>
              <w:pStyle w:val="ListParagraph"/>
              <w:numPr>
                <w:ilvl w:val="0"/>
                <w:numId w:val="3"/>
              </w:numPr>
              <w:spacing w:line="240" w:lineRule="auto"/>
              <w:jc w:val="both"/>
              <w:rPr>
                <w:rFonts w:ascii="Garamond" w:eastAsia="Times New Roman" w:hAnsi="Garamond" w:cs="Times New Roman"/>
                <w:color w:val="000000"/>
                <w:sz w:val="22"/>
                <w:szCs w:val="22"/>
              </w:rPr>
            </w:pPr>
            <w:r>
              <w:rPr>
                <w:rFonts w:ascii="Garamond" w:eastAsia="Times New Roman" w:hAnsi="Garamond" w:cs="Times New Roman"/>
                <w:color w:val="000000"/>
                <w:sz w:val="22"/>
                <w:szCs w:val="22"/>
              </w:rPr>
              <w:t>Interest in politics &amp; p</w:t>
            </w:r>
            <w:r w:rsidR="00654509" w:rsidRPr="006325B7">
              <w:rPr>
                <w:rFonts w:ascii="Garamond" w:eastAsia="Times New Roman" w:hAnsi="Garamond" w:cs="Times New Roman"/>
                <w:color w:val="000000"/>
                <w:sz w:val="22"/>
                <w:szCs w:val="22"/>
              </w:rPr>
              <w:t>ublic life</w:t>
            </w:r>
          </w:p>
        </w:tc>
        <w:tc>
          <w:tcPr>
            <w:tcW w:w="864" w:type="dxa"/>
            <w:tcBorders>
              <w:left w:val="single" w:sz="4" w:space="0" w:color="auto"/>
            </w:tcBorders>
            <w:vAlign w:val="center"/>
          </w:tcPr>
          <w:p w14:paraId="5E2BB695"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1-3</w:t>
            </w:r>
          </w:p>
        </w:tc>
        <w:tc>
          <w:tcPr>
            <w:tcW w:w="0" w:type="auto"/>
            <w:shd w:val="clear" w:color="auto" w:fill="auto"/>
            <w:vAlign w:val="center"/>
            <w:hideMark/>
          </w:tcPr>
          <w:p w14:paraId="4E08640F"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2.08</w:t>
            </w:r>
          </w:p>
        </w:tc>
        <w:tc>
          <w:tcPr>
            <w:tcW w:w="0" w:type="auto"/>
            <w:tcBorders>
              <w:right w:val="single" w:sz="4" w:space="0" w:color="auto"/>
            </w:tcBorders>
            <w:shd w:val="clear" w:color="auto" w:fill="auto"/>
            <w:vAlign w:val="center"/>
            <w:hideMark/>
          </w:tcPr>
          <w:p w14:paraId="32F3613A"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0.72</w:t>
            </w:r>
          </w:p>
        </w:tc>
        <w:tc>
          <w:tcPr>
            <w:tcW w:w="0" w:type="auto"/>
            <w:tcBorders>
              <w:left w:val="single" w:sz="4" w:space="0" w:color="auto"/>
            </w:tcBorders>
            <w:shd w:val="clear" w:color="auto" w:fill="auto"/>
            <w:vAlign w:val="center"/>
            <w:hideMark/>
          </w:tcPr>
          <w:p w14:paraId="3DE5B660"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0.19***</w:t>
            </w:r>
          </w:p>
        </w:tc>
        <w:tc>
          <w:tcPr>
            <w:tcW w:w="0" w:type="auto"/>
            <w:shd w:val="clear" w:color="auto" w:fill="auto"/>
            <w:vAlign w:val="center"/>
            <w:hideMark/>
          </w:tcPr>
          <w:p w14:paraId="30926594"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0.08***</w:t>
            </w:r>
          </w:p>
        </w:tc>
        <w:tc>
          <w:tcPr>
            <w:tcW w:w="0" w:type="auto"/>
            <w:shd w:val="clear" w:color="auto" w:fill="auto"/>
            <w:vAlign w:val="center"/>
            <w:hideMark/>
          </w:tcPr>
          <w:p w14:paraId="7B4FBD66"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w:t>
            </w:r>
          </w:p>
        </w:tc>
        <w:tc>
          <w:tcPr>
            <w:tcW w:w="0" w:type="auto"/>
            <w:shd w:val="clear" w:color="auto" w:fill="auto"/>
            <w:vAlign w:val="center"/>
            <w:hideMark/>
          </w:tcPr>
          <w:p w14:paraId="3D21DBB4" w14:textId="77777777" w:rsidR="00654509" w:rsidRPr="006325B7" w:rsidRDefault="00654509" w:rsidP="00316E94">
            <w:pPr>
              <w:spacing w:line="240" w:lineRule="auto"/>
              <w:ind w:firstLine="0"/>
              <w:jc w:val="both"/>
              <w:rPr>
                <w:rFonts w:eastAsia="Times New Roman" w:cs="Times New Roman"/>
                <w:color w:val="000000"/>
                <w:sz w:val="22"/>
                <w:szCs w:val="22"/>
              </w:rPr>
            </w:pPr>
          </w:p>
        </w:tc>
        <w:tc>
          <w:tcPr>
            <w:tcW w:w="0" w:type="auto"/>
            <w:shd w:val="clear" w:color="auto" w:fill="auto"/>
            <w:vAlign w:val="center"/>
            <w:hideMark/>
          </w:tcPr>
          <w:p w14:paraId="45CFBB59" w14:textId="77777777" w:rsidR="00654509" w:rsidRPr="006325B7" w:rsidRDefault="00654509" w:rsidP="00316E94">
            <w:pPr>
              <w:spacing w:line="240" w:lineRule="auto"/>
              <w:ind w:firstLine="0"/>
              <w:jc w:val="both"/>
              <w:rPr>
                <w:rFonts w:eastAsia="Times New Roman" w:cs="Times New Roman"/>
                <w:sz w:val="22"/>
                <w:szCs w:val="22"/>
              </w:rPr>
            </w:pPr>
          </w:p>
        </w:tc>
      </w:tr>
      <w:tr w:rsidR="00654509" w:rsidRPr="006325B7" w14:paraId="365E00E7" w14:textId="77777777" w:rsidTr="009A22DF">
        <w:trPr>
          <w:trHeight w:val="90"/>
        </w:trPr>
        <w:tc>
          <w:tcPr>
            <w:tcW w:w="3417" w:type="dxa"/>
            <w:tcBorders>
              <w:right w:val="single" w:sz="4" w:space="0" w:color="auto"/>
            </w:tcBorders>
            <w:shd w:val="clear" w:color="auto" w:fill="auto"/>
            <w:vAlign w:val="bottom"/>
            <w:hideMark/>
          </w:tcPr>
          <w:p w14:paraId="063F0AEC" w14:textId="77777777" w:rsidR="00654509" w:rsidRPr="006325B7" w:rsidRDefault="00654509" w:rsidP="00316E94">
            <w:pPr>
              <w:pStyle w:val="ListParagraph"/>
              <w:numPr>
                <w:ilvl w:val="0"/>
                <w:numId w:val="3"/>
              </w:numPr>
              <w:spacing w:line="240" w:lineRule="auto"/>
              <w:jc w:val="both"/>
              <w:rPr>
                <w:rFonts w:ascii="Garamond" w:eastAsia="Times New Roman" w:hAnsi="Garamond" w:cs="Times New Roman"/>
                <w:color w:val="000000"/>
                <w:sz w:val="22"/>
                <w:szCs w:val="22"/>
              </w:rPr>
            </w:pPr>
            <w:r w:rsidRPr="006325B7">
              <w:rPr>
                <w:rFonts w:ascii="Garamond" w:eastAsia="Times New Roman" w:hAnsi="Garamond" w:cs="Times New Roman"/>
                <w:color w:val="000000"/>
                <w:sz w:val="22"/>
                <w:szCs w:val="22"/>
              </w:rPr>
              <w:t>Social network</w:t>
            </w:r>
          </w:p>
        </w:tc>
        <w:tc>
          <w:tcPr>
            <w:tcW w:w="864" w:type="dxa"/>
            <w:tcBorders>
              <w:left w:val="single" w:sz="4" w:space="0" w:color="auto"/>
            </w:tcBorders>
            <w:vAlign w:val="center"/>
          </w:tcPr>
          <w:p w14:paraId="3B92B802"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1-3</w:t>
            </w:r>
          </w:p>
        </w:tc>
        <w:tc>
          <w:tcPr>
            <w:tcW w:w="0" w:type="auto"/>
            <w:shd w:val="clear" w:color="auto" w:fill="auto"/>
            <w:vAlign w:val="center"/>
            <w:hideMark/>
          </w:tcPr>
          <w:p w14:paraId="06A9E804"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1.83</w:t>
            </w:r>
          </w:p>
        </w:tc>
        <w:tc>
          <w:tcPr>
            <w:tcW w:w="0" w:type="auto"/>
            <w:tcBorders>
              <w:right w:val="single" w:sz="4" w:space="0" w:color="auto"/>
            </w:tcBorders>
            <w:shd w:val="clear" w:color="auto" w:fill="auto"/>
            <w:vAlign w:val="center"/>
            <w:hideMark/>
          </w:tcPr>
          <w:p w14:paraId="3F369946"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0.73</w:t>
            </w:r>
          </w:p>
        </w:tc>
        <w:tc>
          <w:tcPr>
            <w:tcW w:w="0" w:type="auto"/>
            <w:tcBorders>
              <w:left w:val="single" w:sz="4" w:space="0" w:color="auto"/>
            </w:tcBorders>
            <w:shd w:val="clear" w:color="auto" w:fill="auto"/>
            <w:vAlign w:val="center"/>
            <w:hideMark/>
          </w:tcPr>
          <w:p w14:paraId="2CA2F8A2"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0.17***</w:t>
            </w:r>
          </w:p>
        </w:tc>
        <w:tc>
          <w:tcPr>
            <w:tcW w:w="0" w:type="auto"/>
            <w:shd w:val="clear" w:color="auto" w:fill="auto"/>
            <w:vAlign w:val="center"/>
            <w:hideMark/>
          </w:tcPr>
          <w:p w14:paraId="03292F67"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0.05*</w:t>
            </w:r>
          </w:p>
        </w:tc>
        <w:tc>
          <w:tcPr>
            <w:tcW w:w="0" w:type="auto"/>
            <w:shd w:val="clear" w:color="auto" w:fill="auto"/>
            <w:vAlign w:val="center"/>
            <w:hideMark/>
          </w:tcPr>
          <w:p w14:paraId="5E0C4002"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0.02</w:t>
            </w:r>
          </w:p>
        </w:tc>
        <w:tc>
          <w:tcPr>
            <w:tcW w:w="0" w:type="auto"/>
            <w:shd w:val="clear" w:color="auto" w:fill="auto"/>
            <w:vAlign w:val="center"/>
            <w:hideMark/>
          </w:tcPr>
          <w:p w14:paraId="17007269"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w:t>
            </w:r>
          </w:p>
        </w:tc>
        <w:tc>
          <w:tcPr>
            <w:tcW w:w="0" w:type="auto"/>
            <w:shd w:val="clear" w:color="auto" w:fill="auto"/>
            <w:vAlign w:val="center"/>
            <w:hideMark/>
          </w:tcPr>
          <w:p w14:paraId="1EF4F4BF" w14:textId="77777777" w:rsidR="00654509" w:rsidRPr="006325B7" w:rsidRDefault="00654509" w:rsidP="00316E94">
            <w:pPr>
              <w:spacing w:line="240" w:lineRule="auto"/>
              <w:ind w:firstLine="0"/>
              <w:jc w:val="both"/>
              <w:rPr>
                <w:rFonts w:eastAsia="Times New Roman" w:cs="Times New Roman"/>
                <w:sz w:val="22"/>
                <w:szCs w:val="22"/>
              </w:rPr>
            </w:pPr>
          </w:p>
        </w:tc>
      </w:tr>
      <w:tr w:rsidR="00654509" w:rsidRPr="006325B7" w14:paraId="5C49CAE1" w14:textId="77777777" w:rsidTr="009A22DF">
        <w:trPr>
          <w:trHeight w:val="90"/>
        </w:trPr>
        <w:tc>
          <w:tcPr>
            <w:tcW w:w="3417" w:type="dxa"/>
            <w:tcBorders>
              <w:bottom w:val="single" w:sz="4" w:space="0" w:color="auto"/>
              <w:right w:val="single" w:sz="4" w:space="0" w:color="auto"/>
            </w:tcBorders>
            <w:shd w:val="clear" w:color="auto" w:fill="auto"/>
            <w:vAlign w:val="bottom"/>
            <w:hideMark/>
          </w:tcPr>
          <w:p w14:paraId="18502511" w14:textId="77777777" w:rsidR="00654509" w:rsidRPr="006325B7" w:rsidRDefault="00654509" w:rsidP="00316E94">
            <w:pPr>
              <w:pStyle w:val="ListParagraph"/>
              <w:numPr>
                <w:ilvl w:val="0"/>
                <w:numId w:val="3"/>
              </w:numPr>
              <w:spacing w:line="240" w:lineRule="auto"/>
              <w:jc w:val="both"/>
              <w:rPr>
                <w:rFonts w:ascii="Garamond" w:eastAsia="Times New Roman" w:hAnsi="Garamond" w:cs="Times New Roman"/>
                <w:color w:val="000000"/>
                <w:sz w:val="22"/>
                <w:szCs w:val="22"/>
              </w:rPr>
            </w:pPr>
            <w:r w:rsidRPr="006325B7">
              <w:rPr>
                <w:rFonts w:ascii="Garamond" w:eastAsia="Times New Roman" w:hAnsi="Garamond" w:cs="Times New Roman"/>
                <w:color w:val="000000"/>
                <w:sz w:val="22"/>
                <w:szCs w:val="22"/>
              </w:rPr>
              <w:t>Time since migration</w:t>
            </w:r>
          </w:p>
        </w:tc>
        <w:tc>
          <w:tcPr>
            <w:tcW w:w="864" w:type="dxa"/>
            <w:tcBorders>
              <w:left w:val="single" w:sz="4" w:space="0" w:color="auto"/>
              <w:bottom w:val="single" w:sz="4" w:space="0" w:color="auto"/>
            </w:tcBorders>
            <w:vAlign w:val="center"/>
          </w:tcPr>
          <w:p w14:paraId="55AAACE7"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1-83</w:t>
            </w:r>
          </w:p>
        </w:tc>
        <w:tc>
          <w:tcPr>
            <w:tcW w:w="0" w:type="auto"/>
            <w:tcBorders>
              <w:bottom w:val="single" w:sz="4" w:space="0" w:color="auto"/>
            </w:tcBorders>
            <w:shd w:val="clear" w:color="auto" w:fill="auto"/>
            <w:vAlign w:val="center"/>
            <w:hideMark/>
          </w:tcPr>
          <w:p w14:paraId="0FB80ECF"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24.6</w:t>
            </w:r>
          </w:p>
        </w:tc>
        <w:tc>
          <w:tcPr>
            <w:tcW w:w="0" w:type="auto"/>
            <w:tcBorders>
              <w:bottom w:val="single" w:sz="4" w:space="0" w:color="auto"/>
              <w:right w:val="single" w:sz="4" w:space="0" w:color="auto"/>
            </w:tcBorders>
            <w:shd w:val="clear" w:color="auto" w:fill="auto"/>
            <w:vAlign w:val="center"/>
            <w:hideMark/>
          </w:tcPr>
          <w:p w14:paraId="231CDC77"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16.8</w:t>
            </w:r>
          </w:p>
        </w:tc>
        <w:tc>
          <w:tcPr>
            <w:tcW w:w="0" w:type="auto"/>
            <w:tcBorders>
              <w:left w:val="single" w:sz="4" w:space="0" w:color="auto"/>
              <w:bottom w:val="single" w:sz="4" w:space="0" w:color="auto"/>
            </w:tcBorders>
            <w:shd w:val="clear" w:color="auto" w:fill="auto"/>
            <w:vAlign w:val="center"/>
            <w:hideMark/>
          </w:tcPr>
          <w:p w14:paraId="25427CBA"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0.21***</w:t>
            </w:r>
          </w:p>
        </w:tc>
        <w:tc>
          <w:tcPr>
            <w:tcW w:w="0" w:type="auto"/>
            <w:tcBorders>
              <w:bottom w:val="single" w:sz="4" w:space="0" w:color="auto"/>
            </w:tcBorders>
            <w:shd w:val="clear" w:color="auto" w:fill="auto"/>
            <w:vAlign w:val="center"/>
            <w:hideMark/>
          </w:tcPr>
          <w:p w14:paraId="02B7A798"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0.15***</w:t>
            </w:r>
          </w:p>
        </w:tc>
        <w:tc>
          <w:tcPr>
            <w:tcW w:w="0" w:type="auto"/>
            <w:tcBorders>
              <w:bottom w:val="single" w:sz="4" w:space="0" w:color="auto"/>
            </w:tcBorders>
            <w:shd w:val="clear" w:color="auto" w:fill="auto"/>
            <w:vAlign w:val="center"/>
            <w:hideMark/>
          </w:tcPr>
          <w:p w14:paraId="5AA51249"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0.27***</w:t>
            </w:r>
          </w:p>
        </w:tc>
        <w:tc>
          <w:tcPr>
            <w:tcW w:w="0" w:type="auto"/>
            <w:tcBorders>
              <w:bottom w:val="single" w:sz="4" w:space="0" w:color="auto"/>
            </w:tcBorders>
            <w:shd w:val="clear" w:color="auto" w:fill="auto"/>
            <w:vAlign w:val="center"/>
            <w:hideMark/>
          </w:tcPr>
          <w:p w14:paraId="09BB70D6"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-0.01</w:t>
            </w:r>
          </w:p>
        </w:tc>
        <w:tc>
          <w:tcPr>
            <w:tcW w:w="0" w:type="auto"/>
            <w:tcBorders>
              <w:bottom w:val="single" w:sz="4" w:space="0" w:color="auto"/>
            </w:tcBorders>
            <w:shd w:val="clear" w:color="auto" w:fill="auto"/>
            <w:vAlign w:val="center"/>
            <w:hideMark/>
          </w:tcPr>
          <w:p w14:paraId="37CD5BDC" w14:textId="77777777" w:rsidR="00654509" w:rsidRPr="006325B7" w:rsidRDefault="00654509" w:rsidP="00316E94">
            <w:pPr>
              <w:spacing w:line="240" w:lineRule="auto"/>
              <w:ind w:firstLine="0"/>
              <w:jc w:val="both"/>
              <w:rPr>
                <w:rFonts w:eastAsia="Times New Roman" w:cs="Times New Roman"/>
                <w:color w:val="000000"/>
                <w:sz w:val="22"/>
                <w:szCs w:val="22"/>
              </w:rPr>
            </w:pPr>
            <w:r w:rsidRPr="006325B7">
              <w:rPr>
                <w:rFonts w:eastAsia="Times New Roman" w:cs="Times New Roman"/>
                <w:color w:val="000000"/>
                <w:sz w:val="22"/>
                <w:szCs w:val="22"/>
              </w:rPr>
              <w:t>1</w:t>
            </w:r>
          </w:p>
        </w:tc>
      </w:tr>
    </w:tbl>
    <w:p w14:paraId="15F91047" w14:textId="77777777" w:rsidR="00316E94" w:rsidRPr="005462C4" w:rsidRDefault="00316E94" w:rsidP="00316E94">
      <w:pPr>
        <w:ind w:firstLine="0"/>
        <w:jc w:val="both"/>
        <w:sectPr w:rsidR="00316E94" w:rsidRPr="005462C4" w:rsidSect="00187980">
          <w:pgSz w:w="15842" w:h="12242" w:orient="landscape"/>
          <w:pgMar w:top="1440" w:right="1440" w:bottom="1440" w:left="1440" w:header="720" w:footer="720" w:gutter="0"/>
          <w:cols w:space="720"/>
          <w:docGrid w:linePitch="360"/>
        </w:sectPr>
      </w:pPr>
    </w:p>
    <w:p w14:paraId="4E7077D1" w14:textId="58DE3D59" w:rsidR="004D0470" w:rsidRDefault="004D0470" w:rsidP="00F93364">
      <w:pPr>
        <w:spacing w:after="120"/>
        <w:ind w:firstLine="425"/>
        <w:jc w:val="both"/>
      </w:pPr>
      <w:r w:rsidRPr="004D0470">
        <w:rPr>
          <w:b/>
          <w:bCs/>
        </w:rPr>
        <w:t xml:space="preserve">Online Appendix 3: Robustness checks for </w:t>
      </w:r>
      <w:r w:rsidRPr="004D0470">
        <w:rPr>
          <w:rFonts w:cs="Times New Roman"/>
          <w:b/>
        </w:rPr>
        <w:t xml:space="preserve">within-group </w:t>
      </w:r>
      <w:r w:rsidR="00F93364">
        <w:rPr>
          <w:rFonts w:cs="Times New Roman"/>
          <w:b/>
        </w:rPr>
        <w:t xml:space="preserve">regression </w:t>
      </w:r>
      <w:r w:rsidRPr="004D0470">
        <w:rPr>
          <w:rFonts w:cs="Times New Roman"/>
          <w:b/>
        </w:rPr>
        <w:t>analysis among immigrants</w:t>
      </w:r>
    </w:p>
    <w:p w14:paraId="704B4EAF" w14:textId="463F37C3" w:rsidR="004D0470" w:rsidRDefault="004D0470" w:rsidP="004A5E93">
      <w:pPr>
        <w:pStyle w:val="ListParagraph"/>
        <w:numPr>
          <w:ilvl w:val="0"/>
          <w:numId w:val="4"/>
        </w:numPr>
        <w:spacing w:after="240" w:line="240" w:lineRule="auto"/>
        <w:ind w:left="357" w:hanging="357"/>
        <w:contextualSpacing w:val="0"/>
        <w:jc w:val="both"/>
        <w:rPr>
          <w:rFonts w:ascii="Garamond" w:hAnsi="Garamond"/>
        </w:rPr>
      </w:pPr>
      <w:r w:rsidRPr="004D0470">
        <w:rPr>
          <w:rFonts w:ascii="Garamond" w:hAnsi="Garamond"/>
        </w:rPr>
        <w:t xml:space="preserve">When running the </w:t>
      </w:r>
      <w:r w:rsidR="004A5E93">
        <w:rPr>
          <w:rFonts w:ascii="Garamond" w:hAnsi="Garamond"/>
        </w:rPr>
        <w:t xml:space="preserve">regression </w:t>
      </w:r>
      <w:r w:rsidRPr="004D0470">
        <w:rPr>
          <w:rFonts w:ascii="Garamond" w:hAnsi="Garamond"/>
        </w:rPr>
        <w:t>models hierarchically (analysis not shown, but available upon request), we find significantly improved model fit between the models in such a way that Model 2 fits the data better than Model 1 (ΔLRchi2(5)=49.11, p&lt;.0000) and Model 3 fits the data better than Model 2 (ΔLRchi2(5)=179.20, p&lt;.0000). This further supports the strength of our conceptual model.</w:t>
      </w:r>
    </w:p>
    <w:p w14:paraId="64FB79BE" w14:textId="5FAC3832" w:rsidR="00F603A6" w:rsidRPr="00E53886" w:rsidRDefault="004D0470" w:rsidP="00AF665B">
      <w:pPr>
        <w:pStyle w:val="ListParagraph"/>
        <w:numPr>
          <w:ilvl w:val="0"/>
          <w:numId w:val="4"/>
        </w:numPr>
        <w:spacing w:after="240" w:line="240" w:lineRule="auto"/>
        <w:ind w:left="357" w:hanging="357"/>
        <w:contextualSpacing w:val="0"/>
        <w:jc w:val="both"/>
        <w:rPr>
          <w:rFonts w:ascii="Garamond" w:hAnsi="Garamond"/>
        </w:rPr>
      </w:pPr>
      <w:r w:rsidRPr="00E53886">
        <w:rPr>
          <w:rFonts w:ascii="Garamond" w:hAnsi="Garamond"/>
        </w:rPr>
        <w:t>We examined the marginal effects of a change in the independent variables on volunteering behavior. Marginal effects indicate the change in probability that an individual will become a volunteer. For brevity, we focus on the organizational embeddedness variable only (full analysis is available upon request). The predicted probability of being a volunteer is .28 for an individual who is a member in a secular organization, while all other variables are held constant at their respective means. Members of religious organizations have a .05 predicted probability of being a volunteer.</w:t>
      </w:r>
    </w:p>
    <w:p w14:paraId="6E8B7125" w14:textId="6BCCABDB" w:rsidR="00137BE1" w:rsidRPr="00E53886" w:rsidRDefault="004D0470" w:rsidP="00E53886">
      <w:pPr>
        <w:pStyle w:val="ListParagraph"/>
        <w:numPr>
          <w:ilvl w:val="0"/>
          <w:numId w:val="4"/>
        </w:numPr>
        <w:spacing w:after="240" w:line="240" w:lineRule="auto"/>
        <w:ind w:left="357" w:hanging="357"/>
        <w:contextualSpacing w:val="0"/>
        <w:jc w:val="both"/>
        <w:rPr>
          <w:rFonts w:ascii="Garamond" w:hAnsi="Garamond"/>
        </w:rPr>
      </w:pPr>
      <w:r w:rsidRPr="00E53886">
        <w:rPr>
          <w:rFonts w:ascii="Garamond" w:hAnsi="Garamond" w:cs="Arial"/>
          <w:szCs w:val="20"/>
        </w:rPr>
        <w:t xml:space="preserve">We replicated the </w:t>
      </w:r>
      <w:r w:rsidR="0051556A" w:rsidRPr="00E53886">
        <w:rPr>
          <w:rFonts w:ascii="Garamond" w:hAnsi="Garamond" w:cs="Arial"/>
          <w:szCs w:val="20"/>
        </w:rPr>
        <w:t xml:space="preserve">regression </w:t>
      </w:r>
      <w:r w:rsidRPr="00E53886">
        <w:rPr>
          <w:rFonts w:ascii="Garamond" w:hAnsi="Garamond" w:cs="Arial"/>
          <w:szCs w:val="20"/>
        </w:rPr>
        <w:t xml:space="preserve">analysis as displayed in Table 3 on the non-immigrant subsample (without </w:t>
      </w:r>
      <w:r w:rsidR="0051556A" w:rsidRPr="00E53886">
        <w:rPr>
          <w:rFonts w:ascii="Garamond" w:hAnsi="Garamond" w:cs="Arial"/>
          <w:szCs w:val="20"/>
        </w:rPr>
        <w:t>the cultural capital variables time since migration and country of birth</w:t>
      </w:r>
      <w:r w:rsidRPr="00E53886">
        <w:rPr>
          <w:rFonts w:ascii="Garamond" w:hAnsi="Garamond" w:cs="Arial"/>
          <w:szCs w:val="20"/>
        </w:rPr>
        <w:t xml:space="preserve">). Findings are comparable to those presented in Table 3. In particular, secular membership (OR=7.03, </w:t>
      </w:r>
      <w:r w:rsidRPr="00E53886">
        <w:rPr>
          <w:rFonts w:ascii="Garamond" w:hAnsi="Garamond"/>
        </w:rPr>
        <w:t xml:space="preserve">p&lt;.0000), religious membership (OR=1.34, p=.02), interest in politics (OR=1.44, p&lt;.0000), </w:t>
      </w:r>
      <w:r w:rsidR="00137BE1" w:rsidRPr="00E53886">
        <w:rPr>
          <w:rFonts w:ascii="Garamond" w:hAnsi="Garamond"/>
        </w:rPr>
        <w:t xml:space="preserve">and </w:t>
      </w:r>
      <w:r w:rsidRPr="00E53886">
        <w:rPr>
          <w:rFonts w:ascii="Garamond" w:hAnsi="Garamond"/>
        </w:rPr>
        <w:t>social network</w:t>
      </w:r>
      <w:r w:rsidR="008E42FF" w:rsidRPr="00E53886">
        <w:rPr>
          <w:rFonts w:ascii="Garamond" w:hAnsi="Garamond"/>
        </w:rPr>
        <w:t>s</w:t>
      </w:r>
      <w:r w:rsidRPr="00E53886">
        <w:rPr>
          <w:rFonts w:ascii="Garamond" w:hAnsi="Garamond"/>
        </w:rPr>
        <w:t xml:space="preserve"> (OR=1.69, p&lt;.0000)</w:t>
      </w:r>
      <w:r w:rsidR="00137BE1" w:rsidRPr="00E53886">
        <w:rPr>
          <w:rFonts w:ascii="Garamond" w:hAnsi="Garamond"/>
        </w:rPr>
        <w:t xml:space="preserve"> </w:t>
      </w:r>
      <w:r w:rsidRPr="00E53886">
        <w:rPr>
          <w:rFonts w:ascii="Garamond" w:hAnsi="Garamond"/>
        </w:rPr>
        <w:t>were significant explanatory variables.</w:t>
      </w:r>
      <w:r w:rsidRPr="00E53886">
        <w:rPr>
          <w:rFonts w:ascii="Garamond" w:hAnsi="Garamond" w:cs="Arial"/>
          <w:szCs w:val="20"/>
        </w:rPr>
        <w:t xml:space="preserve"> </w:t>
      </w:r>
      <w:r w:rsidR="009A3E9D" w:rsidRPr="00E53886">
        <w:rPr>
          <w:rFonts w:ascii="Garamond" w:hAnsi="Garamond" w:cs="Arial"/>
          <w:szCs w:val="20"/>
        </w:rPr>
        <w:t>Unlike the immigrant sample</w:t>
      </w:r>
      <w:r w:rsidRPr="00E53886">
        <w:rPr>
          <w:rFonts w:ascii="Garamond" w:hAnsi="Garamond" w:cs="Arial"/>
          <w:szCs w:val="20"/>
        </w:rPr>
        <w:t>, age (OR=1.08, p=.003), age2 (OR=.999,</w:t>
      </w:r>
      <w:r w:rsidRPr="00E53886">
        <w:rPr>
          <w:rFonts w:ascii="Garamond" w:hAnsi="Garamond"/>
        </w:rPr>
        <w:t xml:space="preserve"> p&lt;.0000), and employment status (OR=.71, p=.02)</w:t>
      </w:r>
      <w:r w:rsidRPr="00E53886">
        <w:rPr>
          <w:rFonts w:ascii="Garamond" w:hAnsi="Garamond" w:cs="Arial"/>
          <w:szCs w:val="20"/>
        </w:rPr>
        <w:t xml:space="preserve"> </w:t>
      </w:r>
      <w:r w:rsidR="009A3E9D" w:rsidRPr="00E53886">
        <w:rPr>
          <w:rFonts w:ascii="Garamond" w:hAnsi="Garamond" w:cs="Arial"/>
          <w:szCs w:val="20"/>
        </w:rPr>
        <w:t xml:space="preserve">also </w:t>
      </w:r>
      <w:r w:rsidRPr="00E53886">
        <w:rPr>
          <w:rFonts w:ascii="Garamond" w:hAnsi="Garamond" w:cs="Arial"/>
          <w:szCs w:val="20"/>
        </w:rPr>
        <w:t>predict volunteer proclivity</w:t>
      </w:r>
      <w:r w:rsidR="009A3E9D" w:rsidRPr="00E53886">
        <w:rPr>
          <w:rFonts w:ascii="Garamond" w:hAnsi="Garamond" w:cs="Arial"/>
          <w:szCs w:val="20"/>
        </w:rPr>
        <w:t xml:space="preserve"> among non-immigrants in Germany</w:t>
      </w:r>
      <w:r w:rsidRPr="00E53886">
        <w:rPr>
          <w:rFonts w:ascii="Garamond" w:hAnsi="Garamond" w:cs="Arial"/>
          <w:szCs w:val="20"/>
        </w:rPr>
        <w:t>, whereas education does not have an effect (OR=1.21, p=.21).</w:t>
      </w:r>
      <w:r w:rsidR="008E42FF" w:rsidRPr="00E53886">
        <w:rPr>
          <w:rFonts w:ascii="Garamond" w:hAnsi="Garamond" w:cs="Arial"/>
          <w:szCs w:val="20"/>
        </w:rPr>
        <w:t xml:space="preserve"> </w:t>
      </w:r>
      <w:r w:rsidR="003E75AD" w:rsidRPr="00E53886">
        <w:rPr>
          <w:rFonts w:ascii="Garamond" w:hAnsi="Garamond"/>
          <w:szCs w:val="20"/>
        </w:rPr>
        <w:t>These are similar trends yet less pronounced (lower effect sizes) compared to the model of the immigrant population in the sample</w:t>
      </w:r>
      <w:r w:rsidR="009D10C3" w:rsidRPr="00E53886">
        <w:rPr>
          <w:rFonts w:ascii="Garamond" w:hAnsi="Garamond" w:cs="Arial"/>
          <w:szCs w:val="20"/>
        </w:rPr>
        <w:t xml:space="preserve">. </w:t>
      </w:r>
    </w:p>
    <w:p w14:paraId="25E9D437" w14:textId="77777777" w:rsidR="00E53886" w:rsidRPr="00E53886" w:rsidRDefault="00E53886" w:rsidP="00E53886">
      <w:pPr>
        <w:spacing w:after="240" w:line="240" w:lineRule="auto"/>
        <w:ind w:firstLine="0"/>
        <w:jc w:val="both"/>
      </w:pPr>
    </w:p>
    <w:p w14:paraId="49E50F9D" w14:textId="77777777" w:rsidR="004435B6" w:rsidRPr="00AA2D5C" w:rsidRDefault="004435B6" w:rsidP="004435B6">
      <w:pPr>
        <w:spacing w:after="240"/>
        <w:ind w:firstLine="0"/>
        <w:jc w:val="both"/>
        <w:rPr>
          <w:u w:val="single"/>
        </w:rPr>
      </w:pPr>
      <w:r w:rsidRPr="00AA2D5C">
        <w:rPr>
          <w:u w:val="single"/>
        </w:rPr>
        <w:t>References</w:t>
      </w:r>
    </w:p>
    <w:p w14:paraId="3186DFDA" w14:textId="148BBC6F" w:rsidR="004435B6" w:rsidRPr="004435B6" w:rsidRDefault="004435B6" w:rsidP="004435B6">
      <w:pPr>
        <w:pStyle w:val="EndNoteBibliography"/>
        <w:ind w:left="720" w:hanging="720"/>
        <w:rPr>
          <w:noProof/>
        </w:rPr>
      </w:pPr>
      <w:r>
        <w:fldChar w:fldCharType="begin"/>
      </w:r>
      <w:r>
        <w:instrText xml:space="preserve"> ADDIN EN.REFLIST </w:instrText>
      </w:r>
      <w:r>
        <w:fldChar w:fldCharType="separate"/>
      </w:r>
      <w:r w:rsidR="00685AD8">
        <w:rPr>
          <w:noProof/>
        </w:rPr>
        <w:t>Bryson, A., Dorsett, R. and Purdon, S. (2002)</w:t>
      </w:r>
      <w:r w:rsidRPr="004435B6">
        <w:rPr>
          <w:noProof/>
        </w:rPr>
        <w:t xml:space="preserve"> </w:t>
      </w:r>
      <w:r w:rsidRPr="00685AD8">
        <w:rPr>
          <w:i/>
          <w:iCs/>
          <w:noProof/>
        </w:rPr>
        <w:t>The use of propensity score matching in the evaluation of active labour market policies</w:t>
      </w:r>
      <w:r w:rsidRPr="004435B6">
        <w:rPr>
          <w:noProof/>
        </w:rPr>
        <w:t>. London: Policy Studies Institute and National Centre for Social Research.</w:t>
      </w:r>
    </w:p>
    <w:p w14:paraId="637906CB" w14:textId="1EFAF8D6" w:rsidR="004435B6" w:rsidRPr="004435B6" w:rsidRDefault="00685AD8" w:rsidP="004435B6">
      <w:pPr>
        <w:pStyle w:val="EndNoteBibliography"/>
        <w:ind w:left="720" w:hanging="720"/>
        <w:rPr>
          <w:noProof/>
        </w:rPr>
      </w:pPr>
      <w:r>
        <w:rPr>
          <w:noProof/>
        </w:rPr>
        <w:t>Caliendo, M. and Kopeinig, S. (2008)</w:t>
      </w:r>
      <w:r w:rsidR="004435B6" w:rsidRPr="004435B6">
        <w:rPr>
          <w:noProof/>
        </w:rPr>
        <w:t xml:space="preserve"> </w:t>
      </w:r>
      <w:r>
        <w:rPr>
          <w:noProof/>
        </w:rPr>
        <w:t>'</w:t>
      </w:r>
      <w:r w:rsidR="004435B6" w:rsidRPr="004435B6">
        <w:rPr>
          <w:noProof/>
        </w:rPr>
        <w:t>Some practical guidance for the implementation of propensity score matching</w:t>
      </w:r>
      <w:r>
        <w:rPr>
          <w:noProof/>
        </w:rPr>
        <w:t>',</w:t>
      </w:r>
      <w:r w:rsidR="004435B6" w:rsidRPr="004435B6">
        <w:rPr>
          <w:noProof/>
        </w:rPr>
        <w:t xml:space="preserve"> </w:t>
      </w:r>
      <w:r w:rsidR="004435B6" w:rsidRPr="004435B6">
        <w:rPr>
          <w:i/>
          <w:noProof/>
        </w:rPr>
        <w:t xml:space="preserve">Journal of Economic Surveys, </w:t>
      </w:r>
      <w:r w:rsidR="004435B6" w:rsidRPr="00685AD8">
        <w:rPr>
          <w:iCs/>
          <w:noProof/>
        </w:rPr>
        <w:t>22</w:t>
      </w:r>
      <w:r>
        <w:rPr>
          <w:noProof/>
        </w:rPr>
        <w:t>, 1</w:t>
      </w:r>
      <w:r w:rsidR="004435B6" w:rsidRPr="004435B6">
        <w:rPr>
          <w:noProof/>
        </w:rPr>
        <w:t xml:space="preserve">, 31-72. </w:t>
      </w:r>
    </w:p>
    <w:p w14:paraId="7977B247" w14:textId="113CC5B2" w:rsidR="004435B6" w:rsidRPr="004435B6" w:rsidRDefault="004435B6" w:rsidP="004435B6">
      <w:pPr>
        <w:spacing w:after="240"/>
        <w:ind w:firstLine="0"/>
        <w:jc w:val="both"/>
      </w:pPr>
      <w:r>
        <w:fldChar w:fldCharType="end"/>
      </w:r>
    </w:p>
    <w:sectPr w:rsidR="004435B6" w:rsidRPr="004435B6" w:rsidSect="004B49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D4EFF" w14:textId="77777777" w:rsidR="001571C9" w:rsidRDefault="001571C9">
      <w:pPr>
        <w:spacing w:line="240" w:lineRule="auto"/>
      </w:pPr>
      <w:r>
        <w:separator/>
      </w:r>
    </w:p>
  </w:endnote>
  <w:endnote w:type="continuationSeparator" w:id="0">
    <w:p w14:paraId="18D5165A" w14:textId="77777777" w:rsidR="001571C9" w:rsidRDefault="00157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D9B26" w14:textId="77777777" w:rsidR="006325B7" w:rsidRDefault="00316E94" w:rsidP="00E941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B5ECED" w14:textId="77777777" w:rsidR="006325B7" w:rsidRDefault="001571C9" w:rsidP="00A85AC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F6C0" w14:textId="77777777" w:rsidR="006325B7" w:rsidRDefault="00316E94" w:rsidP="00E941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71C9">
      <w:rPr>
        <w:rStyle w:val="PageNumber"/>
        <w:noProof/>
      </w:rPr>
      <w:t>1</w:t>
    </w:r>
    <w:r>
      <w:rPr>
        <w:rStyle w:val="PageNumber"/>
      </w:rPr>
      <w:fldChar w:fldCharType="end"/>
    </w:r>
  </w:p>
  <w:p w14:paraId="4846DA5F" w14:textId="77777777" w:rsidR="006325B7" w:rsidRDefault="001571C9" w:rsidP="00A85AC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0A458" w14:textId="77777777" w:rsidR="001571C9" w:rsidRDefault="001571C9">
      <w:pPr>
        <w:spacing w:line="240" w:lineRule="auto"/>
      </w:pPr>
      <w:r>
        <w:separator/>
      </w:r>
    </w:p>
  </w:footnote>
  <w:footnote w:type="continuationSeparator" w:id="0">
    <w:p w14:paraId="230AA4FA" w14:textId="77777777" w:rsidR="001571C9" w:rsidRDefault="001571C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234E9" w14:textId="77777777" w:rsidR="006325B7" w:rsidRDefault="00316E94" w:rsidP="005B6565">
    <w:pPr>
      <w:pStyle w:val="Header"/>
      <w:ind w:firstLine="0"/>
    </w:pPr>
    <w:r>
      <w:t xml:space="preserve">RUNNING HEAD: ENHANCING INCLUSION THROUGH IMMIGRANT VOLUNTEERING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53A7E"/>
    <w:multiLevelType w:val="hybridMultilevel"/>
    <w:tmpl w:val="23024A9A"/>
    <w:lvl w:ilvl="0" w:tplc="B6CAE974">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5EB116C"/>
    <w:multiLevelType w:val="hybridMultilevel"/>
    <w:tmpl w:val="A06CE120"/>
    <w:lvl w:ilvl="0" w:tplc="719CF9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B8A34DE"/>
    <w:multiLevelType w:val="hybridMultilevel"/>
    <w:tmpl w:val="BF4A1E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FE30552"/>
    <w:multiLevelType w:val="hybridMultilevel"/>
    <w:tmpl w:val="2708E55C"/>
    <w:lvl w:ilvl="0" w:tplc="B2363D3C">
      <w:start w:val="1"/>
      <w:numFmt w:val="decimal"/>
      <w:lvlText w:val="(%1)"/>
      <w:lvlJc w:val="left"/>
      <w:pPr>
        <w:ind w:left="360" w:hanging="360"/>
      </w:pPr>
      <w:rPr>
        <w:rFonts w:ascii="Garamond" w:hAnsi="Garamon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PA 6th&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2905dt9re5v8efdwq5xevodrf0xfarsvx2&quot;&gt;My EndNote Library-Saved-Saved&lt;record-ids&gt;&lt;item&gt;1506&lt;/item&gt;&lt;item&gt;1507&lt;/item&gt;&lt;/record-ids&gt;&lt;/item&gt;&lt;/Libraries&gt;"/>
  </w:docVars>
  <w:rsids>
    <w:rsidRoot w:val="000863A4"/>
    <w:rsid w:val="000863A4"/>
    <w:rsid w:val="000A7F37"/>
    <w:rsid w:val="00135740"/>
    <w:rsid w:val="00137BE1"/>
    <w:rsid w:val="001571C9"/>
    <w:rsid w:val="001751FE"/>
    <w:rsid w:val="001C5E75"/>
    <w:rsid w:val="002A095B"/>
    <w:rsid w:val="002D414D"/>
    <w:rsid w:val="00316E94"/>
    <w:rsid w:val="003E75AD"/>
    <w:rsid w:val="004232F1"/>
    <w:rsid w:val="00430596"/>
    <w:rsid w:val="004435B6"/>
    <w:rsid w:val="00494ED9"/>
    <w:rsid w:val="004A3737"/>
    <w:rsid w:val="004A5E93"/>
    <w:rsid w:val="004D0470"/>
    <w:rsid w:val="00500C37"/>
    <w:rsid w:val="0051556A"/>
    <w:rsid w:val="00624468"/>
    <w:rsid w:val="00654509"/>
    <w:rsid w:val="00676BA4"/>
    <w:rsid w:val="00685AD8"/>
    <w:rsid w:val="007907AD"/>
    <w:rsid w:val="007A672A"/>
    <w:rsid w:val="007D16EF"/>
    <w:rsid w:val="007F48A5"/>
    <w:rsid w:val="008003AC"/>
    <w:rsid w:val="008546D7"/>
    <w:rsid w:val="008B2EB4"/>
    <w:rsid w:val="008E42FF"/>
    <w:rsid w:val="009520B4"/>
    <w:rsid w:val="009525CB"/>
    <w:rsid w:val="00982B38"/>
    <w:rsid w:val="009A3E9D"/>
    <w:rsid w:val="009D10C3"/>
    <w:rsid w:val="00A450A9"/>
    <w:rsid w:val="00A80BFE"/>
    <w:rsid w:val="00AA2D5C"/>
    <w:rsid w:val="00AF665B"/>
    <w:rsid w:val="00B03398"/>
    <w:rsid w:val="00BA0C1E"/>
    <w:rsid w:val="00BA1690"/>
    <w:rsid w:val="00BC4BDD"/>
    <w:rsid w:val="00C329F0"/>
    <w:rsid w:val="00CD7806"/>
    <w:rsid w:val="00D35C19"/>
    <w:rsid w:val="00D61268"/>
    <w:rsid w:val="00D65E8A"/>
    <w:rsid w:val="00E15A3E"/>
    <w:rsid w:val="00E22DAA"/>
    <w:rsid w:val="00E526A2"/>
    <w:rsid w:val="00E53886"/>
    <w:rsid w:val="00EC6EE1"/>
    <w:rsid w:val="00ED633A"/>
    <w:rsid w:val="00F151E6"/>
    <w:rsid w:val="00F465F1"/>
    <w:rsid w:val="00F603A6"/>
    <w:rsid w:val="00F93364"/>
    <w:rsid w:val="00FA3B41"/>
    <w:rsid w:val="00FB563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BB36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63A4"/>
    <w:pPr>
      <w:spacing w:line="360" w:lineRule="auto"/>
      <w:ind w:firstLine="720"/>
    </w:pPr>
    <w:rPr>
      <w:rFonts w:ascii="Garamond" w:eastAsiaTheme="minorEastAsia"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3A4"/>
    <w:pPr>
      <w:ind w:left="720"/>
      <w:contextualSpacing/>
    </w:pPr>
    <w:rPr>
      <w:rFonts w:asciiTheme="minorHAnsi" w:hAnsiTheme="minorHAnsi"/>
    </w:rPr>
  </w:style>
  <w:style w:type="paragraph" w:styleId="Caption">
    <w:name w:val="caption"/>
    <w:basedOn w:val="Normal"/>
    <w:next w:val="Normal"/>
    <w:uiPriority w:val="35"/>
    <w:unhideWhenUsed/>
    <w:qFormat/>
    <w:rsid w:val="000863A4"/>
    <w:pPr>
      <w:spacing w:after="200" w:line="240" w:lineRule="auto"/>
    </w:pPr>
    <w:rPr>
      <w:iCs/>
      <w:szCs w:val="18"/>
    </w:rPr>
  </w:style>
  <w:style w:type="paragraph" w:styleId="Footer">
    <w:name w:val="footer"/>
    <w:basedOn w:val="Normal"/>
    <w:link w:val="FooterChar"/>
    <w:uiPriority w:val="99"/>
    <w:unhideWhenUsed/>
    <w:rsid w:val="00316E94"/>
    <w:pPr>
      <w:tabs>
        <w:tab w:val="center" w:pos="4680"/>
        <w:tab w:val="right" w:pos="9360"/>
      </w:tabs>
      <w:spacing w:line="240" w:lineRule="auto"/>
    </w:pPr>
  </w:style>
  <w:style w:type="character" w:customStyle="1" w:styleId="FooterChar">
    <w:name w:val="Footer Char"/>
    <w:basedOn w:val="DefaultParagraphFont"/>
    <w:link w:val="Footer"/>
    <w:uiPriority w:val="99"/>
    <w:rsid w:val="00316E94"/>
    <w:rPr>
      <w:rFonts w:ascii="Garamond" w:eastAsiaTheme="minorEastAsia" w:hAnsi="Garamond"/>
    </w:rPr>
  </w:style>
  <w:style w:type="character" w:styleId="PageNumber">
    <w:name w:val="page number"/>
    <w:basedOn w:val="DefaultParagraphFont"/>
    <w:uiPriority w:val="99"/>
    <w:semiHidden/>
    <w:unhideWhenUsed/>
    <w:rsid w:val="00316E94"/>
  </w:style>
  <w:style w:type="paragraph" w:styleId="Header">
    <w:name w:val="header"/>
    <w:basedOn w:val="Normal"/>
    <w:link w:val="HeaderChar"/>
    <w:uiPriority w:val="99"/>
    <w:unhideWhenUsed/>
    <w:rsid w:val="00316E94"/>
    <w:pPr>
      <w:tabs>
        <w:tab w:val="center" w:pos="4680"/>
        <w:tab w:val="right" w:pos="9360"/>
      </w:tabs>
      <w:spacing w:line="240" w:lineRule="auto"/>
    </w:pPr>
  </w:style>
  <w:style w:type="character" w:customStyle="1" w:styleId="HeaderChar">
    <w:name w:val="Header Char"/>
    <w:basedOn w:val="DefaultParagraphFont"/>
    <w:link w:val="Header"/>
    <w:uiPriority w:val="99"/>
    <w:rsid w:val="00316E94"/>
    <w:rPr>
      <w:rFonts w:ascii="Garamond" w:eastAsiaTheme="minorEastAsia" w:hAnsi="Garamond"/>
    </w:rPr>
  </w:style>
  <w:style w:type="character" w:styleId="CommentReference">
    <w:name w:val="annotation reference"/>
    <w:basedOn w:val="DefaultParagraphFont"/>
    <w:uiPriority w:val="99"/>
    <w:semiHidden/>
    <w:unhideWhenUsed/>
    <w:rsid w:val="004D0470"/>
    <w:rPr>
      <w:sz w:val="18"/>
      <w:szCs w:val="18"/>
    </w:rPr>
  </w:style>
  <w:style w:type="paragraph" w:styleId="CommentText">
    <w:name w:val="annotation text"/>
    <w:basedOn w:val="Normal"/>
    <w:link w:val="CommentTextChar"/>
    <w:uiPriority w:val="99"/>
    <w:unhideWhenUsed/>
    <w:rsid w:val="004D0470"/>
    <w:rPr>
      <w:rFonts w:asciiTheme="minorHAnsi" w:hAnsiTheme="minorHAnsi"/>
    </w:rPr>
  </w:style>
  <w:style w:type="character" w:customStyle="1" w:styleId="CommentTextChar">
    <w:name w:val="Comment Text Char"/>
    <w:basedOn w:val="DefaultParagraphFont"/>
    <w:link w:val="CommentText"/>
    <w:uiPriority w:val="99"/>
    <w:rsid w:val="004D0470"/>
    <w:rPr>
      <w:rFonts w:eastAsiaTheme="minorEastAsia"/>
    </w:rPr>
  </w:style>
  <w:style w:type="paragraph" w:styleId="BalloonText">
    <w:name w:val="Balloon Text"/>
    <w:basedOn w:val="Normal"/>
    <w:link w:val="BalloonTextChar"/>
    <w:uiPriority w:val="99"/>
    <w:semiHidden/>
    <w:unhideWhenUsed/>
    <w:rsid w:val="004D047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0470"/>
    <w:rPr>
      <w:rFonts w:ascii="Times New Roman" w:eastAsiaTheme="minorEastAsia" w:hAnsi="Times New Roman" w:cs="Times New Roman"/>
      <w:sz w:val="18"/>
      <w:szCs w:val="18"/>
    </w:rPr>
  </w:style>
  <w:style w:type="paragraph" w:customStyle="1" w:styleId="EndNoteBibliographyTitle">
    <w:name w:val="EndNote Bibliography Title"/>
    <w:basedOn w:val="Normal"/>
    <w:rsid w:val="004435B6"/>
    <w:pPr>
      <w:jc w:val="center"/>
    </w:pPr>
  </w:style>
  <w:style w:type="paragraph" w:customStyle="1" w:styleId="EndNoteBibliography">
    <w:name w:val="EndNote Bibliography"/>
    <w:basedOn w:val="Normal"/>
    <w:rsid w:val="004435B6"/>
    <w:pPr>
      <w:spacing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1719</Words>
  <Characters>9889</Characters>
  <Application>Microsoft Macintosh Word</Application>
  <DocSecurity>0</DocSecurity>
  <Lines>186</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itaygree@gmail.com</dc:creator>
  <cp:keywords/>
  <dc:description/>
  <cp:lastModifiedBy>itaygree@gmail.com</cp:lastModifiedBy>
  <cp:revision>2</cp:revision>
  <dcterms:created xsi:type="dcterms:W3CDTF">2018-02-19T23:05:00Z</dcterms:created>
  <dcterms:modified xsi:type="dcterms:W3CDTF">2018-02-19T23:05:00Z</dcterms:modified>
  <cp:category/>
</cp:coreProperties>
</file>