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304" w:rsidRPr="00F54592" w:rsidRDefault="00864304" w:rsidP="00864304">
      <w:pPr>
        <w:pageBreakBefore/>
        <w:spacing w:after="200" w:line="360" w:lineRule="auto"/>
        <w:rPr>
          <w:b/>
          <w:color w:val="000000" w:themeColor="text1"/>
          <w:sz w:val="26"/>
          <w:szCs w:val="26"/>
          <w:shd w:val="clear" w:color="auto" w:fill="FFFFFF"/>
        </w:rPr>
      </w:pPr>
      <w:r w:rsidRPr="00F54592">
        <w:rPr>
          <w:rFonts w:hint="eastAsia"/>
          <w:b/>
          <w:color w:val="000000" w:themeColor="text1"/>
          <w:sz w:val="26"/>
          <w:szCs w:val="26"/>
          <w:shd w:val="clear" w:color="auto" w:fill="FFFFFF"/>
        </w:rPr>
        <w:t>A</w:t>
      </w:r>
      <w:r w:rsidRPr="00F54592">
        <w:rPr>
          <w:b/>
          <w:color w:val="000000" w:themeColor="text1"/>
          <w:sz w:val="26"/>
          <w:szCs w:val="26"/>
          <w:shd w:val="clear" w:color="auto" w:fill="FFFFFF"/>
        </w:rPr>
        <w:t xml:space="preserve">ppendix Table A2. </w:t>
      </w:r>
      <w:r w:rsidRPr="00F54592">
        <w:rPr>
          <w:color w:val="000000" w:themeColor="text1"/>
          <w:sz w:val="26"/>
          <w:szCs w:val="26"/>
          <w:shd w:val="clear" w:color="auto" w:fill="FFFFFF"/>
        </w:rPr>
        <w:t>De</w:t>
      </w:r>
      <w:bookmarkStart w:id="0" w:name="_GoBack"/>
      <w:bookmarkEnd w:id="0"/>
      <w:r w:rsidRPr="00F54592">
        <w:rPr>
          <w:color w:val="000000" w:themeColor="text1"/>
          <w:sz w:val="26"/>
          <w:szCs w:val="26"/>
          <w:shd w:val="clear" w:color="auto" w:fill="FFFFFF"/>
        </w:rPr>
        <w:t>scriptives of the country-level variables</w:t>
      </w:r>
    </w:p>
    <w:tbl>
      <w:tblPr>
        <w:tblW w:w="8626" w:type="dxa"/>
        <w:jc w:val="center"/>
        <w:tblBorders>
          <w:top w:val="single" w:sz="4" w:space="0" w:color="auto"/>
          <w:bottom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271"/>
        <w:gridCol w:w="1225"/>
        <w:gridCol w:w="1226"/>
        <w:gridCol w:w="1226"/>
        <w:gridCol w:w="1226"/>
        <w:gridCol w:w="1226"/>
        <w:gridCol w:w="1226"/>
      </w:tblGrid>
      <w:tr w:rsidR="00F54592" w:rsidRPr="00F54592" w:rsidTr="009E6854">
        <w:trPr>
          <w:cantSplit/>
          <w:trHeight w:val="525"/>
          <w:jc w:val="center"/>
        </w:trPr>
        <w:tc>
          <w:tcPr>
            <w:tcW w:w="127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Country</w:t>
            </w:r>
          </w:p>
        </w:tc>
        <w:tc>
          <w:tcPr>
            <w:tcW w:w="3677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Unemployment benefit</w:t>
            </w:r>
          </w:p>
        </w:tc>
        <w:tc>
          <w:tcPr>
            <w:tcW w:w="1226" w:type="dxa"/>
            <w:vMerge w:val="restart"/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Social Expenditure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(2011-2015)</w:t>
            </w:r>
          </w:p>
        </w:tc>
        <w:tc>
          <w:tcPr>
            <w:tcW w:w="1226" w:type="dxa"/>
            <w:vMerge w:val="restart"/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GDP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per capita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(2015, US$)</w:t>
            </w:r>
          </w:p>
        </w:tc>
        <w:tc>
          <w:tcPr>
            <w:tcW w:w="1226" w:type="dxa"/>
            <w:vMerge w:val="restart"/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Population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(2016)</w:t>
            </w:r>
          </w:p>
        </w:tc>
      </w:tr>
      <w:tr w:rsidR="00F54592" w:rsidRPr="00F54592" w:rsidTr="00864304">
        <w:trPr>
          <w:cantSplit/>
          <w:trHeight w:val="525"/>
          <w:jc w:val="center"/>
        </w:trPr>
        <w:tc>
          <w:tcPr>
            <w:tcW w:w="127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25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Net replacement rate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(2015)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Payment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duration</w:t>
            </w:r>
          </w:p>
          <w:p w:rsidR="00B84A20" w:rsidRPr="00F54592" w:rsidRDefault="00864304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(2014</w:t>
            </w:r>
            <w:r w:rsidR="00B84A20"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, months</w:t>
            </w: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2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Qualifying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period</w:t>
            </w:r>
          </w:p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(2014</w:t>
            </w:r>
            <w:r w:rsidR="00B84A20"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, months</w:t>
            </w: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1226" w:type="dxa"/>
            <w:vMerge/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26" w:type="dxa"/>
            <w:vMerge/>
            <w:vAlign w:val="center"/>
          </w:tcPr>
          <w:p w:rsidR="00864304" w:rsidRPr="00F54592" w:rsidRDefault="00864304" w:rsidP="00864304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Austria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67.66%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29.44%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$44,206.78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8,700,471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Belgium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69.83%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99*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39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29.98%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$40,361.15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11,311,117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Czech</w:t>
            </w:r>
          </w:p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Republic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74.03%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19.88%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$17,715.62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10,553,843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Estonia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64.04%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15.28%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$17,155.87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1,315,944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Finland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74.35%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7.85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30.72%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$42,424.22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5,487,308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France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75.35%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33.94%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$36,613.38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66,730,453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Germany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73.36%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28.84%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$41,323.92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82,175,684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Hungary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58.26%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20.58%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$12,483.87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9,830,485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Iceland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64.16%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22.82%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$51,213.66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332,529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Ireland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51.07%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21.36%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$61,807.67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4,726,286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Italy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74.27%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29.48%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$30,180.32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60,665,551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Lithuania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64.30%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15.92%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$14,289.12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2,888,558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Netherlands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76.60%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26" w:type="dxa"/>
            <w:tcBorders>
              <w:bottom w:val="nil"/>
            </w:tcBorders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30.36%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$44,746.33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16,979,120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Norway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72.89%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25.66%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$74,498.14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5,213,985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Poland</w:t>
            </w: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  <w:vertAlign w:val="superscript"/>
              </w:rPr>
              <w:t>†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48.61%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</w:tcBorders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19.03%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$12,566.48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37,967,209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Portugal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82.86%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26.48%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$19,252.63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10,341,330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Slovenia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74.91%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24.34%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$20,873.16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2,064,188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Spain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68.50%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25.32%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$25,789.52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46,440,099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Sweden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54.43%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13.85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29.48%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$50,812.19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9,851,017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Switzerland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81.84%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18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26.96%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$82,016.02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8,327,126</w:t>
            </w:r>
          </w:p>
        </w:tc>
      </w:tr>
      <w:tr w:rsidR="00F54592" w:rsidRPr="00F54592" w:rsidTr="00B84A20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United Kingdom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  <w:hideMark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34.93%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28.24%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$44,305.55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65,382,556</w:t>
            </w:r>
          </w:p>
        </w:tc>
      </w:tr>
      <w:tr w:rsidR="00F54592" w:rsidRPr="00F54592" w:rsidTr="00864304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 w:hint="eastAsia"/>
                <w:bCs/>
                <w:color w:val="000000" w:themeColor="text1"/>
                <w:sz w:val="18"/>
                <w:szCs w:val="18"/>
              </w:rPr>
              <w:t>M</w:t>
            </w: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ean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 w:hint="eastAsia"/>
                <w:color w:val="000000" w:themeColor="text1"/>
                <w:sz w:val="18"/>
                <w:szCs w:val="18"/>
              </w:rPr>
              <w:t>66.96%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E19E2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19.56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E19E2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11.90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 w:hint="eastAsia"/>
                <w:color w:val="000000" w:themeColor="text1"/>
                <w:sz w:val="18"/>
                <w:szCs w:val="18"/>
              </w:rPr>
              <w:t>25.43%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 xml:space="preserve">$37,363.60 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22,251,660</w:t>
            </w:r>
          </w:p>
        </w:tc>
      </w:tr>
      <w:tr w:rsidR="00F54592" w:rsidRPr="00F54592" w:rsidTr="00864304">
        <w:trPr>
          <w:cantSplit/>
          <w:trHeight w:val="425"/>
          <w:jc w:val="center"/>
        </w:trPr>
        <w:tc>
          <w:tcPr>
            <w:tcW w:w="127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bCs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bCs/>
                <w:color w:val="000000" w:themeColor="text1"/>
                <w:sz w:val="18"/>
                <w:szCs w:val="18"/>
              </w:rPr>
              <w:t>Std. Dev</w:t>
            </w:r>
          </w:p>
        </w:tc>
        <w:tc>
          <w:tcPr>
            <w:tcW w:w="1225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 w:hint="eastAsia"/>
                <w:color w:val="000000" w:themeColor="text1"/>
                <w:sz w:val="18"/>
                <w:szCs w:val="18"/>
              </w:rPr>
              <w:t>11.87%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E19E2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19.95</w:t>
            </w:r>
          </w:p>
        </w:tc>
        <w:tc>
          <w:tcPr>
            <w:tcW w:w="1226" w:type="dxa"/>
            <w:shd w:val="clear" w:color="auto" w:fill="auto"/>
            <w:noWrap/>
            <w:tcMar>
              <w:left w:w="28" w:type="dxa"/>
              <w:right w:w="28" w:type="dxa"/>
            </w:tcMar>
            <w:vAlign w:val="center"/>
          </w:tcPr>
          <w:p w:rsidR="00B84A20" w:rsidRPr="00F54592" w:rsidRDefault="00BE19E2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7.98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 w:hint="eastAsia"/>
                <w:color w:val="000000" w:themeColor="text1"/>
                <w:sz w:val="18"/>
                <w:szCs w:val="18"/>
              </w:rPr>
              <w:t>5.15%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 xml:space="preserve">$19,861.53 </w:t>
            </w:r>
          </w:p>
        </w:tc>
        <w:tc>
          <w:tcPr>
            <w:tcW w:w="1226" w:type="dxa"/>
            <w:vAlign w:val="center"/>
          </w:tcPr>
          <w:p w:rsidR="00B84A20" w:rsidRPr="00F54592" w:rsidRDefault="00B84A20" w:rsidP="00B84A20">
            <w:pPr>
              <w:spacing w:line="240" w:lineRule="auto"/>
              <w:jc w:val="center"/>
              <w:rPr>
                <w:rFonts w:eastAsia="Malgun Gothic"/>
                <w:color w:val="000000" w:themeColor="text1"/>
                <w:sz w:val="18"/>
                <w:szCs w:val="18"/>
              </w:rPr>
            </w:pPr>
            <w:r w:rsidRPr="00F54592">
              <w:rPr>
                <w:rFonts w:eastAsia="Malgun Gothic"/>
                <w:color w:val="000000" w:themeColor="text1"/>
                <w:sz w:val="18"/>
                <w:szCs w:val="18"/>
              </w:rPr>
              <w:t>25,912,036</w:t>
            </w:r>
          </w:p>
        </w:tc>
      </w:tr>
    </w:tbl>
    <w:p w:rsidR="00864304" w:rsidRPr="00F54592" w:rsidRDefault="00864304" w:rsidP="00864304">
      <w:pPr>
        <w:spacing w:line="360" w:lineRule="auto"/>
        <w:ind w:left="720" w:hanging="720"/>
        <w:rPr>
          <w:color w:val="000000" w:themeColor="text1"/>
          <w:sz w:val="20"/>
          <w:szCs w:val="20"/>
          <w:shd w:val="clear" w:color="auto" w:fill="FFFFFF"/>
        </w:rPr>
      </w:pPr>
      <w:r w:rsidRPr="00F54592">
        <w:rPr>
          <w:color w:val="000000" w:themeColor="text1"/>
          <w:sz w:val="20"/>
          <w:szCs w:val="20"/>
          <w:shd w:val="clear" w:color="auto" w:fill="FFFFFF"/>
        </w:rPr>
        <w:t>† The social expenditure of Poland was calculated based on the data from 2011 to 2014.</w:t>
      </w:r>
    </w:p>
    <w:p w:rsidR="00864304" w:rsidRPr="00F54592" w:rsidRDefault="00B84A20" w:rsidP="00906BDB">
      <w:pPr>
        <w:spacing w:line="360" w:lineRule="auto"/>
        <w:rPr>
          <w:color w:val="000000" w:themeColor="text1"/>
          <w:sz w:val="20"/>
          <w:szCs w:val="20"/>
          <w:shd w:val="clear" w:color="auto" w:fill="FFFFFF"/>
        </w:rPr>
      </w:pPr>
      <w:r w:rsidRPr="00F54592">
        <w:rPr>
          <w:color w:val="000000" w:themeColor="text1"/>
          <w:sz w:val="20"/>
          <w:szCs w:val="20"/>
          <w:shd w:val="clear" w:color="auto" w:fill="FFFFFF"/>
        </w:rPr>
        <w:t>* The payment duration of unemployment benefit in Belgium is unlimited.</w:t>
      </w:r>
    </w:p>
    <w:p w:rsidR="00864304" w:rsidRDefault="00864304"/>
    <w:p w:rsidR="00864304" w:rsidRDefault="00864304"/>
    <w:sectPr w:rsidR="00864304" w:rsidSect="00FA58BB">
      <w:pgSz w:w="11906" w:h="16838"/>
      <w:pgMar w:top="1440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57C" w:rsidRDefault="006B557C" w:rsidP="003707DF">
      <w:pPr>
        <w:spacing w:line="240" w:lineRule="auto"/>
      </w:pPr>
      <w:r>
        <w:separator/>
      </w:r>
    </w:p>
  </w:endnote>
  <w:endnote w:type="continuationSeparator" w:id="0">
    <w:p w:rsidR="006B557C" w:rsidRDefault="006B557C" w:rsidP="003707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57C" w:rsidRDefault="006B557C" w:rsidP="003707DF">
      <w:pPr>
        <w:spacing w:line="240" w:lineRule="auto"/>
      </w:pPr>
      <w:r>
        <w:separator/>
      </w:r>
    </w:p>
  </w:footnote>
  <w:footnote w:type="continuationSeparator" w:id="0">
    <w:p w:rsidR="006B557C" w:rsidRDefault="006B557C" w:rsidP="003707D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D47DC"/>
    <w:multiLevelType w:val="hybridMultilevel"/>
    <w:tmpl w:val="A40E49EA"/>
    <w:lvl w:ilvl="0" w:tplc="36FEFD36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471894"/>
    <w:multiLevelType w:val="hybridMultilevel"/>
    <w:tmpl w:val="314A57EE"/>
    <w:lvl w:ilvl="0" w:tplc="F7307118">
      <w:start w:val="69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fi-FI" w:vendorID="64" w:dllVersion="131078" w:nlCheck="1" w:checkStyle="0"/>
  <w:activeWritingStyle w:appName="MSWord" w:lang="en-US" w:vendorID="64" w:dllVersion="131078" w:nlCheck="1" w:checkStyle="1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5DA5"/>
    <w:rsid w:val="00066878"/>
    <w:rsid w:val="00096E3E"/>
    <w:rsid w:val="000C1833"/>
    <w:rsid w:val="000F15E0"/>
    <w:rsid w:val="00136BF3"/>
    <w:rsid w:val="00144A33"/>
    <w:rsid w:val="00190882"/>
    <w:rsid w:val="001B79F9"/>
    <w:rsid w:val="002050E6"/>
    <w:rsid w:val="002100CE"/>
    <w:rsid w:val="00235B25"/>
    <w:rsid w:val="0024330D"/>
    <w:rsid w:val="0026579A"/>
    <w:rsid w:val="00355DA5"/>
    <w:rsid w:val="00361CBF"/>
    <w:rsid w:val="00362093"/>
    <w:rsid w:val="00362A87"/>
    <w:rsid w:val="003707DF"/>
    <w:rsid w:val="003C36AA"/>
    <w:rsid w:val="003F7F99"/>
    <w:rsid w:val="004914B5"/>
    <w:rsid w:val="006652A7"/>
    <w:rsid w:val="006B557C"/>
    <w:rsid w:val="00763749"/>
    <w:rsid w:val="007E7FCB"/>
    <w:rsid w:val="00846967"/>
    <w:rsid w:val="00864304"/>
    <w:rsid w:val="008B5FAD"/>
    <w:rsid w:val="00905670"/>
    <w:rsid w:val="00906BDB"/>
    <w:rsid w:val="00940A84"/>
    <w:rsid w:val="0096615E"/>
    <w:rsid w:val="00994115"/>
    <w:rsid w:val="009E6854"/>
    <w:rsid w:val="00AB49D3"/>
    <w:rsid w:val="00B06FEC"/>
    <w:rsid w:val="00B14CBE"/>
    <w:rsid w:val="00B5629C"/>
    <w:rsid w:val="00B6017B"/>
    <w:rsid w:val="00B839F6"/>
    <w:rsid w:val="00B84A20"/>
    <w:rsid w:val="00BB246D"/>
    <w:rsid w:val="00BB45C4"/>
    <w:rsid w:val="00BE19E2"/>
    <w:rsid w:val="00C16FC7"/>
    <w:rsid w:val="00C64D14"/>
    <w:rsid w:val="00C721E7"/>
    <w:rsid w:val="00D650C8"/>
    <w:rsid w:val="00D94FD5"/>
    <w:rsid w:val="00DB0921"/>
    <w:rsid w:val="00E21AD6"/>
    <w:rsid w:val="00F11F6F"/>
    <w:rsid w:val="00F51FC0"/>
    <w:rsid w:val="00F54592"/>
    <w:rsid w:val="00FA58BB"/>
    <w:rsid w:val="00F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2CFB6DFA-DD26-42E4-82DC-36B3A824A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355DA5"/>
    <w:pPr>
      <w:spacing w:line="276" w:lineRule="auto"/>
      <w:jc w:val="left"/>
    </w:pPr>
    <w:rPr>
      <w:rFonts w:ascii="Arial" w:hAnsi="Arial" w:cs="Arial"/>
      <w:kern w:val="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3707DF"/>
    <w:rPr>
      <w:rFonts w:ascii="Arial" w:hAnsi="Arial" w:cs="Arial"/>
      <w:kern w:val="0"/>
      <w:sz w:val="22"/>
    </w:rPr>
  </w:style>
  <w:style w:type="paragraph" w:styleId="Footer">
    <w:name w:val="footer"/>
    <w:basedOn w:val="Normal"/>
    <w:link w:val="FooterChar"/>
    <w:uiPriority w:val="99"/>
    <w:unhideWhenUsed/>
    <w:rsid w:val="003707D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3707DF"/>
    <w:rPr>
      <w:rFonts w:ascii="Arial" w:hAnsi="Arial" w:cs="Arial"/>
      <w:kern w:val="0"/>
      <w:sz w:val="22"/>
    </w:rPr>
  </w:style>
  <w:style w:type="paragraph" w:styleId="Caption">
    <w:name w:val="caption"/>
    <w:basedOn w:val="Normal"/>
    <w:next w:val="Normal"/>
    <w:uiPriority w:val="35"/>
    <w:unhideWhenUsed/>
    <w:qFormat/>
    <w:rsid w:val="00361CBF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6A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6AA"/>
    <w:rPr>
      <w:rFonts w:ascii="Segoe UI" w:hAnsi="Segoe UI" w:cs="Segoe UI"/>
      <w:kern w:val="0"/>
      <w:sz w:val="18"/>
      <w:szCs w:val="18"/>
    </w:rPr>
  </w:style>
  <w:style w:type="paragraph" w:styleId="ListParagraph">
    <w:name w:val="List Paragraph"/>
    <w:basedOn w:val="Normal"/>
    <w:uiPriority w:val="34"/>
    <w:qFormat/>
    <w:rsid w:val="00B84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9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0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4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C6D7E-1FF1-47E4-B266-B776C3B29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1435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Otsikko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Young Kyu Shin</dc:creator>
  <cp:lastModifiedBy>Shin, Young K</cp:lastModifiedBy>
  <cp:revision>2</cp:revision>
  <dcterms:created xsi:type="dcterms:W3CDTF">2019-11-06T14:02:00Z</dcterms:created>
  <dcterms:modified xsi:type="dcterms:W3CDTF">2019-11-06T14:02:00Z</dcterms:modified>
</cp:coreProperties>
</file>