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BDB" w:rsidRPr="009534AF" w:rsidRDefault="00906BDB" w:rsidP="00906BDB">
      <w:pPr>
        <w:pageBreakBefore/>
        <w:spacing w:after="200" w:line="360" w:lineRule="auto"/>
        <w:rPr>
          <w:color w:val="000000" w:themeColor="text1"/>
          <w:sz w:val="26"/>
          <w:szCs w:val="26"/>
        </w:rPr>
      </w:pPr>
      <w:r w:rsidRPr="009534AF">
        <w:rPr>
          <w:b/>
          <w:color w:val="000000" w:themeColor="text1"/>
          <w:sz w:val="26"/>
          <w:szCs w:val="26"/>
        </w:rPr>
        <w:t>Appendix Table A4</w:t>
      </w:r>
      <w:r w:rsidRPr="009534AF">
        <w:rPr>
          <w:color w:val="000000" w:themeColor="text1"/>
          <w:sz w:val="26"/>
          <w:szCs w:val="26"/>
        </w:rPr>
        <w:t>. Estimates of random intercept models including welfare regime type variables</w:t>
      </w:r>
    </w:p>
    <w:tbl>
      <w:tblPr>
        <w:tblW w:w="6175" w:type="dxa"/>
        <w:tblLayout w:type="fixed"/>
        <w:tblLook w:val="04A0" w:firstRow="1" w:lastRow="0" w:firstColumn="1" w:lastColumn="0" w:noHBand="0" w:noVBand="1"/>
      </w:tblPr>
      <w:tblGrid>
        <w:gridCol w:w="2977"/>
        <w:gridCol w:w="635"/>
        <w:gridCol w:w="283"/>
        <w:gridCol w:w="681"/>
        <w:gridCol w:w="635"/>
        <w:gridCol w:w="283"/>
        <w:gridCol w:w="681"/>
      </w:tblGrid>
      <w:tr w:rsidR="009534AF" w:rsidRPr="009534AF" w:rsidTr="004914B5">
        <w:trPr>
          <w:trHeight w:val="397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6BDB" w:rsidRPr="009534AF" w:rsidRDefault="00906BDB" w:rsidP="004914B5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1599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6BDB" w:rsidRPr="009534AF" w:rsidRDefault="00235B25" w:rsidP="00235B25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b/>
                <w:color w:val="000000" w:themeColor="text1"/>
                <w:spacing w:val="-2"/>
                <w:sz w:val="17"/>
                <w:szCs w:val="17"/>
              </w:rPr>
              <w:t>Regime type only</w:t>
            </w:r>
          </w:p>
        </w:tc>
        <w:tc>
          <w:tcPr>
            <w:tcW w:w="1599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6BDB" w:rsidRPr="009534AF" w:rsidRDefault="00235B25" w:rsidP="00235B25">
            <w:pPr>
              <w:spacing w:line="240" w:lineRule="auto"/>
              <w:jc w:val="center"/>
              <w:rPr>
                <w:rFonts w:eastAsia="Times New Roman"/>
                <w:b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b/>
                <w:color w:val="000000" w:themeColor="text1"/>
                <w:spacing w:val="-2"/>
                <w:sz w:val="17"/>
                <w:szCs w:val="17"/>
              </w:rPr>
              <w:t>Regime type and other country-level variables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906BDB" w:rsidRPr="009534AF" w:rsidRDefault="00906BDB" w:rsidP="004914B5">
            <w:pPr>
              <w:spacing w:line="240" w:lineRule="auto"/>
              <w:rPr>
                <w:rFonts w:eastAsia="Times New Roman"/>
                <w:i/>
                <w:iCs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i/>
                <w:iCs/>
                <w:color w:val="000000" w:themeColor="text1"/>
                <w:spacing w:val="-2"/>
                <w:sz w:val="17"/>
                <w:szCs w:val="17"/>
              </w:rPr>
              <w:t>Individual-level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6BDB" w:rsidRPr="009534AF" w:rsidRDefault="00906BDB" w:rsidP="004914B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06BDB" w:rsidRPr="009534AF" w:rsidRDefault="00906BDB" w:rsidP="00144A33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6BDB" w:rsidRPr="009534AF" w:rsidRDefault="00906BDB" w:rsidP="00144A33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6BDB" w:rsidRPr="009534AF" w:rsidRDefault="00906BDB" w:rsidP="004914B5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906BDB" w:rsidRPr="009534AF" w:rsidRDefault="00906BDB" w:rsidP="004914B5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906BDB" w:rsidRPr="009534AF" w:rsidRDefault="00906BDB" w:rsidP="004914B5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  <w:t xml:space="preserve"> Part-time employment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1.07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(0.062)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1.07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(0.063)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  <w:t xml:space="preserve"> Low-skilled service work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(0.059)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(0.060)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Work type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Permanent employment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  <w:t xml:space="preserve"> Temporary employment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1.10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(0.048)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1.11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</w:t>
            </w: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(0.048)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b/>
                <w:bCs/>
                <w:i/>
                <w:iCs/>
                <w:color w:val="000000" w:themeColor="text1"/>
                <w:spacing w:val="-2"/>
                <w:sz w:val="17"/>
                <w:szCs w:val="17"/>
              </w:rPr>
              <w:t xml:space="preserve"> Solo self-employment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(0.127)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(0.127)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Self-employment with employees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0.82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(0.046)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6652A7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</w:t>
            </w:r>
            <w:r w:rsidR="006652A7"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8</w:t>
            </w: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</w:t>
            </w: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(0.046)</w:t>
            </w:r>
          </w:p>
        </w:tc>
      </w:tr>
      <w:tr w:rsidR="009534AF" w:rsidRPr="009534AF" w:rsidTr="00144A33">
        <w:trPr>
          <w:trHeight w:val="113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Female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(0.039)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0.98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(0.039)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Age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(0.001)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(0.001)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Household type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Two-earner couple with kids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Two-earner couple without kids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(0.047)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(0.047)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One-earner couple with kids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(0.055)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(0.055)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One-earner couple without kids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1.21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(0.098)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1.21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</w:t>
            </w: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6652A7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(0.09</w:t>
            </w:r>
            <w:r w:rsidR="006652A7"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9</w:t>
            </w: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Single with kids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(0.087)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(0.087)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Single without kids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1.15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(0.050)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1.15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</w:t>
            </w: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(0.050)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Education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ES-ISCED I or II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(0.042)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(0.043)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ES-ISCED IIIb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(0.063)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(0.062)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ES-ISCED IIIa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ES-ISCED IV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(0.064)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0.97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(0.065)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ES-ISCED V1 or V2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1.05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(0.079)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(0.079)</w:t>
            </w:r>
          </w:p>
        </w:tc>
      </w:tr>
      <w:tr w:rsidR="009534AF" w:rsidRPr="009534AF" w:rsidTr="00144A33">
        <w:trPr>
          <w:trHeight w:val="113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Public sector employment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(0.023)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(0.023)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Religious attendance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0.94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(0.031)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0.94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(0.031)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i/>
                <w:iCs/>
                <w:color w:val="000000" w:themeColor="text1"/>
                <w:spacing w:val="-2"/>
                <w:sz w:val="17"/>
                <w:szCs w:val="17"/>
              </w:rPr>
              <w:t>Country-level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930239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i/>
                <w:iCs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Net replacement rate (NRR)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(0.008)</w:t>
            </w:r>
          </w:p>
        </w:tc>
      </w:tr>
      <w:tr w:rsidR="009534AF" w:rsidRPr="009534AF" w:rsidTr="00930239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Benefit payment duration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0.89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(0.048)</w:t>
            </w:r>
          </w:p>
        </w:tc>
      </w:tr>
      <w:tr w:rsidR="009534AF" w:rsidRPr="009534AF" w:rsidTr="00930239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Qualifying period for benefit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1.18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(0.065)</w:t>
            </w:r>
          </w:p>
        </w:tc>
      </w:tr>
      <w:tr w:rsidR="009534AF" w:rsidRPr="009534AF" w:rsidTr="00930239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Public social expenditure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1.06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(0.013)</w:t>
            </w:r>
          </w:p>
        </w:tc>
      </w:tr>
      <w:tr w:rsidR="009534AF" w:rsidRPr="009534AF" w:rsidTr="00930239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Log (GDP per capita)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0.49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(0.077)</w:t>
            </w:r>
          </w:p>
        </w:tc>
      </w:tr>
      <w:tr w:rsidR="009534AF" w:rsidRPr="009534AF" w:rsidTr="00930239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Log (population)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0.81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bottom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(0.037)</w:t>
            </w: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Welfare regime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Social democratic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Ref.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</w:tr>
      <w:tr w:rsidR="009534AF" w:rsidRPr="009534AF" w:rsidTr="00144A33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Conservative corporatist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1.40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(0.178)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1.19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(0.242)</w:t>
            </w:r>
          </w:p>
        </w:tc>
      </w:tr>
      <w:tr w:rsidR="009534AF" w:rsidRPr="009534AF" w:rsidTr="002050E6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Liberal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1.93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(0.223)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1.83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</w:t>
            </w: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(0.392)</w:t>
            </w:r>
          </w:p>
        </w:tc>
      </w:tr>
      <w:tr w:rsidR="009534AF" w:rsidRPr="009534AF" w:rsidTr="002050E6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Southern European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2.42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(0.307)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1.13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(0.369)</w:t>
            </w:r>
          </w:p>
        </w:tc>
      </w:tr>
      <w:tr w:rsidR="009534AF" w:rsidRPr="009534AF" w:rsidTr="002050E6">
        <w:trPr>
          <w:trHeight w:val="244"/>
        </w:trPr>
        <w:tc>
          <w:tcPr>
            <w:tcW w:w="2977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Central Eastern European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2.10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***</w:t>
            </w:r>
          </w:p>
        </w:tc>
        <w:tc>
          <w:tcPr>
            <w:tcW w:w="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(0.338)</w:t>
            </w:r>
          </w:p>
        </w:tc>
        <w:tc>
          <w:tcPr>
            <w:tcW w:w="635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right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1.38</w:t>
            </w:r>
          </w:p>
        </w:tc>
        <w:tc>
          <w:tcPr>
            <w:tcW w:w="283" w:type="dxa"/>
            <w:tcBorders>
              <w:top w:val="nil"/>
            </w:tcBorders>
            <w:shd w:val="clear" w:color="auto" w:fill="auto"/>
            <w:noWrap/>
            <w:tcMar>
              <w:left w:w="0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</w:p>
        </w:tc>
        <w:tc>
          <w:tcPr>
            <w:tcW w:w="681" w:type="dxa"/>
            <w:tcBorders>
              <w:top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(0.328)</w:t>
            </w:r>
          </w:p>
        </w:tc>
      </w:tr>
      <w:tr w:rsidR="009534AF" w:rsidRPr="009534AF" w:rsidTr="004914B5">
        <w:trPr>
          <w:trHeight w:val="115"/>
        </w:trPr>
        <w:tc>
          <w:tcPr>
            <w:tcW w:w="2977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</w:tr>
      <w:tr w:rsidR="009534AF" w:rsidRPr="009534AF" w:rsidTr="004914B5">
        <w:trPr>
          <w:trHeight w:val="244"/>
        </w:trPr>
        <w:tc>
          <w:tcPr>
            <w:tcW w:w="2977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Variance between countries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0.040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0.010</w:t>
            </w:r>
          </w:p>
        </w:tc>
      </w:tr>
      <w:tr w:rsidR="009534AF" w:rsidRPr="009534AF" w:rsidTr="004914B5">
        <w:trPr>
          <w:trHeight w:val="115"/>
        </w:trPr>
        <w:tc>
          <w:tcPr>
            <w:tcW w:w="2977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0"/>
                <w:szCs w:val="10"/>
              </w:rPr>
            </w:pPr>
          </w:p>
        </w:tc>
      </w:tr>
      <w:tr w:rsidR="009534AF" w:rsidRPr="009534AF" w:rsidTr="004914B5">
        <w:trPr>
          <w:trHeight w:val="244"/>
        </w:trPr>
        <w:tc>
          <w:tcPr>
            <w:tcW w:w="2977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BIC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24,982.5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24,959.6</w:t>
            </w:r>
          </w:p>
        </w:tc>
      </w:tr>
      <w:tr w:rsidR="009534AF" w:rsidRPr="009534AF" w:rsidTr="004914B5">
        <w:trPr>
          <w:trHeight w:val="244"/>
        </w:trPr>
        <w:tc>
          <w:tcPr>
            <w:tcW w:w="2977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Number of observations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color w:val="000000" w:themeColor="text1"/>
                <w:spacing w:val="-2"/>
                <w:sz w:val="17"/>
                <w:szCs w:val="17"/>
              </w:rPr>
              <w:t>17,515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jc w:val="center"/>
              <w:rPr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color w:val="000000" w:themeColor="text1"/>
                <w:spacing w:val="-2"/>
                <w:sz w:val="17"/>
                <w:szCs w:val="17"/>
              </w:rPr>
              <w:t>17,515</w:t>
            </w:r>
          </w:p>
        </w:tc>
      </w:tr>
      <w:tr w:rsidR="009534AF" w:rsidRPr="009534AF" w:rsidTr="004914B5">
        <w:trPr>
          <w:trHeight w:val="244"/>
        </w:trPr>
        <w:tc>
          <w:tcPr>
            <w:tcW w:w="2977" w:type="dxa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Number of countries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color w:val="000000" w:themeColor="text1"/>
                <w:spacing w:val="-2"/>
                <w:sz w:val="17"/>
                <w:szCs w:val="17"/>
              </w:rPr>
              <w:t>21</w:t>
            </w:r>
          </w:p>
        </w:tc>
        <w:tc>
          <w:tcPr>
            <w:tcW w:w="1599" w:type="dxa"/>
            <w:gridSpan w:val="3"/>
            <w:tcBorders>
              <w:bottom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jc w:val="center"/>
              <w:rPr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color w:val="000000" w:themeColor="text1"/>
                <w:spacing w:val="-2"/>
                <w:sz w:val="17"/>
                <w:szCs w:val="17"/>
              </w:rPr>
              <w:t>21</w:t>
            </w:r>
          </w:p>
        </w:tc>
      </w:tr>
      <w:tr w:rsidR="009534AF" w:rsidRPr="009534AF" w:rsidTr="004914B5">
        <w:trPr>
          <w:trHeight w:val="244"/>
        </w:trPr>
        <w:tc>
          <w:tcPr>
            <w:tcW w:w="2977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 xml:space="preserve"> Log Likelihood</w:t>
            </w:r>
          </w:p>
        </w:tc>
        <w:tc>
          <w:tcPr>
            <w:tcW w:w="1599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2050E6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-12.393.5</w:t>
            </w:r>
          </w:p>
        </w:tc>
        <w:tc>
          <w:tcPr>
            <w:tcW w:w="1599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2050E6" w:rsidRPr="009534AF" w:rsidRDefault="006652A7" w:rsidP="002050E6">
            <w:pPr>
              <w:spacing w:line="240" w:lineRule="auto"/>
              <w:jc w:val="center"/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</w:pPr>
            <w:r w:rsidRPr="009534AF">
              <w:rPr>
                <w:rFonts w:eastAsia="Times New Roman"/>
                <w:color w:val="000000" w:themeColor="text1"/>
                <w:spacing w:val="-2"/>
                <w:sz w:val="17"/>
                <w:szCs w:val="17"/>
              </w:rPr>
              <w:t>-12,382.1</w:t>
            </w:r>
          </w:p>
        </w:tc>
      </w:tr>
    </w:tbl>
    <w:p w:rsidR="00906BDB" w:rsidRPr="009534AF" w:rsidRDefault="00906BDB" w:rsidP="00906BDB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534AF">
        <w:rPr>
          <w:rFonts w:ascii="Times New Roman" w:hAnsi="Times New Roman" w:cs="Times New Roman"/>
          <w:color w:val="000000" w:themeColor="text1"/>
          <w:sz w:val="20"/>
          <w:szCs w:val="20"/>
        </w:rPr>
        <w:t>Ref. = reference category; BIC: Bayesian Information Criterion.</w:t>
      </w:r>
    </w:p>
    <w:p w:rsidR="00906BDB" w:rsidRPr="009534AF" w:rsidRDefault="00906BDB" w:rsidP="00906BDB">
      <w:pPr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9534AF">
        <w:rPr>
          <w:rFonts w:ascii="Times New Roman" w:hAnsi="Times New Roman" w:cs="Times New Roman"/>
          <w:color w:val="000000" w:themeColor="text1"/>
          <w:sz w:val="20"/>
          <w:szCs w:val="20"/>
        </w:rPr>
        <w:t>Odds ratios and robust standard errors (in parentheses).</w:t>
      </w:r>
    </w:p>
    <w:p w:rsidR="00906BDB" w:rsidRPr="009534AF" w:rsidRDefault="00906BDB" w:rsidP="00906BDB">
      <w:pPr>
        <w:spacing w:line="240" w:lineRule="auto"/>
        <w:rPr>
          <w:color w:val="000000" w:themeColor="text1"/>
        </w:rPr>
      </w:pPr>
      <w:r w:rsidRPr="009534AF">
        <w:rPr>
          <w:rFonts w:ascii="Times New Roman" w:hAnsi="Times New Roman" w:cs="Times New Roman"/>
          <w:color w:val="000000" w:themeColor="text1"/>
          <w:sz w:val="20"/>
          <w:szCs w:val="20"/>
        </w:rPr>
        <w:t>*</w:t>
      </w:r>
      <w:r w:rsidRPr="009534A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p </w:t>
      </w:r>
      <w:r w:rsidRPr="009534AF">
        <w:rPr>
          <w:rFonts w:ascii="Times New Roman" w:hAnsi="Times New Roman" w:cs="Times New Roman"/>
          <w:color w:val="000000" w:themeColor="text1"/>
          <w:sz w:val="20"/>
          <w:szCs w:val="20"/>
        </w:rPr>
        <w:t>&lt; 0.05; **</w:t>
      </w:r>
      <w:r w:rsidRPr="009534A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</w:t>
      </w:r>
      <w:r w:rsidRPr="009534A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&lt; 0.01; ***</w:t>
      </w:r>
      <w:r w:rsidRPr="009534A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p </w:t>
      </w:r>
      <w:r w:rsidRPr="009534AF">
        <w:rPr>
          <w:rFonts w:ascii="Times New Roman" w:hAnsi="Times New Roman" w:cs="Times New Roman"/>
          <w:color w:val="000000" w:themeColor="text1"/>
          <w:sz w:val="20"/>
          <w:szCs w:val="20"/>
        </w:rPr>
        <w:t>&lt; 0.001.</w:t>
      </w:r>
      <w:bookmarkStart w:id="0" w:name="_GoBack"/>
      <w:bookmarkEnd w:id="0"/>
    </w:p>
    <w:sectPr w:rsidR="00906BDB" w:rsidRPr="009534AF" w:rsidSect="00FA58B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7C" w:rsidRDefault="006B557C" w:rsidP="003707DF">
      <w:pPr>
        <w:spacing w:line="240" w:lineRule="auto"/>
      </w:pPr>
      <w:r>
        <w:separator/>
      </w:r>
    </w:p>
  </w:endnote>
  <w:endnote w:type="continuationSeparator" w:id="0">
    <w:p w:rsidR="006B557C" w:rsidRDefault="006B557C" w:rsidP="00370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7C" w:rsidRDefault="006B557C" w:rsidP="003707DF">
      <w:pPr>
        <w:spacing w:line="240" w:lineRule="auto"/>
      </w:pPr>
      <w:r>
        <w:separator/>
      </w:r>
    </w:p>
  </w:footnote>
  <w:footnote w:type="continuationSeparator" w:id="0">
    <w:p w:rsidR="006B557C" w:rsidRDefault="006B557C" w:rsidP="00370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D47DC"/>
    <w:multiLevelType w:val="hybridMultilevel"/>
    <w:tmpl w:val="A40E49EA"/>
    <w:lvl w:ilvl="0" w:tplc="36FEFD36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1894"/>
    <w:multiLevelType w:val="hybridMultilevel"/>
    <w:tmpl w:val="314A57EE"/>
    <w:lvl w:ilvl="0" w:tplc="F7307118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i-FI" w:vendorID="64" w:dllVersion="131078" w:nlCheck="1" w:checkStyle="0"/>
  <w:activeWritingStyle w:appName="MSWord" w:lang="en-US" w:vendorID="64" w:dllVersion="131078" w:nlCheck="1" w:checkStyle="1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A5"/>
    <w:rsid w:val="00066878"/>
    <w:rsid w:val="00096E3E"/>
    <w:rsid w:val="000C1833"/>
    <w:rsid w:val="000F15E0"/>
    <w:rsid w:val="00136BF3"/>
    <w:rsid w:val="00144A33"/>
    <w:rsid w:val="00190882"/>
    <w:rsid w:val="001B79F9"/>
    <w:rsid w:val="002050E6"/>
    <w:rsid w:val="002100CE"/>
    <w:rsid w:val="00235B25"/>
    <w:rsid w:val="0024330D"/>
    <w:rsid w:val="0026579A"/>
    <w:rsid w:val="00355DA5"/>
    <w:rsid w:val="00361CBF"/>
    <w:rsid w:val="00362093"/>
    <w:rsid w:val="00362A87"/>
    <w:rsid w:val="003707DF"/>
    <w:rsid w:val="003C36AA"/>
    <w:rsid w:val="003F7F99"/>
    <w:rsid w:val="004914B5"/>
    <w:rsid w:val="006652A7"/>
    <w:rsid w:val="006B557C"/>
    <w:rsid w:val="00763749"/>
    <w:rsid w:val="007E7FCB"/>
    <w:rsid w:val="00846967"/>
    <w:rsid w:val="00864304"/>
    <w:rsid w:val="008B5FAD"/>
    <w:rsid w:val="00905670"/>
    <w:rsid w:val="00906BDB"/>
    <w:rsid w:val="00940A84"/>
    <w:rsid w:val="009534AF"/>
    <w:rsid w:val="0096615E"/>
    <w:rsid w:val="00994115"/>
    <w:rsid w:val="009E6854"/>
    <w:rsid w:val="00AB49D3"/>
    <w:rsid w:val="00B06FEC"/>
    <w:rsid w:val="00B14CBE"/>
    <w:rsid w:val="00B5629C"/>
    <w:rsid w:val="00B6017B"/>
    <w:rsid w:val="00B839F6"/>
    <w:rsid w:val="00B84A20"/>
    <w:rsid w:val="00BB246D"/>
    <w:rsid w:val="00BB45C4"/>
    <w:rsid w:val="00BE19E2"/>
    <w:rsid w:val="00C16FC7"/>
    <w:rsid w:val="00C64D14"/>
    <w:rsid w:val="00C721E7"/>
    <w:rsid w:val="00D650C8"/>
    <w:rsid w:val="00D94FD5"/>
    <w:rsid w:val="00DB0921"/>
    <w:rsid w:val="00E21AD6"/>
    <w:rsid w:val="00F11F6F"/>
    <w:rsid w:val="00F51FC0"/>
    <w:rsid w:val="00FA58BB"/>
    <w:rsid w:val="00F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CB6AB932-96ED-49B4-8C12-71ABBE05B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55DA5"/>
    <w:pPr>
      <w:spacing w:line="276" w:lineRule="auto"/>
      <w:jc w:val="left"/>
    </w:pPr>
    <w:rPr>
      <w:rFonts w:ascii="Arial" w:hAnsi="Arial" w:cs="Arial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707DF"/>
    <w:rPr>
      <w:rFonts w:ascii="Arial" w:hAnsi="Arial" w:cs="Arial"/>
      <w:kern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707DF"/>
    <w:rPr>
      <w:rFonts w:ascii="Arial" w:hAnsi="Arial" w:cs="Arial"/>
      <w:kern w:val="0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361CB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6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AA"/>
    <w:rPr>
      <w:rFonts w:ascii="Segoe UI" w:hAnsi="Segoe UI" w:cs="Segoe UI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B84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9FE0B-BA2F-452E-B79C-49F4C2A6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1944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 Kyu Shin</dc:creator>
  <cp:lastModifiedBy>Shin, Young K</cp:lastModifiedBy>
  <cp:revision>2</cp:revision>
  <dcterms:created xsi:type="dcterms:W3CDTF">2019-11-06T14:03:00Z</dcterms:created>
  <dcterms:modified xsi:type="dcterms:W3CDTF">2019-11-06T14:03:00Z</dcterms:modified>
</cp:coreProperties>
</file>