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62" w:rsidRPr="00AD30E3" w:rsidRDefault="00096262" w:rsidP="00096262">
      <w:pPr>
        <w:pStyle w:val="Heading1"/>
        <w:pBdr>
          <w:bottom w:val="single" w:sz="4" w:space="1" w:color="auto"/>
        </w:pBdr>
        <w:jc w:val="left"/>
        <w:rPr>
          <w:rFonts w:cs="Times New Roman"/>
          <w:sz w:val="24"/>
          <w:szCs w:val="24"/>
        </w:rPr>
      </w:pPr>
      <w:r w:rsidRPr="00AD30E3">
        <w:rPr>
          <w:rFonts w:cs="Times New Roman"/>
          <w:sz w:val="24"/>
          <w:szCs w:val="24"/>
        </w:rPr>
        <w:t>ONLINE APPENDIX</w:t>
      </w:r>
    </w:p>
    <w:p w:rsidR="00096262" w:rsidRPr="00AD30E3" w:rsidRDefault="00096262" w:rsidP="00096262">
      <w:pPr>
        <w:spacing w:after="0"/>
        <w:jc w:val="left"/>
        <w:rPr>
          <w:rFonts w:cs="Times New Roman"/>
          <w:b/>
          <w:szCs w:val="24"/>
          <w:lang w:val="en-US"/>
        </w:rPr>
      </w:pPr>
    </w:p>
    <w:p w:rsidR="00096262" w:rsidRPr="00AD30E3" w:rsidRDefault="00096262" w:rsidP="00096262">
      <w:pPr>
        <w:spacing w:after="0"/>
        <w:jc w:val="left"/>
        <w:rPr>
          <w:rFonts w:cs="Times New Roman"/>
          <w:b/>
          <w:szCs w:val="24"/>
          <w:lang w:val="en-US"/>
        </w:rPr>
      </w:pPr>
      <w:r w:rsidRPr="00AD30E3">
        <w:rPr>
          <w:rFonts w:cs="Times New Roman"/>
          <w:b/>
          <w:szCs w:val="24"/>
          <w:lang w:val="en-US"/>
        </w:rPr>
        <w:t>Contents:</w:t>
      </w:r>
    </w:p>
    <w:p w:rsidR="00096262" w:rsidRPr="00AD30E3" w:rsidRDefault="00096262" w:rsidP="00096262">
      <w:pPr>
        <w:spacing w:after="0"/>
        <w:jc w:val="left"/>
        <w:rPr>
          <w:rFonts w:cs="Times New Roman"/>
          <w:b/>
          <w:szCs w:val="24"/>
          <w:lang w:val="en-US"/>
        </w:rPr>
      </w:pPr>
    </w:p>
    <w:p w:rsidR="00096262" w:rsidRPr="00AD30E3" w:rsidRDefault="00096262" w:rsidP="00096262">
      <w:pPr>
        <w:pStyle w:val="ListParagraph"/>
        <w:numPr>
          <w:ilvl w:val="0"/>
          <w:numId w:val="1"/>
        </w:numPr>
        <w:jc w:val="left"/>
        <w:rPr>
          <w:rFonts w:cs="Times New Roman"/>
          <w:szCs w:val="24"/>
          <w:lang w:val="en-US"/>
        </w:rPr>
      </w:pPr>
      <w:r w:rsidRPr="00AD30E3">
        <w:rPr>
          <w:rFonts w:cs="Times New Roman"/>
          <w:szCs w:val="24"/>
          <w:lang w:val="en-US"/>
        </w:rPr>
        <w:t>Appendix 1: Full interaction models</w:t>
      </w:r>
    </w:p>
    <w:p w:rsidR="00096262" w:rsidRPr="00AD30E3" w:rsidRDefault="00096262" w:rsidP="00096262">
      <w:pPr>
        <w:pStyle w:val="ListParagraph"/>
        <w:numPr>
          <w:ilvl w:val="0"/>
          <w:numId w:val="1"/>
        </w:numPr>
        <w:jc w:val="left"/>
        <w:rPr>
          <w:rFonts w:cs="Times New Roman"/>
          <w:szCs w:val="24"/>
          <w:lang w:val="en-US"/>
        </w:rPr>
      </w:pPr>
      <w:r w:rsidRPr="00AD30E3">
        <w:rPr>
          <w:rFonts w:cs="Times New Roman"/>
          <w:szCs w:val="24"/>
          <w:lang w:val="en-US"/>
        </w:rPr>
        <w:t>Appendix 2: Robustness tests</w:t>
      </w:r>
    </w:p>
    <w:p w:rsidR="00096262" w:rsidRPr="00AD30E3" w:rsidRDefault="00096262" w:rsidP="00096262">
      <w:pPr>
        <w:jc w:val="left"/>
        <w:rPr>
          <w:rFonts w:cs="Times New Roman"/>
          <w:szCs w:val="24"/>
          <w:lang w:val="en-US"/>
        </w:rPr>
      </w:pPr>
    </w:p>
    <w:p w:rsidR="00096262" w:rsidRPr="00AD30E3" w:rsidRDefault="00096262" w:rsidP="00096262">
      <w:pPr>
        <w:pStyle w:val="Heading1"/>
        <w:jc w:val="left"/>
        <w:rPr>
          <w:rFonts w:cs="Times New Roman"/>
          <w:sz w:val="24"/>
          <w:szCs w:val="24"/>
        </w:rPr>
      </w:pPr>
      <w:r w:rsidRPr="00AD30E3">
        <w:rPr>
          <w:rFonts w:cs="Times New Roman"/>
          <w:sz w:val="24"/>
          <w:szCs w:val="24"/>
        </w:rPr>
        <w:t>Appendix 1: Full interaction models</w:t>
      </w:r>
    </w:p>
    <w:p w:rsidR="00096262" w:rsidRPr="00AD30E3" w:rsidRDefault="00096262" w:rsidP="00096262">
      <w:pPr>
        <w:jc w:val="left"/>
        <w:rPr>
          <w:rFonts w:cs="Times New Roman"/>
          <w:szCs w:val="24"/>
          <w:lang w:val="en-US"/>
        </w:rPr>
      </w:pPr>
    </w:p>
    <w:p w:rsidR="00096262" w:rsidRPr="00AD30E3" w:rsidRDefault="00096262" w:rsidP="00096262">
      <w:pPr>
        <w:pStyle w:val="ListParagraph"/>
        <w:numPr>
          <w:ilvl w:val="0"/>
          <w:numId w:val="2"/>
        </w:numPr>
        <w:jc w:val="left"/>
        <w:rPr>
          <w:rFonts w:cs="Times New Roman"/>
          <w:szCs w:val="24"/>
          <w:lang w:val="en-US"/>
        </w:rPr>
      </w:pPr>
      <w:bookmarkStart w:id="0" w:name="_Hlk8818882"/>
      <w:r w:rsidRPr="00AD30E3">
        <w:rPr>
          <w:rFonts w:cs="Times New Roman"/>
          <w:szCs w:val="24"/>
          <w:lang w:val="en-US"/>
        </w:rPr>
        <w:t>Interaction between deregulation of temporary employment and union density:</w:t>
      </w:r>
    </w:p>
    <w:tbl>
      <w:tblPr>
        <w:tblStyle w:val="TableGrid"/>
        <w:tblW w:w="839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" w:type="dxa"/>
          <w:right w:w="11" w:type="dxa"/>
        </w:tblCellMar>
        <w:tblLook w:val="04A0"/>
      </w:tblPr>
      <w:tblGrid>
        <w:gridCol w:w="2494"/>
        <w:gridCol w:w="1186"/>
        <w:gridCol w:w="1179"/>
        <w:gridCol w:w="1179"/>
        <w:gridCol w:w="1179"/>
        <w:gridCol w:w="1179"/>
      </w:tblGrid>
      <w:tr w:rsidR="00096262" w:rsidRPr="00AD30E3" w:rsidTr="00C47A69">
        <w:trPr>
          <w:trHeight w:val="340"/>
        </w:trPr>
        <w:tc>
          <w:tcPr>
            <w:tcW w:w="2494" w:type="dxa"/>
            <w:tcBorders>
              <w:top w:val="single" w:sz="4" w:space="0" w:color="auto"/>
              <w:bottom w:val="nil"/>
            </w:tcBorders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bookmarkStart w:id="1" w:name="_Hlk22047043"/>
          </w:p>
        </w:tc>
        <w:tc>
          <w:tcPr>
            <w:tcW w:w="11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Δ Wage share (quintiles)</w:t>
            </w:r>
          </w:p>
        </w:tc>
        <w:tc>
          <w:tcPr>
            <w:tcW w:w="11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</w:tr>
      <w:tr w:rsidR="00096262" w:rsidRPr="00AD30E3" w:rsidTr="00C47A69">
        <w:trPr>
          <w:trHeight w:val="340"/>
        </w:trPr>
        <w:tc>
          <w:tcPr>
            <w:tcW w:w="2494" w:type="dxa"/>
            <w:tcBorders>
              <w:top w:val="nil"/>
              <w:bottom w:val="single" w:sz="4" w:space="0" w:color="auto"/>
            </w:tcBorders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Bottom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Lower-middle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Middle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Upper-middle</w:t>
            </w:r>
          </w:p>
        </w:tc>
        <w:tc>
          <w:tcPr>
            <w:tcW w:w="11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Top</w:t>
            </w:r>
          </w:p>
        </w:tc>
      </w:tr>
      <w:tr w:rsidR="00096262" w:rsidRPr="00AD30E3" w:rsidTr="00C47A69">
        <w:trPr>
          <w:trHeight w:val="283"/>
        </w:trPr>
        <w:tc>
          <w:tcPr>
            <w:tcW w:w="2494" w:type="dxa"/>
            <w:tcBorders>
              <w:top w:val="single" w:sz="4" w:space="0" w:color="auto"/>
            </w:tcBorders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Lagged wage share level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-0.34***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-0.23***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-0.22***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-0.22***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-0.24***</w:t>
            </w:r>
          </w:p>
        </w:tc>
      </w:tr>
      <w:tr w:rsidR="00096262" w:rsidRPr="00AD30E3" w:rsidTr="00C47A69">
        <w:trPr>
          <w:trHeight w:val="232"/>
        </w:trPr>
        <w:tc>
          <w:tcPr>
            <w:tcW w:w="2494" w:type="dxa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86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(0.06)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(0.05)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(0.04)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(0.05)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(0.05)</w:t>
            </w:r>
          </w:p>
        </w:tc>
      </w:tr>
      <w:tr w:rsidR="00096262" w:rsidRPr="00AD30E3" w:rsidTr="00C47A69">
        <w:trPr>
          <w:trHeight w:val="232"/>
        </w:trPr>
        <w:tc>
          <w:tcPr>
            <w:tcW w:w="2494" w:type="dxa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Deregulation of</w:t>
            </w:r>
          </w:p>
        </w:tc>
        <w:tc>
          <w:tcPr>
            <w:tcW w:w="1186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-0.43***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-0.17***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-0.17***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-0.08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0.78***</w:t>
            </w:r>
          </w:p>
        </w:tc>
      </w:tr>
      <w:tr w:rsidR="00096262" w:rsidRPr="00AD30E3" w:rsidTr="00C47A69">
        <w:trPr>
          <w:trHeight w:val="232"/>
        </w:trPr>
        <w:tc>
          <w:tcPr>
            <w:tcW w:w="2494" w:type="dxa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 xml:space="preserve">   temporary employment</w:t>
            </w:r>
          </w:p>
        </w:tc>
        <w:tc>
          <w:tcPr>
            <w:tcW w:w="1186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(0.14)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(0.05)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(0.06)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(0.08)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(0.27)</w:t>
            </w:r>
          </w:p>
        </w:tc>
      </w:tr>
      <w:tr w:rsidR="00096262" w:rsidRPr="00AD30E3" w:rsidTr="00C47A69">
        <w:trPr>
          <w:trHeight w:val="232"/>
        </w:trPr>
        <w:tc>
          <w:tcPr>
            <w:tcW w:w="2494" w:type="dxa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Unemployment rate</w:t>
            </w:r>
          </w:p>
        </w:tc>
        <w:tc>
          <w:tcPr>
            <w:tcW w:w="1186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-0.04**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-0.00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0.00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0.00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0.03</w:t>
            </w:r>
          </w:p>
        </w:tc>
      </w:tr>
      <w:tr w:rsidR="00096262" w:rsidRPr="00AD30E3" w:rsidTr="00C47A69">
        <w:trPr>
          <w:trHeight w:val="232"/>
        </w:trPr>
        <w:tc>
          <w:tcPr>
            <w:tcW w:w="2494" w:type="dxa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86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(0.02)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(0.01)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(0.01)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(0.01)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(0.03)</w:t>
            </w:r>
          </w:p>
        </w:tc>
      </w:tr>
      <w:tr w:rsidR="00096262" w:rsidRPr="00AD30E3" w:rsidTr="00C47A69">
        <w:trPr>
          <w:trHeight w:val="232"/>
        </w:trPr>
        <w:tc>
          <w:tcPr>
            <w:tcW w:w="2494" w:type="dxa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Trade openness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0.58***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0.37***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0.28***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0.10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-1.08***</w:t>
            </w:r>
          </w:p>
        </w:tc>
      </w:tr>
      <w:tr w:rsidR="00096262" w:rsidRPr="00AD30E3" w:rsidTr="00C47A69">
        <w:trPr>
          <w:trHeight w:val="232"/>
        </w:trPr>
        <w:tc>
          <w:tcPr>
            <w:tcW w:w="2494" w:type="dxa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(0.18)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(0.11)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(0.09)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(0.07)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(0.33)</w:t>
            </w:r>
          </w:p>
        </w:tc>
      </w:tr>
      <w:tr w:rsidR="00096262" w:rsidRPr="00AD30E3" w:rsidTr="00C47A69">
        <w:trPr>
          <w:trHeight w:val="232"/>
        </w:trPr>
        <w:tc>
          <w:tcPr>
            <w:tcW w:w="2494" w:type="dxa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Union density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2.28**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0.69**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0.63**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0.15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-3.44**</w:t>
            </w:r>
          </w:p>
        </w:tc>
      </w:tr>
      <w:tr w:rsidR="00096262" w:rsidRPr="00AD30E3" w:rsidTr="00C47A69">
        <w:trPr>
          <w:trHeight w:val="232"/>
        </w:trPr>
        <w:tc>
          <w:tcPr>
            <w:tcW w:w="2494" w:type="dxa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(0.99)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(0.34)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(0.25)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(0.37)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(1.41)</w:t>
            </w:r>
          </w:p>
        </w:tc>
      </w:tr>
      <w:tr w:rsidR="00096262" w:rsidRPr="00AD30E3" w:rsidTr="00C47A69">
        <w:trPr>
          <w:trHeight w:val="232"/>
        </w:trPr>
        <w:tc>
          <w:tcPr>
            <w:tcW w:w="2494" w:type="dxa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Centralization of wage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-0.03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0.01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-0.04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-0.02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0.07</w:t>
            </w:r>
          </w:p>
        </w:tc>
      </w:tr>
      <w:tr w:rsidR="00096262" w:rsidRPr="00AD30E3" w:rsidTr="00C47A69">
        <w:trPr>
          <w:trHeight w:val="232"/>
        </w:trPr>
        <w:tc>
          <w:tcPr>
            <w:tcW w:w="2494" w:type="dxa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 xml:space="preserve">   bargaining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(0.06)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(0.05)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(0.03)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(0.03)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(0.12)</w:t>
            </w:r>
          </w:p>
        </w:tc>
      </w:tr>
      <w:tr w:rsidR="00096262" w:rsidRPr="00AD30E3" w:rsidTr="00C47A69">
        <w:trPr>
          <w:trHeight w:val="232"/>
        </w:trPr>
        <w:tc>
          <w:tcPr>
            <w:tcW w:w="2494" w:type="dxa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Government partisanship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0.00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0.00*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0.00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-0.00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-0.00</w:t>
            </w:r>
          </w:p>
        </w:tc>
      </w:tr>
      <w:tr w:rsidR="00096262" w:rsidRPr="00AD30E3" w:rsidTr="00C47A69">
        <w:trPr>
          <w:trHeight w:val="232"/>
        </w:trPr>
        <w:tc>
          <w:tcPr>
            <w:tcW w:w="2494" w:type="dxa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 xml:space="preserve">   (left-wing parties in cabinet)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(0.00)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(0.00)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(0.00)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(0.00)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(0.00)</w:t>
            </w:r>
          </w:p>
        </w:tc>
      </w:tr>
      <w:tr w:rsidR="00096262" w:rsidRPr="00AD30E3" w:rsidTr="00C47A69">
        <w:trPr>
          <w:trHeight w:val="232"/>
        </w:trPr>
        <w:tc>
          <w:tcPr>
            <w:tcW w:w="2494" w:type="dxa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Real GDP growth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-0.01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-0.02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-0.01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-0.02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0.02</w:t>
            </w:r>
          </w:p>
        </w:tc>
      </w:tr>
      <w:tr w:rsidR="00096262" w:rsidRPr="00AD30E3" w:rsidTr="00C47A69">
        <w:trPr>
          <w:trHeight w:val="232"/>
        </w:trPr>
        <w:tc>
          <w:tcPr>
            <w:tcW w:w="2494" w:type="dxa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(0.02)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(0.02)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(0.01)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(0.01)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(0.05)</w:t>
            </w:r>
          </w:p>
        </w:tc>
      </w:tr>
      <w:tr w:rsidR="00096262" w:rsidRPr="00AD30E3" w:rsidTr="00C47A69">
        <w:trPr>
          <w:trHeight w:val="232"/>
        </w:trPr>
        <w:tc>
          <w:tcPr>
            <w:tcW w:w="2494" w:type="dxa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Deregulation of temporary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0.69*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0.17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0.22*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0.17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-1.16*</w:t>
            </w:r>
          </w:p>
        </w:tc>
      </w:tr>
      <w:tr w:rsidR="00096262" w:rsidRPr="00AD30E3" w:rsidTr="00C47A69">
        <w:trPr>
          <w:trHeight w:val="232"/>
        </w:trPr>
        <w:tc>
          <w:tcPr>
            <w:tcW w:w="2494" w:type="dxa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 xml:space="preserve">   employment * union density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(0.39)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(0.14)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(0.12)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(0.20)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(0.64)</w:t>
            </w:r>
          </w:p>
        </w:tc>
      </w:tr>
      <w:tr w:rsidR="00096262" w:rsidRPr="00AD30E3" w:rsidTr="00C47A69">
        <w:trPr>
          <w:trHeight w:val="232"/>
        </w:trPr>
        <w:tc>
          <w:tcPr>
            <w:tcW w:w="2494" w:type="dxa"/>
            <w:tcBorders>
              <w:bottom w:val="nil"/>
            </w:tcBorders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Constant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1.79***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2.43***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3.26***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4.66***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11.49***</w:t>
            </w:r>
          </w:p>
        </w:tc>
      </w:tr>
      <w:tr w:rsidR="00096262" w:rsidRPr="00AD30E3" w:rsidTr="00C47A69">
        <w:trPr>
          <w:trHeight w:val="232"/>
        </w:trPr>
        <w:tc>
          <w:tcPr>
            <w:tcW w:w="2494" w:type="dxa"/>
            <w:tcBorders>
              <w:top w:val="nil"/>
              <w:bottom w:val="single" w:sz="4" w:space="0" w:color="auto"/>
            </w:tcBorders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(0.36)</w:t>
            </w:r>
          </w:p>
        </w:tc>
        <w:tc>
          <w:tcPr>
            <w:tcW w:w="11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(0.57)</w:t>
            </w:r>
          </w:p>
        </w:tc>
        <w:tc>
          <w:tcPr>
            <w:tcW w:w="11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(0.74)</w:t>
            </w:r>
          </w:p>
        </w:tc>
        <w:tc>
          <w:tcPr>
            <w:tcW w:w="11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(1.07)</w:t>
            </w:r>
          </w:p>
        </w:tc>
        <w:tc>
          <w:tcPr>
            <w:tcW w:w="11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(2.44)</w:t>
            </w:r>
          </w:p>
        </w:tc>
      </w:tr>
      <w:tr w:rsidR="00096262" w:rsidRPr="00AD30E3" w:rsidTr="00C47A69">
        <w:trPr>
          <w:trHeight w:val="232"/>
        </w:trPr>
        <w:tc>
          <w:tcPr>
            <w:tcW w:w="2494" w:type="dxa"/>
            <w:tcBorders>
              <w:top w:val="single" w:sz="4" w:space="0" w:color="auto"/>
            </w:tcBorders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N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spacing w:after="0"/>
              <w:ind w:hanging="97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166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spacing w:after="0"/>
              <w:ind w:hanging="97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166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spacing w:after="0"/>
              <w:ind w:hanging="97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166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spacing w:after="0"/>
              <w:ind w:hanging="97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166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spacing w:after="0"/>
              <w:ind w:hanging="97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166</w:t>
            </w:r>
          </w:p>
        </w:tc>
      </w:tr>
      <w:tr w:rsidR="00096262" w:rsidRPr="00AD30E3" w:rsidTr="00C47A69">
        <w:trPr>
          <w:trHeight w:val="232"/>
        </w:trPr>
        <w:tc>
          <w:tcPr>
            <w:tcW w:w="2494" w:type="dxa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R</w:t>
            </w:r>
            <w:r w:rsidRPr="00AD30E3">
              <w:rPr>
                <w:rFonts w:cs="Times New Roman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096262" w:rsidRPr="00AD30E3" w:rsidRDefault="00096262" w:rsidP="00C47A69">
            <w:pPr>
              <w:spacing w:after="0"/>
              <w:ind w:hanging="97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0.24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spacing w:after="0"/>
              <w:ind w:hanging="97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0.21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spacing w:after="0"/>
              <w:ind w:hanging="97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0.24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spacing w:after="0"/>
              <w:ind w:hanging="97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0.17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spacing w:after="0"/>
              <w:ind w:hanging="97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0.21</w:t>
            </w:r>
          </w:p>
        </w:tc>
      </w:tr>
    </w:tbl>
    <w:p w:rsidR="00096262" w:rsidRPr="00AD30E3" w:rsidRDefault="00096262" w:rsidP="00096262">
      <w:pPr>
        <w:spacing w:before="120" w:after="0" w:line="252" w:lineRule="auto"/>
        <w:ind w:right="993"/>
        <w:jc w:val="left"/>
        <w:rPr>
          <w:rFonts w:eastAsia="Calibri" w:cs="Times New Roman"/>
          <w:szCs w:val="24"/>
        </w:rPr>
      </w:pPr>
      <w:r w:rsidRPr="00AD30E3">
        <w:rPr>
          <w:rFonts w:eastAsia="Calibri" w:cs="Times New Roman"/>
          <w:i/>
          <w:szCs w:val="24"/>
          <w:lang w:val="en-US"/>
        </w:rPr>
        <w:t>Notes</w:t>
      </w:r>
      <w:r w:rsidRPr="00AD30E3">
        <w:rPr>
          <w:rFonts w:eastAsia="Calibri" w:cs="Times New Roman"/>
          <w:szCs w:val="24"/>
          <w:lang w:val="en-US"/>
        </w:rPr>
        <w:t>: OLS estimates with panel-</w:t>
      </w:r>
      <w:proofErr w:type="spellStart"/>
      <w:r w:rsidRPr="00AD30E3">
        <w:rPr>
          <w:rFonts w:eastAsia="Calibri" w:cs="Times New Roman"/>
          <w:szCs w:val="24"/>
          <w:lang w:val="en-US"/>
        </w:rPr>
        <w:t>heteroskedastic</w:t>
      </w:r>
      <w:proofErr w:type="spellEnd"/>
      <w:r w:rsidRPr="00AD30E3">
        <w:rPr>
          <w:rFonts w:eastAsia="Calibri" w:cs="Times New Roman"/>
          <w:szCs w:val="24"/>
          <w:lang w:val="en-US"/>
        </w:rPr>
        <w:t xml:space="preserve"> standard errors (in parentheses) and panel-specific </w:t>
      </w:r>
      <w:proofErr w:type="gramStart"/>
      <w:r w:rsidRPr="00AD30E3">
        <w:rPr>
          <w:rFonts w:eastAsia="Calibri" w:cs="Times New Roman"/>
          <w:szCs w:val="24"/>
          <w:lang w:val="en-US"/>
        </w:rPr>
        <w:t>AR(</w:t>
      </w:r>
      <w:proofErr w:type="gramEnd"/>
      <w:r w:rsidRPr="00AD30E3">
        <w:rPr>
          <w:rFonts w:eastAsia="Calibri" w:cs="Times New Roman"/>
          <w:szCs w:val="24"/>
          <w:lang w:val="en-US"/>
        </w:rPr>
        <w:t xml:space="preserve">1) processes estimated with </w:t>
      </w:r>
      <w:proofErr w:type="spellStart"/>
      <w:r w:rsidRPr="00AD30E3">
        <w:rPr>
          <w:rFonts w:eastAsia="Calibri" w:cs="Times New Roman"/>
          <w:szCs w:val="24"/>
          <w:lang w:val="en-US"/>
        </w:rPr>
        <w:t>Prais-Winsten</w:t>
      </w:r>
      <w:proofErr w:type="spellEnd"/>
      <w:r w:rsidRPr="00AD30E3">
        <w:rPr>
          <w:rFonts w:eastAsia="Calibri" w:cs="Times New Roman"/>
          <w:szCs w:val="24"/>
          <w:lang w:val="en-US"/>
        </w:rPr>
        <w:t xml:space="preserve"> transformation. </w:t>
      </w:r>
      <w:proofErr w:type="gramStart"/>
      <w:r w:rsidRPr="00AD30E3">
        <w:rPr>
          <w:rFonts w:eastAsia="Calibri" w:cs="Times New Roman"/>
          <w:szCs w:val="24"/>
        </w:rPr>
        <w:t xml:space="preserve">* </w:t>
      </w:r>
      <w:r w:rsidRPr="00AD30E3">
        <w:rPr>
          <w:rFonts w:eastAsia="Calibri" w:cs="Times New Roman"/>
          <w:i/>
          <w:szCs w:val="24"/>
        </w:rPr>
        <w:t>p</w:t>
      </w:r>
      <w:r w:rsidRPr="00AD30E3">
        <w:rPr>
          <w:rFonts w:eastAsia="Calibri" w:cs="Times New Roman"/>
          <w:szCs w:val="24"/>
        </w:rPr>
        <w:t xml:space="preserve">&lt;0.1; ** </w:t>
      </w:r>
      <w:r w:rsidRPr="00AD30E3">
        <w:rPr>
          <w:rFonts w:eastAsia="Calibri" w:cs="Times New Roman"/>
          <w:i/>
          <w:szCs w:val="24"/>
        </w:rPr>
        <w:t>p</w:t>
      </w:r>
      <w:r w:rsidRPr="00AD30E3">
        <w:rPr>
          <w:rFonts w:eastAsia="Calibri" w:cs="Times New Roman"/>
          <w:szCs w:val="24"/>
        </w:rPr>
        <w:t xml:space="preserve">&lt;0.05; *** </w:t>
      </w:r>
      <w:r w:rsidRPr="00AD30E3">
        <w:rPr>
          <w:rFonts w:eastAsia="Calibri" w:cs="Times New Roman"/>
          <w:i/>
          <w:szCs w:val="24"/>
        </w:rPr>
        <w:t>p</w:t>
      </w:r>
      <w:r w:rsidRPr="00AD30E3">
        <w:rPr>
          <w:rFonts w:eastAsia="Calibri" w:cs="Times New Roman"/>
          <w:szCs w:val="24"/>
        </w:rPr>
        <w:t>&lt;0.01.</w:t>
      </w:r>
      <w:proofErr w:type="gramEnd"/>
    </w:p>
    <w:bookmarkEnd w:id="0"/>
    <w:bookmarkEnd w:id="1"/>
    <w:p w:rsidR="00096262" w:rsidRPr="00AD30E3" w:rsidRDefault="00096262" w:rsidP="00096262">
      <w:pPr>
        <w:jc w:val="left"/>
        <w:rPr>
          <w:rFonts w:cs="Times New Roman"/>
          <w:szCs w:val="24"/>
          <w:lang w:val="en-US"/>
        </w:rPr>
      </w:pPr>
    </w:p>
    <w:p w:rsidR="00096262" w:rsidRPr="00AD30E3" w:rsidRDefault="00096262" w:rsidP="00096262">
      <w:pPr>
        <w:spacing w:after="0"/>
        <w:jc w:val="left"/>
        <w:rPr>
          <w:rFonts w:cs="Times New Roman"/>
          <w:szCs w:val="24"/>
          <w:lang w:val="en-US"/>
        </w:rPr>
      </w:pPr>
      <w:r w:rsidRPr="00AD30E3">
        <w:rPr>
          <w:rFonts w:cs="Times New Roman"/>
          <w:szCs w:val="24"/>
          <w:lang w:val="en-US"/>
        </w:rPr>
        <w:br w:type="page"/>
      </w:r>
    </w:p>
    <w:p w:rsidR="00096262" w:rsidRPr="00AD30E3" w:rsidRDefault="00096262" w:rsidP="00096262">
      <w:pPr>
        <w:pStyle w:val="ListParagraph"/>
        <w:numPr>
          <w:ilvl w:val="0"/>
          <w:numId w:val="2"/>
        </w:numPr>
        <w:jc w:val="left"/>
        <w:rPr>
          <w:rFonts w:cs="Times New Roman"/>
          <w:szCs w:val="24"/>
          <w:lang w:val="en-US"/>
        </w:rPr>
      </w:pPr>
      <w:r w:rsidRPr="00AD30E3">
        <w:rPr>
          <w:rFonts w:cs="Times New Roman"/>
          <w:szCs w:val="24"/>
          <w:lang w:val="en-US"/>
        </w:rPr>
        <w:t>Interaction between deregulation of temporary employment and employment protection for permanent contracts:</w:t>
      </w:r>
    </w:p>
    <w:tbl>
      <w:tblPr>
        <w:tblStyle w:val="TableGrid"/>
        <w:tblW w:w="85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" w:type="dxa"/>
          <w:right w:w="11" w:type="dxa"/>
        </w:tblCellMar>
        <w:tblLook w:val="04A0"/>
      </w:tblPr>
      <w:tblGrid>
        <w:gridCol w:w="2665"/>
        <w:gridCol w:w="1186"/>
        <w:gridCol w:w="1179"/>
        <w:gridCol w:w="1179"/>
        <w:gridCol w:w="1179"/>
        <w:gridCol w:w="1179"/>
      </w:tblGrid>
      <w:tr w:rsidR="00096262" w:rsidRPr="00AD30E3" w:rsidTr="00C47A69">
        <w:trPr>
          <w:trHeight w:val="340"/>
        </w:trPr>
        <w:tc>
          <w:tcPr>
            <w:tcW w:w="2665" w:type="dxa"/>
            <w:tcBorders>
              <w:top w:val="single" w:sz="4" w:space="0" w:color="auto"/>
              <w:bottom w:val="nil"/>
            </w:tcBorders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Δ Wage share (quintiles)</w:t>
            </w:r>
          </w:p>
        </w:tc>
        <w:tc>
          <w:tcPr>
            <w:tcW w:w="11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</w:tr>
      <w:tr w:rsidR="00096262" w:rsidRPr="00AD30E3" w:rsidTr="00C47A69">
        <w:trPr>
          <w:trHeight w:val="340"/>
        </w:trPr>
        <w:tc>
          <w:tcPr>
            <w:tcW w:w="2665" w:type="dxa"/>
            <w:tcBorders>
              <w:top w:val="nil"/>
              <w:bottom w:val="single" w:sz="4" w:space="0" w:color="auto"/>
            </w:tcBorders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Bottom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Lower-middle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Middle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Upper-middle</w:t>
            </w:r>
          </w:p>
        </w:tc>
        <w:tc>
          <w:tcPr>
            <w:tcW w:w="11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Top</w:t>
            </w:r>
          </w:p>
        </w:tc>
      </w:tr>
      <w:tr w:rsidR="00096262" w:rsidRPr="00AD30E3" w:rsidTr="00C47A69">
        <w:trPr>
          <w:trHeight w:val="283"/>
        </w:trPr>
        <w:tc>
          <w:tcPr>
            <w:tcW w:w="2665" w:type="dxa"/>
            <w:tcBorders>
              <w:top w:val="single" w:sz="4" w:space="0" w:color="auto"/>
            </w:tcBorders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Lagged wage share level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-0.33***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-0.30***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-0.24***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-0.22***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-0.29***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86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(0.06)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(0.05)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(0.05)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(0.05)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(0.06)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Deregulation of</w:t>
            </w:r>
          </w:p>
        </w:tc>
        <w:tc>
          <w:tcPr>
            <w:tcW w:w="1186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-0.48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-0.17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-0.04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0.09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0.78*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 xml:space="preserve">   temporary employment</w:t>
            </w:r>
          </w:p>
        </w:tc>
        <w:tc>
          <w:tcPr>
            <w:tcW w:w="1186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(0.32)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(0.16)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(0.10)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(0.15)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(0.44)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Unemployment rate</w:t>
            </w:r>
          </w:p>
        </w:tc>
        <w:tc>
          <w:tcPr>
            <w:tcW w:w="1186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-0.02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-0.00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0.00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0.01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0.00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86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(0.02)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(0.01)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(0.01)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(0.01)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(0.03)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Trade openness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0.20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0.25*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0.22**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0.15*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-0.49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(0.18)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(0.13)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(0.10)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(0.08)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(0.37)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Union density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0.91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0.51***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0.18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-0.11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-1.41**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(0.58)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(0.18)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(0.11)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(0.18)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(0.71)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EPL permanent contracts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0.30**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0.26***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0.12*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-0.05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-0.76***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(0.14)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(0.09)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(0.06)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(0.06)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(0.25)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Centralization of wage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-0.02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-0.00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-0.02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-0.01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-0.01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 xml:space="preserve">   bargaining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(0.06)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(0.05)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(0.03)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(0.03)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(0.12)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Government partisanship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0.00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0.00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0.00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-0.00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-0.00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 xml:space="preserve">   (left-wing parties in cabinet)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(0.00)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(0.00)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(0.00)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(0.00)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(0.00)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Real GDP growth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0.01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0.00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-0.01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-0.02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-0.02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(0.02)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(0.02)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(0.01)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(0.01)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(0.05)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Deregulation of temporary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0.15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0.04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-0.00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-0.04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-0.26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 xml:space="preserve">   employment * EPL permanent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(0.13)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(0.07)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(0.04)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(0.06)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(0.20)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  <w:tcBorders>
              <w:bottom w:val="nil"/>
            </w:tcBorders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Constant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1.76***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3.07***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3.54***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4.88***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13.67***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  <w:tcBorders>
              <w:top w:val="nil"/>
              <w:bottom w:val="single" w:sz="4" w:space="0" w:color="auto"/>
            </w:tcBorders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(0.36)</w:t>
            </w:r>
          </w:p>
        </w:tc>
        <w:tc>
          <w:tcPr>
            <w:tcW w:w="11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(0.58)</w:t>
            </w:r>
          </w:p>
        </w:tc>
        <w:tc>
          <w:tcPr>
            <w:tcW w:w="11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(0.76)</w:t>
            </w:r>
          </w:p>
        </w:tc>
        <w:tc>
          <w:tcPr>
            <w:tcW w:w="11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(1.10)</w:t>
            </w:r>
          </w:p>
        </w:tc>
        <w:tc>
          <w:tcPr>
            <w:tcW w:w="11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(2.63)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  <w:tcBorders>
              <w:top w:val="single" w:sz="4" w:space="0" w:color="auto"/>
            </w:tcBorders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N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spacing w:after="0"/>
              <w:ind w:hanging="97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166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spacing w:after="0"/>
              <w:ind w:hanging="97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166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spacing w:after="0"/>
              <w:ind w:hanging="97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166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spacing w:after="0"/>
              <w:ind w:hanging="97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166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spacing w:after="0"/>
              <w:ind w:hanging="97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166</w:t>
            </w:r>
          </w:p>
        </w:tc>
      </w:tr>
      <w:tr w:rsidR="00096262" w:rsidRPr="00AD30E3" w:rsidTr="00C47A69">
        <w:trPr>
          <w:trHeight w:val="232"/>
        </w:trPr>
        <w:tc>
          <w:tcPr>
            <w:tcW w:w="2665" w:type="dxa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R</w:t>
            </w:r>
            <w:r w:rsidRPr="00AD30E3">
              <w:rPr>
                <w:rFonts w:cs="Times New Roman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096262" w:rsidRPr="00AD30E3" w:rsidRDefault="00096262" w:rsidP="00C47A69">
            <w:pPr>
              <w:spacing w:after="0"/>
              <w:ind w:hanging="97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0.24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spacing w:after="0"/>
              <w:ind w:hanging="97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0.27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spacing w:after="0"/>
              <w:ind w:hanging="97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0.25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spacing w:after="0"/>
              <w:ind w:hanging="97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0.17</w:t>
            </w:r>
          </w:p>
        </w:tc>
        <w:tc>
          <w:tcPr>
            <w:tcW w:w="1179" w:type="dxa"/>
            <w:shd w:val="clear" w:color="auto" w:fill="auto"/>
          </w:tcPr>
          <w:p w:rsidR="00096262" w:rsidRPr="00AD30E3" w:rsidRDefault="00096262" w:rsidP="00C47A69">
            <w:pPr>
              <w:spacing w:after="0"/>
              <w:ind w:hanging="97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</w:rPr>
              <w:t>0.23</w:t>
            </w:r>
          </w:p>
        </w:tc>
      </w:tr>
    </w:tbl>
    <w:p w:rsidR="00096262" w:rsidRPr="00AD30E3" w:rsidRDefault="00096262" w:rsidP="00096262">
      <w:pPr>
        <w:spacing w:before="120" w:after="0" w:line="252" w:lineRule="auto"/>
        <w:ind w:right="993"/>
        <w:jc w:val="left"/>
        <w:rPr>
          <w:rFonts w:eastAsia="Calibri" w:cs="Times New Roman"/>
          <w:szCs w:val="24"/>
        </w:rPr>
      </w:pPr>
      <w:r w:rsidRPr="00AD30E3">
        <w:rPr>
          <w:rFonts w:eastAsia="Calibri" w:cs="Times New Roman"/>
          <w:i/>
          <w:szCs w:val="24"/>
          <w:lang w:val="en-US"/>
        </w:rPr>
        <w:t>Notes</w:t>
      </w:r>
      <w:r w:rsidRPr="00AD30E3">
        <w:rPr>
          <w:rFonts w:eastAsia="Calibri" w:cs="Times New Roman"/>
          <w:szCs w:val="24"/>
          <w:lang w:val="en-US"/>
        </w:rPr>
        <w:t>: OLS estimates with panel-</w:t>
      </w:r>
      <w:proofErr w:type="spellStart"/>
      <w:r w:rsidRPr="00AD30E3">
        <w:rPr>
          <w:rFonts w:eastAsia="Calibri" w:cs="Times New Roman"/>
          <w:szCs w:val="24"/>
          <w:lang w:val="en-US"/>
        </w:rPr>
        <w:t>heteroskedastic</w:t>
      </w:r>
      <w:proofErr w:type="spellEnd"/>
      <w:r w:rsidRPr="00AD30E3">
        <w:rPr>
          <w:rFonts w:eastAsia="Calibri" w:cs="Times New Roman"/>
          <w:szCs w:val="24"/>
          <w:lang w:val="en-US"/>
        </w:rPr>
        <w:t xml:space="preserve"> standard errors (in parentheses) and panel-specific </w:t>
      </w:r>
      <w:proofErr w:type="gramStart"/>
      <w:r w:rsidRPr="00AD30E3">
        <w:rPr>
          <w:rFonts w:eastAsia="Calibri" w:cs="Times New Roman"/>
          <w:szCs w:val="24"/>
          <w:lang w:val="en-US"/>
        </w:rPr>
        <w:t>AR(</w:t>
      </w:r>
      <w:proofErr w:type="gramEnd"/>
      <w:r w:rsidRPr="00AD30E3">
        <w:rPr>
          <w:rFonts w:eastAsia="Calibri" w:cs="Times New Roman"/>
          <w:szCs w:val="24"/>
          <w:lang w:val="en-US"/>
        </w:rPr>
        <w:t xml:space="preserve">1) processes estimated with </w:t>
      </w:r>
      <w:proofErr w:type="spellStart"/>
      <w:r w:rsidRPr="00AD30E3">
        <w:rPr>
          <w:rFonts w:eastAsia="Calibri" w:cs="Times New Roman"/>
          <w:szCs w:val="24"/>
          <w:lang w:val="en-US"/>
        </w:rPr>
        <w:t>Prais-Winsten</w:t>
      </w:r>
      <w:proofErr w:type="spellEnd"/>
      <w:r w:rsidRPr="00AD30E3">
        <w:rPr>
          <w:rFonts w:eastAsia="Calibri" w:cs="Times New Roman"/>
          <w:szCs w:val="24"/>
          <w:lang w:val="en-US"/>
        </w:rPr>
        <w:t xml:space="preserve"> transformation. </w:t>
      </w:r>
      <w:proofErr w:type="gramStart"/>
      <w:r w:rsidRPr="00AD30E3">
        <w:rPr>
          <w:rFonts w:eastAsia="Calibri" w:cs="Times New Roman"/>
          <w:szCs w:val="24"/>
        </w:rPr>
        <w:t xml:space="preserve">* </w:t>
      </w:r>
      <w:r w:rsidRPr="00AD30E3">
        <w:rPr>
          <w:rFonts w:eastAsia="Calibri" w:cs="Times New Roman"/>
          <w:i/>
          <w:szCs w:val="24"/>
        </w:rPr>
        <w:t>p</w:t>
      </w:r>
      <w:r w:rsidRPr="00AD30E3">
        <w:rPr>
          <w:rFonts w:eastAsia="Calibri" w:cs="Times New Roman"/>
          <w:szCs w:val="24"/>
        </w:rPr>
        <w:t xml:space="preserve">&lt;0.1; ** </w:t>
      </w:r>
      <w:r w:rsidRPr="00AD30E3">
        <w:rPr>
          <w:rFonts w:eastAsia="Calibri" w:cs="Times New Roman"/>
          <w:i/>
          <w:szCs w:val="24"/>
        </w:rPr>
        <w:t>p</w:t>
      </w:r>
      <w:r w:rsidRPr="00AD30E3">
        <w:rPr>
          <w:rFonts w:eastAsia="Calibri" w:cs="Times New Roman"/>
          <w:szCs w:val="24"/>
        </w:rPr>
        <w:t xml:space="preserve">&lt;0.05; *** </w:t>
      </w:r>
      <w:r w:rsidRPr="00AD30E3">
        <w:rPr>
          <w:rFonts w:eastAsia="Calibri" w:cs="Times New Roman"/>
          <w:i/>
          <w:szCs w:val="24"/>
        </w:rPr>
        <w:t>p</w:t>
      </w:r>
      <w:r w:rsidRPr="00AD30E3">
        <w:rPr>
          <w:rFonts w:eastAsia="Calibri" w:cs="Times New Roman"/>
          <w:szCs w:val="24"/>
        </w:rPr>
        <w:t>&lt;0.01.</w:t>
      </w:r>
      <w:proofErr w:type="gramEnd"/>
    </w:p>
    <w:p w:rsidR="00096262" w:rsidRPr="00AD30E3" w:rsidRDefault="00096262" w:rsidP="00096262">
      <w:pPr>
        <w:spacing w:after="0"/>
        <w:jc w:val="left"/>
        <w:rPr>
          <w:rFonts w:cs="Times New Roman"/>
          <w:b/>
          <w:szCs w:val="24"/>
          <w:lang w:val="en-US"/>
        </w:rPr>
      </w:pPr>
      <w:r w:rsidRPr="00AD30E3">
        <w:rPr>
          <w:rFonts w:cs="Times New Roman"/>
          <w:szCs w:val="24"/>
          <w:lang w:val="en-US"/>
        </w:rPr>
        <w:br w:type="page"/>
      </w:r>
    </w:p>
    <w:p w:rsidR="00096262" w:rsidRPr="00AD30E3" w:rsidRDefault="00096262" w:rsidP="00096262">
      <w:pPr>
        <w:pStyle w:val="Heading1"/>
        <w:jc w:val="left"/>
        <w:rPr>
          <w:rFonts w:cs="Times New Roman"/>
          <w:sz w:val="24"/>
          <w:szCs w:val="24"/>
        </w:rPr>
      </w:pPr>
      <w:r w:rsidRPr="00AD30E3">
        <w:rPr>
          <w:rFonts w:cs="Times New Roman"/>
          <w:sz w:val="24"/>
          <w:szCs w:val="24"/>
        </w:rPr>
        <w:t>Appendix 2: Robustness tests</w:t>
      </w:r>
    </w:p>
    <w:tbl>
      <w:tblPr>
        <w:tblStyle w:val="TableGrid"/>
        <w:tblW w:w="0" w:type="auto"/>
        <w:tblInd w:w="-2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" w:type="dxa"/>
          <w:right w:w="11" w:type="dxa"/>
        </w:tblCellMar>
        <w:tblLook w:val="04A0"/>
      </w:tblPr>
      <w:tblGrid>
        <w:gridCol w:w="3118"/>
        <w:gridCol w:w="1191"/>
        <w:gridCol w:w="1191"/>
        <w:gridCol w:w="1191"/>
        <w:gridCol w:w="1191"/>
        <w:gridCol w:w="1191"/>
      </w:tblGrid>
      <w:tr w:rsidR="00096262" w:rsidRPr="00AD30E3" w:rsidTr="00C47A69">
        <w:trPr>
          <w:trHeight w:val="340"/>
        </w:trPr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bCs/>
                <w:szCs w:val="24"/>
                <w:lang w:val="en-US"/>
              </w:rPr>
            </w:pPr>
            <w:r w:rsidRPr="00AD30E3">
              <w:rPr>
                <w:rFonts w:cs="Times New Roman"/>
                <w:bCs/>
                <w:szCs w:val="24"/>
                <w:lang w:val="en-US"/>
              </w:rPr>
              <w:t>Δ Wage share (quintiles)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</w:tr>
      <w:tr w:rsidR="00096262" w:rsidRPr="00AD30E3" w:rsidTr="00C47A69">
        <w:trPr>
          <w:trHeight w:val="794"/>
        </w:trPr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b/>
                <w:szCs w:val="24"/>
                <w:lang w:val="en-US"/>
              </w:rPr>
            </w:pPr>
            <w:r w:rsidRPr="00AD30E3">
              <w:rPr>
                <w:rFonts w:cs="Times New Roman"/>
                <w:b/>
                <w:szCs w:val="24"/>
                <w:lang w:val="en-US"/>
              </w:rPr>
              <w:t>Marginal effect of deregulation of temporary employment,</w:t>
            </w:r>
          </w:p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b/>
                <w:szCs w:val="24"/>
                <w:lang w:val="en-US"/>
              </w:rPr>
            </w:pPr>
            <w:r w:rsidRPr="00AD30E3">
              <w:rPr>
                <w:rFonts w:cs="Times New Roman"/>
                <w:b/>
                <w:szCs w:val="24"/>
                <w:lang w:val="en-US"/>
              </w:rPr>
              <w:t>given the following robustness tests: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Bottom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Lower-middle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Middle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Upper-middle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Top</w:t>
            </w: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 w:val="restart"/>
            <w:shd w:val="clear" w:color="auto" w:fill="F2F2F2" w:themeFill="background1" w:themeFillShade="F2"/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i/>
                <w:szCs w:val="24"/>
                <w:lang w:val="en-US"/>
              </w:rPr>
            </w:pPr>
            <w:bookmarkStart w:id="2" w:name="_Hlk6318314"/>
            <w:r w:rsidRPr="00AD30E3">
              <w:rPr>
                <w:rFonts w:cs="Times New Roman"/>
                <w:i/>
                <w:szCs w:val="24"/>
                <w:lang w:val="en-US"/>
              </w:rPr>
              <w:t>Baseline results (Table 1)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i/>
                <w:iCs/>
                <w:szCs w:val="24"/>
                <w:lang w:val="en-US"/>
              </w:rPr>
            </w:pPr>
            <w:r w:rsidRPr="00AD30E3">
              <w:rPr>
                <w:rFonts w:cs="Times New Roman"/>
                <w:i/>
                <w:iCs/>
                <w:szCs w:val="24"/>
                <w:lang w:val="en-US"/>
              </w:rPr>
              <w:t>-0.17**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i/>
                <w:iCs/>
                <w:szCs w:val="24"/>
                <w:lang w:val="en-US"/>
              </w:rPr>
            </w:pPr>
            <w:r w:rsidRPr="00AD30E3">
              <w:rPr>
                <w:rFonts w:cs="Times New Roman"/>
                <w:i/>
                <w:iCs/>
                <w:szCs w:val="24"/>
                <w:lang w:val="en-US"/>
              </w:rPr>
              <w:t>-0.11***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i/>
                <w:iCs/>
                <w:szCs w:val="24"/>
                <w:lang w:val="en-US"/>
              </w:rPr>
            </w:pPr>
            <w:r w:rsidRPr="00AD30E3">
              <w:rPr>
                <w:rFonts w:cs="Times New Roman"/>
                <w:i/>
                <w:iCs/>
                <w:szCs w:val="24"/>
                <w:lang w:val="en-US"/>
              </w:rPr>
              <w:t>-0.07***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i/>
                <w:iCs/>
                <w:szCs w:val="24"/>
                <w:lang w:val="en-US"/>
              </w:rPr>
            </w:pPr>
            <w:r w:rsidRPr="00AD30E3">
              <w:rPr>
                <w:rFonts w:cs="Times New Roman"/>
                <w:i/>
                <w:iCs/>
                <w:szCs w:val="24"/>
                <w:lang w:val="en-US"/>
              </w:rPr>
              <w:t>-0.01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i/>
                <w:iCs/>
                <w:szCs w:val="24"/>
                <w:lang w:val="en-US"/>
              </w:rPr>
            </w:pPr>
            <w:r w:rsidRPr="00AD30E3">
              <w:rPr>
                <w:rFonts w:cs="Times New Roman"/>
                <w:i/>
                <w:iCs/>
                <w:szCs w:val="24"/>
                <w:lang w:val="en-US"/>
              </w:rPr>
              <w:t>0.32***</w:t>
            </w: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/>
            <w:shd w:val="clear" w:color="auto" w:fill="F2F2F2" w:themeFill="background1" w:themeFillShade="F2"/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i/>
                <w:szCs w:val="24"/>
                <w:lang w:val="en-US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i/>
                <w:iCs/>
                <w:szCs w:val="24"/>
                <w:lang w:val="en-US"/>
              </w:rPr>
            </w:pPr>
            <w:r w:rsidRPr="00AD30E3">
              <w:rPr>
                <w:rFonts w:cs="Times New Roman"/>
                <w:i/>
                <w:iCs/>
                <w:szCs w:val="24"/>
                <w:lang w:val="en-US"/>
              </w:rPr>
              <w:t>(0.07)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i/>
                <w:iCs/>
                <w:szCs w:val="24"/>
                <w:lang w:val="en-US"/>
              </w:rPr>
            </w:pPr>
            <w:r w:rsidRPr="00AD30E3">
              <w:rPr>
                <w:rFonts w:cs="Times New Roman"/>
                <w:i/>
                <w:iCs/>
                <w:szCs w:val="24"/>
                <w:lang w:val="en-US"/>
              </w:rPr>
              <w:t>(0.03)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i/>
                <w:iCs/>
                <w:szCs w:val="24"/>
                <w:lang w:val="en-US"/>
              </w:rPr>
            </w:pPr>
            <w:r w:rsidRPr="00AD30E3">
              <w:rPr>
                <w:rFonts w:cs="Times New Roman"/>
                <w:i/>
                <w:iCs/>
                <w:szCs w:val="24"/>
                <w:lang w:val="en-US"/>
              </w:rPr>
              <w:t>(0.03)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i/>
                <w:iCs/>
                <w:szCs w:val="24"/>
                <w:lang w:val="en-US"/>
              </w:rPr>
            </w:pPr>
            <w:r w:rsidRPr="00AD30E3">
              <w:rPr>
                <w:rFonts w:cs="Times New Roman"/>
                <w:i/>
                <w:iCs/>
                <w:szCs w:val="24"/>
                <w:lang w:val="en-US"/>
              </w:rPr>
              <w:t>(0.03)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i/>
                <w:iCs/>
                <w:szCs w:val="24"/>
                <w:lang w:val="en-US"/>
              </w:rPr>
            </w:pPr>
            <w:r w:rsidRPr="00AD30E3">
              <w:rPr>
                <w:rFonts w:cs="Times New Roman"/>
                <w:i/>
                <w:iCs/>
                <w:szCs w:val="24"/>
                <w:lang w:val="en-US"/>
              </w:rPr>
              <w:t>(0.10)</w:t>
            </w:r>
          </w:p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i/>
                <w:iCs/>
                <w:szCs w:val="24"/>
                <w:lang w:val="en-US"/>
              </w:rPr>
            </w:pPr>
          </w:p>
        </w:tc>
      </w:tr>
      <w:bookmarkEnd w:id="2"/>
      <w:tr w:rsidR="00096262" w:rsidRPr="00AD30E3" w:rsidTr="00C47A69">
        <w:trPr>
          <w:trHeight w:val="227"/>
        </w:trPr>
        <w:tc>
          <w:tcPr>
            <w:tcW w:w="3118" w:type="dxa"/>
            <w:vMerge w:val="restart"/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Wage shares of permanent employees only, ECM [N=60]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-0.41***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-0.18**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-0.12**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0.05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0.94***</w:t>
            </w: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/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(0.11)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(0.07)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(0.05)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(0.05)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(0.20)</w:t>
            </w:r>
          </w:p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 w:val="restart"/>
            <w:shd w:val="clear" w:color="auto" w:fill="F2F2F2" w:themeFill="background1" w:themeFillShade="F2"/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Wage shares of permanent employees only, no ECM (dep. var.: wage share level, no lagged dep. var.) [N=79]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-0.75***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-0.40***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-0.24***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-0.02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1.07***</w:t>
            </w: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/>
            <w:shd w:val="clear" w:color="auto" w:fill="F2F2F2" w:themeFill="background1" w:themeFillShade="F2"/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(0.11)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(0.14)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(0.09)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(0.06)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(0.35)</w:t>
            </w:r>
          </w:p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 w:val="restart"/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Controlling for the share of temporary workers [N=148]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-0.15**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-0.11***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-0.08***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-0.02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0.35***</w:t>
            </w: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/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(0.07)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(0.04)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(0.03)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(0.03)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(0.12)</w:t>
            </w:r>
          </w:p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  <w:bookmarkStart w:id="3" w:name="_Hlk6317968"/>
            <w:r w:rsidRPr="00AD30E3">
              <w:rPr>
                <w:rFonts w:cs="Times New Roman"/>
                <w:szCs w:val="24"/>
                <w:lang w:val="en-US"/>
              </w:rPr>
              <w:t>LIS wave dummies added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-0.21***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-0.11***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-0.07**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0.01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0.37***</w:t>
            </w: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(0.07)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(0.04)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(0.03)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(0.03)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(0.11)</w:t>
            </w:r>
          </w:p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Year dummies added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-0.19***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-0.16***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-0.10***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-0.01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0.49***</w:t>
            </w: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/>
            <w:tcBorders>
              <w:top w:val="nil"/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(0.06)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(0.04)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(0.03)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(0.03)</w:t>
            </w:r>
          </w:p>
        </w:tc>
        <w:tc>
          <w:tcPr>
            <w:tcW w:w="1191" w:type="dxa"/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(0.10)</w:t>
            </w:r>
          </w:p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Weights adjusted to force that each country weighs equally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-0.16**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-0.11***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-0.06***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-0.02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0.32***</w:t>
            </w: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(0.07)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(0.04)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(0.03)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(0.03)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(0.11)</w:t>
            </w:r>
          </w:p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 w:val="restart"/>
            <w:tcBorders>
              <w:top w:val="nil"/>
            </w:tcBorders>
            <w:shd w:val="clear" w:color="auto" w:fill="auto"/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Controlling for unemployment benefit replacement rates [N=145]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-0.15**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-0.08**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-0.06**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-0.01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0.21**</w:t>
            </w: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/>
            <w:tcBorders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(0.06)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(0.03)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(0.03)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(0.03)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(0.09)</w:t>
            </w:r>
          </w:p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Logarithm of temporary employment regulation (due to right skew)</w:t>
            </w:r>
          </w:p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 xml:space="preserve">   [coefficient*-1 to reflect deregulation]</w:t>
            </w:r>
          </w:p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-0.34***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-0.25***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-0.13***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0.03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0.64***</w:t>
            </w: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(0.09)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(0.05)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(0.04)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(0.04)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(0.14)</w:t>
            </w:r>
          </w:p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i/>
                <w:iCs/>
                <w:szCs w:val="24"/>
                <w:lang w:val="en-US"/>
              </w:rPr>
            </w:pPr>
            <w:r w:rsidRPr="00AD30E3">
              <w:rPr>
                <w:rFonts w:cs="Times New Roman"/>
                <w:i/>
                <w:iCs/>
                <w:szCs w:val="24"/>
                <w:lang w:val="en-US"/>
              </w:rPr>
              <w:t>Alternative dependent variable: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/>
            <w:tcBorders>
              <w:top w:val="nil"/>
            </w:tcBorders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573" w:type="dxa"/>
            <w:gridSpan w:val="3"/>
            <w:tcBorders>
              <w:top w:val="nil"/>
              <w:bottom w:val="single" w:sz="4" w:space="0" w:color="auto"/>
            </w:tcBorders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bCs/>
                <w:szCs w:val="24"/>
                <w:lang w:val="en-US"/>
              </w:rPr>
            </w:pPr>
            <w:r w:rsidRPr="00AD30E3">
              <w:rPr>
                <w:rFonts w:cs="Times New Roman"/>
                <w:bCs/>
                <w:szCs w:val="24"/>
                <w:lang w:val="en-US"/>
              </w:rPr>
              <w:t xml:space="preserve">Δ Wage </w:t>
            </w:r>
            <w:proofErr w:type="spellStart"/>
            <w:r w:rsidRPr="00AD30E3">
              <w:rPr>
                <w:rFonts w:cs="Times New Roman"/>
                <w:bCs/>
                <w:szCs w:val="24"/>
                <w:lang w:val="en-US"/>
              </w:rPr>
              <w:t>decile</w:t>
            </w:r>
            <w:proofErr w:type="spellEnd"/>
            <w:r w:rsidRPr="00AD30E3">
              <w:rPr>
                <w:rFonts w:cs="Times New Roman"/>
                <w:bCs/>
                <w:szCs w:val="24"/>
                <w:lang w:val="en-US"/>
              </w:rPr>
              <w:t xml:space="preserve"> ratios</w:t>
            </w:r>
          </w:p>
        </w:tc>
        <w:tc>
          <w:tcPr>
            <w:tcW w:w="1191" w:type="dxa"/>
            <w:tcBorders>
              <w:top w:val="nil"/>
            </w:tcBorders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</w:tr>
      <w:tr w:rsidR="00096262" w:rsidRPr="00AD30E3" w:rsidTr="00C47A69">
        <w:trPr>
          <w:trHeight w:val="397"/>
        </w:trPr>
        <w:tc>
          <w:tcPr>
            <w:tcW w:w="3118" w:type="dxa"/>
            <w:vMerge/>
            <w:tcBorders>
              <w:bottom w:val="nil"/>
            </w:tcBorders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P90/P10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P90/P50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P50/P10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ECM without country fixed effects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0.14***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0.02***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0.05**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(0.04)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(0.01)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(0.02)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2F2F2" w:themeFill="background1" w:themeFillShade="F2"/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ECM with country fixed effects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0.19***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0.02*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0.07***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</w:tr>
      <w:tr w:rsidR="00096262" w:rsidRPr="00AD30E3" w:rsidTr="00C47A69">
        <w:trPr>
          <w:trHeight w:val="227"/>
        </w:trPr>
        <w:tc>
          <w:tcPr>
            <w:tcW w:w="3118" w:type="dxa"/>
            <w:vMerge/>
            <w:tcBorders>
              <w:top w:val="nil"/>
              <w:bottom w:val="single" w:sz="4" w:space="0" w:color="auto"/>
            </w:tcBorders>
          </w:tcPr>
          <w:p w:rsidR="00096262" w:rsidRPr="00AD30E3" w:rsidRDefault="00096262" w:rsidP="00C47A69">
            <w:pPr>
              <w:spacing w:after="0"/>
              <w:ind w:left="132" w:hanging="142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(0.06)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(0.01)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6262" w:rsidRPr="00AD30E3" w:rsidRDefault="00096262" w:rsidP="00C47A69">
            <w:pPr>
              <w:tabs>
                <w:tab w:val="decimal" w:pos="413"/>
              </w:tabs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AD30E3">
              <w:rPr>
                <w:rFonts w:cs="Times New Roman"/>
                <w:szCs w:val="24"/>
                <w:lang w:val="en-US"/>
              </w:rPr>
              <w:t>(0.02)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  <w:p w:rsidR="00096262" w:rsidRPr="00AD30E3" w:rsidRDefault="00096262" w:rsidP="00C47A69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</w:tr>
    </w:tbl>
    <w:bookmarkEnd w:id="3"/>
    <w:p w:rsidR="00096262" w:rsidRPr="00AD30E3" w:rsidRDefault="00096262" w:rsidP="00096262">
      <w:pPr>
        <w:spacing w:before="120"/>
        <w:ind w:left="-284"/>
        <w:jc w:val="left"/>
        <w:rPr>
          <w:rFonts w:cs="Times New Roman"/>
          <w:szCs w:val="24"/>
          <w:lang w:val="en-US"/>
        </w:rPr>
      </w:pPr>
      <w:r w:rsidRPr="00AD30E3">
        <w:rPr>
          <w:rFonts w:cs="Times New Roman"/>
          <w:i/>
          <w:szCs w:val="24"/>
          <w:lang w:val="en-US"/>
        </w:rPr>
        <w:t>Note</w:t>
      </w:r>
      <w:r w:rsidRPr="00AD30E3">
        <w:rPr>
          <w:rFonts w:cs="Times New Roman"/>
          <w:szCs w:val="24"/>
          <w:lang w:val="en-US"/>
        </w:rPr>
        <w:t>: Robustness tests based on Table 1 with sample size N=166 (unless noted otherwise). OLS estimates with panel-</w:t>
      </w:r>
      <w:proofErr w:type="spellStart"/>
      <w:r w:rsidRPr="00AD30E3">
        <w:rPr>
          <w:rFonts w:cs="Times New Roman"/>
          <w:szCs w:val="24"/>
          <w:lang w:val="en-US"/>
        </w:rPr>
        <w:t>heteroskedastic</w:t>
      </w:r>
      <w:proofErr w:type="spellEnd"/>
      <w:r w:rsidRPr="00AD30E3">
        <w:rPr>
          <w:rFonts w:cs="Times New Roman"/>
          <w:szCs w:val="24"/>
          <w:lang w:val="en-US"/>
        </w:rPr>
        <w:t xml:space="preserve"> standard errors (in parentheses) and panel-specific </w:t>
      </w:r>
      <w:proofErr w:type="gramStart"/>
      <w:r w:rsidRPr="00AD30E3">
        <w:rPr>
          <w:rFonts w:cs="Times New Roman"/>
          <w:szCs w:val="24"/>
          <w:lang w:val="en-US"/>
        </w:rPr>
        <w:t>AR(</w:t>
      </w:r>
      <w:proofErr w:type="gramEnd"/>
      <w:r w:rsidRPr="00AD30E3">
        <w:rPr>
          <w:rFonts w:cs="Times New Roman"/>
          <w:szCs w:val="24"/>
          <w:lang w:val="en-US"/>
        </w:rPr>
        <w:t xml:space="preserve">1) processes estimated with </w:t>
      </w:r>
      <w:proofErr w:type="spellStart"/>
      <w:r w:rsidRPr="00AD30E3">
        <w:rPr>
          <w:rFonts w:cs="Times New Roman"/>
          <w:szCs w:val="24"/>
          <w:lang w:val="en-US"/>
        </w:rPr>
        <w:t>Prais-Winsten</w:t>
      </w:r>
      <w:proofErr w:type="spellEnd"/>
      <w:r w:rsidRPr="00AD30E3">
        <w:rPr>
          <w:rFonts w:cs="Times New Roman"/>
          <w:szCs w:val="24"/>
          <w:lang w:val="en-US"/>
        </w:rPr>
        <w:t xml:space="preserve"> transformation. </w:t>
      </w:r>
      <w:proofErr w:type="gramStart"/>
      <w:r w:rsidRPr="00AD30E3">
        <w:rPr>
          <w:rFonts w:cs="Times New Roman"/>
          <w:szCs w:val="24"/>
          <w:lang w:val="en-US"/>
        </w:rPr>
        <w:t>* p&lt;0.1; ** p&lt;0.05; *** p&lt;0.01.</w:t>
      </w:r>
      <w:proofErr w:type="gramEnd"/>
    </w:p>
    <w:p w:rsidR="00B62796" w:rsidRDefault="00B62796"/>
    <w:sectPr w:rsidR="00B62796" w:rsidSect="00B627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1BB6"/>
    <w:multiLevelType w:val="hybridMultilevel"/>
    <w:tmpl w:val="44A4C53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EB2F34"/>
    <w:multiLevelType w:val="hybridMultilevel"/>
    <w:tmpl w:val="DBD8B0E4"/>
    <w:lvl w:ilvl="0" w:tplc="813091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oNotDisplayPageBoundaries/>
  <w:proofState w:spelling="clean" w:grammar="clean"/>
  <w:defaultTabStop w:val="720"/>
  <w:characterSpacingControl w:val="doNotCompress"/>
  <w:compat/>
  <w:rsids>
    <w:rsidRoot w:val="00096262"/>
    <w:rsid w:val="00000533"/>
    <w:rsid w:val="00002747"/>
    <w:rsid w:val="00004768"/>
    <w:rsid w:val="00004DA8"/>
    <w:rsid w:val="000225BC"/>
    <w:rsid w:val="00023C70"/>
    <w:rsid w:val="0002559C"/>
    <w:rsid w:val="00026220"/>
    <w:rsid w:val="000339C5"/>
    <w:rsid w:val="00042741"/>
    <w:rsid w:val="00043185"/>
    <w:rsid w:val="00044EF3"/>
    <w:rsid w:val="00045AEA"/>
    <w:rsid w:val="00051595"/>
    <w:rsid w:val="0005658C"/>
    <w:rsid w:val="00057E84"/>
    <w:rsid w:val="000610D2"/>
    <w:rsid w:val="00062074"/>
    <w:rsid w:val="00065B95"/>
    <w:rsid w:val="00070755"/>
    <w:rsid w:val="00073EC8"/>
    <w:rsid w:val="00074CDB"/>
    <w:rsid w:val="00077DA6"/>
    <w:rsid w:val="0008565D"/>
    <w:rsid w:val="00094632"/>
    <w:rsid w:val="00095688"/>
    <w:rsid w:val="00096045"/>
    <w:rsid w:val="00096262"/>
    <w:rsid w:val="000A0FFF"/>
    <w:rsid w:val="000A2996"/>
    <w:rsid w:val="000A2E2C"/>
    <w:rsid w:val="000A3807"/>
    <w:rsid w:val="000A484D"/>
    <w:rsid w:val="000B2BAD"/>
    <w:rsid w:val="000B2D79"/>
    <w:rsid w:val="000B4C42"/>
    <w:rsid w:val="000C1681"/>
    <w:rsid w:val="000C1C0B"/>
    <w:rsid w:val="000C6E98"/>
    <w:rsid w:val="000D0245"/>
    <w:rsid w:val="000D0E7D"/>
    <w:rsid w:val="000E229C"/>
    <w:rsid w:val="000E419B"/>
    <w:rsid w:val="000F1F59"/>
    <w:rsid w:val="000F2D7B"/>
    <w:rsid w:val="001036DA"/>
    <w:rsid w:val="00104CDD"/>
    <w:rsid w:val="0012635B"/>
    <w:rsid w:val="001277F2"/>
    <w:rsid w:val="00134A88"/>
    <w:rsid w:val="00137149"/>
    <w:rsid w:val="00141440"/>
    <w:rsid w:val="00146198"/>
    <w:rsid w:val="00155110"/>
    <w:rsid w:val="0015733D"/>
    <w:rsid w:val="00160348"/>
    <w:rsid w:val="001644BC"/>
    <w:rsid w:val="00165D84"/>
    <w:rsid w:val="00166442"/>
    <w:rsid w:val="00167B2C"/>
    <w:rsid w:val="00180DFE"/>
    <w:rsid w:val="00185FC8"/>
    <w:rsid w:val="00191411"/>
    <w:rsid w:val="001933C3"/>
    <w:rsid w:val="0019450D"/>
    <w:rsid w:val="001A69F8"/>
    <w:rsid w:val="001A71E8"/>
    <w:rsid w:val="001B1B71"/>
    <w:rsid w:val="001B24FA"/>
    <w:rsid w:val="001C0F4E"/>
    <w:rsid w:val="001D3519"/>
    <w:rsid w:val="001D71FA"/>
    <w:rsid w:val="001F3AC0"/>
    <w:rsid w:val="001F3B36"/>
    <w:rsid w:val="00202764"/>
    <w:rsid w:val="00207B86"/>
    <w:rsid w:val="00212BA6"/>
    <w:rsid w:val="00226A6C"/>
    <w:rsid w:val="00235A52"/>
    <w:rsid w:val="0024376A"/>
    <w:rsid w:val="002470AD"/>
    <w:rsid w:val="00247350"/>
    <w:rsid w:val="00251564"/>
    <w:rsid w:val="0025732B"/>
    <w:rsid w:val="002579AD"/>
    <w:rsid w:val="00266F73"/>
    <w:rsid w:val="0027085D"/>
    <w:rsid w:val="002777D7"/>
    <w:rsid w:val="00290E62"/>
    <w:rsid w:val="00293754"/>
    <w:rsid w:val="00295D33"/>
    <w:rsid w:val="0029606C"/>
    <w:rsid w:val="002A076B"/>
    <w:rsid w:val="002A12EB"/>
    <w:rsid w:val="002A7930"/>
    <w:rsid w:val="002B29D9"/>
    <w:rsid w:val="002B3543"/>
    <w:rsid w:val="002C5B4F"/>
    <w:rsid w:val="002D0039"/>
    <w:rsid w:val="002D3BF9"/>
    <w:rsid w:val="002D56C5"/>
    <w:rsid w:val="002E0B30"/>
    <w:rsid w:val="002E3E90"/>
    <w:rsid w:val="002E3F7A"/>
    <w:rsid w:val="002E5FF5"/>
    <w:rsid w:val="002F054D"/>
    <w:rsid w:val="002F0747"/>
    <w:rsid w:val="002F74DF"/>
    <w:rsid w:val="003007A7"/>
    <w:rsid w:val="00301B4D"/>
    <w:rsid w:val="003023FE"/>
    <w:rsid w:val="0030594A"/>
    <w:rsid w:val="003067AD"/>
    <w:rsid w:val="003133E6"/>
    <w:rsid w:val="003201F0"/>
    <w:rsid w:val="0032268C"/>
    <w:rsid w:val="00331CEC"/>
    <w:rsid w:val="00333E6E"/>
    <w:rsid w:val="00333E80"/>
    <w:rsid w:val="0033493E"/>
    <w:rsid w:val="00340D3E"/>
    <w:rsid w:val="00340EA0"/>
    <w:rsid w:val="00341286"/>
    <w:rsid w:val="00351107"/>
    <w:rsid w:val="0035127B"/>
    <w:rsid w:val="003551C1"/>
    <w:rsid w:val="003557D2"/>
    <w:rsid w:val="00366A18"/>
    <w:rsid w:val="00371323"/>
    <w:rsid w:val="00374E02"/>
    <w:rsid w:val="00384120"/>
    <w:rsid w:val="003868CB"/>
    <w:rsid w:val="00390ECF"/>
    <w:rsid w:val="00390F25"/>
    <w:rsid w:val="00394E90"/>
    <w:rsid w:val="0039557A"/>
    <w:rsid w:val="00397478"/>
    <w:rsid w:val="003A29BD"/>
    <w:rsid w:val="003A3842"/>
    <w:rsid w:val="003A3A6C"/>
    <w:rsid w:val="003A6667"/>
    <w:rsid w:val="003A70D7"/>
    <w:rsid w:val="003B24B8"/>
    <w:rsid w:val="003B62CF"/>
    <w:rsid w:val="003B69D9"/>
    <w:rsid w:val="003C1BEC"/>
    <w:rsid w:val="003C7E59"/>
    <w:rsid w:val="003D0032"/>
    <w:rsid w:val="003D0711"/>
    <w:rsid w:val="003D0BBA"/>
    <w:rsid w:val="003D618F"/>
    <w:rsid w:val="003E1349"/>
    <w:rsid w:val="003E1DDB"/>
    <w:rsid w:val="003E2987"/>
    <w:rsid w:val="003E4F82"/>
    <w:rsid w:val="003E5235"/>
    <w:rsid w:val="003E590C"/>
    <w:rsid w:val="003E5E37"/>
    <w:rsid w:val="003F1DFF"/>
    <w:rsid w:val="0040496A"/>
    <w:rsid w:val="00414248"/>
    <w:rsid w:val="00427CB2"/>
    <w:rsid w:val="00430F1A"/>
    <w:rsid w:val="0044036F"/>
    <w:rsid w:val="004439B7"/>
    <w:rsid w:val="00456265"/>
    <w:rsid w:val="00456CAA"/>
    <w:rsid w:val="00462D22"/>
    <w:rsid w:val="004666BD"/>
    <w:rsid w:val="00483520"/>
    <w:rsid w:val="00486705"/>
    <w:rsid w:val="00486D7C"/>
    <w:rsid w:val="00491EE0"/>
    <w:rsid w:val="00495190"/>
    <w:rsid w:val="00496571"/>
    <w:rsid w:val="00496681"/>
    <w:rsid w:val="004A0C08"/>
    <w:rsid w:val="004A4178"/>
    <w:rsid w:val="004B5CF9"/>
    <w:rsid w:val="004C1393"/>
    <w:rsid w:val="004C193F"/>
    <w:rsid w:val="004C4C97"/>
    <w:rsid w:val="004C7C05"/>
    <w:rsid w:val="004D1E13"/>
    <w:rsid w:val="004D2B6A"/>
    <w:rsid w:val="004D6E79"/>
    <w:rsid w:val="004E3D15"/>
    <w:rsid w:val="004F040E"/>
    <w:rsid w:val="004F3197"/>
    <w:rsid w:val="0050150F"/>
    <w:rsid w:val="00504781"/>
    <w:rsid w:val="00507A11"/>
    <w:rsid w:val="005161BA"/>
    <w:rsid w:val="005169AA"/>
    <w:rsid w:val="00517B5A"/>
    <w:rsid w:val="00530365"/>
    <w:rsid w:val="00530A73"/>
    <w:rsid w:val="005339E0"/>
    <w:rsid w:val="0054543A"/>
    <w:rsid w:val="00552151"/>
    <w:rsid w:val="00555996"/>
    <w:rsid w:val="00560546"/>
    <w:rsid w:val="00560BAC"/>
    <w:rsid w:val="00565550"/>
    <w:rsid w:val="0056593E"/>
    <w:rsid w:val="005706A2"/>
    <w:rsid w:val="00577858"/>
    <w:rsid w:val="00583AE7"/>
    <w:rsid w:val="005848A1"/>
    <w:rsid w:val="00585B95"/>
    <w:rsid w:val="00586856"/>
    <w:rsid w:val="005963E7"/>
    <w:rsid w:val="005B1907"/>
    <w:rsid w:val="005B5BCE"/>
    <w:rsid w:val="005C06E6"/>
    <w:rsid w:val="005C072D"/>
    <w:rsid w:val="005D5131"/>
    <w:rsid w:val="005D613D"/>
    <w:rsid w:val="005D6E88"/>
    <w:rsid w:val="005E0DD6"/>
    <w:rsid w:val="005E1053"/>
    <w:rsid w:val="005E185A"/>
    <w:rsid w:val="005E1D48"/>
    <w:rsid w:val="005E716E"/>
    <w:rsid w:val="005E742B"/>
    <w:rsid w:val="005F6F6A"/>
    <w:rsid w:val="00605AAF"/>
    <w:rsid w:val="00606CBF"/>
    <w:rsid w:val="00623D69"/>
    <w:rsid w:val="0062483C"/>
    <w:rsid w:val="0063253E"/>
    <w:rsid w:val="00632FBE"/>
    <w:rsid w:val="00636D6E"/>
    <w:rsid w:val="00640C19"/>
    <w:rsid w:val="00646A04"/>
    <w:rsid w:val="00664343"/>
    <w:rsid w:val="00664858"/>
    <w:rsid w:val="006676CA"/>
    <w:rsid w:val="00672640"/>
    <w:rsid w:val="006829B5"/>
    <w:rsid w:val="00685D72"/>
    <w:rsid w:val="006955F5"/>
    <w:rsid w:val="006A0FF4"/>
    <w:rsid w:val="006A4EF4"/>
    <w:rsid w:val="006A57E0"/>
    <w:rsid w:val="006A7169"/>
    <w:rsid w:val="006B47BA"/>
    <w:rsid w:val="006B55AC"/>
    <w:rsid w:val="006B6786"/>
    <w:rsid w:val="006C48F3"/>
    <w:rsid w:val="006C6737"/>
    <w:rsid w:val="006D4D35"/>
    <w:rsid w:val="006E6577"/>
    <w:rsid w:val="006F1B7D"/>
    <w:rsid w:val="006F55F5"/>
    <w:rsid w:val="006F5FFC"/>
    <w:rsid w:val="006F7F6A"/>
    <w:rsid w:val="00701AA6"/>
    <w:rsid w:val="007110AF"/>
    <w:rsid w:val="00716E37"/>
    <w:rsid w:val="0071711E"/>
    <w:rsid w:val="007274BD"/>
    <w:rsid w:val="00735B83"/>
    <w:rsid w:val="00737B79"/>
    <w:rsid w:val="00740B5A"/>
    <w:rsid w:val="0075549F"/>
    <w:rsid w:val="007622CB"/>
    <w:rsid w:val="007622D6"/>
    <w:rsid w:val="007726D0"/>
    <w:rsid w:val="00772B94"/>
    <w:rsid w:val="0077770C"/>
    <w:rsid w:val="00780818"/>
    <w:rsid w:val="00781925"/>
    <w:rsid w:val="00781B8F"/>
    <w:rsid w:val="00784008"/>
    <w:rsid w:val="00785D85"/>
    <w:rsid w:val="007A0C4B"/>
    <w:rsid w:val="007A3642"/>
    <w:rsid w:val="007A425A"/>
    <w:rsid w:val="007B6CAB"/>
    <w:rsid w:val="007C02C1"/>
    <w:rsid w:val="007C0A09"/>
    <w:rsid w:val="007C1098"/>
    <w:rsid w:val="007C2217"/>
    <w:rsid w:val="007C3298"/>
    <w:rsid w:val="007E0D28"/>
    <w:rsid w:val="007E16E4"/>
    <w:rsid w:val="007F5697"/>
    <w:rsid w:val="00801694"/>
    <w:rsid w:val="00803BD6"/>
    <w:rsid w:val="008059B2"/>
    <w:rsid w:val="00806553"/>
    <w:rsid w:val="00824D78"/>
    <w:rsid w:val="0083700A"/>
    <w:rsid w:val="00841347"/>
    <w:rsid w:val="00854EBC"/>
    <w:rsid w:val="00855A47"/>
    <w:rsid w:val="00861805"/>
    <w:rsid w:val="0086209B"/>
    <w:rsid w:val="00864C1A"/>
    <w:rsid w:val="008674F0"/>
    <w:rsid w:val="00873608"/>
    <w:rsid w:val="00885330"/>
    <w:rsid w:val="0088720C"/>
    <w:rsid w:val="008923D5"/>
    <w:rsid w:val="0089351E"/>
    <w:rsid w:val="008940CE"/>
    <w:rsid w:val="008963E9"/>
    <w:rsid w:val="00896B90"/>
    <w:rsid w:val="0089739F"/>
    <w:rsid w:val="008A3733"/>
    <w:rsid w:val="008A5502"/>
    <w:rsid w:val="008B5994"/>
    <w:rsid w:val="008B677D"/>
    <w:rsid w:val="008C4B6C"/>
    <w:rsid w:val="008D55CC"/>
    <w:rsid w:val="008D6CAC"/>
    <w:rsid w:val="008D784A"/>
    <w:rsid w:val="008F3145"/>
    <w:rsid w:val="008F5836"/>
    <w:rsid w:val="009125D9"/>
    <w:rsid w:val="00912624"/>
    <w:rsid w:val="009163CA"/>
    <w:rsid w:val="00916409"/>
    <w:rsid w:val="009177E5"/>
    <w:rsid w:val="009200A4"/>
    <w:rsid w:val="00920325"/>
    <w:rsid w:val="0092229D"/>
    <w:rsid w:val="0092638A"/>
    <w:rsid w:val="00927A22"/>
    <w:rsid w:val="009307B7"/>
    <w:rsid w:val="0095079C"/>
    <w:rsid w:val="00952EDD"/>
    <w:rsid w:val="009551CC"/>
    <w:rsid w:val="00960F70"/>
    <w:rsid w:val="0096595D"/>
    <w:rsid w:val="00970817"/>
    <w:rsid w:val="009725E9"/>
    <w:rsid w:val="009756AF"/>
    <w:rsid w:val="00983451"/>
    <w:rsid w:val="00985966"/>
    <w:rsid w:val="00986007"/>
    <w:rsid w:val="00993D75"/>
    <w:rsid w:val="00993FC8"/>
    <w:rsid w:val="00994757"/>
    <w:rsid w:val="009A1FD1"/>
    <w:rsid w:val="009A5DFC"/>
    <w:rsid w:val="009B2D86"/>
    <w:rsid w:val="009B66B2"/>
    <w:rsid w:val="009B7004"/>
    <w:rsid w:val="009C2F88"/>
    <w:rsid w:val="009C3CC1"/>
    <w:rsid w:val="009C678D"/>
    <w:rsid w:val="009D03D7"/>
    <w:rsid w:val="009D3E86"/>
    <w:rsid w:val="009E1C30"/>
    <w:rsid w:val="009E4A4C"/>
    <w:rsid w:val="009F2FA1"/>
    <w:rsid w:val="009F3D91"/>
    <w:rsid w:val="009F3F98"/>
    <w:rsid w:val="00A00E99"/>
    <w:rsid w:val="00A01569"/>
    <w:rsid w:val="00A15CCF"/>
    <w:rsid w:val="00A23B29"/>
    <w:rsid w:val="00A24374"/>
    <w:rsid w:val="00A316FB"/>
    <w:rsid w:val="00A3251F"/>
    <w:rsid w:val="00A369BB"/>
    <w:rsid w:val="00A65B4A"/>
    <w:rsid w:val="00A71912"/>
    <w:rsid w:val="00A81251"/>
    <w:rsid w:val="00A90FE9"/>
    <w:rsid w:val="00A972E6"/>
    <w:rsid w:val="00AA33DB"/>
    <w:rsid w:val="00AA79E9"/>
    <w:rsid w:val="00AB3E42"/>
    <w:rsid w:val="00AB7A5F"/>
    <w:rsid w:val="00AC7E24"/>
    <w:rsid w:val="00AD2FCE"/>
    <w:rsid w:val="00AD4F3C"/>
    <w:rsid w:val="00AD7D53"/>
    <w:rsid w:val="00AE300F"/>
    <w:rsid w:val="00AF522A"/>
    <w:rsid w:val="00AF5BC7"/>
    <w:rsid w:val="00B005E0"/>
    <w:rsid w:val="00B015FA"/>
    <w:rsid w:val="00B0593F"/>
    <w:rsid w:val="00B12607"/>
    <w:rsid w:val="00B2049D"/>
    <w:rsid w:val="00B2100C"/>
    <w:rsid w:val="00B224C2"/>
    <w:rsid w:val="00B25212"/>
    <w:rsid w:val="00B279A7"/>
    <w:rsid w:val="00B36DED"/>
    <w:rsid w:val="00B4551E"/>
    <w:rsid w:val="00B45CD4"/>
    <w:rsid w:val="00B5264D"/>
    <w:rsid w:val="00B53FF2"/>
    <w:rsid w:val="00B56650"/>
    <w:rsid w:val="00B57055"/>
    <w:rsid w:val="00B62796"/>
    <w:rsid w:val="00B62984"/>
    <w:rsid w:val="00B70C25"/>
    <w:rsid w:val="00B73757"/>
    <w:rsid w:val="00B77753"/>
    <w:rsid w:val="00B80D3D"/>
    <w:rsid w:val="00B910AD"/>
    <w:rsid w:val="00B95D27"/>
    <w:rsid w:val="00B967DA"/>
    <w:rsid w:val="00BA2C34"/>
    <w:rsid w:val="00BA3293"/>
    <w:rsid w:val="00BA40D4"/>
    <w:rsid w:val="00BA6AE1"/>
    <w:rsid w:val="00BB465A"/>
    <w:rsid w:val="00BB5439"/>
    <w:rsid w:val="00BC5328"/>
    <w:rsid w:val="00BD0C4B"/>
    <w:rsid w:val="00BF0FFA"/>
    <w:rsid w:val="00BF2C97"/>
    <w:rsid w:val="00BF2F2F"/>
    <w:rsid w:val="00BF3AFB"/>
    <w:rsid w:val="00C0147F"/>
    <w:rsid w:val="00C01709"/>
    <w:rsid w:val="00C01C61"/>
    <w:rsid w:val="00C10122"/>
    <w:rsid w:val="00C11B9E"/>
    <w:rsid w:val="00C15852"/>
    <w:rsid w:val="00C15D8C"/>
    <w:rsid w:val="00C313D5"/>
    <w:rsid w:val="00C35938"/>
    <w:rsid w:val="00C3765B"/>
    <w:rsid w:val="00C40EEC"/>
    <w:rsid w:val="00C40FEC"/>
    <w:rsid w:val="00C40FF9"/>
    <w:rsid w:val="00C42A84"/>
    <w:rsid w:val="00C46243"/>
    <w:rsid w:val="00C52EE8"/>
    <w:rsid w:val="00C62A4E"/>
    <w:rsid w:val="00C641C4"/>
    <w:rsid w:val="00C64DC8"/>
    <w:rsid w:val="00C71D03"/>
    <w:rsid w:val="00C7221E"/>
    <w:rsid w:val="00C809E5"/>
    <w:rsid w:val="00C819CB"/>
    <w:rsid w:val="00C8407D"/>
    <w:rsid w:val="00C87E31"/>
    <w:rsid w:val="00C90380"/>
    <w:rsid w:val="00C913BF"/>
    <w:rsid w:val="00C933D3"/>
    <w:rsid w:val="00C94437"/>
    <w:rsid w:val="00C95D7C"/>
    <w:rsid w:val="00CA2F7B"/>
    <w:rsid w:val="00CA6D2D"/>
    <w:rsid w:val="00CC67B8"/>
    <w:rsid w:val="00CD152B"/>
    <w:rsid w:val="00CD4EAA"/>
    <w:rsid w:val="00CD7B6B"/>
    <w:rsid w:val="00CE5F99"/>
    <w:rsid w:val="00CF1550"/>
    <w:rsid w:val="00CF2E94"/>
    <w:rsid w:val="00D0230D"/>
    <w:rsid w:val="00D04F93"/>
    <w:rsid w:val="00D07D29"/>
    <w:rsid w:val="00D07DD1"/>
    <w:rsid w:val="00D10298"/>
    <w:rsid w:val="00D12EF7"/>
    <w:rsid w:val="00D226E0"/>
    <w:rsid w:val="00D24371"/>
    <w:rsid w:val="00D2541D"/>
    <w:rsid w:val="00D26EF8"/>
    <w:rsid w:val="00D2762A"/>
    <w:rsid w:val="00D27B64"/>
    <w:rsid w:val="00D30A74"/>
    <w:rsid w:val="00D34F09"/>
    <w:rsid w:val="00D4461B"/>
    <w:rsid w:val="00D44ED8"/>
    <w:rsid w:val="00D5373F"/>
    <w:rsid w:val="00D54719"/>
    <w:rsid w:val="00D54AC9"/>
    <w:rsid w:val="00D61165"/>
    <w:rsid w:val="00D61608"/>
    <w:rsid w:val="00D66CC6"/>
    <w:rsid w:val="00D74A92"/>
    <w:rsid w:val="00D769F7"/>
    <w:rsid w:val="00D867DE"/>
    <w:rsid w:val="00D91438"/>
    <w:rsid w:val="00D926C0"/>
    <w:rsid w:val="00D94B74"/>
    <w:rsid w:val="00D9688A"/>
    <w:rsid w:val="00D97F15"/>
    <w:rsid w:val="00DA065F"/>
    <w:rsid w:val="00DA325A"/>
    <w:rsid w:val="00DA45A6"/>
    <w:rsid w:val="00DA490A"/>
    <w:rsid w:val="00DA5327"/>
    <w:rsid w:val="00DA7C56"/>
    <w:rsid w:val="00DB1263"/>
    <w:rsid w:val="00DB6B6D"/>
    <w:rsid w:val="00DC0DF7"/>
    <w:rsid w:val="00DC1A04"/>
    <w:rsid w:val="00DC50F6"/>
    <w:rsid w:val="00DC68FD"/>
    <w:rsid w:val="00DC77B5"/>
    <w:rsid w:val="00DD243A"/>
    <w:rsid w:val="00DD5513"/>
    <w:rsid w:val="00DD60E7"/>
    <w:rsid w:val="00DD6556"/>
    <w:rsid w:val="00DE3823"/>
    <w:rsid w:val="00DE43DA"/>
    <w:rsid w:val="00DE4B27"/>
    <w:rsid w:val="00DF0D4F"/>
    <w:rsid w:val="00DF2718"/>
    <w:rsid w:val="00E01F9F"/>
    <w:rsid w:val="00E05853"/>
    <w:rsid w:val="00E101EA"/>
    <w:rsid w:val="00E107C2"/>
    <w:rsid w:val="00E12FD5"/>
    <w:rsid w:val="00E134F1"/>
    <w:rsid w:val="00E14F5D"/>
    <w:rsid w:val="00E175F7"/>
    <w:rsid w:val="00E22293"/>
    <w:rsid w:val="00E26031"/>
    <w:rsid w:val="00E26816"/>
    <w:rsid w:val="00E34D51"/>
    <w:rsid w:val="00E36A5F"/>
    <w:rsid w:val="00E507CA"/>
    <w:rsid w:val="00E57BFA"/>
    <w:rsid w:val="00E628A3"/>
    <w:rsid w:val="00E63D74"/>
    <w:rsid w:val="00E65867"/>
    <w:rsid w:val="00E702E9"/>
    <w:rsid w:val="00E771AB"/>
    <w:rsid w:val="00E80D67"/>
    <w:rsid w:val="00E82B65"/>
    <w:rsid w:val="00E83027"/>
    <w:rsid w:val="00E83F6F"/>
    <w:rsid w:val="00E872AF"/>
    <w:rsid w:val="00E9609C"/>
    <w:rsid w:val="00EA6097"/>
    <w:rsid w:val="00EB207D"/>
    <w:rsid w:val="00EB7C1A"/>
    <w:rsid w:val="00EC108F"/>
    <w:rsid w:val="00EC2F8B"/>
    <w:rsid w:val="00EC6D2E"/>
    <w:rsid w:val="00EC729C"/>
    <w:rsid w:val="00EE100F"/>
    <w:rsid w:val="00EF350F"/>
    <w:rsid w:val="00EF6DD8"/>
    <w:rsid w:val="00F02FA2"/>
    <w:rsid w:val="00F05461"/>
    <w:rsid w:val="00F07030"/>
    <w:rsid w:val="00F12455"/>
    <w:rsid w:val="00F158BF"/>
    <w:rsid w:val="00F158D5"/>
    <w:rsid w:val="00F15F32"/>
    <w:rsid w:val="00F4112A"/>
    <w:rsid w:val="00F443F4"/>
    <w:rsid w:val="00F454CF"/>
    <w:rsid w:val="00F45AAF"/>
    <w:rsid w:val="00F558D6"/>
    <w:rsid w:val="00F6112A"/>
    <w:rsid w:val="00F642DC"/>
    <w:rsid w:val="00F65BBE"/>
    <w:rsid w:val="00F67791"/>
    <w:rsid w:val="00F73650"/>
    <w:rsid w:val="00F81C97"/>
    <w:rsid w:val="00F830E1"/>
    <w:rsid w:val="00F8770E"/>
    <w:rsid w:val="00F92C77"/>
    <w:rsid w:val="00F93FA0"/>
    <w:rsid w:val="00FA0BE1"/>
    <w:rsid w:val="00FA2303"/>
    <w:rsid w:val="00FA35B7"/>
    <w:rsid w:val="00FB05CE"/>
    <w:rsid w:val="00FB2B11"/>
    <w:rsid w:val="00FB2B50"/>
    <w:rsid w:val="00FB45C1"/>
    <w:rsid w:val="00FB46F9"/>
    <w:rsid w:val="00FB7991"/>
    <w:rsid w:val="00FB7BAA"/>
    <w:rsid w:val="00FD3B61"/>
    <w:rsid w:val="00FE2B3B"/>
    <w:rsid w:val="00FF49DC"/>
    <w:rsid w:val="00FF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62"/>
    <w:pPr>
      <w:spacing w:after="240" w:line="259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262"/>
    <w:pPr>
      <w:spacing w:before="480" w:line="312" w:lineRule="auto"/>
      <w:outlineLvl w:val="0"/>
    </w:pPr>
    <w:rPr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262"/>
    <w:rPr>
      <w:rFonts w:ascii="Times New Roman" w:hAnsi="Times New Roman"/>
      <w:b/>
      <w:sz w:val="26"/>
      <w:szCs w:val="26"/>
    </w:rPr>
  </w:style>
  <w:style w:type="table" w:styleId="TableGrid">
    <w:name w:val="Table Grid"/>
    <w:basedOn w:val="TableNormal"/>
    <w:uiPriority w:val="39"/>
    <w:rsid w:val="00096262"/>
    <w:pPr>
      <w:spacing w:after="0" w:line="240" w:lineRule="auto"/>
    </w:pPr>
    <w:rPr>
      <w:rFonts w:ascii="Times New Roman" w:hAnsi="Times New Roman"/>
      <w:sz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6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pavithra.ap</dc:creator>
  <cp:lastModifiedBy>pavithra.ap</cp:lastModifiedBy>
  <cp:revision>1</cp:revision>
  <dcterms:created xsi:type="dcterms:W3CDTF">2020-08-08T01:12:00Z</dcterms:created>
  <dcterms:modified xsi:type="dcterms:W3CDTF">2020-08-08T01:13:00Z</dcterms:modified>
</cp:coreProperties>
</file>