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AAEB7" w14:textId="77777777" w:rsidR="00EC1341" w:rsidRDefault="007218B8">
      <w:pPr>
        <w:rPr>
          <w:b/>
        </w:rPr>
      </w:pPr>
      <w:r w:rsidRPr="00EC1341">
        <w:rPr>
          <w:b/>
        </w:rPr>
        <w:t>Appendix</w:t>
      </w:r>
      <w:r w:rsidR="00EC1341" w:rsidRPr="00EC1341">
        <w:rPr>
          <w:b/>
        </w:rPr>
        <w:t xml:space="preserve"> 1: Attrition in Next Steps sample</w:t>
      </w:r>
    </w:p>
    <w:p w14:paraId="135D8623" w14:textId="48BCF156" w:rsidR="00777A17" w:rsidRPr="00777A17" w:rsidRDefault="00777A17">
      <w:r w:rsidRPr="00777A17">
        <w:t xml:space="preserve">As seen in Table A1, </w:t>
      </w:r>
      <w:r>
        <w:t xml:space="preserve">attrition in Next Steps culminated at 50 percent with the Age 25 wave (wave 8). </w:t>
      </w:r>
      <w:r w:rsidR="005929CC">
        <w:t>As</w:t>
      </w:r>
      <w:r>
        <w:t xml:space="preserve"> often</w:t>
      </w:r>
      <w:r w:rsidR="005929CC">
        <w:t xml:space="preserve"> is</w:t>
      </w:r>
      <w:r>
        <w:t xml:space="preserve"> the case, attrition has biased Next Steps sample towards higher socio-economic backgrounds, warranting some caution in the interpretation of results based on its analysis (Siddiqui, </w:t>
      </w:r>
      <w:proofErr w:type="spellStart"/>
      <w:r>
        <w:t>Boliver</w:t>
      </w:r>
      <w:proofErr w:type="spellEnd"/>
      <w:r>
        <w:t xml:space="preserve">, &amp; </w:t>
      </w:r>
      <w:proofErr w:type="spellStart"/>
      <w:r>
        <w:t>Gorard</w:t>
      </w:r>
      <w:proofErr w:type="spellEnd"/>
      <w:r>
        <w:t xml:space="preserve">, 2019). However, </w:t>
      </w:r>
      <w:r w:rsidR="00E94B54">
        <w:t xml:space="preserve">this study looks at housing as an outcome, which is already </w:t>
      </w:r>
      <w:r w:rsidR="005929CC">
        <w:t>highly</w:t>
      </w:r>
      <w:r w:rsidR="00E94B54">
        <w:t xml:space="preserve"> stratified by socio-economic background. Any effect in this somewhat homogenous sample would therefore be more meaningful. </w:t>
      </w:r>
    </w:p>
    <w:p w14:paraId="05EFB6AC" w14:textId="3C1248C1" w:rsidR="00274524" w:rsidRPr="00EC1341" w:rsidRDefault="00274524">
      <w:pPr>
        <w:rPr>
          <w:b/>
        </w:rPr>
      </w:pPr>
      <w:r>
        <w:rPr>
          <w:b/>
        </w:rPr>
        <w:t xml:space="preserve">Table A1. Attrition in Next Steps </w:t>
      </w:r>
      <w:r w:rsidR="00E94B54">
        <w:rPr>
          <w:b/>
        </w:rPr>
        <w:t>over the eight</w:t>
      </w:r>
      <w:r>
        <w:rPr>
          <w:b/>
        </w:rPr>
        <w:t xml:space="preserve"> waves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8"/>
        <w:gridCol w:w="2354"/>
      </w:tblGrid>
      <w:tr w:rsidR="00EC1341" w14:paraId="5AD2A163" w14:textId="77777777" w:rsidTr="00EC1341">
        <w:trPr>
          <w:jc w:val="center"/>
        </w:trPr>
        <w:tc>
          <w:tcPr>
            <w:tcW w:w="0" w:type="auto"/>
          </w:tcPr>
          <w:p w14:paraId="583FA2AC" w14:textId="77777777" w:rsidR="00EC1341" w:rsidRDefault="00EC1341"/>
        </w:tc>
        <w:tc>
          <w:tcPr>
            <w:tcW w:w="0" w:type="auto"/>
          </w:tcPr>
          <w:p w14:paraId="1C50978C" w14:textId="77777777" w:rsidR="00EC1341" w:rsidRDefault="00EC1341">
            <w:r>
              <w:t>Number of respondents</w:t>
            </w:r>
          </w:p>
        </w:tc>
      </w:tr>
      <w:tr w:rsidR="00EC1341" w14:paraId="7427AB5D" w14:textId="77777777" w:rsidTr="00EC1341">
        <w:trPr>
          <w:jc w:val="center"/>
        </w:trPr>
        <w:tc>
          <w:tcPr>
            <w:tcW w:w="0" w:type="auto"/>
          </w:tcPr>
          <w:p w14:paraId="5D863066" w14:textId="77777777" w:rsidR="00EC1341" w:rsidRDefault="00EC1341">
            <w:r>
              <w:t>Wave 1</w:t>
            </w:r>
          </w:p>
        </w:tc>
        <w:tc>
          <w:tcPr>
            <w:tcW w:w="0" w:type="auto"/>
          </w:tcPr>
          <w:p w14:paraId="7FFBA64C" w14:textId="77777777" w:rsidR="00EC1341" w:rsidRDefault="00EC1341" w:rsidP="00EC1341">
            <w:pPr>
              <w:jc w:val="center"/>
            </w:pPr>
            <w:r>
              <w:t>15,770</w:t>
            </w:r>
          </w:p>
        </w:tc>
      </w:tr>
      <w:tr w:rsidR="00EC1341" w14:paraId="3EF48CFD" w14:textId="77777777" w:rsidTr="00EC1341">
        <w:trPr>
          <w:jc w:val="center"/>
        </w:trPr>
        <w:tc>
          <w:tcPr>
            <w:tcW w:w="0" w:type="auto"/>
          </w:tcPr>
          <w:p w14:paraId="30E6156F" w14:textId="77777777" w:rsidR="00EC1341" w:rsidRDefault="00EC1341">
            <w:r>
              <w:t>Wave 2</w:t>
            </w:r>
          </w:p>
        </w:tc>
        <w:tc>
          <w:tcPr>
            <w:tcW w:w="0" w:type="auto"/>
          </w:tcPr>
          <w:p w14:paraId="05D1068A" w14:textId="77777777" w:rsidR="00EC1341" w:rsidRDefault="00EC1341" w:rsidP="00EC1341">
            <w:pPr>
              <w:jc w:val="center"/>
            </w:pPr>
            <w:r>
              <w:t>13,539</w:t>
            </w:r>
          </w:p>
        </w:tc>
      </w:tr>
      <w:tr w:rsidR="00EC1341" w14:paraId="5B4AF28D" w14:textId="77777777" w:rsidTr="00EC1341">
        <w:trPr>
          <w:jc w:val="center"/>
        </w:trPr>
        <w:tc>
          <w:tcPr>
            <w:tcW w:w="0" w:type="auto"/>
          </w:tcPr>
          <w:p w14:paraId="46D189DF" w14:textId="77777777" w:rsidR="00EC1341" w:rsidRDefault="00EC1341">
            <w:r>
              <w:t>Wave 3</w:t>
            </w:r>
          </w:p>
        </w:tc>
        <w:tc>
          <w:tcPr>
            <w:tcW w:w="0" w:type="auto"/>
          </w:tcPr>
          <w:p w14:paraId="6FA3002F" w14:textId="77777777" w:rsidR="00EC1341" w:rsidRDefault="00EC1341" w:rsidP="00EC1341">
            <w:pPr>
              <w:jc w:val="center"/>
            </w:pPr>
            <w:r>
              <w:t>12,439</w:t>
            </w:r>
          </w:p>
        </w:tc>
      </w:tr>
      <w:tr w:rsidR="00EC1341" w14:paraId="0CDFF2F8" w14:textId="77777777" w:rsidTr="00EC1341">
        <w:trPr>
          <w:jc w:val="center"/>
        </w:trPr>
        <w:tc>
          <w:tcPr>
            <w:tcW w:w="0" w:type="auto"/>
          </w:tcPr>
          <w:p w14:paraId="6547DF37" w14:textId="77777777" w:rsidR="00EC1341" w:rsidRDefault="00EC1341">
            <w:r>
              <w:t>Wave 4</w:t>
            </w:r>
          </w:p>
        </w:tc>
        <w:tc>
          <w:tcPr>
            <w:tcW w:w="0" w:type="auto"/>
          </w:tcPr>
          <w:p w14:paraId="114B3293" w14:textId="77777777" w:rsidR="00EC1341" w:rsidRDefault="00EC1341" w:rsidP="00EC1341">
            <w:pPr>
              <w:jc w:val="center"/>
            </w:pPr>
            <w:r>
              <w:t>11,801</w:t>
            </w:r>
          </w:p>
        </w:tc>
      </w:tr>
      <w:tr w:rsidR="00EC1341" w14:paraId="1EDA621E" w14:textId="77777777" w:rsidTr="00EC1341">
        <w:trPr>
          <w:jc w:val="center"/>
        </w:trPr>
        <w:tc>
          <w:tcPr>
            <w:tcW w:w="0" w:type="auto"/>
          </w:tcPr>
          <w:p w14:paraId="0678C51A" w14:textId="77777777" w:rsidR="00EC1341" w:rsidRDefault="00EC1341">
            <w:r>
              <w:t>Wave 5</w:t>
            </w:r>
          </w:p>
        </w:tc>
        <w:tc>
          <w:tcPr>
            <w:tcW w:w="0" w:type="auto"/>
          </w:tcPr>
          <w:p w14:paraId="622E21FA" w14:textId="77777777" w:rsidR="00EC1341" w:rsidRDefault="00EC1341" w:rsidP="00EC1341">
            <w:pPr>
              <w:jc w:val="center"/>
            </w:pPr>
            <w:r>
              <w:t>10,430</w:t>
            </w:r>
          </w:p>
        </w:tc>
      </w:tr>
      <w:tr w:rsidR="00EC1341" w14:paraId="6FC94F41" w14:textId="77777777" w:rsidTr="00EC1341">
        <w:trPr>
          <w:jc w:val="center"/>
        </w:trPr>
        <w:tc>
          <w:tcPr>
            <w:tcW w:w="0" w:type="auto"/>
          </w:tcPr>
          <w:p w14:paraId="3AF2DAC3" w14:textId="77777777" w:rsidR="00EC1341" w:rsidRDefault="00EC1341">
            <w:r>
              <w:t>Wave 6</w:t>
            </w:r>
          </w:p>
        </w:tc>
        <w:tc>
          <w:tcPr>
            <w:tcW w:w="0" w:type="auto"/>
          </w:tcPr>
          <w:p w14:paraId="11BF37B8" w14:textId="77777777" w:rsidR="00EC1341" w:rsidRDefault="00EC1341" w:rsidP="00EC1341">
            <w:pPr>
              <w:jc w:val="center"/>
            </w:pPr>
            <w:r>
              <w:t>9,799</w:t>
            </w:r>
          </w:p>
        </w:tc>
      </w:tr>
      <w:tr w:rsidR="00EC1341" w14:paraId="542BD7EA" w14:textId="77777777" w:rsidTr="00EC1341">
        <w:trPr>
          <w:jc w:val="center"/>
        </w:trPr>
        <w:tc>
          <w:tcPr>
            <w:tcW w:w="0" w:type="auto"/>
          </w:tcPr>
          <w:p w14:paraId="18F26069" w14:textId="77777777" w:rsidR="00EC1341" w:rsidRDefault="00EC1341">
            <w:r>
              <w:t>Wave 7</w:t>
            </w:r>
          </w:p>
        </w:tc>
        <w:tc>
          <w:tcPr>
            <w:tcW w:w="0" w:type="auto"/>
          </w:tcPr>
          <w:p w14:paraId="25694FEC" w14:textId="77777777" w:rsidR="00EC1341" w:rsidRDefault="00EC1341" w:rsidP="00EC1341">
            <w:pPr>
              <w:jc w:val="center"/>
            </w:pPr>
            <w:r>
              <w:t>8,682</w:t>
            </w:r>
          </w:p>
        </w:tc>
      </w:tr>
      <w:tr w:rsidR="00EC1341" w14:paraId="503AA5FB" w14:textId="77777777" w:rsidTr="00EC1341">
        <w:trPr>
          <w:jc w:val="center"/>
        </w:trPr>
        <w:tc>
          <w:tcPr>
            <w:tcW w:w="0" w:type="auto"/>
          </w:tcPr>
          <w:p w14:paraId="31071B47" w14:textId="77777777" w:rsidR="00EC1341" w:rsidRDefault="00EC1341">
            <w:r>
              <w:t>Wave 8</w:t>
            </w:r>
          </w:p>
        </w:tc>
        <w:tc>
          <w:tcPr>
            <w:tcW w:w="0" w:type="auto"/>
          </w:tcPr>
          <w:p w14:paraId="78AE4283" w14:textId="77777777" w:rsidR="00EC1341" w:rsidRDefault="00EC1341" w:rsidP="00EC1341">
            <w:pPr>
              <w:jc w:val="center"/>
            </w:pPr>
            <w:r>
              <w:t>7,707</w:t>
            </w:r>
          </w:p>
        </w:tc>
      </w:tr>
    </w:tbl>
    <w:p w14:paraId="74FE7AE7" w14:textId="0749FE35" w:rsidR="00EC1341" w:rsidRPr="00EC1341" w:rsidRDefault="00EC1341" w:rsidP="00EC13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C1341">
        <w:rPr>
          <w:u w:val="single"/>
        </w:rPr>
        <w:t>Source</w:t>
      </w:r>
      <w:r>
        <w:t xml:space="preserve">: </w:t>
      </w:r>
      <w:r w:rsidRPr="00EC1341">
        <w:rPr>
          <w:rFonts w:eastAsia="Times New Roman" w:cstheme="minorHAnsi"/>
          <w:szCs w:val="24"/>
          <w:lang w:eastAsia="en-GB"/>
        </w:rPr>
        <w:t>C</w:t>
      </w:r>
      <w:r w:rsidR="00793F89">
        <w:rPr>
          <w:rFonts w:eastAsia="Times New Roman" w:cstheme="minorHAnsi"/>
          <w:szCs w:val="24"/>
          <w:lang w:eastAsia="en-GB"/>
        </w:rPr>
        <w:t>alderwood, L. (2017),</w:t>
      </w:r>
      <w:r w:rsidRPr="00EC1341">
        <w:rPr>
          <w:rFonts w:eastAsia="Times New Roman" w:cstheme="minorHAnsi"/>
          <w:szCs w:val="24"/>
          <w:lang w:eastAsia="en-GB"/>
        </w:rPr>
        <w:t xml:space="preserve"> </w:t>
      </w:r>
      <w:r w:rsidR="00793F89" w:rsidRPr="00793F89">
        <w:rPr>
          <w:rFonts w:eastAsia="Times New Roman" w:cstheme="minorHAnsi"/>
          <w:szCs w:val="24"/>
          <w:lang w:eastAsia="en-GB"/>
        </w:rPr>
        <w:t>‘</w:t>
      </w:r>
      <w:r w:rsidRPr="00793F89">
        <w:rPr>
          <w:rFonts w:eastAsia="Times New Roman" w:cstheme="minorHAnsi"/>
          <w:iCs/>
          <w:szCs w:val="24"/>
          <w:lang w:eastAsia="en-GB"/>
        </w:rPr>
        <w:t xml:space="preserve">Next Steps. Sweep </w:t>
      </w:r>
      <w:proofErr w:type="gramStart"/>
      <w:r w:rsidRPr="00793F89">
        <w:rPr>
          <w:rFonts w:eastAsia="Times New Roman" w:cstheme="minorHAnsi"/>
          <w:iCs/>
          <w:szCs w:val="24"/>
          <w:lang w:eastAsia="en-GB"/>
        </w:rPr>
        <w:t>8</w:t>
      </w:r>
      <w:proofErr w:type="gramEnd"/>
      <w:r w:rsidRPr="00793F89">
        <w:rPr>
          <w:rFonts w:eastAsia="Times New Roman" w:cstheme="minorHAnsi"/>
          <w:iCs/>
          <w:szCs w:val="24"/>
          <w:lang w:eastAsia="en-GB"/>
        </w:rPr>
        <w:t xml:space="preserve"> - Age 25 survey. User Guide (First Edition)</w:t>
      </w:r>
      <w:r w:rsidR="00793F89" w:rsidRPr="00793F89">
        <w:rPr>
          <w:rFonts w:eastAsia="Times New Roman" w:cstheme="minorHAnsi"/>
          <w:iCs/>
          <w:szCs w:val="24"/>
          <w:lang w:eastAsia="en-GB"/>
        </w:rPr>
        <w:t>’</w:t>
      </w:r>
      <w:r w:rsidR="00336761">
        <w:rPr>
          <w:rFonts w:eastAsia="Times New Roman" w:cstheme="minorHAnsi"/>
          <w:szCs w:val="24"/>
          <w:lang w:eastAsia="en-GB"/>
        </w:rPr>
        <w:t>,</w:t>
      </w:r>
      <w:r w:rsidRPr="00EC1341">
        <w:rPr>
          <w:rFonts w:eastAsia="Times New Roman" w:cstheme="minorHAnsi"/>
          <w:szCs w:val="24"/>
          <w:lang w:eastAsia="en-GB"/>
        </w:rPr>
        <w:t xml:space="preserve"> </w:t>
      </w:r>
      <w:r w:rsidR="00336761">
        <w:rPr>
          <w:rFonts w:eastAsia="Times New Roman" w:cstheme="minorHAnsi"/>
          <w:szCs w:val="24"/>
          <w:lang w:eastAsia="en-GB"/>
        </w:rPr>
        <w:t xml:space="preserve">London: </w:t>
      </w:r>
      <w:r w:rsidRPr="00EC1341">
        <w:rPr>
          <w:rFonts w:eastAsia="Times New Roman" w:cstheme="minorHAnsi"/>
          <w:szCs w:val="24"/>
          <w:lang w:eastAsia="en-GB"/>
        </w:rPr>
        <w:t>UCL Institute of Education.</w:t>
      </w:r>
    </w:p>
    <w:p w14:paraId="61BDDF42" w14:textId="29E686ED" w:rsidR="00F95A8C" w:rsidRDefault="00336761" w:rsidP="00777A17">
      <w:r>
        <w:t xml:space="preserve">Siddiqui, N., </w:t>
      </w:r>
      <w:proofErr w:type="spellStart"/>
      <w:r>
        <w:t>Boliver</w:t>
      </w:r>
      <w:proofErr w:type="spellEnd"/>
      <w:r>
        <w:t xml:space="preserve">, V. and </w:t>
      </w:r>
      <w:proofErr w:type="spellStart"/>
      <w:r>
        <w:t>Gorard</w:t>
      </w:r>
      <w:proofErr w:type="spellEnd"/>
      <w:r>
        <w:t>, S. (2019),</w:t>
      </w:r>
      <w:r w:rsidR="00777A17" w:rsidRPr="00777A17">
        <w:t xml:space="preserve"> </w:t>
      </w:r>
      <w:r>
        <w:t>‘</w:t>
      </w:r>
      <w:r w:rsidR="00777A17" w:rsidRPr="00777A17">
        <w:t>Reliability of longitudinal social surveys of access to higher education: The case of Next Steps in England</w:t>
      </w:r>
      <w:r>
        <w:t>’,</w:t>
      </w:r>
      <w:r w:rsidR="00777A17" w:rsidRPr="00777A17">
        <w:t xml:space="preserve"> </w:t>
      </w:r>
      <w:r w:rsidR="00777A17" w:rsidRPr="00777A17">
        <w:rPr>
          <w:i/>
          <w:iCs/>
        </w:rPr>
        <w:t>Social Inclusion</w:t>
      </w:r>
      <w:r w:rsidR="00777A17" w:rsidRPr="00777A17">
        <w:t xml:space="preserve">, </w:t>
      </w:r>
      <w:r w:rsidR="00777A17" w:rsidRPr="00336761">
        <w:rPr>
          <w:iCs/>
        </w:rPr>
        <w:t>7</w:t>
      </w:r>
      <w:r w:rsidRPr="00336761">
        <w:t>, 1</w:t>
      </w:r>
      <w:r w:rsidR="00777A17" w:rsidRPr="00777A17">
        <w:t xml:space="preserve">, 80–89. </w:t>
      </w:r>
    </w:p>
    <w:p w14:paraId="5FFC5E5E" w14:textId="77777777" w:rsidR="00F95A8C" w:rsidRDefault="00F95A8C">
      <w:r>
        <w:br w:type="page"/>
      </w:r>
    </w:p>
    <w:p w14:paraId="62924960" w14:textId="6BB801B8" w:rsidR="00777A17" w:rsidRPr="00F95A8C" w:rsidRDefault="00F95A8C" w:rsidP="00777A17">
      <w:pPr>
        <w:rPr>
          <w:b/>
        </w:rPr>
      </w:pPr>
      <w:r w:rsidRPr="00F95A8C">
        <w:rPr>
          <w:b/>
        </w:rPr>
        <w:lastRenderedPageBreak/>
        <w:t>Appendix 2: Sample exclusion</w:t>
      </w:r>
    </w:p>
    <w:p w14:paraId="4C2AE42E" w14:textId="7F611838" w:rsidR="00EC1341" w:rsidRDefault="00F95A8C">
      <w:r>
        <w:t xml:space="preserve">Table A2 provides a socio-economic description of the respondents who </w:t>
      </w:r>
      <w:r w:rsidR="005929CC">
        <w:t>entered</w:t>
      </w:r>
      <w:r>
        <w:t xml:space="preserve"> higher education but did not provide information on their borrowing</w:t>
      </w:r>
      <w:r w:rsidR="00EA7BEA">
        <w:t xml:space="preserve"> (n=690)</w:t>
      </w:r>
      <w:r>
        <w:t xml:space="preserve"> in any wave</w:t>
      </w:r>
      <w:r w:rsidR="005929CC">
        <w:t>,</w:t>
      </w:r>
      <w:r w:rsidR="00DE5CE1">
        <w:t xml:space="preserve"> and compares</w:t>
      </w:r>
      <w:r w:rsidR="005929CC">
        <w:t xml:space="preserve"> them</w:t>
      </w:r>
      <w:r>
        <w:t xml:space="preserve"> to the </w:t>
      </w:r>
      <w:r w:rsidR="00DE5CE1">
        <w:t>effective</w:t>
      </w:r>
      <w:r>
        <w:t xml:space="preserve"> sample. </w:t>
      </w:r>
      <w:r w:rsidR="00DE5CE1">
        <w:t xml:space="preserve">The two </w:t>
      </w:r>
      <w:r w:rsidR="00851079">
        <w:t>groups</w:t>
      </w:r>
      <w:r w:rsidR="00DE5CE1">
        <w:t xml:space="preserve"> are relatively similar.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95A8C" w14:paraId="2A1BDEC4" w14:textId="77777777" w:rsidTr="00885E2F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7D79D48E" w14:textId="77777777" w:rsidR="00F95A8C" w:rsidRPr="00F95A8C" w:rsidRDefault="00F95A8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45DC4B6A" w14:textId="5994A68E" w:rsidR="00F95A8C" w:rsidRPr="00F95A8C" w:rsidRDefault="00F95A8C" w:rsidP="003F4E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Effective Sample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2F45F6DA" w14:textId="304938C0" w:rsidR="00F95A8C" w:rsidRPr="00F95A8C" w:rsidRDefault="00F95A8C" w:rsidP="003F4E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Excluded</w:t>
            </w:r>
          </w:p>
        </w:tc>
      </w:tr>
      <w:tr w:rsidR="00F95A8C" w14:paraId="7D415416" w14:textId="77777777" w:rsidTr="00885E2F">
        <w:tc>
          <w:tcPr>
            <w:tcW w:w="3005" w:type="dxa"/>
            <w:tcBorders>
              <w:top w:val="single" w:sz="4" w:space="0" w:color="auto"/>
            </w:tcBorders>
          </w:tcPr>
          <w:p w14:paraId="0A3DC951" w14:textId="4CF07DAC" w:rsidR="00F95A8C" w:rsidRPr="00F95A8C" w:rsidRDefault="00F95A8C">
            <w:pPr>
              <w:rPr>
                <w:sz w:val="20"/>
                <w:szCs w:val="20"/>
                <w:lang w:val="en-US"/>
              </w:rPr>
            </w:pPr>
            <w:r w:rsidRPr="00F95A8C">
              <w:rPr>
                <w:sz w:val="20"/>
                <w:szCs w:val="20"/>
                <w:lang w:val="en-US"/>
              </w:rPr>
              <w:t>Female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F60E02B" w14:textId="34B7B075" w:rsidR="00F95A8C" w:rsidRPr="00F95A8C" w:rsidRDefault="003F4E44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0.55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4284D738" w14:textId="4B0A265E" w:rsidR="00F95A8C" w:rsidRPr="00F95A8C" w:rsidRDefault="003F4E44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0.59</w:t>
            </w:r>
            <w:r w:rsidR="00574F81">
              <w:rPr>
                <w:sz w:val="20"/>
                <w:szCs w:val="20"/>
                <w:lang w:val="en-US"/>
              </w:rPr>
              <w:t>*</w:t>
            </w:r>
          </w:p>
        </w:tc>
      </w:tr>
      <w:tr w:rsidR="00F95A8C" w14:paraId="6CC3A5C2" w14:textId="77777777" w:rsidTr="00885E2F">
        <w:tc>
          <w:tcPr>
            <w:tcW w:w="3005" w:type="dxa"/>
          </w:tcPr>
          <w:p w14:paraId="4E43BA8A" w14:textId="4B329D3D" w:rsidR="00F95A8C" w:rsidRPr="00F95A8C" w:rsidRDefault="00F95A8C">
            <w:pPr>
              <w:rPr>
                <w:sz w:val="20"/>
                <w:szCs w:val="20"/>
                <w:lang w:val="en-US"/>
              </w:rPr>
            </w:pPr>
            <w:r w:rsidRPr="00F95A8C">
              <w:rPr>
                <w:sz w:val="20"/>
                <w:szCs w:val="20"/>
                <w:lang w:val="en-US"/>
              </w:rPr>
              <w:t>White</w:t>
            </w:r>
          </w:p>
        </w:tc>
        <w:tc>
          <w:tcPr>
            <w:tcW w:w="3005" w:type="dxa"/>
          </w:tcPr>
          <w:p w14:paraId="1758255D" w14:textId="50F33126" w:rsidR="00F95A8C" w:rsidRPr="00F95A8C" w:rsidRDefault="00574F81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0.68</w:t>
            </w:r>
          </w:p>
        </w:tc>
        <w:tc>
          <w:tcPr>
            <w:tcW w:w="3006" w:type="dxa"/>
          </w:tcPr>
          <w:p w14:paraId="2B9E2379" w14:textId="651AAA75" w:rsidR="00F95A8C" w:rsidRPr="00F95A8C" w:rsidRDefault="00574F81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0.69</w:t>
            </w:r>
          </w:p>
        </w:tc>
      </w:tr>
      <w:tr w:rsidR="00F95A8C" w14:paraId="0736F90B" w14:textId="77777777" w:rsidTr="00885E2F">
        <w:tc>
          <w:tcPr>
            <w:tcW w:w="3005" w:type="dxa"/>
          </w:tcPr>
          <w:p w14:paraId="28BAE449" w14:textId="594E0149" w:rsidR="00F95A8C" w:rsidRPr="00F95A8C" w:rsidRDefault="00F95A8C">
            <w:pPr>
              <w:rPr>
                <w:sz w:val="20"/>
                <w:szCs w:val="20"/>
                <w:lang w:val="en-US"/>
              </w:rPr>
            </w:pPr>
            <w:r w:rsidRPr="00F95A8C">
              <w:rPr>
                <w:sz w:val="20"/>
                <w:szCs w:val="20"/>
                <w:lang w:val="en-US"/>
              </w:rPr>
              <w:t>Muslim</w:t>
            </w:r>
          </w:p>
        </w:tc>
        <w:tc>
          <w:tcPr>
            <w:tcW w:w="3005" w:type="dxa"/>
          </w:tcPr>
          <w:p w14:paraId="24D49213" w14:textId="63AEEDBD" w:rsidR="00F95A8C" w:rsidRPr="00F95A8C" w:rsidRDefault="00574F81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0.14</w:t>
            </w:r>
          </w:p>
        </w:tc>
        <w:tc>
          <w:tcPr>
            <w:tcW w:w="3006" w:type="dxa"/>
          </w:tcPr>
          <w:p w14:paraId="09F4964F" w14:textId="50136E97" w:rsidR="00F95A8C" w:rsidRPr="00F95A8C" w:rsidRDefault="00574F81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0.12</w:t>
            </w:r>
          </w:p>
        </w:tc>
      </w:tr>
      <w:tr w:rsidR="00F95A8C" w14:paraId="41C225E6" w14:textId="77777777" w:rsidTr="00885E2F">
        <w:tc>
          <w:tcPr>
            <w:tcW w:w="3005" w:type="dxa"/>
          </w:tcPr>
          <w:p w14:paraId="62FCD224" w14:textId="3C343921" w:rsidR="00F95A8C" w:rsidRPr="00F95A8C" w:rsidRDefault="00F95A8C">
            <w:pPr>
              <w:rPr>
                <w:sz w:val="20"/>
                <w:szCs w:val="20"/>
                <w:lang w:val="en-US"/>
              </w:rPr>
            </w:pPr>
            <w:r w:rsidRPr="00F95A8C">
              <w:rPr>
                <w:sz w:val="20"/>
                <w:szCs w:val="20"/>
                <w:lang w:val="en-US"/>
              </w:rPr>
              <w:t>Live in South East at age 14</w:t>
            </w:r>
          </w:p>
        </w:tc>
        <w:tc>
          <w:tcPr>
            <w:tcW w:w="3005" w:type="dxa"/>
          </w:tcPr>
          <w:p w14:paraId="1816A34B" w14:textId="66764AB3" w:rsidR="00F95A8C" w:rsidRPr="00F95A8C" w:rsidRDefault="00D55088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0.31</w:t>
            </w:r>
          </w:p>
        </w:tc>
        <w:tc>
          <w:tcPr>
            <w:tcW w:w="3006" w:type="dxa"/>
          </w:tcPr>
          <w:p w14:paraId="37834385" w14:textId="676F498F" w:rsidR="00F95A8C" w:rsidRPr="00F95A8C" w:rsidRDefault="00574F81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0.32</w:t>
            </w:r>
          </w:p>
        </w:tc>
      </w:tr>
      <w:tr w:rsidR="00F95A8C" w14:paraId="1F999841" w14:textId="77777777" w:rsidTr="00885E2F">
        <w:tc>
          <w:tcPr>
            <w:tcW w:w="3005" w:type="dxa"/>
          </w:tcPr>
          <w:p w14:paraId="6065F81B" w14:textId="6AD45377" w:rsidR="00F95A8C" w:rsidRPr="00F95A8C" w:rsidRDefault="00F95A8C">
            <w:pPr>
              <w:rPr>
                <w:sz w:val="20"/>
                <w:szCs w:val="20"/>
                <w:lang w:val="en-US"/>
              </w:rPr>
            </w:pPr>
            <w:r w:rsidRPr="00F95A8C">
              <w:rPr>
                <w:sz w:val="20"/>
                <w:szCs w:val="20"/>
                <w:lang w:val="en-US"/>
              </w:rPr>
              <w:t>Private schooling</w:t>
            </w:r>
          </w:p>
        </w:tc>
        <w:tc>
          <w:tcPr>
            <w:tcW w:w="3005" w:type="dxa"/>
          </w:tcPr>
          <w:p w14:paraId="42EC122E" w14:textId="24CCD8C8" w:rsidR="00F95A8C" w:rsidRPr="00F95A8C" w:rsidRDefault="00D55088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0.04</w:t>
            </w:r>
          </w:p>
        </w:tc>
        <w:tc>
          <w:tcPr>
            <w:tcW w:w="3006" w:type="dxa"/>
          </w:tcPr>
          <w:p w14:paraId="7582378A" w14:textId="208E72F9" w:rsidR="00F95A8C" w:rsidRPr="00F95A8C" w:rsidRDefault="00574F81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0.04</w:t>
            </w:r>
          </w:p>
        </w:tc>
      </w:tr>
      <w:tr w:rsidR="00F95A8C" w14:paraId="77E48D90" w14:textId="77777777" w:rsidTr="00885E2F">
        <w:tc>
          <w:tcPr>
            <w:tcW w:w="3005" w:type="dxa"/>
          </w:tcPr>
          <w:p w14:paraId="5034C790" w14:textId="71B2A444" w:rsidR="00F95A8C" w:rsidRPr="00F95A8C" w:rsidRDefault="00F95A8C">
            <w:pPr>
              <w:rPr>
                <w:sz w:val="20"/>
                <w:szCs w:val="20"/>
                <w:lang w:val="en-US"/>
              </w:rPr>
            </w:pPr>
            <w:r w:rsidRPr="00F95A8C">
              <w:rPr>
                <w:sz w:val="20"/>
                <w:szCs w:val="20"/>
                <w:lang w:val="en-US"/>
              </w:rPr>
              <w:t>Parental occupation</w:t>
            </w:r>
          </w:p>
        </w:tc>
        <w:tc>
          <w:tcPr>
            <w:tcW w:w="3005" w:type="dxa"/>
          </w:tcPr>
          <w:p w14:paraId="13D8C571" w14:textId="77777777" w:rsidR="00F95A8C" w:rsidRPr="00F95A8C" w:rsidRDefault="00F95A8C" w:rsidP="00D5508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7E1B49A0" w14:textId="77777777" w:rsidR="00F95A8C" w:rsidRPr="00F95A8C" w:rsidRDefault="00F95A8C" w:rsidP="00D5508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55088" w14:paraId="5AA691AA" w14:textId="77777777" w:rsidTr="00885E2F">
        <w:tc>
          <w:tcPr>
            <w:tcW w:w="3005" w:type="dxa"/>
          </w:tcPr>
          <w:p w14:paraId="4CB68DCD" w14:textId="1213117A" w:rsidR="00D55088" w:rsidRPr="00F95A8C" w:rsidRDefault="006C66DB" w:rsidP="006C66D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Higher managerial</w:t>
            </w:r>
          </w:p>
        </w:tc>
        <w:tc>
          <w:tcPr>
            <w:tcW w:w="3005" w:type="dxa"/>
          </w:tcPr>
          <w:p w14:paraId="126ACA01" w14:textId="0FE39F0E" w:rsidR="00D55088" w:rsidRPr="00F95A8C" w:rsidRDefault="00D55088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0.35</w:t>
            </w:r>
          </w:p>
        </w:tc>
        <w:tc>
          <w:tcPr>
            <w:tcW w:w="3006" w:type="dxa"/>
          </w:tcPr>
          <w:p w14:paraId="25D43FF6" w14:textId="3ABD4934" w:rsidR="00D55088" w:rsidRPr="00F95A8C" w:rsidRDefault="00574F81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0.34</w:t>
            </w:r>
          </w:p>
        </w:tc>
      </w:tr>
      <w:tr w:rsidR="00D55088" w14:paraId="67DF6C09" w14:textId="77777777" w:rsidTr="00885E2F">
        <w:tc>
          <w:tcPr>
            <w:tcW w:w="3005" w:type="dxa"/>
          </w:tcPr>
          <w:p w14:paraId="51FDFBCA" w14:textId="15F0BF32" w:rsidR="00D55088" w:rsidRPr="00F95A8C" w:rsidRDefault="006C66DB" w:rsidP="006C66D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3005" w:type="dxa"/>
          </w:tcPr>
          <w:p w14:paraId="17B1515F" w14:textId="32DFC612" w:rsidR="00D55088" w:rsidRPr="00F95A8C" w:rsidRDefault="00D55088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0.18</w:t>
            </w:r>
          </w:p>
        </w:tc>
        <w:tc>
          <w:tcPr>
            <w:tcW w:w="3006" w:type="dxa"/>
          </w:tcPr>
          <w:p w14:paraId="088B6CF3" w14:textId="0839CFEC" w:rsidR="00D55088" w:rsidRPr="00F95A8C" w:rsidRDefault="00D55088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0.19</w:t>
            </w:r>
          </w:p>
        </w:tc>
      </w:tr>
      <w:tr w:rsidR="00D55088" w14:paraId="057660E7" w14:textId="77777777" w:rsidTr="00885E2F">
        <w:tc>
          <w:tcPr>
            <w:tcW w:w="3005" w:type="dxa"/>
          </w:tcPr>
          <w:p w14:paraId="01626DC4" w14:textId="35FAABAF" w:rsidR="00D55088" w:rsidRPr="00F95A8C" w:rsidRDefault="006C66DB" w:rsidP="006C66D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Routine and Manual</w:t>
            </w:r>
          </w:p>
        </w:tc>
        <w:tc>
          <w:tcPr>
            <w:tcW w:w="3005" w:type="dxa"/>
          </w:tcPr>
          <w:p w14:paraId="3819B75E" w14:textId="3B36B482" w:rsidR="00D55088" w:rsidRPr="00F95A8C" w:rsidRDefault="00D55088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0.28</w:t>
            </w:r>
          </w:p>
        </w:tc>
        <w:tc>
          <w:tcPr>
            <w:tcW w:w="3006" w:type="dxa"/>
          </w:tcPr>
          <w:p w14:paraId="4D9C6FB5" w14:textId="32FF34C0" w:rsidR="00D55088" w:rsidRPr="00F95A8C" w:rsidRDefault="00574F81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0.30</w:t>
            </w:r>
          </w:p>
        </w:tc>
      </w:tr>
      <w:tr w:rsidR="00D55088" w14:paraId="63F40E48" w14:textId="77777777" w:rsidTr="00885E2F">
        <w:tc>
          <w:tcPr>
            <w:tcW w:w="3005" w:type="dxa"/>
          </w:tcPr>
          <w:p w14:paraId="315B0856" w14:textId="0248A43A" w:rsidR="00D55088" w:rsidRPr="00F95A8C" w:rsidRDefault="006C66DB" w:rsidP="006C66D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Unemployed</w:t>
            </w:r>
          </w:p>
        </w:tc>
        <w:tc>
          <w:tcPr>
            <w:tcW w:w="3005" w:type="dxa"/>
          </w:tcPr>
          <w:p w14:paraId="0C5BA1B7" w14:textId="342A7059" w:rsidR="00D55088" w:rsidRDefault="00D55088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0.19</w:t>
            </w:r>
          </w:p>
        </w:tc>
        <w:tc>
          <w:tcPr>
            <w:tcW w:w="3006" w:type="dxa"/>
          </w:tcPr>
          <w:p w14:paraId="32578E1F" w14:textId="52F19D4B" w:rsidR="00D55088" w:rsidRDefault="00574F81" w:rsidP="00D55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0.16</w:t>
            </w:r>
          </w:p>
        </w:tc>
      </w:tr>
      <w:tr w:rsidR="00F95A8C" w14:paraId="428DA07B" w14:textId="77777777" w:rsidTr="00885E2F">
        <w:tc>
          <w:tcPr>
            <w:tcW w:w="3005" w:type="dxa"/>
          </w:tcPr>
          <w:p w14:paraId="1617B2B2" w14:textId="26E3B452" w:rsidR="00F95A8C" w:rsidRPr="00F95A8C" w:rsidRDefault="00D55088">
            <w:pPr>
              <w:rPr>
                <w:sz w:val="20"/>
                <w:szCs w:val="20"/>
                <w:lang w:val="en-US"/>
              </w:rPr>
            </w:pPr>
            <w:r w:rsidRPr="00F95A8C">
              <w:rPr>
                <w:sz w:val="20"/>
                <w:szCs w:val="20"/>
                <w:lang w:val="en-US"/>
              </w:rPr>
              <w:t>Parental</w:t>
            </w:r>
            <w:r w:rsidR="00F95A8C" w:rsidRPr="00F95A8C">
              <w:rPr>
                <w:sz w:val="20"/>
                <w:szCs w:val="20"/>
                <w:lang w:val="en-US"/>
              </w:rPr>
              <w:t xml:space="preserve"> education – higher education</w:t>
            </w:r>
          </w:p>
        </w:tc>
        <w:tc>
          <w:tcPr>
            <w:tcW w:w="3005" w:type="dxa"/>
          </w:tcPr>
          <w:p w14:paraId="262F0100" w14:textId="48F518D8" w:rsidR="00F95A8C" w:rsidRPr="00F95A8C" w:rsidRDefault="00574F81" w:rsidP="00E15D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0.19</w:t>
            </w:r>
          </w:p>
        </w:tc>
        <w:tc>
          <w:tcPr>
            <w:tcW w:w="3006" w:type="dxa"/>
          </w:tcPr>
          <w:p w14:paraId="74462886" w14:textId="3F215904" w:rsidR="00F95A8C" w:rsidRPr="00F95A8C" w:rsidRDefault="00574F81" w:rsidP="00E15D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0.15*</w:t>
            </w:r>
          </w:p>
        </w:tc>
      </w:tr>
      <w:tr w:rsidR="00F95A8C" w14:paraId="6EC5031E" w14:textId="77777777" w:rsidTr="00885E2F">
        <w:tc>
          <w:tcPr>
            <w:tcW w:w="3005" w:type="dxa"/>
          </w:tcPr>
          <w:p w14:paraId="4E5255A4" w14:textId="084D29B6" w:rsidR="00F95A8C" w:rsidRPr="00F95A8C" w:rsidRDefault="00F95A8C">
            <w:pPr>
              <w:rPr>
                <w:sz w:val="20"/>
                <w:szCs w:val="20"/>
                <w:lang w:val="en-US"/>
              </w:rPr>
            </w:pPr>
            <w:r w:rsidRPr="00F95A8C">
              <w:rPr>
                <w:sz w:val="20"/>
                <w:szCs w:val="20"/>
                <w:lang w:val="en-US"/>
              </w:rPr>
              <w:t>Parents owner-occupiers</w:t>
            </w:r>
          </w:p>
        </w:tc>
        <w:tc>
          <w:tcPr>
            <w:tcW w:w="3005" w:type="dxa"/>
          </w:tcPr>
          <w:p w14:paraId="47AC4EF1" w14:textId="2E73748D" w:rsidR="00F95A8C" w:rsidRPr="00F95A8C" w:rsidRDefault="00574F81" w:rsidP="00E15D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0.75</w:t>
            </w:r>
          </w:p>
        </w:tc>
        <w:tc>
          <w:tcPr>
            <w:tcW w:w="3006" w:type="dxa"/>
          </w:tcPr>
          <w:p w14:paraId="385D4FA3" w14:textId="1DD2C777" w:rsidR="00F95A8C" w:rsidRPr="00F95A8C" w:rsidRDefault="00574F81" w:rsidP="00E15D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0.75</w:t>
            </w:r>
          </w:p>
        </w:tc>
      </w:tr>
      <w:tr w:rsidR="00F95A8C" w14:paraId="57347B0C" w14:textId="77777777" w:rsidTr="00885E2F">
        <w:tc>
          <w:tcPr>
            <w:tcW w:w="3005" w:type="dxa"/>
            <w:tcBorders>
              <w:bottom w:val="single" w:sz="4" w:space="0" w:color="auto"/>
            </w:tcBorders>
          </w:tcPr>
          <w:p w14:paraId="0D58F764" w14:textId="56AE6521" w:rsidR="00F95A8C" w:rsidRPr="00F95A8C" w:rsidRDefault="00F95A8C">
            <w:pPr>
              <w:rPr>
                <w:sz w:val="20"/>
                <w:szCs w:val="20"/>
                <w:lang w:val="en-US"/>
              </w:rPr>
            </w:pPr>
            <w:r w:rsidRPr="00A02128">
              <w:rPr>
                <w:sz w:val="20"/>
                <w:szCs w:val="20"/>
                <w:lang w:val="en-US"/>
              </w:rPr>
              <w:t xml:space="preserve">Parental permanent </w:t>
            </w:r>
            <w:proofErr w:type="spellStart"/>
            <w:r w:rsidRPr="00A02128">
              <w:rPr>
                <w:sz w:val="20"/>
                <w:szCs w:val="20"/>
                <w:lang w:val="en-US"/>
              </w:rPr>
              <w:t>equivalised</w:t>
            </w:r>
            <w:proofErr w:type="spellEnd"/>
            <w:r w:rsidRPr="00A02128">
              <w:rPr>
                <w:sz w:val="20"/>
                <w:szCs w:val="20"/>
                <w:lang w:val="en-US"/>
              </w:rPr>
              <w:t xml:space="preserve"> income (in £10,000)</w:t>
            </w:r>
            <w:r w:rsidR="002A1828">
              <w:rPr>
                <w:sz w:val="20"/>
                <w:szCs w:val="20"/>
                <w:lang w:val="en-US"/>
              </w:rPr>
              <w:t xml:space="preserve"> - median (</w:t>
            </w:r>
            <w:proofErr w:type="spellStart"/>
            <w:r w:rsidR="002A1828">
              <w:rPr>
                <w:sz w:val="20"/>
                <w:szCs w:val="20"/>
                <w:lang w:val="en-US"/>
              </w:rPr>
              <w:t>sd</w:t>
            </w:r>
            <w:proofErr w:type="spellEnd"/>
            <w:r w:rsidR="002A182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291781CF" w14:textId="09B1860E" w:rsidR="00F95A8C" w:rsidRPr="00F95A8C" w:rsidRDefault="002A1828" w:rsidP="00E15D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1.20 (1.23)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5DBAACF" w14:textId="3B915F6E" w:rsidR="00F95A8C" w:rsidRPr="00F95A8C" w:rsidRDefault="002A1828" w:rsidP="00E15D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1.17(1.18)</w:t>
            </w:r>
          </w:p>
        </w:tc>
      </w:tr>
    </w:tbl>
    <w:p w14:paraId="3F0CA01F" w14:textId="733FE7C7" w:rsidR="00F95A8C" w:rsidRDefault="00574F81">
      <w:r>
        <w:t>Note: * indicates a significant dif</w:t>
      </w:r>
      <w:r w:rsidR="00652841">
        <w:t>ference between the two samples at a</w:t>
      </w:r>
      <w:r>
        <w:t xml:space="preserve"> 0.05 level</w:t>
      </w:r>
      <w:r w:rsidR="00652841">
        <w:t>, using a Wald test</w:t>
      </w:r>
      <w:r>
        <w:t xml:space="preserve">. </w:t>
      </w:r>
    </w:p>
    <w:p w14:paraId="3B528580" w14:textId="4063AF78" w:rsidR="00715365" w:rsidRDefault="00715365">
      <w:r>
        <w:br w:type="page"/>
      </w:r>
    </w:p>
    <w:p w14:paraId="280A259B" w14:textId="72D2227A" w:rsidR="0019129F" w:rsidRDefault="00715365">
      <w:pPr>
        <w:rPr>
          <w:b/>
        </w:rPr>
      </w:pPr>
      <w:r w:rsidRPr="00715365">
        <w:rPr>
          <w:b/>
        </w:rPr>
        <w:lastRenderedPageBreak/>
        <w:t>Appendix 3: Descriptive table</w:t>
      </w:r>
    </w:p>
    <w:p w14:paraId="0281860E" w14:textId="434ABEE9" w:rsidR="00767717" w:rsidRPr="00767717" w:rsidRDefault="00767717">
      <w:r>
        <w:t xml:space="preserve">Table A3 provides </w:t>
      </w:r>
      <w:r w:rsidR="00FC3D23">
        <w:t>descriptive statistics for all three categories analysed</w:t>
      </w:r>
      <w:r>
        <w:t xml:space="preserve"> in this paper. It show</w:t>
      </w:r>
      <w:r w:rsidR="00FC3D23">
        <w:t>s that non-graduates come from</w:t>
      </w:r>
      <w:r>
        <w:t xml:space="preserve"> lower </w:t>
      </w:r>
      <w:r w:rsidR="00FC3D23">
        <w:t>socio-economic backgrounds</w:t>
      </w:r>
      <w:r>
        <w:t xml:space="preserve"> than those who went to </w:t>
      </w:r>
      <w:proofErr w:type="gramStart"/>
      <w:r w:rsidR="00FC3D23">
        <w:t>HE</w:t>
      </w:r>
      <w:proofErr w:type="gramEnd"/>
      <w:r>
        <w:t xml:space="preserve">. At age 25, non-graduates </w:t>
      </w:r>
      <w:proofErr w:type="gramStart"/>
      <w:r>
        <w:t xml:space="preserve">have </w:t>
      </w:r>
      <w:r w:rsidR="005929CC">
        <w:t>been employed</w:t>
      </w:r>
      <w:proofErr w:type="gramEnd"/>
      <w:r w:rsidR="005929CC">
        <w:t xml:space="preserve"> for longer</w:t>
      </w:r>
      <w:r>
        <w:t>, but have lower income due to their lack of tertiary degree.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8"/>
        <w:gridCol w:w="1387"/>
        <w:gridCol w:w="1937"/>
        <w:gridCol w:w="1694"/>
      </w:tblGrid>
      <w:tr w:rsidR="00715365" w14:paraId="23BFB5A2" w14:textId="77777777" w:rsidTr="00715365">
        <w:tc>
          <w:tcPr>
            <w:tcW w:w="0" w:type="auto"/>
          </w:tcPr>
          <w:p w14:paraId="7056FEE0" w14:textId="77777777" w:rsidR="00715365" w:rsidRDefault="00715365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547CBDCD" w14:textId="26CE1A12" w:rsidR="00715365" w:rsidRDefault="00715365" w:rsidP="00715365">
            <w:pPr>
              <w:jc w:val="center"/>
              <w:rPr>
                <w:b/>
              </w:rPr>
            </w:pPr>
            <w:r>
              <w:rPr>
                <w:b/>
              </w:rPr>
              <w:t>Non-graduate</w:t>
            </w:r>
            <w:r w:rsidR="004344BD">
              <w:rPr>
                <w:b/>
              </w:rPr>
              <w:t>s</w:t>
            </w:r>
          </w:p>
        </w:tc>
        <w:tc>
          <w:tcPr>
            <w:tcW w:w="0" w:type="auto"/>
            <w:vAlign w:val="center"/>
          </w:tcPr>
          <w:p w14:paraId="508A4700" w14:textId="2EC121DB" w:rsidR="00715365" w:rsidRDefault="00715365" w:rsidP="00715365">
            <w:pPr>
              <w:jc w:val="center"/>
              <w:rPr>
                <w:b/>
              </w:rPr>
            </w:pPr>
            <w:r>
              <w:rPr>
                <w:b/>
              </w:rPr>
              <w:t>Graduate non-borrowers</w:t>
            </w:r>
          </w:p>
        </w:tc>
        <w:tc>
          <w:tcPr>
            <w:tcW w:w="0" w:type="auto"/>
            <w:vAlign w:val="center"/>
          </w:tcPr>
          <w:p w14:paraId="63D2A98F" w14:textId="5F74B593" w:rsidR="00715365" w:rsidRDefault="00715365" w:rsidP="00715365">
            <w:pPr>
              <w:jc w:val="center"/>
              <w:rPr>
                <w:b/>
              </w:rPr>
            </w:pPr>
            <w:r>
              <w:rPr>
                <w:b/>
              </w:rPr>
              <w:t>Graduate borrowers</w:t>
            </w:r>
          </w:p>
        </w:tc>
      </w:tr>
      <w:tr w:rsidR="00715365" w14:paraId="53221AF9" w14:textId="77777777" w:rsidTr="00715365">
        <w:tc>
          <w:tcPr>
            <w:tcW w:w="0" w:type="auto"/>
          </w:tcPr>
          <w:p w14:paraId="0CA7C3CC" w14:textId="2F3B33DD" w:rsidR="00715365" w:rsidRDefault="00715365" w:rsidP="00715365">
            <w:pPr>
              <w:rPr>
                <w:b/>
              </w:rPr>
            </w:pPr>
            <w:r w:rsidRPr="00F95A8C">
              <w:rPr>
                <w:sz w:val="20"/>
                <w:szCs w:val="20"/>
                <w:lang w:val="en-US"/>
              </w:rPr>
              <w:t>Female</w:t>
            </w:r>
          </w:p>
        </w:tc>
        <w:tc>
          <w:tcPr>
            <w:tcW w:w="0" w:type="auto"/>
          </w:tcPr>
          <w:p w14:paraId="1B0F2894" w14:textId="59EC794F" w:rsidR="00715365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0.52</w:t>
            </w:r>
          </w:p>
        </w:tc>
        <w:tc>
          <w:tcPr>
            <w:tcW w:w="0" w:type="auto"/>
          </w:tcPr>
          <w:p w14:paraId="2F946379" w14:textId="3965DBE6" w:rsidR="00715365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0.62*</w:t>
            </w:r>
          </w:p>
        </w:tc>
        <w:tc>
          <w:tcPr>
            <w:tcW w:w="0" w:type="auto"/>
          </w:tcPr>
          <w:p w14:paraId="6AB8EB27" w14:textId="13B1CD24" w:rsidR="00715365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0.57*</w:t>
            </w:r>
          </w:p>
        </w:tc>
      </w:tr>
      <w:tr w:rsidR="00715365" w14:paraId="06DFEE6B" w14:textId="77777777" w:rsidTr="00715365">
        <w:tc>
          <w:tcPr>
            <w:tcW w:w="0" w:type="auto"/>
          </w:tcPr>
          <w:p w14:paraId="5E719A32" w14:textId="0D418186" w:rsidR="00715365" w:rsidRDefault="00715365" w:rsidP="00715365">
            <w:pPr>
              <w:rPr>
                <w:b/>
              </w:rPr>
            </w:pPr>
            <w:r w:rsidRPr="00F95A8C">
              <w:rPr>
                <w:sz w:val="20"/>
                <w:szCs w:val="20"/>
                <w:lang w:val="en-US"/>
              </w:rPr>
              <w:t>White</w:t>
            </w:r>
          </w:p>
        </w:tc>
        <w:tc>
          <w:tcPr>
            <w:tcW w:w="0" w:type="auto"/>
          </w:tcPr>
          <w:p w14:paraId="473564E7" w14:textId="557CEE52" w:rsidR="00715365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0.77</w:t>
            </w:r>
          </w:p>
        </w:tc>
        <w:tc>
          <w:tcPr>
            <w:tcW w:w="0" w:type="auto"/>
          </w:tcPr>
          <w:p w14:paraId="666CCB9B" w14:textId="39F47A84" w:rsidR="00715365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0.58*</w:t>
            </w:r>
          </w:p>
        </w:tc>
        <w:tc>
          <w:tcPr>
            <w:tcW w:w="0" w:type="auto"/>
          </w:tcPr>
          <w:p w14:paraId="76CBE367" w14:textId="730CDDD6" w:rsidR="00715365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0.62*</w:t>
            </w:r>
          </w:p>
        </w:tc>
      </w:tr>
      <w:tr w:rsidR="00715365" w14:paraId="373F4B58" w14:textId="77777777" w:rsidTr="00715365">
        <w:tc>
          <w:tcPr>
            <w:tcW w:w="0" w:type="auto"/>
          </w:tcPr>
          <w:p w14:paraId="57CA260F" w14:textId="2512BC29" w:rsidR="00715365" w:rsidRDefault="00715365" w:rsidP="00715365">
            <w:pPr>
              <w:rPr>
                <w:b/>
              </w:rPr>
            </w:pPr>
            <w:r w:rsidRPr="00F95A8C">
              <w:rPr>
                <w:sz w:val="20"/>
                <w:szCs w:val="20"/>
                <w:lang w:val="en-US"/>
              </w:rPr>
              <w:t>Muslim</w:t>
            </w:r>
          </w:p>
        </w:tc>
        <w:tc>
          <w:tcPr>
            <w:tcW w:w="0" w:type="auto"/>
          </w:tcPr>
          <w:p w14:paraId="0122E738" w14:textId="030DEF35" w:rsidR="00715365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0.12</w:t>
            </w:r>
          </w:p>
        </w:tc>
        <w:tc>
          <w:tcPr>
            <w:tcW w:w="0" w:type="auto"/>
          </w:tcPr>
          <w:p w14:paraId="330CF3AF" w14:textId="2C7F6E82" w:rsidR="00715365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0.21*</w:t>
            </w:r>
          </w:p>
        </w:tc>
        <w:tc>
          <w:tcPr>
            <w:tcW w:w="0" w:type="auto"/>
          </w:tcPr>
          <w:p w14:paraId="12ED5E17" w14:textId="2FBF37E3" w:rsidR="00715365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0.15*</w:t>
            </w:r>
          </w:p>
        </w:tc>
      </w:tr>
      <w:tr w:rsidR="00715365" w14:paraId="062CBA35" w14:textId="77777777" w:rsidTr="00715365">
        <w:tc>
          <w:tcPr>
            <w:tcW w:w="0" w:type="auto"/>
          </w:tcPr>
          <w:p w14:paraId="123A4CE5" w14:textId="5AC93980" w:rsidR="00715365" w:rsidRDefault="00715365" w:rsidP="00715365">
            <w:pPr>
              <w:rPr>
                <w:b/>
              </w:rPr>
            </w:pPr>
            <w:r w:rsidRPr="00F95A8C">
              <w:rPr>
                <w:sz w:val="20"/>
                <w:szCs w:val="20"/>
                <w:lang w:val="en-US"/>
              </w:rPr>
              <w:t>Live in South East at age 14</w:t>
            </w:r>
          </w:p>
        </w:tc>
        <w:tc>
          <w:tcPr>
            <w:tcW w:w="0" w:type="auto"/>
          </w:tcPr>
          <w:p w14:paraId="61A4A7C9" w14:textId="747D101C" w:rsidR="00715365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0.26</w:t>
            </w:r>
          </w:p>
        </w:tc>
        <w:tc>
          <w:tcPr>
            <w:tcW w:w="0" w:type="auto"/>
          </w:tcPr>
          <w:p w14:paraId="04C5A583" w14:textId="702CD20A" w:rsidR="00715365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0.36*</w:t>
            </w:r>
          </w:p>
        </w:tc>
        <w:tc>
          <w:tcPr>
            <w:tcW w:w="0" w:type="auto"/>
          </w:tcPr>
          <w:p w14:paraId="2D6B3DC0" w14:textId="29139AF8" w:rsidR="00715365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0.35*</w:t>
            </w:r>
          </w:p>
        </w:tc>
      </w:tr>
      <w:tr w:rsidR="00715365" w14:paraId="4756C8A7" w14:textId="77777777" w:rsidTr="00715365">
        <w:tc>
          <w:tcPr>
            <w:tcW w:w="0" w:type="auto"/>
          </w:tcPr>
          <w:p w14:paraId="7CF0335B" w14:textId="74AFBDB6" w:rsidR="00715365" w:rsidRDefault="00715365" w:rsidP="00715365">
            <w:pPr>
              <w:rPr>
                <w:b/>
              </w:rPr>
            </w:pPr>
            <w:r w:rsidRPr="00F95A8C">
              <w:rPr>
                <w:sz w:val="20"/>
                <w:szCs w:val="20"/>
                <w:lang w:val="en-US"/>
              </w:rPr>
              <w:t>Private schooling</w:t>
            </w:r>
          </w:p>
        </w:tc>
        <w:tc>
          <w:tcPr>
            <w:tcW w:w="0" w:type="auto"/>
          </w:tcPr>
          <w:p w14:paraId="25EF1B6D" w14:textId="0D318756" w:rsidR="00715365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0" w:type="auto"/>
          </w:tcPr>
          <w:p w14:paraId="60FBF7B1" w14:textId="06DF7A17" w:rsidR="00715365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0.12*</w:t>
            </w:r>
          </w:p>
        </w:tc>
        <w:tc>
          <w:tcPr>
            <w:tcW w:w="0" w:type="auto"/>
          </w:tcPr>
          <w:p w14:paraId="3D5A2C00" w14:textId="5D5DA23D" w:rsidR="00715365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0.05*</w:t>
            </w:r>
          </w:p>
        </w:tc>
      </w:tr>
      <w:tr w:rsidR="00715365" w14:paraId="569DD183" w14:textId="77777777" w:rsidTr="00715365">
        <w:tc>
          <w:tcPr>
            <w:tcW w:w="0" w:type="auto"/>
          </w:tcPr>
          <w:p w14:paraId="675C8189" w14:textId="150DE3A2" w:rsidR="00715365" w:rsidRDefault="00715365" w:rsidP="00715365">
            <w:pPr>
              <w:rPr>
                <w:b/>
              </w:rPr>
            </w:pPr>
            <w:r w:rsidRPr="00F95A8C">
              <w:rPr>
                <w:sz w:val="20"/>
                <w:szCs w:val="20"/>
                <w:lang w:val="en-US"/>
              </w:rPr>
              <w:t>Parental occupation</w:t>
            </w:r>
          </w:p>
        </w:tc>
        <w:tc>
          <w:tcPr>
            <w:tcW w:w="0" w:type="auto"/>
          </w:tcPr>
          <w:p w14:paraId="62E260ED" w14:textId="77777777" w:rsidR="00715365" w:rsidRPr="007E6B30" w:rsidRDefault="00715365" w:rsidP="007E6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1AD3D1D" w14:textId="77777777" w:rsidR="00715365" w:rsidRPr="007E6B30" w:rsidRDefault="00715365" w:rsidP="007E6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E0E5349" w14:textId="77777777" w:rsidR="00715365" w:rsidRPr="007E6B30" w:rsidRDefault="00715365" w:rsidP="007E6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F5BE3" w14:paraId="4196E3F0" w14:textId="77777777" w:rsidTr="00715365">
        <w:tc>
          <w:tcPr>
            <w:tcW w:w="0" w:type="auto"/>
          </w:tcPr>
          <w:p w14:paraId="7F7B7F0E" w14:textId="50E282B6" w:rsidR="00DF5BE3" w:rsidRDefault="00DF5BE3" w:rsidP="00DF5BE3">
            <w:pPr>
              <w:jc w:val="right"/>
              <w:rPr>
                <w:b/>
              </w:rPr>
            </w:pPr>
            <w:r>
              <w:rPr>
                <w:sz w:val="20"/>
                <w:szCs w:val="20"/>
                <w:lang w:val="en-US"/>
              </w:rPr>
              <w:t>Higher managerial</w:t>
            </w:r>
          </w:p>
        </w:tc>
        <w:tc>
          <w:tcPr>
            <w:tcW w:w="0" w:type="auto"/>
          </w:tcPr>
          <w:p w14:paraId="3FC62E94" w14:textId="527A4776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0.24</w:t>
            </w:r>
          </w:p>
        </w:tc>
        <w:tc>
          <w:tcPr>
            <w:tcW w:w="0" w:type="auto"/>
          </w:tcPr>
          <w:p w14:paraId="30F5AC39" w14:textId="38146D7B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0.44*</w:t>
            </w:r>
          </w:p>
        </w:tc>
        <w:tc>
          <w:tcPr>
            <w:tcW w:w="0" w:type="auto"/>
          </w:tcPr>
          <w:p w14:paraId="5BDCD2FC" w14:textId="02B8EBF1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0.43*</w:t>
            </w:r>
          </w:p>
        </w:tc>
      </w:tr>
      <w:tr w:rsidR="00DF5BE3" w14:paraId="64942416" w14:textId="77777777" w:rsidTr="00715365">
        <w:tc>
          <w:tcPr>
            <w:tcW w:w="0" w:type="auto"/>
          </w:tcPr>
          <w:p w14:paraId="5272FB59" w14:textId="1CBD5730" w:rsidR="00DF5BE3" w:rsidRDefault="00DF5BE3" w:rsidP="00DF5BE3">
            <w:pPr>
              <w:jc w:val="right"/>
              <w:rPr>
                <w:b/>
              </w:rPr>
            </w:pPr>
            <w:r>
              <w:rPr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0" w:type="auto"/>
          </w:tcPr>
          <w:p w14:paraId="20217594" w14:textId="5C8863AC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0.18</w:t>
            </w:r>
          </w:p>
        </w:tc>
        <w:tc>
          <w:tcPr>
            <w:tcW w:w="0" w:type="auto"/>
          </w:tcPr>
          <w:p w14:paraId="3EA865FD" w14:textId="05BC729F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0.18</w:t>
            </w:r>
          </w:p>
        </w:tc>
        <w:tc>
          <w:tcPr>
            <w:tcW w:w="0" w:type="auto"/>
          </w:tcPr>
          <w:p w14:paraId="5D5D6FBA" w14:textId="02223A34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0.18</w:t>
            </w:r>
          </w:p>
        </w:tc>
      </w:tr>
      <w:tr w:rsidR="00DF5BE3" w14:paraId="2A2124A6" w14:textId="77777777" w:rsidTr="00715365">
        <w:tc>
          <w:tcPr>
            <w:tcW w:w="0" w:type="auto"/>
          </w:tcPr>
          <w:p w14:paraId="223940F4" w14:textId="26C68276" w:rsidR="00DF5BE3" w:rsidRDefault="00DF5BE3" w:rsidP="00DF5BE3">
            <w:pPr>
              <w:jc w:val="right"/>
              <w:rPr>
                <w:b/>
              </w:rPr>
            </w:pPr>
            <w:r>
              <w:rPr>
                <w:sz w:val="20"/>
                <w:szCs w:val="20"/>
                <w:lang w:val="en-US"/>
              </w:rPr>
              <w:t>Routine and Manual</w:t>
            </w:r>
          </w:p>
        </w:tc>
        <w:tc>
          <w:tcPr>
            <w:tcW w:w="0" w:type="auto"/>
          </w:tcPr>
          <w:p w14:paraId="097D85C5" w14:textId="14737C6D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0.36</w:t>
            </w:r>
          </w:p>
        </w:tc>
        <w:tc>
          <w:tcPr>
            <w:tcW w:w="0" w:type="auto"/>
          </w:tcPr>
          <w:p w14:paraId="2F8181BA" w14:textId="1EC5A8D1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0.20*</w:t>
            </w:r>
          </w:p>
        </w:tc>
        <w:tc>
          <w:tcPr>
            <w:tcW w:w="0" w:type="auto"/>
          </w:tcPr>
          <w:p w14:paraId="165A8807" w14:textId="2629704B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0.23*</w:t>
            </w:r>
          </w:p>
        </w:tc>
      </w:tr>
      <w:tr w:rsidR="00DF5BE3" w14:paraId="75E0CAB6" w14:textId="77777777" w:rsidTr="00715365">
        <w:tc>
          <w:tcPr>
            <w:tcW w:w="0" w:type="auto"/>
          </w:tcPr>
          <w:p w14:paraId="5487BF4F" w14:textId="2887C149" w:rsidR="00DF5BE3" w:rsidRDefault="00DF5BE3" w:rsidP="00DF5BE3">
            <w:pPr>
              <w:jc w:val="right"/>
              <w:rPr>
                <w:b/>
              </w:rPr>
            </w:pPr>
            <w:r>
              <w:rPr>
                <w:sz w:val="20"/>
                <w:szCs w:val="20"/>
                <w:lang w:val="en-US"/>
              </w:rPr>
              <w:t>Unemployed</w:t>
            </w:r>
          </w:p>
        </w:tc>
        <w:tc>
          <w:tcPr>
            <w:tcW w:w="0" w:type="auto"/>
          </w:tcPr>
          <w:p w14:paraId="76C30CB7" w14:textId="5AD1D095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0.21</w:t>
            </w:r>
          </w:p>
        </w:tc>
        <w:tc>
          <w:tcPr>
            <w:tcW w:w="0" w:type="auto"/>
          </w:tcPr>
          <w:p w14:paraId="33CBD293" w14:textId="1672E2F1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0.18</w:t>
            </w:r>
          </w:p>
        </w:tc>
        <w:tc>
          <w:tcPr>
            <w:tcW w:w="0" w:type="auto"/>
          </w:tcPr>
          <w:p w14:paraId="2D5A2240" w14:textId="4A546E17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0.16*</w:t>
            </w:r>
          </w:p>
        </w:tc>
      </w:tr>
      <w:tr w:rsidR="00DF5BE3" w14:paraId="0D8BDEF9" w14:textId="77777777" w:rsidTr="00715365">
        <w:tc>
          <w:tcPr>
            <w:tcW w:w="0" w:type="auto"/>
          </w:tcPr>
          <w:p w14:paraId="4BCDA3AC" w14:textId="7B0ECDE1" w:rsidR="00DF5BE3" w:rsidRDefault="00DF5BE3" w:rsidP="00DF5BE3">
            <w:pPr>
              <w:rPr>
                <w:b/>
              </w:rPr>
            </w:pPr>
            <w:r w:rsidRPr="00F95A8C">
              <w:rPr>
                <w:sz w:val="20"/>
                <w:szCs w:val="20"/>
                <w:lang w:val="en-US"/>
              </w:rPr>
              <w:t>Parental education – higher education</w:t>
            </w:r>
          </w:p>
        </w:tc>
        <w:tc>
          <w:tcPr>
            <w:tcW w:w="0" w:type="auto"/>
          </w:tcPr>
          <w:p w14:paraId="2B0CEB8E" w14:textId="438F67A5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0" w:type="auto"/>
          </w:tcPr>
          <w:p w14:paraId="29B579E8" w14:textId="72CCFA2D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0.29*</w:t>
            </w:r>
          </w:p>
        </w:tc>
        <w:tc>
          <w:tcPr>
            <w:tcW w:w="0" w:type="auto"/>
          </w:tcPr>
          <w:p w14:paraId="32129286" w14:textId="648C3B54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0.28*</w:t>
            </w:r>
          </w:p>
        </w:tc>
      </w:tr>
      <w:tr w:rsidR="00DF5BE3" w14:paraId="71A474E8" w14:textId="77777777" w:rsidTr="00715365">
        <w:tc>
          <w:tcPr>
            <w:tcW w:w="0" w:type="auto"/>
          </w:tcPr>
          <w:p w14:paraId="49F5A417" w14:textId="01FD3212" w:rsidR="00DF5BE3" w:rsidRDefault="00DF5BE3" w:rsidP="00DF5BE3">
            <w:pPr>
              <w:rPr>
                <w:b/>
              </w:rPr>
            </w:pPr>
            <w:r w:rsidRPr="00F95A8C">
              <w:rPr>
                <w:sz w:val="20"/>
                <w:szCs w:val="20"/>
                <w:lang w:val="en-US"/>
              </w:rPr>
              <w:t>Parents owner-occupiers</w:t>
            </w:r>
          </w:p>
        </w:tc>
        <w:tc>
          <w:tcPr>
            <w:tcW w:w="0" w:type="auto"/>
          </w:tcPr>
          <w:p w14:paraId="6FA4D195" w14:textId="2D417318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0" w:type="auto"/>
          </w:tcPr>
          <w:p w14:paraId="2109290F" w14:textId="1EE2805B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0.86*</w:t>
            </w:r>
          </w:p>
        </w:tc>
        <w:tc>
          <w:tcPr>
            <w:tcW w:w="0" w:type="auto"/>
          </w:tcPr>
          <w:p w14:paraId="7778D586" w14:textId="7262D615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0.82*</w:t>
            </w:r>
          </w:p>
        </w:tc>
      </w:tr>
      <w:tr w:rsidR="00DF5BE3" w14:paraId="3E27A877" w14:textId="77777777" w:rsidTr="00715365">
        <w:tc>
          <w:tcPr>
            <w:tcW w:w="0" w:type="auto"/>
          </w:tcPr>
          <w:p w14:paraId="4D25D29B" w14:textId="69767D6E" w:rsidR="00DF5BE3" w:rsidRDefault="00DF5BE3" w:rsidP="00DF5BE3">
            <w:pPr>
              <w:rPr>
                <w:b/>
              </w:rPr>
            </w:pPr>
            <w:r w:rsidRPr="00A02128">
              <w:rPr>
                <w:sz w:val="20"/>
                <w:szCs w:val="20"/>
                <w:lang w:val="en-US"/>
              </w:rPr>
              <w:t xml:space="preserve">Parental permanent </w:t>
            </w:r>
            <w:proofErr w:type="spellStart"/>
            <w:r w:rsidRPr="00A02128">
              <w:rPr>
                <w:sz w:val="20"/>
                <w:szCs w:val="20"/>
                <w:lang w:val="en-US"/>
              </w:rPr>
              <w:t>equivalised</w:t>
            </w:r>
            <w:proofErr w:type="spellEnd"/>
            <w:r w:rsidRPr="00A02128">
              <w:rPr>
                <w:sz w:val="20"/>
                <w:szCs w:val="20"/>
                <w:lang w:val="en-US"/>
              </w:rPr>
              <w:t xml:space="preserve"> income (in £10,000)</w:t>
            </w:r>
            <w:r>
              <w:rPr>
                <w:sz w:val="20"/>
                <w:szCs w:val="20"/>
                <w:lang w:val="en-US"/>
              </w:rPr>
              <w:t xml:space="preserve"> - median (</w:t>
            </w:r>
            <w:proofErr w:type="spellStart"/>
            <w:r>
              <w:rPr>
                <w:sz w:val="20"/>
                <w:szCs w:val="20"/>
                <w:lang w:val="en-US"/>
              </w:rPr>
              <w:t>sd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14:paraId="3F0D548F" w14:textId="16E93DCD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0.96 (0.86)</w:t>
            </w:r>
          </w:p>
        </w:tc>
        <w:tc>
          <w:tcPr>
            <w:tcW w:w="0" w:type="auto"/>
          </w:tcPr>
          <w:p w14:paraId="7D71BA07" w14:textId="0CF4A73C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1.57 (2.28)*</w:t>
            </w:r>
          </w:p>
        </w:tc>
        <w:tc>
          <w:tcPr>
            <w:tcW w:w="0" w:type="auto"/>
          </w:tcPr>
          <w:p w14:paraId="0EFA94B5" w14:textId="20C06065" w:rsidR="00DF5BE3" w:rsidRPr="007E6B30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7E6B30">
              <w:rPr>
                <w:sz w:val="20"/>
                <w:szCs w:val="20"/>
                <w:lang w:val="en-US"/>
              </w:rPr>
              <w:t>1.42 (1,27)*</w:t>
            </w:r>
          </w:p>
        </w:tc>
      </w:tr>
      <w:tr w:rsidR="005D0DA7" w14:paraId="66009B6D" w14:textId="77777777" w:rsidTr="00715365">
        <w:tc>
          <w:tcPr>
            <w:tcW w:w="0" w:type="auto"/>
          </w:tcPr>
          <w:p w14:paraId="27B28828" w14:textId="7D365E5D" w:rsidR="005D0DA7" w:rsidRPr="00A02128" w:rsidRDefault="005D0DA7" w:rsidP="00DF5B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Income at age 19</w:t>
            </w:r>
          </w:p>
        </w:tc>
        <w:tc>
          <w:tcPr>
            <w:tcW w:w="0" w:type="auto"/>
          </w:tcPr>
          <w:p w14:paraId="071E1F1B" w14:textId="77777777" w:rsidR="005D0DA7" w:rsidRPr="007E6B30" w:rsidRDefault="005D0DA7" w:rsidP="007E6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99C079B" w14:textId="77777777" w:rsidR="005D0DA7" w:rsidRPr="007E6B30" w:rsidRDefault="005D0DA7" w:rsidP="007E6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1DC9302" w14:textId="77777777" w:rsidR="005D0DA7" w:rsidRPr="007E6B30" w:rsidRDefault="005D0DA7" w:rsidP="007E6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D0DA7" w14:paraId="0DA99356" w14:textId="77777777" w:rsidTr="00715365">
        <w:tc>
          <w:tcPr>
            <w:tcW w:w="0" w:type="auto"/>
          </w:tcPr>
          <w:p w14:paraId="0F4CB9CF" w14:textId="3CC34B9B" w:rsidR="005D0DA7" w:rsidRPr="00A02128" w:rsidRDefault="005D0DA7" w:rsidP="005D0DA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 job</w:t>
            </w:r>
          </w:p>
        </w:tc>
        <w:tc>
          <w:tcPr>
            <w:tcW w:w="0" w:type="auto"/>
          </w:tcPr>
          <w:p w14:paraId="0D80F1E0" w14:textId="414CF187" w:rsidR="005D0DA7" w:rsidRPr="007E6B30" w:rsidRDefault="005D0DA7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0.33</w:t>
            </w:r>
          </w:p>
        </w:tc>
        <w:tc>
          <w:tcPr>
            <w:tcW w:w="0" w:type="auto"/>
          </w:tcPr>
          <w:p w14:paraId="26CBD047" w14:textId="0E559FAD" w:rsidR="005D0DA7" w:rsidRPr="007E6B30" w:rsidRDefault="005D0DA7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0.68*</w:t>
            </w:r>
          </w:p>
        </w:tc>
        <w:tc>
          <w:tcPr>
            <w:tcW w:w="0" w:type="auto"/>
          </w:tcPr>
          <w:p w14:paraId="74020C95" w14:textId="05DB76E2" w:rsidR="005D0DA7" w:rsidRPr="007E6B30" w:rsidRDefault="005D0DA7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0.59*</w:t>
            </w:r>
          </w:p>
        </w:tc>
      </w:tr>
      <w:tr w:rsidR="005D0DA7" w14:paraId="1A50F873" w14:textId="77777777" w:rsidTr="00715365">
        <w:tc>
          <w:tcPr>
            <w:tcW w:w="0" w:type="auto"/>
          </w:tcPr>
          <w:p w14:paraId="1D217AE9" w14:textId="350D4712" w:rsidR="005D0DA7" w:rsidRPr="00A02128" w:rsidRDefault="00112463" w:rsidP="005D0DA7">
            <w:pPr>
              <w:jc w:val="right"/>
              <w:rPr>
                <w:sz w:val="20"/>
                <w:szCs w:val="20"/>
                <w:lang w:val="en-US"/>
              </w:rPr>
            </w:pPr>
            <w:r w:rsidRPr="00112463">
              <w:rPr>
                <w:sz w:val="20"/>
                <w:szCs w:val="20"/>
                <w:lang w:val="en-US"/>
              </w:rPr>
              <w:t>£0.00 - £4,999.99</w:t>
            </w:r>
          </w:p>
        </w:tc>
        <w:tc>
          <w:tcPr>
            <w:tcW w:w="0" w:type="auto"/>
          </w:tcPr>
          <w:p w14:paraId="2874EBC7" w14:textId="46042A58" w:rsidR="005D0DA7" w:rsidRPr="007E6B30" w:rsidRDefault="00112463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0.06</w:t>
            </w:r>
          </w:p>
        </w:tc>
        <w:tc>
          <w:tcPr>
            <w:tcW w:w="0" w:type="auto"/>
          </w:tcPr>
          <w:p w14:paraId="2885EE70" w14:textId="017CBB61" w:rsidR="005D0DA7" w:rsidRPr="007E6B30" w:rsidRDefault="00112463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0.16*</w:t>
            </w:r>
          </w:p>
        </w:tc>
        <w:tc>
          <w:tcPr>
            <w:tcW w:w="0" w:type="auto"/>
          </w:tcPr>
          <w:p w14:paraId="3518FA8E" w14:textId="17B4786D" w:rsidR="005D0DA7" w:rsidRPr="007E6B30" w:rsidRDefault="00112463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0.20*</w:t>
            </w:r>
          </w:p>
        </w:tc>
      </w:tr>
      <w:tr w:rsidR="005D0DA7" w14:paraId="47236CC0" w14:textId="77777777" w:rsidTr="00715365">
        <w:tc>
          <w:tcPr>
            <w:tcW w:w="0" w:type="auto"/>
          </w:tcPr>
          <w:p w14:paraId="40EADFA6" w14:textId="625BC9C5" w:rsidR="005D0DA7" w:rsidRPr="00A02128" w:rsidRDefault="00112463" w:rsidP="005D0DA7">
            <w:pPr>
              <w:jc w:val="right"/>
              <w:rPr>
                <w:sz w:val="20"/>
                <w:szCs w:val="20"/>
                <w:lang w:val="en-US"/>
              </w:rPr>
            </w:pPr>
            <w:r w:rsidRPr="00112463">
              <w:rPr>
                <w:sz w:val="20"/>
                <w:szCs w:val="20"/>
                <w:lang w:val="en-US"/>
              </w:rPr>
              <w:t>£5,000.00 - £9,999.99</w:t>
            </w:r>
          </w:p>
        </w:tc>
        <w:tc>
          <w:tcPr>
            <w:tcW w:w="0" w:type="auto"/>
          </w:tcPr>
          <w:p w14:paraId="0D92A83E" w14:textId="0802FAEB" w:rsidR="005D0DA7" w:rsidRPr="007E6B30" w:rsidRDefault="00112463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0.18</w:t>
            </w:r>
          </w:p>
        </w:tc>
        <w:tc>
          <w:tcPr>
            <w:tcW w:w="0" w:type="auto"/>
          </w:tcPr>
          <w:p w14:paraId="4E4D0A32" w14:textId="68AE9269" w:rsidR="005D0DA7" w:rsidRPr="007E6B30" w:rsidRDefault="00112463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0.09*</w:t>
            </w:r>
          </w:p>
        </w:tc>
        <w:tc>
          <w:tcPr>
            <w:tcW w:w="0" w:type="auto"/>
          </w:tcPr>
          <w:p w14:paraId="7C8CF86D" w14:textId="0C33C53A" w:rsidR="005D0DA7" w:rsidRPr="007E6B30" w:rsidRDefault="00112463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0.13*</w:t>
            </w:r>
          </w:p>
        </w:tc>
      </w:tr>
      <w:tr w:rsidR="005D0DA7" w14:paraId="3E161B02" w14:textId="77777777" w:rsidTr="00715365">
        <w:tc>
          <w:tcPr>
            <w:tcW w:w="0" w:type="auto"/>
          </w:tcPr>
          <w:p w14:paraId="7D2A5677" w14:textId="358A4551" w:rsidR="005D0DA7" w:rsidRPr="00A02128" w:rsidRDefault="00112463" w:rsidP="005D0DA7">
            <w:pPr>
              <w:jc w:val="right"/>
              <w:rPr>
                <w:sz w:val="20"/>
                <w:szCs w:val="20"/>
                <w:lang w:val="en-US"/>
              </w:rPr>
            </w:pPr>
            <w:r w:rsidRPr="00112463">
              <w:rPr>
                <w:sz w:val="20"/>
                <w:szCs w:val="20"/>
                <w:lang w:val="en-US"/>
              </w:rPr>
              <w:t>More than £10,000.00</w:t>
            </w:r>
          </w:p>
        </w:tc>
        <w:tc>
          <w:tcPr>
            <w:tcW w:w="0" w:type="auto"/>
          </w:tcPr>
          <w:p w14:paraId="5C441215" w14:textId="579A6DD2" w:rsidR="005D0DA7" w:rsidRPr="007E6B30" w:rsidRDefault="00112463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0.42</w:t>
            </w:r>
          </w:p>
        </w:tc>
        <w:tc>
          <w:tcPr>
            <w:tcW w:w="0" w:type="auto"/>
          </w:tcPr>
          <w:p w14:paraId="3A769D66" w14:textId="56271509" w:rsidR="005D0DA7" w:rsidRPr="007E6B30" w:rsidRDefault="00112463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0.06*</w:t>
            </w:r>
          </w:p>
        </w:tc>
        <w:tc>
          <w:tcPr>
            <w:tcW w:w="0" w:type="auto"/>
          </w:tcPr>
          <w:p w14:paraId="73812FDD" w14:textId="3DFE0C35" w:rsidR="005D0DA7" w:rsidRPr="007E6B30" w:rsidRDefault="00112463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0.08*</w:t>
            </w:r>
          </w:p>
        </w:tc>
      </w:tr>
      <w:tr w:rsidR="00DF5BE3" w14:paraId="4C1226D9" w14:textId="77777777" w:rsidTr="00715365">
        <w:tc>
          <w:tcPr>
            <w:tcW w:w="0" w:type="auto"/>
            <w:gridSpan w:val="4"/>
          </w:tcPr>
          <w:p w14:paraId="4DE101E2" w14:textId="764FF771" w:rsidR="00DF5BE3" w:rsidRDefault="00DF5BE3" w:rsidP="007E6B30">
            <w:pPr>
              <w:rPr>
                <w:b/>
              </w:rPr>
            </w:pPr>
            <w:r>
              <w:rPr>
                <w:b/>
              </w:rPr>
              <w:t>At age 25</w:t>
            </w:r>
          </w:p>
        </w:tc>
      </w:tr>
      <w:tr w:rsidR="00DF5BE3" w14:paraId="43318C66" w14:textId="77777777" w:rsidTr="00715365">
        <w:tc>
          <w:tcPr>
            <w:tcW w:w="0" w:type="auto"/>
          </w:tcPr>
          <w:p w14:paraId="4D800E75" w14:textId="23A49E07" w:rsidR="00DF5BE3" w:rsidRPr="00DF5BE3" w:rsidRDefault="00DF5BE3" w:rsidP="005929CC">
            <w:pPr>
              <w:rPr>
                <w:sz w:val="20"/>
                <w:szCs w:val="20"/>
                <w:lang w:val="en-US"/>
              </w:rPr>
            </w:pPr>
            <w:r w:rsidRPr="00DF5BE3">
              <w:rPr>
                <w:sz w:val="20"/>
                <w:szCs w:val="20"/>
                <w:lang w:val="en-US"/>
              </w:rPr>
              <w:t xml:space="preserve">Number of months </w:t>
            </w:r>
            <w:r w:rsidR="005929CC">
              <w:rPr>
                <w:sz w:val="20"/>
                <w:szCs w:val="20"/>
                <w:lang w:val="en-US"/>
              </w:rPr>
              <w:t>employed</w:t>
            </w:r>
            <w:r w:rsidRPr="00DF5BE3">
              <w:rPr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median (</w:t>
            </w:r>
            <w:proofErr w:type="spellStart"/>
            <w:r>
              <w:rPr>
                <w:sz w:val="20"/>
                <w:szCs w:val="20"/>
                <w:lang w:val="en-US"/>
              </w:rPr>
              <w:t>sd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14:paraId="44B7750C" w14:textId="76DAAA04" w:rsidR="00DF5BE3" w:rsidRPr="00DF5BE3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 (38.5)</w:t>
            </w:r>
          </w:p>
        </w:tc>
        <w:tc>
          <w:tcPr>
            <w:tcW w:w="0" w:type="auto"/>
          </w:tcPr>
          <w:p w14:paraId="4D121F55" w14:textId="625AADA3" w:rsidR="00DF5BE3" w:rsidRPr="00DF5BE3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 (19.5)*</w:t>
            </w:r>
          </w:p>
        </w:tc>
        <w:tc>
          <w:tcPr>
            <w:tcW w:w="0" w:type="auto"/>
          </w:tcPr>
          <w:p w14:paraId="4B48CEC7" w14:textId="4BC43363" w:rsidR="00DF5BE3" w:rsidRPr="00DF5BE3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 (24.0)*</w:t>
            </w:r>
          </w:p>
        </w:tc>
      </w:tr>
      <w:tr w:rsidR="00DF5BE3" w14:paraId="5971CC9C" w14:textId="77777777" w:rsidTr="00715365">
        <w:tc>
          <w:tcPr>
            <w:tcW w:w="0" w:type="auto"/>
          </w:tcPr>
          <w:p w14:paraId="419834AA" w14:textId="4E015A1E" w:rsidR="00DF5BE3" w:rsidRPr="00DF5BE3" w:rsidRDefault="005929CC" w:rsidP="00DF5B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Earnings</w:t>
            </w:r>
            <w:bookmarkStart w:id="0" w:name="_GoBack"/>
            <w:bookmarkEnd w:id="0"/>
            <w:r w:rsidR="00DF5BE3" w:rsidRPr="00DF5BE3">
              <w:rPr>
                <w:sz w:val="20"/>
                <w:szCs w:val="20"/>
                <w:lang w:val="en-US"/>
              </w:rPr>
              <w:t xml:space="preserve"> - </w:t>
            </w:r>
            <w:r w:rsidR="00DF5BE3">
              <w:rPr>
                <w:sz w:val="20"/>
                <w:szCs w:val="20"/>
                <w:lang w:val="en-US"/>
              </w:rPr>
              <w:t>median (</w:t>
            </w:r>
            <w:proofErr w:type="spellStart"/>
            <w:r w:rsidR="00DF5BE3">
              <w:rPr>
                <w:sz w:val="20"/>
                <w:szCs w:val="20"/>
                <w:lang w:val="en-US"/>
              </w:rPr>
              <w:t>sd</w:t>
            </w:r>
            <w:proofErr w:type="spellEnd"/>
            <w:r w:rsidR="00DF5BE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14:paraId="072932CE" w14:textId="40F77A48" w:rsidR="00DF5BE3" w:rsidRPr="00DF5BE3" w:rsidRDefault="007E6B30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6.62 (6.08)</w:t>
            </w:r>
          </w:p>
        </w:tc>
        <w:tc>
          <w:tcPr>
            <w:tcW w:w="0" w:type="auto"/>
          </w:tcPr>
          <w:p w14:paraId="528EC288" w14:textId="711AED73" w:rsidR="00DF5BE3" w:rsidRPr="00DF5BE3" w:rsidRDefault="007E6B30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10.60 (13.33)*</w:t>
            </w:r>
          </w:p>
        </w:tc>
        <w:tc>
          <w:tcPr>
            <w:tcW w:w="0" w:type="auto"/>
          </w:tcPr>
          <w:p w14:paraId="49C9B000" w14:textId="3114580E" w:rsidR="00DF5BE3" w:rsidRPr="00DF5BE3" w:rsidRDefault="007E6B30" w:rsidP="007E6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9.35 (9.69)*</w:t>
            </w:r>
          </w:p>
        </w:tc>
      </w:tr>
      <w:tr w:rsidR="00DF5BE3" w14:paraId="21A97FA3" w14:textId="77777777" w:rsidTr="00715365">
        <w:tc>
          <w:tcPr>
            <w:tcW w:w="0" w:type="auto"/>
          </w:tcPr>
          <w:p w14:paraId="7A2A27DC" w14:textId="478AA45E" w:rsidR="00DF5BE3" w:rsidRPr="00DF5BE3" w:rsidRDefault="00793F89" w:rsidP="00DF5B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Cohabiting/married</w:t>
            </w:r>
          </w:p>
        </w:tc>
        <w:tc>
          <w:tcPr>
            <w:tcW w:w="0" w:type="auto"/>
          </w:tcPr>
          <w:p w14:paraId="3E4824B3" w14:textId="52A836A9" w:rsidR="00DF5BE3" w:rsidRPr="00DF5BE3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DF5BE3">
              <w:rPr>
                <w:sz w:val="20"/>
                <w:szCs w:val="20"/>
                <w:lang w:val="en-US"/>
              </w:rPr>
              <w:t>0.59</w:t>
            </w:r>
          </w:p>
        </w:tc>
        <w:tc>
          <w:tcPr>
            <w:tcW w:w="0" w:type="auto"/>
          </w:tcPr>
          <w:p w14:paraId="70B4B194" w14:textId="4FD3ADB1" w:rsidR="00DF5BE3" w:rsidRPr="00DF5BE3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DF5BE3">
              <w:rPr>
                <w:sz w:val="20"/>
                <w:szCs w:val="20"/>
                <w:lang w:val="en-US"/>
              </w:rPr>
              <w:t>0.63</w:t>
            </w:r>
          </w:p>
        </w:tc>
        <w:tc>
          <w:tcPr>
            <w:tcW w:w="0" w:type="auto"/>
          </w:tcPr>
          <w:p w14:paraId="5F0D70B4" w14:textId="5B458D81" w:rsidR="00DF5BE3" w:rsidRPr="00DF5BE3" w:rsidRDefault="00DF5BE3" w:rsidP="007E6B30">
            <w:pPr>
              <w:jc w:val="center"/>
              <w:rPr>
                <w:sz w:val="20"/>
                <w:szCs w:val="20"/>
                <w:lang w:val="en-US"/>
              </w:rPr>
            </w:pPr>
            <w:r w:rsidRPr="00DF5BE3">
              <w:rPr>
                <w:sz w:val="20"/>
                <w:szCs w:val="20"/>
                <w:lang w:val="en-US"/>
              </w:rPr>
              <w:t>0.67*</w:t>
            </w:r>
          </w:p>
        </w:tc>
      </w:tr>
    </w:tbl>
    <w:p w14:paraId="2784B21C" w14:textId="6797808C" w:rsidR="00715365" w:rsidRPr="001014C6" w:rsidRDefault="001014C6">
      <w:r w:rsidRPr="001014C6">
        <w:rPr>
          <w:u w:val="single"/>
        </w:rPr>
        <w:t>Note</w:t>
      </w:r>
      <w:r w:rsidRPr="001014C6">
        <w:t>:</w:t>
      </w:r>
      <w:r>
        <w:t xml:space="preserve"> * indicates a significant difference at the 0.5 level between the coefficient and the coefficient for non-graduates, using Wald tests. For continuous variables, the Wald tests analyses mean differences.</w:t>
      </w:r>
    </w:p>
    <w:sectPr w:rsidR="00715365" w:rsidRPr="00101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B8"/>
    <w:rsid w:val="001014C6"/>
    <w:rsid w:val="00112463"/>
    <w:rsid w:val="0019129F"/>
    <w:rsid w:val="002434BB"/>
    <w:rsid w:val="00274524"/>
    <w:rsid w:val="002A1828"/>
    <w:rsid w:val="00336761"/>
    <w:rsid w:val="003F4E44"/>
    <w:rsid w:val="004344BD"/>
    <w:rsid w:val="00574F81"/>
    <w:rsid w:val="005929CC"/>
    <w:rsid w:val="005D0DA7"/>
    <w:rsid w:val="005D61C5"/>
    <w:rsid w:val="00652841"/>
    <w:rsid w:val="00681099"/>
    <w:rsid w:val="006B41D7"/>
    <w:rsid w:val="006C66DB"/>
    <w:rsid w:val="00715365"/>
    <w:rsid w:val="007218B8"/>
    <w:rsid w:val="00767717"/>
    <w:rsid w:val="00777A17"/>
    <w:rsid w:val="00793F89"/>
    <w:rsid w:val="007E6B30"/>
    <w:rsid w:val="00851079"/>
    <w:rsid w:val="00885E2F"/>
    <w:rsid w:val="008A1B3F"/>
    <w:rsid w:val="00A92079"/>
    <w:rsid w:val="00B901E2"/>
    <w:rsid w:val="00D55088"/>
    <w:rsid w:val="00DA36C0"/>
    <w:rsid w:val="00DA75F0"/>
    <w:rsid w:val="00DE5CE1"/>
    <w:rsid w:val="00DF5BE3"/>
    <w:rsid w:val="00E15DF3"/>
    <w:rsid w:val="00E94B54"/>
    <w:rsid w:val="00EA7BEA"/>
    <w:rsid w:val="00EC1341"/>
    <w:rsid w:val="00F33951"/>
    <w:rsid w:val="00F95A8C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3CF0"/>
  <w15:chartTrackingRefBased/>
  <w15:docId w15:val="{1429F6E3-2550-40B7-93FD-3AF3178F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7A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7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A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7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8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Gayardon, Ariane</dc:creator>
  <cp:keywords/>
  <dc:description/>
  <cp:lastModifiedBy>De Gayardon, Ariane</cp:lastModifiedBy>
  <cp:revision>34</cp:revision>
  <dcterms:created xsi:type="dcterms:W3CDTF">2020-09-08T12:53:00Z</dcterms:created>
  <dcterms:modified xsi:type="dcterms:W3CDTF">2020-10-13T14:57:00Z</dcterms:modified>
</cp:coreProperties>
</file>