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816F" w14:textId="09FE8B4E" w:rsidR="00766D9D" w:rsidRDefault="005D5255" w:rsidP="003910DC">
      <w:pPr>
        <w:rPr>
          <w:rFonts w:ascii="Garamond" w:hAnsi="Garamond"/>
          <w:b/>
          <w:bCs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u w:val="single"/>
        </w:rPr>
        <w:t xml:space="preserve">Appendix A: </w:t>
      </w:r>
      <w:r w:rsidR="00650AE7" w:rsidRPr="003910DC">
        <w:rPr>
          <w:rFonts w:ascii="Garamond" w:hAnsi="Garamond"/>
          <w:b/>
          <w:bCs/>
          <w:u w:val="single"/>
        </w:rPr>
        <w:t xml:space="preserve">Online supplementary appendix for </w:t>
      </w:r>
      <w:r w:rsidR="00C96874" w:rsidRPr="003910DC">
        <w:rPr>
          <w:rFonts w:ascii="Garamond" w:hAnsi="Garamond"/>
          <w:b/>
          <w:bCs/>
          <w:u w:val="single"/>
        </w:rPr>
        <w:t>the paper</w:t>
      </w:r>
      <w:r w:rsidR="00766D9D">
        <w:rPr>
          <w:rFonts w:ascii="Garamond" w:hAnsi="Garamond"/>
          <w:b/>
          <w:bCs/>
          <w:u w:val="single"/>
        </w:rPr>
        <w:t>:</w:t>
      </w:r>
    </w:p>
    <w:p w14:paraId="03BEF35E" w14:textId="2AF4A88E" w:rsidR="00C96874" w:rsidRPr="003910DC" w:rsidRDefault="00C96874" w:rsidP="003910DC">
      <w:pPr>
        <w:rPr>
          <w:rFonts w:ascii="Garamond" w:hAnsi="Garamond" w:cs="Arial"/>
          <w:b/>
          <w:bCs/>
          <w:color w:val="222222"/>
          <w:shd w:val="clear" w:color="auto" w:fill="FFFFFF"/>
        </w:rPr>
      </w:pPr>
      <w:r w:rsidRPr="003910DC">
        <w:rPr>
          <w:rFonts w:ascii="Garamond" w:hAnsi="Garamond" w:cs="Arial"/>
          <w:b/>
          <w:bCs/>
          <w:color w:val="222222"/>
          <w:shd w:val="clear" w:color="auto" w:fill="FFFFFF"/>
        </w:rPr>
        <w:t>Parental Freedom in the Context of Risk to the Child: Citizens' views of child protection and the state in U.S and Norway</w:t>
      </w:r>
    </w:p>
    <w:p w14:paraId="5BA8EAB8" w14:textId="4F8B1B6A" w:rsidR="00650AE7" w:rsidRPr="003910DC" w:rsidRDefault="00650AE7" w:rsidP="003910DC">
      <w:pPr>
        <w:autoSpaceDE w:val="0"/>
        <w:autoSpaceDN w:val="0"/>
        <w:adjustRightInd w:val="0"/>
        <w:rPr>
          <w:rFonts w:ascii="Garamond" w:hAnsi="Garamond"/>
        </w:rPr>
      </w:pPr>
    </w:p>
    <w:p w14:paraId="14229F17" w14:textId="5767F8AD" w:rsidR="005242D2" w:rsidRPr="003910DC" w:rsidRDefault="00B1138E" w:rsidP="003910DC">
      <w:pPr>
        <w:autoSpaceDE w:val="0"/>
        <w:autoSpaceDN w:val="0"/>
        <w:adjustRightInd w:val="0"/>
        <w:rPr>
          <w:rFonts w:ascii="Garamond" w:hAnsi="Garamond"/>
        </w:rPr>
      </w:pPr>
      <w:r w:rsidRPr="003910DC">
        <w:rPr>
          <w:rFonts w:ascii="Garamond" w:hAnsi="Garamond"/>
          <w:b/>
          <w:bCs/>
        </w:rPr>
        <w:t xml:space="preserve">Table </w:t>
      </w:r>
      <w:r w:rsidR="00766D9D">
        <w:rPr>
          <w:rFonts w:ascii="Garamond" w:hAnsi="Garamond"/>
          <w:b/>
          <w:bCs/>
        </w:rPr>
        <w:t>A</w:t>
      </w:r>
      <w:r w:rsidRPr="003910DC">
        <w:rPr>
          <w:rFonts w:ascii="Garamond" w:hAnsi="Garamond"/>
          <w:b/>
          <w:bCs/>
        </w:rPr>
        <w:t xml:space="preserve">1: </w:t>
      </w:r>
      <w:r w:rsidR="00425515" w:rsidRPr="003910DC">
        <w:rPr>
          <w:rFonts w:ascii="Garamond" w:hAnsi="Garamond"/>
          <w:b/>
          <w:bCs/>
        </w:rPr>
        <w:t xml:space="preserve">Overview of </w:t>
      </w:r>
      <w:r w:rsidR="00650AE7" w:rsidRPr="003910DC">
        <w:rPr>
          <w:rFonts w:ascii="Garamond" w:hAnsi="Garamond"/>
          <w:b/>
          <w:bCs/>
        </w:rPr>
        <w:t>samples for three treatments (</w:t>
      </w:r>
      <w:r w:rsidR="00C96874" w:rsidRPr="003910DC">
        <w:rPr>
          <w:rFonts w:ascii="Garamond" w:hAnsi="Garamond"/>
          <w:b/>
          <w:bCs/>
        </w:rPr>
        <w:t xml:space="preserve">low risk </w:t>
      </w:r>
      <w:r w:rsidR="00650AE7" w:rsidRPr="003910DC">
        <w:rPr>
          <w:rFonts w:ascii="Garamond" w:hAnsi="Garamond"/>
          <w:b/>
          <w:bCs/>
        </w:rPr>
        <w:t xml:space="preserve">X1, </w:t>
      </w:r>
      <w:r w:rsidR="00C96874" w:rsidRPr="003910DC">
        <w:rPr>
          <w:rFonts w:ascii="Garamond" w:hAnsi="Garamond"/>
          <w:b/>
          <w:bCs/>
        </w:rPr>
        <w:t xml:space="preserve">medium risk </w:t>
      </w:r>
      <w:r w:rsidR="00650AE7" w:rsidRPr="003910DC">
        <w:rPr>
          <w:rFonts w:ascii="Garamond" w:hAnsi="Garamond"/>
          <w:b/>
          <w:bCs/>
        </w:rPr>
        <w:t xml:space="preserve">X2, </w:t>
      </w:r>
      <w:r w:rsidR="00C96874" w:rsidRPr="003910DC">
        <w:rPr>
          <w:rFonts w:ascii="Garamond" w:hAnsi="Garamond"/>
          <w:b/>
          <w:bCs/>
        </w:rPr>
        <w:t xml:space="preserve">high risk </w:t>
      </w:r>
      <w:r w:rsidR="00650AE7" w:rsidRPr="003910DC">
        <w:rPr>
          <w:rFonts w:ascii="Garamond" w:hAnsi="Garamond"/>
          <w:b/>
          <w:bCs/>
        </w:rPr>
        <w:t xml:space="preserve">X3). </w:t>
      </w:r>
      <w:r w:rsidR="004655E5" w:rsidRPr="003910DC">
        <w:rPr>
          <w:rFonts w:ascii="Garamond" w:hAnsi="Garamond"/>
          <w:b/>
          <w:bCs/>
        </w:rPr>
        <w:t xml:space="preserve"> </w:t>
      </w:r>
    </w:p>
    <w:tbl>
      <w:tblPr>
        <w:tblW w:w="13000" w:type="dxa"/>
        <w:tblLook w:val="04A0" w:firstRow="1" w:lastRow="0" w:firstColumn="1" w:lastColumn="0" w:noHBand="0" w:noVBand="1"/>
      </w:tblPr>
      <w:tblGrid>
        <w:gridCol w:w="1780"/>
        <w:gridCol w:w="2540"/>
        <w:gridCol w:w="3240"/>
        <w:gridCol w:w="1360"/>
        <w:gridCol w:w="1360"/>
        <w:gridCol w:w="1360"/>
        <w:gridCol w:w="1360"/>
      </w:tblGrid>
      <w:tr w:rsidR="003678E7" w:rsidRPr="003678E7" w14:paraId="5F15F2A9" w14:textId="77777777" w:rsidTr="003678E7">
        <w:trPr>
          <w:trHeight w:val="34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55E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Treatments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E28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Variable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0E5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A242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Norway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8AC4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USA (California)</w:t>
            </w:r>
          </w:p>
        </w:tc>
      </w:tr>
      <w:tr w:rsidR="003678E7" w:rsidRPr="003678E7" w14:paraId="1180F48C" w14:textId="77777777" w:rsidTr="003678E7">
        <w:trPr>
          <w:trHeight w:val="360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B398C" w14:textId="77777777" w:rsidR="003678E7" w:rsidRPr="003678E7" w:rsidRDefault="003678E7" w:rsidP="003678E7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AF3E" w14:textId="77777777" w:rsidR="003678E7" w:rsidRPr="003678E7" w:rsidRDefault="003678E7" w:rsidP="003678E7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E88E9" w14:textId="77777777" w:rsidR="003678E7" w:rsidRPr="003678E7" w:rsidRDefault="003678E7" w:rsidP="003678E7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0CA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Number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B9B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51B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Number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4C2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3678E7">
              <w:rPr>
                <w:rFonts w:ascii="Garamond" w:hAnsi="Garamond" w:cs="Calibri"/>
                <w:b/>
                <w:bCs/>
                <w:color w:val="000000"/>
              </w:rPr>
              <w:t>%</w:t>
            </w:r>
          </w:p>
        </w:tc>
      </w:tr>
      <w:tr w:rsidR="003678E7" w:rsidRPr="003678E7" w14:paraId="73D61125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4EE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4D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Gender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A96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9E0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4DC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BAF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7B7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56</w:t>
            </w:r>
          </w:p>
        </w:tc>
      </w:tr>
      <w:tr w:rsidR="003678E7" w:rsidRPr="003678E7" w14:paraId="32B02E9D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CB53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029A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306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Female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9F4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778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33A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B38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44</w:t>
            </w:r>
          </w:p>
        </w:tc>
      </w:tr>
      <w:tr w:rsidR="003678E7" w:rsidRPr="003678E7" w14:paraId="409D672A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1E7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1B3F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A9B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527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13D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07E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13B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53</w:t>
            </w:r>
          </w:p>
        </w:tc>
      </w:tr>
      <w:tr w:rsidR="003678E7" w:rsidRPr="003678E7" w14:paraId="1F347392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909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7FFD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0AD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Female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A56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4F9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DCB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834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47</w:t>
            </w:r>
          </w:p>
        </w:tc>
      </w:tr>
      <w:tr w:rsidR="003678E7" w:rsidRPr="003678E7" w14:paraId="4B9509EB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58A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06D8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23A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3D7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297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AFD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923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50</w:t>
            </w:r>
          </w:p>
        </w:tc>
      </w:tr>
      <w:tr w:rsidR="003678E7" w:rsidRPr="003678E7" w14:paraId="7BFC3938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A5BA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BFDD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4D4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Female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F97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D4B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812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1EC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50</w:t>
            </w:r>
          </w:p>
        </w:tc>
      </w:tr>
      <w:tr w:rsidR="003678E7" w:rsidRPr="003678E7" w14:paraId="4F9A1CF7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13A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CBC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City size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4A7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Smaller city/rural area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5B5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07D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C60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FAB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40</w:t>
            </w:r>
          </w:p>
        </w:tc>
      </w:tr>
      <w:tr w:rsidR="003678E7" w:rsidRPr="003678E7" w14:paraId="4EC737BD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60B7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1D47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31C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Larger city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508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E53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71B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C54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60</w:t>
            </w:r>
          </w:p>
        </w:tc>
      </w:tr>
      <w:tr w:rsidR="003678E7" w:rsidRPr="003678E7" w14:paraId="0D3AAC6F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216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55A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8F3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Smaller city/rural area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A0A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E94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5B1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2E3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41</w:t>
            </w:r>
          </w:p>
        </w:tc>
      </w:tr>
      <w:tr w:rsidR="003678E7" w:rsidRPr="003678E7" w14:paraId="2D75C43D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5E2B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819E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1B2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Larger city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4A6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337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CCB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980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59</w:t>
            </w:r>
          </w:p>
        </w:tc>
      </w:tr>
      <w:tr w:rsidR="003678E7" w:rsidRPr="003678E7" w14:paraId="1C3C04F0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192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EA69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7B2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Smaller city/rural area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324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D23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7A1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B6F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41</w:t>
            </w:r>
          </w:p>
        </w:tc>
      </w:tr>
      <w:tr w:rsidR="003678E7" w:rsidRPr="003678E7" w14:paraId="436EA9BC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6318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790D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5EC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Larger city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980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BE7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0CE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2DB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59</w:t>
            </w:r>
          </w:p>
        </w:tc>
      </w:tr>
      <w:tr w:rsidR="003678E7" w:rsidRPr="003678E7" w14:paraId="4F1C5520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6CA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6CC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Job status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C82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Unemployment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EF5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AEA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128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F1C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33</w:t>
            </w:r>
          </w:p>
        </w:tc>
      </w:tr>
      <w:tr w:rsidR="003678E7" w:rsidRPr="003678E7" w14:paraId="2EB9E623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A889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5D14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903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Employment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999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9C2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9ED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DAB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67</w:t>
            </w:r>
          </w:p>
        </w:tc>
      </w:tr>
      <w:tr w:rsidR="003678E7" w:rsidRPr="003678E7" w14:paraId="3D5C506E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8FC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E8E9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699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Unemployment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2EB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AA7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FAE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7D2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34</w:t>
            </w:r>
          </w:p>
        </w:tc>
      </w:tr>
      <w:tr w:rsidR="003678E7" w:rsidRPr="003678E7" w14:paraId="382F769C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6713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1277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B33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Employment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FF6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C62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799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A0B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66</w:t>
            </w:r>
          </w:p>
        </w:tc>
      </w:tr>
      <w:tr w:rsidR="003678E7" w:rsidRPr="003678E7" w14:paraId="40C65B4E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137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93E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CC0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Unemployment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109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A8E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578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92B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37</w:t>
            </w:r>
          </w:p>
        </w:tc>
      </w:tr>
      <w:tr w:rsidR="003678E7" w:rsidRPr="003678E7" w14:paraId="7F0C2917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9925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090C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662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Employment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DF0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E8D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072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3F9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63</w:t>
            </w:r>
          </w:p>
        </w:tc>
      </w:tr>
      <w:tr w:rsidR="003678E7" w:rsidRPr="003678E7" w14:paraId="7E190490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622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286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Political orientation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31B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Left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D5F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F27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EDA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673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56</w:t>
            </w:r>
          </w:p>
        </w:tc>
      </w:tr>
      <w:tr w:rsidR="003678E7" w:rsidRPr="003678E7" w14:paraId="4B19714F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0FDE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8541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D3E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Center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734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384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81D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CA1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</w:t>
            </w:r>
          </w:p>
        </w:tc>
      </w:tr>
      <w:tr w:rsidR="003678E7" w:rsidRPr="003678E7" w14:paraId="69DDFB6A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CB51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B576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829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Right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586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81A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3D5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D94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40</w:t>
            </w:r>
          </w:p>
        </w:tc>
      </w:tr>
      <w:tr w:rsidR="003678E7" w:rsidRPr="003678E7" w14:paraId="231E7EA9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F91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98F5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BCB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Left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1B17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415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D27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F97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57</w:t>
            </w:r>
          </w:p>
        </w:tc>
      </w:tr>
      <w:tr w:rsidR="003678E7" w:rsidRPr="003678E7" w14:paraId="27B04F5D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DBD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3ED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C51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Center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1C8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8B8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A8D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38C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</w:t>
            </w:r>
          </w:p>
        </w:tc>
      </w:tr>
      <w:tr w:rsidR="003678E7" w:rsidRPr="003678E7" w14:paraId="4C70F7C0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15C4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D0FA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D5B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Right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532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FDE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ED8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F12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38</w:t>
            </w:r>
          </w:p>
        </w:tc>
      </w:tr>
      <w:tr w:rsidR="003678E7" w:rsidRPr="003678E7" w14:paraId="33056AF3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5C6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E216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15D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Left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7D6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35D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FC8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94B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60</w:t>
            </w:r>
          </w:p>
        </w:tc>
      </w:tr>
      <w:tr w:rsidR="003678E7" w:rsidRPr="003678E7" w14:paraId="50EED366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B08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563D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201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Center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0F9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88A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0BE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FD8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</w:t>
            </w:r>
          </w:p>
        </w:tc>
      </w:tr>
      <w:tr w:rsidR="003678E7" w:rsidRPr="003678E7" w14:paraId="372CAE01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0C21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3355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1E3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Right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3FB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9B1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7C2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6E4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</w:tr>
      <w:tr w:rsidR="003678E7" w:rsidRPr="003678E7" w14:paraId="1D324930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1AC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29E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Partnership/marital status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1BB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partner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407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71F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154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2AF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41</w:t>
            </w:r>
          </w:p>
        </w:tc>
      </w:tr>
      <w:tr w:rsidR="003678E7" w:rsidRPr="003678E7" w14:paraId="423F1800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E740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6163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4ED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Partner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688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7F8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232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94B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59</w:t>
            </w:r>
          </w:p>
        </w:tc>
      </w:tr>
      <w:tr w:rsidR="003678E7" w:rsidRPr="003678E7" w14:paraId="5FFC53B0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9FB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37ED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4F7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partner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24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837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36B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D2E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48</w:t>
            </w:r>
          </w:p>
        </w:tc>
      </w:tr>
      <w:tr w:rsidR="003678E7" w:rsidRPr="003678E7" w14:paraId="0B221451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35F2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546C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5A8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Partner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B30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E00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F15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882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52</w:t>
            </w:r>
          </w:p>
        </w:tc>
      </w:tr>
      <w:tr w:rsidR="003678E7" w:rsidRPr="003678E7" w14:paraId="133FFB37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1A4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7E29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E81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partner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B89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5B3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D38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A7D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48</w:t>
            </w:r>
          </w:p>
        </w:tc>
      </w:tr>
      <w:tr w:rsidR="003678E7" w:rsidRPr="003678E7" w14:paraId="643CBA9D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5161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E4C0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54D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Partner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09E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C84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DC3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AE5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52</w:t>
            </w:r>
          </w:p>
        </w:tc>
      </w:tr>
      <w:tr w:rsidR="003678E7" w:rsidRPr="003678E7" w14:paraId="0CE58FFD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060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2BF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Education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82C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education/Lower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2DE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160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368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C78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</w:t>
            </w:r>
          </w:p>
        </w:tc>
      </w:tr>
      <w:tr w:rsidR="003678E7" w:rsidRPr="003678E7" w14:paraId="5FBD0BC3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19FB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3D2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CD3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Average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9F1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7B2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E87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719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67</w:t>
            </w:r>
          </w:p>
        </w:tc>
      </w:tr>
      <w:tr w:rsidR="003678E7" w:rsidRPr="003678E7" w14:paraId="29CED8AB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91F3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05A7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C2C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189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6F6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B95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D59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</w:t>
            </w:r>
          </w:p>
        </w:tc>
      </w:tr>
      <w:tr w:rsidR="003678E7" w:rsidRPr="003678E7" w14:paraId="122194AF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EC6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C859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891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education/Lower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F66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916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066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D1A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</w:tr>
      <w:tr w:rsidR="003678E7" w:rsidRPr="003678E7" w14:paraId="7EC46F22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1C1D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5F46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D09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Average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064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87F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F52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E4F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63</w:t>
            </w:r>
          </w:p>
        </w:tc>
      </w:tr>
      <w:tr w:rsidR="003678E7" w:rsidRPr="003678E7" w14:paraId="0591F805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788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458F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BC9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DEC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546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491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48F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</w:t>
            </w:r>
          </w:p>
        </w:tc>
      </w:tr>
      <w:tr w:rsidR="003678E7" w:rsidRPr="003678E7" w14:paraId="5A49650A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84E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C38E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210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education/Lower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EAD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B1A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4A64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2F7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</w:tr>
      <w:tr w:rsidR="003678E7" w:rsidRPr="003678E7" w14:paraId="59D29563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6051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9EF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52C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Average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697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D7C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1BA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A32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63</w:t>
            </w:r>
          </w:p>
        </w:tc>
      </w:tr>
      <w:tr w:rsidR="003678E7" w:rsidRPr="003678E7" w14:paraId="33677B36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9D3B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C5B7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B66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576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E22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0D4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E9C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</w:t>
            </w:r>
          </w:p>
        </w:tc>
      </w:tr>
      <w:tr w:rsidR="003678E7" w:rsidRPr="003678E7" w14:paraId="65EB71BF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A84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lastRenderedPageBreak/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6CB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Religious belonging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EE5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5AF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DF9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9B9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D3E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28</w:t>
            </w:r>
          </w:p>
        </w:tc>
      </w:tr>
      <w:tr w:rsidR="003678E7" w:rsidRPr="003678E7" w14:paraId="27EA2B8B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794C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2D7A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013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Have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F21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6FC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445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958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72</w:t>
            </w:r>
          </w:p>
        </w:tc>
      </w:tr>
      <w:tr w:rsidR="003678E7" w:rsidRPr="003678E7" w14:paraId="1D4B7776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429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A06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9D0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214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BE2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560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1F8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31</w:t>
            </w:r>
          </w:p>
        </w:tc>
      </w:tr>
      <w:tr w:rsidR="003678E7" w:rsidRPr="003678E7" w14:paraId="00DBB9FF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29A6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AEFA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ED4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Have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B65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A5F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82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112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69</w:t>
            </w:r>
          </w:p>
        </w:tc>
      </w:tr>
      <w:tr w:rsidR="003678E7" w:rsidRPr="003678E7" w14:paraId="2B8BCE61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214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8C97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6DF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D13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B43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EF3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B1C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</w:tr>
      <w:tr w:rsidR="003678E7" w:rsidRPr="003678E7" w14:paraId="714A846C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92F0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E574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B43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Have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DD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389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770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468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68</w:t>
            </w:r>
          </w:p>
        </w:tc>
      </w:tr>
      <w:tr w:rsidR="003678E7" w:rsidRPr="003678E7" w14:paraId="0959DB98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20F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75C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Immigration background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292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Non-migrant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E9E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2A5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128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3EE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80</w:t>
            </w:r>
          </w:p>
        </w:tc>
      </w:tr>
      <w:tr w:rsidR="003678E7" w:rsidRPr="003678E7" w14:paraId="6B448B67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A081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660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E3E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Migrant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E7D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B2C4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29E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972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20</w:t>
            </w:r>
          </w:p>
        </w:tc>
      </w:tr>
      <w:tr w:rsidR="003678E7" w:rsidRPr="003678E7" w14:paraId="27DE05C0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D40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6A95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738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Non-migrant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E4B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6F8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DA6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0EF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82</w:t>
            </w:r>
          </w:p>
        </w:tc>
      </w:tr>
      <w:tr w:rsidR="003678E7" w:rsidRPr="003678E7" w14:paraId="09FACEF6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F543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DB38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A9E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Migrant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A9B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222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12C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78B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</w:t>
            </w:r>
          </w:p>
        </w:tc>
      </w:tr>
      <w:tr w:rsidR="003678E7" w:rsidRPr="003678E7" w14:paraId="3D6FA119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7C1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0996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3D9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Non-migrant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B72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ED9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A4C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6DF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79</w:t>
            </w:r>
          </w:p>
        </w:tc>
      </w:tr>
      <w:tr w:rsidR="003678E7" w:rsidRPr="003678E7" w14:paraId="3AB9203B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4212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8FD0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0AC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Migrant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07A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59B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C47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837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21</w:t>
            </w:r>
          </w:p>
        </w:tc>
      </w:tr>
      <w:tr w:rsidR="003678E7" w:rsidRPr="003678E7" w14:paraId="2AAFB5D8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538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F83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Income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738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E80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0FE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720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5CB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33</w:t>
            </w:r>
          </w:p>
        </w:tc>
      </w:tr>
      <w:tr w:rsidR="003678E7" w:rsidRPr="003678E7" w14:paraId="713021DC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FDF6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8A1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80B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Average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6C1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B6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C36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2BB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31</w:t>
            </w:r>
          </w:p>
        </w:tc>
      </w:tr>
      <w:tr w:rsidR="003678E7" w:rsidRPr="003678E7" w14:paraId="0987F9F4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FE3F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95C1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A9C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1A9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46B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38C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9AD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36</w:t>
            </w:r>
          </w:p>
        </w:tc>
      </w:tr>
      <w:tr w:rsidR="003678E7" w:rsidRPr="003678E7" w14:paraId="6E058802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B7B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FE80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2F8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557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45F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1A3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43B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30</w:t>
            </w:r>
          </w:p>
        </w:tc>
      </w:tr>
      <w:tr w:rsidR="003678E7" w:rsidRPr="003678E7" w14:paraId="1BCDC397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FA31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0BEF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BFA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Average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8DE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DD7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C0D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1B8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</w:tr>
      <w:tr w:rsidR="003678E7" w:rsidRPr="003678E7" w14:paraId="3ED168E2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549F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3D8A7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80E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C9F5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B7C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42B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2F4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38</w:t>
            </w:r>
          </w:p>
        </w:tc>
      </w:tr>
      <w:tr w:rsidR="003678E7" w:rsidRPr="003678E7" w14:paraId="491C661C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7D2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A470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FB4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25C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7D5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325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09F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34</w:t>
            </w:r>
          </w:p>
        </w:tc>
      </w:tr>
      <w:tr w:rsidR="003678E7" w:rsidRPr="003678E7" w14:paraId="40A54190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61E5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76F4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2DE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Average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417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6B6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D03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DBB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33</w:t>
            </w:r>
          </w:p>
        </w:tc>
      </w:tr>
      <w:tr w:rsidR="003678E7" w:rsidRPr="003678E7" w14:paraId="394AA09A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0FB9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FC3B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103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C130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1DC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8F9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AEE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34</w:t>
            </w:r>
          </w:p>
        </w:tc>
      </w:tr>
      <w:tr w:rsidR="003678E7" w:rsidRPr="003678E7" w14:paraId="07548803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FA0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CBD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Age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91B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Younger (18-34)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92B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292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F53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36D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30</w:t>
            </w:r>
          </w:p>
        </w:tc>
      </w:tr>
      <w:tr w:rsidR="003678E7" w:rsidRPr="003678E7" w14:paraId="3E792961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28D8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BE42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BF4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Mid-age (35-54)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E99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42E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C48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423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33</w:t>
            </w:r>
          </w:p>
        </w:tc>
      </w:tr>
      <w:tr w:rsidR="003678E7" w:rsidRPr="003678E7" w14:paraId="3F20A957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5347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DAD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893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54+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2ED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C87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A5C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7DA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37</w:t>
            </w:r>
          </w:p>
        </w:tc>
      </w:tr>
      <w:tr w:rsidR="003678E7" w:rsidRPr="003678E7" w14:paraId="6A496702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4C7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C481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EE7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Younger (18-34)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A0C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BFD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9B3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177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34</w:t>
            </w:r>
          </w:p>
        </w:tc>
      </w:tr>
      <w:tr w:rsidR="003678E7" w:rsidRPr="003678E7" w14:paraId="5C510C1F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1ABF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E0BD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7E3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Mid-age (35-54)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A2C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9EF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336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25A6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</w:tr>
      <w:tr w:rsidR="003678E7" w:rsidRPr="003678E7" w14:paraId="0E1F7E8C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AF1A8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57F3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476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54+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2024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DEF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8EE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7C4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31</w:t>
            </w:r>
          </w:p>
        </w:tc>
      </w:tr>
      <w:tr w:rsidR="003678E7" w:rsidRPr="003678E7" w14:paraId="4DA10919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70A9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FF4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1DC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Younger (18-34)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575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A9D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0235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7D2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34</w:t>
            </w:r>
          </w:p>
        </w:tc>
      </w:tr>
      <w:tr w:rsidR="003678E7" w:rsidRPr="003678E7" w14:paraId="1C0B0E93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EC4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45F93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722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Mid-age (35-54)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183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D72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304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4C0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</w:tr>
      <w:tr w:rsidR="003678E7" w:rsidRPr="003678E7" w14:paraId="2FAEF3CC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AE94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52F4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82E4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54+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3A1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9FAF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C4C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F09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30</w:t>
            </w:r>
          </w:p>
        </w:tc>
      </w:tr>
      <w:tr w:rsidR="003678E7" w:rsidRPr="003678E7" w14:paraId="3BA225F2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9C0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Lower risk (X1)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4D8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Children under 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E22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child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B44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BD2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1A98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42B7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65</w:t>
            </w:r>
          </w:p>
        </w:tc>
      </w:tr>
      <w:tr w:rsidR="003678E7" w:rsidRPr="003678E7" w14:paraId="20206F29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688FC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1FDBE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45D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Have children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ADC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B9D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B9E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FD33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35</w:t>
            </w:r>
          </w:p>
        </w:tc>
      </w:tr>
      <w:tr w:rsidR="003678E7" w:rsidRPr="003678E7" w14:paraId="32CBFD79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456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Medium risk (X2)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3204F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4586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child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02D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DD4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907E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F5B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63</w:t>
            </w:r>
          </w:p>
        </w:tc>
      </w:tr>
      <w:tr w:rsidR="003678E7" w:rsidRPr="003678E7" w14:paraId="77BBFD97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7CC12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CA275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4D2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Have children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B0AD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8D79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56B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6D32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37</w:t>
            </w:r>
          </w:p>
        </w:tc>
      </w:tr>
      <w:tr w:rsidR="003678E7" w:rsidRPr="003678E7" w14:paraId="0B382C93" w14:textId="77777777" w:rsidTr="003678E7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6F50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Higher risk (X3)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70171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1A6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No child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B84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CFE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268A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508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62</w:t>
            </w:r>
          </w:p>
        </w:tc>
      </w:tr>
      <w:tr w:rsidR="003678E7" w:rsidRPr="003678E7" w14:paraId="056128C2" w14:textId="77777777" w:rsidTr="003678E7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2B05D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492AA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440B" w14:textId="77777777" w:rsidR="003678E7" w:rsidRPr="003678E7" w:rsidRDefault="003678E7" w:rsidP="003678E7">
            <w:pPr>
              <w:rPr>
                <w:rFonts w:ascii="Garamond" w:hAnsi="Garamond" w:cs="Calibri"/>
                <w:color w:val="000000"/>
              </w:rPr>
            </w:pPr>
            <w:r w:rsidRPr="003678E7">
              <w:rPr>
                <w:rFonts w:ascii="Garamond" w:hAnsi="Garamond" w:cs="Calibri"/>
                <w:color w:val="000000"/>
              </w:rPr>
              <w:t>Have children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545B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F25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A251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D0AC" w14:textId="77777777" w:rsidR="003678E7" w:rsidRPr="003678E7" w:rsidRDefault="003678E7" w:rsidP="003678E7">
            <w:pPr>
              <w:jc w:val="center"/>
              <w:rPr>
                <w:rFonts w:ascii="Garamond" w:hAnsi="Garamond" w:cs="Calibri"/>
                <w:color w:val="010205"/>
              </w:rPr>
            </w:pPr>
            <w:r w:rsidRPr="003678E7">
              <w:rPr>
                <w:rFonts w:ascii="Garamond" w:hAnsi="Garamond" w:cs="Calibri"/>
                <w:color w:val="010205"/>
              </w:rPr>
              <w:t>38</w:t>
            </w:r>
          </w:p>
        </w:tc>
      </w:tr>
    </w:tbl>
    <w:p w14:paraId="57618ACC" w14:textId="45818347" w:rsidR="005242D2" w:rsidRPr="003910DC" w:rsidRDefault="005242D2" w:rsidP="003910DC">
      <w:pPr>
        <w:autoSpaceDE w:val="0"/>
        <w:autoSpaceDN w:val="0"/>
        <w:adjustRightInd w:val="0"/>
        <w:rPr>
          <w:rFonts w:ascii="Garamond" w:hAnsi="Garamond"/>
        </w:rPr>
      </w:pPr>
    </w:p>
    <w:p w14:paraId="6C1E2708" w14:textId="77777777" w:rsidR="00B475E2" w:rsidRDefault="00B475E2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5253D9D9" w14:textId="602AFC4E" w:rsidR="001C300F" w:rsidRPr="003910DC" w:rsidRDefault="001C300F" w:rsidP="003910DC">
      <w:pPr>
        <w:rPr>
          <w:rFonts w:ascii="Garamond" w:hAnsi="Garamond"/>
          <w:b/>
          <w:bCs/>
        </w:rPr>
      </w:pPr>
      <w:r w:rsidRPr="003910DC">
        <w:rPr>
          <w:rFonts w:ascii="Garamond" w:hAnsi="Garamond"/>
          <w:b/>
          <w:bCs/>
        </w:rPr>
        <w:lastRenderedPageBreak/>
        <w:t xml:space="preserve">Table </w:t>
      </w:r>
      <w:r w:rsidR="00766D9D">
        <w:rPr>
          <w:rFonts w:ascii="Garamond" w:hAnsi="Garamond"/>
          <w:b/>
          <w:bCs/>
        </w:rPr>
        <w:t>A</w:t>
      </w:r>
      <w:r w:rsidRPr="003910DC">
        <w:rPr>
          <w:rFonts w:ascii="Garamond" w:hAnsi="Garamond"/>
          <w:b/>
          <w:bCs/>
        </w:rPr>
        <w:t xml:space="preserve">2: Mean variations, standard error of mean, and N, based on the different types of treatments. Total and per country. Four </w:t>
      </w:r>
      <w:r w:rsidRPr="003910DC">
        <w:rPr>
          <w:rFonts w:ascii="Garamond" w:hAnsi="Garamond" w:cs="Arial"/>
          <w:b/>
          <w:bCs/>
          <w:color w:val="000000"/>
        </w:rPr>
        <w:t xml:space="preserve">point Likert scale </w:t>
      </w:r>
      <w:r w:rsidRPr="003910DC">
        <w:rPr>
          <w:rFonts w:ascii="Garamond" w:hAnsi="Garamond" w:cs="Arial"/>
          <w:b/>
          <w:bCs/>
          <w:lang w:eastAsia="nb-NO"/>
        </w:rPr>
        <w:t xml:space="preserve">from Strongly Disagree (1) to Strongly Agree (4).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7"/>
        <w:gridCol w:w="4103"/>
        <w:gridCol w:w="2583"/>
        <w:gridCol w:w="2583"/>
        <w:gridCol w:w="2578"/>
      </w:tblGrid>
      <w:tr w:rsidR="00240F33" w:rsidRPr="00240F33" w14:paraId="5BA49344" w14:textId="77777777" w:rsidTr="004B4386">
        <w:trPr>
          <w:trHeight w:val="700"/>
        </w:trPr>
        <w:tc>
          <w:tcPr>
            <w:tcW w:w="767" w:type="pct"/>
            <w:hideMark/>
          </w:tcPr>
          <w:p w14:paraId="55C70D7B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40F33">
              <w:rPr>
                <w:rFonts w:ascii="Garamond" w:hAnsi="Garamond" w:cs="Calibri"/>
                <w:b/>
                <w:bCs/>
                <w:color w:val="000000"/>
              </w:rPr>
              <w:t>Treatment Groups</w:t>
            </w:r>
          </w:p>
        </w:tc>
        <w:tc>
          <w:tcPr>
            <w:tcW w:w="1466" w:type="pct"/>
            <w:hideMark/>
          </w:tcPr>
          <w:p w14:paraId="505CFC47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40F33">
              <w:rPr>
                <w:rFonts w:ascii="Garamond" w:hAnsi="Garamond" w:cs="Calibri"/>
                <w:b/>
                <w:bCs/>
                <w:color w:val="000000"/>
              </w:rPr>
              <w:t>Assessment Statements</w:t>
            </w:r>
          </w:p>
        </w:tc>
        <w:tc>
          <w:tcPr>
            <w:tcW w:w="923" w:type="pct"/>
            <w:hideMark/>
          </w:tcPr>
          <w:p w14:paraId="1A470C68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40F33">
              <w:rPr>
                <w:rFonts w:ascii="Garamond" w:hAnsi="Garamond" w:cs="Calibri"/>
                <w:b/>
                <w:bCs/>
                <w:color w:val="000000"/>
              </w:rPr>
              <w:t>Total</w:t>
            </w:r>
          </w:p>
        </w:tc>
        <w:tc>
          <w:tcPr>
            <w:tcW w:w="923" w:type="pct"/>
            <w:hideMark/>
          </w:tcPr>
          <w:p w14:paraId="32B3B8BD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40F33">
              <w:rPr>
                <w:rFonts w:ascii="Garamond" w:hAnsi="Garamond" w:cs="Calibri"/>
                <w:b/>
                <w:bCs/>
                <w:color w:val="000000"/>
              </w:rPr>
              <w:t>Norway</w:t>
            </w:r>
          </w:p>
        </w:tc>
        <w:tc>
          <w:tcPr>
            <w:tcW w:w="923" w:type="pct"/>
            <w:hideMark/>
          </w:tcPr>
          <w:p w14:paraId="33C30506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240F33">
              <w:rPr>
                <w:rFonts w:ascii="Garamond" w:hAnsi="Garamond" w:cs="Calibri"/>
                <w:b/>
                <w:bCs/>
                <w:color w:val="000000"/>
              </w:rPr>
              <w:t>USA (California)</w:t>
            </w:r>
          </w:p>
        </w:tc>
      </w:tr>
      <w:tr w:rsidR="00240F33" w:rsidRPr="00240F33" w14:paraId="16789295" w14:textId="77777777" w:rsidTr="004B4386">
        <w:trPr>
          <w:trHeight w:val="320"/>
        </w:trPr>
        <w:tc>
          <w:tcPr>
            <w:tcW w:w="767" w:type="pct"/>
            <w:vMerge w:val="restart"/>
            <w:hideMark/>
          </w:tcPr>
          <w:p w14:paraId="53B27A9C" w14:textId="23538C71" w:rsidR="00240F33" w:rsidRPr="00240F33" w:rsidRDefault="00D52EFA" w:rsidP="00240F3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 w:themeColor="text1"/>
              </w:rPr>
              <w:t>Low risk</w:t>
            </w:r>
            <w:r w:rsidR="0051214D" w:rsidRPr="00551C74">
              <w:rPr>
                <w:rFonts w:ascii="Garamond" w:hAnsi="Garamond" w:cs="Calibri"/>
                <w:color w:val="000000" w:themeColor="text1"/>
              </w:rPr>
              <w:t xml:space="preserve"> (X1)</w:t>
            </w:r>
          </w:p>
        </w:tc>
        <w:tc>
          <w:tcPr>
            <w:tcW w:w="1466" w:type="pct"/>
            <w:vMerge w:val="restart"/>
            <w:hideMark/>
          </w:tcPr>
          <w:p w14:paraId="01168386" w14:textId="77777777" w:rsidR="00240F33" w:rsidRPr="00240F33" w:rsidRDefault="00240F33" w:rsidP="00240F33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Julie should be free to bring her baby home regardless of the social worker’s assessment</w:t>
            </w:r>
          </w:p>
        </w:tc>
        <w:tc>
          <w:tcPr>
            <w:tcW w:w="923" w:type="pct"/>
            <w:hideMark/>
          </w:tcPr>
          <w:p w14:paraId="57C05EC8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1.91</w:t>
            </w:r>
          </w:p>
        </w:tc>
        <w:tc>
          <w:tcPr>
            <w:tcW w:w="923" w:type="pct"/>
            <w:hideMark/>
          </w:tcPr>
          <w:p w14:paraId="0A00F3DB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1.65</w:t>
            </w:r>
          </w:p>
        </w:tc>
        <w:tc>
          <w:tcPr>
            <w:tcW w:w="923" w:type="pct"/>
            <w:hideMark/>
          </w:tcPr>
          <w:p w14:paraId="6197C54A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2.15</w:t>
            </w:r>
          </w:p>
        </w:tc>
      </w:tr>
      <w:tr w:rsidR="00240F33" w:rsidRPr="00240F33" w14:paraId="4557E611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2A9C2AC8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44220D87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696DC9D5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(0.85)</w:t>
            </w:r>
          </w:p>
        </w:tc>
        <w:tc>
          <w:tcPr>
            <w:tcW w:w="923" w:type="pct"/>
            <w:hideMark/>
          </w:tcPr>
          <w:p w14:paraId="33E4EFC2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(0.65)</w:t>
            </w:r>
          </w:p>
        </w:tc>
        <w:tc>
          <w:tcPr>
            <w:tcW w:w="923" w:type="pct"/>
            <w:hideMark/>
          </w:tcPr>
          <w:p w14:paraId="70CEB738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(0.94)</w:t>
            </w:r>
          </w:p>
        </w:tc>
      </w:tr>
      <w:tr w:rsidR="00240F33" w:rsidRPr="00240F33" w14:paraId="6F9F702A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5821E46E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27452A07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236A0EC2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701</w:t>
            </w:r>
          </w:p>
        </w:tc>
        <w:tc>
          <w:tcPr>
            <w:tcW w:w="923" w:type="pct"/>
            <w:hideMark/>
          </w:tcPr>
          <w:p w14:paraId="36C4F581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339</w:t>
            </w:r>
          </w:p>
        </w:tc>
        <w:tc>
          <w:tcPr>
            <w:tcW w:w="923" w:type="pct"/>
            <w:hideMark/>
          </w:tcPr>
          <w:p w14:paraId="3D0B2536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362</w:t>
            </w:r>
          </w:p>
        </w:tc>
      </w:tr>
      <w:tr w:rsidR="00240F33" w:rsidRPr="00240F33" w14:paraId="77A1E94E" w14:textId="77777777" w:rsidTr="004B4386">
        <w:trPr>
          <w:trHeight w:val="320"/>
        </w:trPr>
        <w:tc>
          <w:tcPr>
            <w:tcW w:w="767" w:type="pct"/>
            <w:vMerge/>
            <w:hideMark/>
          </w:tcPr>
          <w:p w14:paraId="529EFC82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 w:val="restart"/>
            <w:hideMark/>
          </w:tcPr>
          <w:p w14:paraId="3849EDCE" w14:textId="77777777" w:rsidR="00240F33" w:rsidRPr="00240F33" w:rsidRDefault="00240F33" w:rsidP="00240F33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The baby should stay with Julie in a supervised setting</w:t>
            </w:r>
          </w:p>
        </w:tc>
        <w:tc>
          <w:tcPr>
            <w:tcW w:w="923" w:type="pct"/>
            <w:hideMark/>
          </w:tcPr>
          <w:p w14:paraId="0734C4DE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3.07</w:t>
            </w:r>
          </w:p>
        </w:tc>
        <w:tc>
          <w:tcPr>
            <w:tcW w:w="923" w:type="pct"/>
            <w:hideMark/>
          </w:tcPr>
          <w:p w14:paraId="0E7121A3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3.28</w:t>
            </w:r>
          </w:p>
        </w:tc>
        <w:tc>
          <w:tcPr>
            <w:tcW w:w="923" w:type="pct"/>
            <w:hideMark/>
          </w:tcPr>
          <w:p w14:paraId="25242B68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2.88</w:t>
            </w:r>
          </w:p>
        </w:tc>
      </w:tr>
      <w:tr w:rsidR="00240F33" w:rsidRPr="00240F33" w14:paraId="64C4D8DA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19803BD7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67846D29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5E5CB7BA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(0.84)</w:t>
            </w:r>
          </w:p>
        </w:tc>
        <w:tc>
          <w:tcPr>
            <w:tcW w:w="923" w:type="pct"/>
            <w:hideMark/>
          </w:tcPr>
          <w:p w14:paraId="260141C0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(0.77)</w:t>
            </w:r>
          </w:p>
        </w:tc>
        <w:tc>
          <w:tcPr>
            <w:tcW w:w="923" w:type="pct"/>
            <w:hideMark/>
          </w:tcPr>
          <w:p w14:paraId="19441ACD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(0.85)</w:t>
            </w:r>
          </w:p>
        </w:tc>
      </w:tr>
      <w:tr w:rsidR="00240F33" w:rsidRPr="00240F33" w14:paraId="3C6A6AAD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6EC00DBE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58DC171A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0E6F1BA3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701</w:t>
            </w:r>
          </w:p>
        </w:tc>
        <w:tc>
          <w:tcPr>
            <w:tcW w:w="923" w:type="pct"/>
            <w:hideMark/>
          </w:tcPr>
          <w:p w14:paraId="5783F1DD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339</w:t>
            </w:r>
          </w:p>
        </w:tc>
        <w:tc>
          <w:tcPr>
            <w:tcW w:w="923" w:type="pct"/>
            <w:hideMark/>
          </w:tcPr>
          <w:p w14:paraId="7BE28738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362</w:t>
            </w:r>
          </w:p>
        </w:tc>
      </w:tr>
      <w:tr w:rsidR="00240F33" w:rsidRPr="00240F33" w14:paraId="611D68C4" w14:textId="77777777" w:rsidTr="004B4386">
        <w:trPr>
          <w:trHeight w:val="320"/>
        </w:trPr>
        <w:tc>
          <w:tcPr>
            <w:tcW w:w="767" w:type="pct"/>
            <w:vMerge/>
            <w:hideMark/>
          </w:tcPr>
          <w:p w14:paraId="598B4816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 w:val="restart"/>
            <w:hideMark/>
          </w:tcPr>
          <w:p w14:paraId="4F595AA5" w14:textId="77777777" w:rsidR="00240F33" w:rsidRPr="00240F33" w:rsidRDefault="00240F33" w:rsidP="00240F33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The baby should be placed in foster care</w:t>
            </w:r>
          </w:p>
        </w:tc>
        <w:tc>
          <w:tcPr>
            <w:tcW w:w="923" w:type="pct"/>
            <w:hideMark/>
          </w:tcPr>
          <w:p w14:paraId="31F73FF0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2.29</w:t>
            </w:r>
          </w:p>
        </w:tc>
        <w:tc>
          <w:tcPr>
            <w:tcW w:w="923" w:type="pct"/>
            <w:hideMark/>
          </w:tcPr>
          <w:p w14:paraId="755CA56A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2.17</w:t>
            </w:r>
          </w:p>
        </w:tc>
        <w:tc>
          <w:tcPr>
            <w:tcW w:w="923" w:type="pct"/>
            <w:hideMark/>
          </w:tcPr>
          <w:p w14:paraId="7E42BB6E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2.40</w:t>
            </w:r>
          </w:p>
        </w:tc>
      </w:tr>
      <w:tr w:rsidR="00240F33" w:rsidRPr="00240F33" w14:paraId="1964DD50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40490025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4B975638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07D386D4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(0.89)</w:t>
            </w:r>
          </w:p>
        </w:tc>
        <w:tc>
          <w:tcPr>
            <w:tcW w:w="923" w:type="pct"/>
            <w:hideMark/>
          </w:tcPr>
          <w:p w14:paraId="58E81661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(0.83)</w:t>
            </w:r>
          </w:p>
        </w:tc>
        <w:tc>
          <w:tcPr>
            <w:tcW w:w="923" w:type="pct"/>
            <w:hideMark/>
          </w:tcPr>
          <w:p w14:paraId="5AAF7D40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(0.93)</w:t>
            </w:r>
          </w:p>
        </w:tc>
      </w:tr>
      <w:tr w:rsidR="00240F33" w:rsidRPr="00240F33" w14:paraId="5494CC05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4D8B1077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6B038D3B" w14:textId="77777777" w:rsidR="00240F33" w:rsidRPr="00240F33" w:rsidRDefault="00240F33" w:rsidP="00240F33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024DEEC6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701</w:t>
            </w:r>
          </w:p>
        </w:tc>
        <w:tc>
          <w:tcPr>
            <w:tcW w:w="923" w:type="pct"/>
            <w:hideMark/>
          </w:tcPr>
          <w:p w14:paraId="02CDC96C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339</w:t>
            </w:r>
          </w:p>
        </w:tc>
        <w:tc>
          <w:tcPr>
            <w:tcW w:w="923" w:type="pct"/>
            <w:hideMark/>
          </w:tcPr>
          <w:p w14:paraId="2BB4DD26" w14:textId="77777777" w:rsidR="00240F33" w:rsidRPr="00240F33" w:rsidRDefault="00240F33" w:rsidP="00240F33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362</w:t>
            </w:r>
          </w:p>
        </w:tc>
      </w:tr>
      <w:tr w:rsidR="0051214D" w:rsidRPr="00240F33" w14:paraId="4F8A7BEF" w14:textId="77777777" w:rsidTr="004B4386">
        <w:trPr>
          <w:trHeight w:val="320"/>
        </w:trPr>
        <w:tc>
          <w:tcPr>
            <w:tcW w:w="767" w:type="pct"/>
            <w:vMerge w:val="restart"/>
            <w:vAlign w:val="center"/>
            <w:hideMark/>
          </w:tcPr>
          <w:p w14:paraId="6B63D07A" w14:textId="55C4482F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  <w:r w:rsidRPr="00551C74">
              <w:rPr>
                <w:rFonts w:ascii="Garamond" w:hAnsi="Garamond" w:cs="Calibri"/>
                <w:color w:val="000000" w:themeColor="text1"/>
              </w:rPr>
              <w:t>Medium risk (X2)</w:t>
            </w:r>
          </w:p>
        </w:tc>
        <w:tc>
          <w:tcPr>
            <w:tcW w:w="1466" w:type="pct"/>
            <w:vMerge w:val="restart"/>
            <w:hideMark/>
          </w:tcPr>
          <w:p w14:paraId="6F41D167" w14:textId="77777777" w:rsidR="0051214D" w:rsidRPr="00240F33" w:rsidRDefault="0051214D" w:rsidP="0051214D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Julie should be free to bring her baby home regardless of the social worker’s assessment</w:t>
            </w:r>
          </w:p>
        </w:tc>
        <w:tc>
          <w:tcPr>
            <w:tcW w:w="923" w:type="pct"/>
            <w:hideMark/>
          </w:tcPr>
          <w:p w14:paraId="4B0B4AA3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1.78</w:t>
            </w:r>
          </w:p>
        </w:tc>
        <w:tc>
          <w:tcPr>
            <w:tcW w:w="923" w:type="pct"/>
            <w:hideMark/>
          </w:tcPr>
          <w:p w14:paraId="0B3B308D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1.60</w:t>
            </w:r>
          </w:p>
        </w:tc>
        <w:tc>
          <w:tcPr>
            <w:tcW w:w="923" w:type="pct"/>
            <w:hideMark/>
          </w:tcPr>
          <w:p w14:paraId="78C242D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1.93</w:t>
            </w:r>
          </w:p>
        </w:tc>
      </w:tr>
      <w:tr w:rsidR="0051214D" w:rsidRPr="00240F33" w14:paraId="2D716CEB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0EC14D3A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28BC75E6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6103CB80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(0.80)</w:t>
            </w:r>
          </w:p>
        </w:tc>
        <w:tc>
          <w:tcPr>
            <w:tcW w:w="923" w:type="pct"/>
            <w:hideMark/>
          </w:tcPr>
          <w:p w14:paraId="69A2CA4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(0.65)</w:t>
            </w:r>
          </w:p>
        </w:tc>
        <w:tc>
          <w:tcPr>
            <w:tcW w:w="923" w:type="pct"/>
            <w:hideMark/>
          </w:tcPr>
          <w:p w14:paraId="2536413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(0.89)</w:t>
            </w:r>
          </w:p>
        </w:tc>
      </w:tr>
      <w:tr w:rsidR="0051214D" w:rsidRPr="00240F33" w14:paraId="489A2CA9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736C5034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1D4DDD1E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4F28960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700</w:t>
            </w:r>
          </w:p>
        </w:tc>
        <w:tc>
          <w:tcPr>
            <w:tcW w:w="923" w:type="pct"/>
            <w:hideMark/>
          </w:tcPr>
          <w:p w14:paraId="63113581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323</w:t>
            </w:r>
          </w:p>
        </w:tc>
        <w:tc>
          <w:tcPr>
            <w:tcW w:w="923" w:type="pct"/>
            <w:hideMark/>
          </w:tcPr>
          <w:p w14:paraId="263E8C54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377</w:t>
            </w:r>
          </w:p>
        </w:tc>
      </w:tr>
      <w:tr w:rsidR="0051214D" w:rsidRPr="00240F33" w14:paraId="70EBEBCB" w14:textId="77777777" w:rsidTr="004B4386">
        <w:trPr>
          <w:trHeight w:val="320"/>
        </w:trPr>
        <w:tc>
          <w:tcPr>
            <w:tcW w:w="767" w:type="pct"/>
            <w:vMerge/>
            <w:hideMark/>
          </w:tcPr>
          <w:p w14:paraId="5DB0276F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 w:val="restart"/>
            <w:hideMark/>
          </w:tcPr>
          <w:p w14:paraId="49E5B792" w14:textId="77777777" w:rsidR="0051214D" w:rsidRPr="00240F33" w:rsidRDefault="0051214D" w:rsidP="0051214D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The baby should stay with Julie in a supervised setting</w:t>
            </w:r>
          </w:p>
        </w:tc>
        <w:tc>
          <w:tcPr>
            <w:tcW w:w="923" w:type="pct"/>
            <w:hideMark/>
          </w:tcPr>
          <w:p w14:paraId="0CC04B9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3.02</w:t>
            </w:r>
          </w:p>
        </w:tc>
        <w:tc>
          <w:tcPr>
            <w:tcW w:w="923" w:type="pct"/>
            <w:hideMark/>
          </w:tcPr>
          <w:p w14:paraId="482164E8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3.20</w:t>
            </w:r>
          </w:p>
        </w:tc>
        <w:tc>
          <w:tcPr>
            <w:tcW w:w="923" w:type="pct"/>
            <w:hideMark/>
          </w:tcPr>
          <w:p w14:paraId="4428EBD4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2.86</w:t>
            </w:r>
          </w:p>
        </w:tc>
      </w:tr>
      <w:tr w:rsidR="0051214D" w:rsidRPr="00240F33" w14:paraId="7FFFB4C6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25C1CB66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16A4DD40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4DC8A7E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(0.82)</w:t>
            </w:r>
          </w:p>
        </w:tc>
        <w:tc>
          <w:tcPr>
            <w:tcW w:w="923" w:type="pct"/>
            <w:hideMark/>
          </w:tcPr>
          <w:p w14:paraId="25DD557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(0.79)</w:t>
            </w:r>
          </w:p>
        </w:tc>
        <w:tc>
          <w:tcPr>
            <w:tcW w:w="923" w:type="pct"/>
            <w:hideMark/>
          </w:tcPr>
          <w:p w14:paraId="37242081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(0.82)</w:t>
            </w:r>
          </w:p>
        </w:tc>
      </w:tr>
      <w:tr w:rsidR="0051214D" w:rsidRPr="00240F33" w14:paraId="7D38C261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0FC70DD0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62699E08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08E07EF6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700</w:t>
            </w:r>
          </w:p>
        </w:tc>
        <w:tc>
          <w:tcPr>
            <w:tcW w:w="923" w:type="pct"/>
            <w:hideMark/>
          </w:tcPr>
          <w:p w14:paraId="277365FB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323</w:t>
            </w:r>
          </w:p>
        </w:tc>
        <w:tc>
          <w:tcPr>
            <w:tcW w:w="923" w:type="pct"/>
            <w:hideMark/>
          </w:tcPr>
          <w:p w14:paraId="111C140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377</w:t>
            </w:r>
          </w:p>
        </w:tc>
      </w:tr>
      <w:tr w:rsidR="0051214D" w:rsidRPr="00240F33" w14:paraId="0B0E781A" w14:textId="77777777" w:rsidTr="004B4386">
        <w:trPr>
          <w:trHeight w:val="320"/>
        </w:trPr>
        <w:tc>
          <w:tcPr>
            <w:tcW w:w="767" w:type="pct"/>
            <w:vMerge/>
            <w:hideMark/>
          </w:tcPr>
          <w:p w14:paraId="0585F6C8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 w:val="restart"/>
            <w:hideMark/>
          </w:tcPr>
          <w:p w14:paraId="7F590DBA" w14:textId="77777777" w:rsidR="0051214D" w:rsidRPr="00240F33" w:rsidRDefault="0051214D" w:rsidP="0051214D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The baby should be placed in foster care</w:t>
            </w:r>
          </w:p>
        </w:tc>
        <w:tc>
          <w:tcPr>
            <w:tcW w:w="923" w:type="pct"/>
            <w:hideMark/>
          </w:tcPr>
          <w:p w14:paraId="167085D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2.41</w:t>
            </w:r>
          </w:p>
        </w:tc>
        <w:tc>
          <w:tcPr>
            <w:tcW w:w="923" w:type="pct"/>
            <w:hideMark/>
          </w:tcPr>
          <w:p w14:paraId="75CA7678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2.40</w:t>
            </w:r>
          </w:p>
        </w:tc>
        <w:tc>
          <w:tcPr>
            <w:tcW w:w="923" w:type="pct"/>
            <w:hideMark/>
          </w:tcPr>
          <w:p w14:paraId="732FC7B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2.43</w:t>
            </w:r>
          </w:p>
        </w:tc>
      </w:tr>
      <w:tr w:rsidR="0051214D" w:rsidRPr="00240F33" w14:paraId="37E0F7E3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45223A36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4D200F5F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61FA7C9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(0.86)</w:t>
            </w:r>
          </w:p>
        </w:tc>
        <w:tc>
          <w:tcPr>
            <w:tcW w:w="923" w:type="pct"/>
            <w:hideMark/>
          </w:tcPr>
          <w:p w14:paraId="618B695A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(0.87)</w:t>
            </w:r>
          </w:p>
        </w:tc>
        <w:tc>
          <w:tcPr>
            <w:tcW w:w="923" w:type="pct"/>
            <w:hideMark/>
          </w:tcPr>
          <w:p w14:paraId="3C558520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(0.86)</w:t>
            </w:r>
          </w:p>
        </w:tc>
      </w:tr>
      <w:tr w:rsidR="0051214D" w:rsidRPr="00240F33" w14:paraId="6B690CE0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4C92A272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306EC73B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24DDF7C7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700</w:t>
            </w:r>
          </w:p>
        </w:tc>
        <w:tc>
          <w:tcPr>
            <w:tcW w:w="923" w:type="pct"/>
            <w:hideMark/>
          </w:tcPr>
          <w:p w14:paraId="727762D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323</w:t>
            </w:r>
          </w:p>
        </w:tc>
        <w:tc>
          <w:tcPr>
            <w:tcW w:w="923" w:type="pct"/>
            <w:hideMark/>
          </w:tcPr>
          <w:p w14:paraId="69187C6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377</w:t>
            </w:r>
          </w:p>
        </w:tc>
      </w:tr>
      <w:tr w:rsidR="0051214D" w:rsidRPr="00240F33" w14:paraId="315EE67D" w14:textId="77777777" w:rsidTr="004B4386">
        <w:trPr>
          <w:trHeight w:val="320"/>
        </w:trPr>
        <w:tc>
          <w:tcPr>
            <w:tcW w:w="767" w:type="pct"/>
            <w:vMerge w:val="restart"/>
            <w:vAlign w:val="center"/>
            <w:hideMark/>
          </w:tcPr>
          <w:p w14:paraId="381FD394" w14:textId="28FE5C26" w:rsidR="0051214D" w:rsidRPr="00240F33" w:rsidRDefault="00D52EFA" w:rsidP="0051214D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 w:themeColor="text1"/>
              </w:rPr>
              <w:t>High risk (X3)</w:t>
            </w:r>
          </w:p>
        </w:tc>
        <w:tc>
          <w:tcPr>
            <w:tcW w:w="1466" w:type="pct"/>
            <w:vMerge w:val="restart"/>
            <w:hideMark/>
          </w:tcPr>
          <w:p w14:paraId="3804A550" w14:textId="77777777" w:rsidR="0051214D" w:rsidRPr="00240F33" w:rsidRDefault="0051214D" w:rsidP="0051214D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Julie should be free to bring her baby home regardless of the social worker’s assessment</w:t>
            </w:r>
          </w:p>
        </w:tc>
        <w:tc>
          <w:tcPr>
            <w:tcW w:w="923" w:type="pct"/>
            <w:hideMark/>
          </w:tcPr>
          <w:p w14:paraId="2546D20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1.67</w:t>
            </w:r>
          </w:p>
        </w:tc>
        <w:tc>
          <w:tcPr>
            <w:tcW w:w="923" w:type="pct"/>
            <w:hideMark/>
          </w:tcPr>
          <w:p w14:paraId="28F3C92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1.49</w:t>
            </w:r>
          </w:p>
        </w:tc>
        <w:tc>
          <w:tcPr>
            <w:tcW w:w="923" w:type="pct"/>
            <w:hideMark/>
          </w:tcPr>
          <w:p w14:paraId="2B77E37C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1.85</w:t>
            </w:r>
          </w:p>
        </w:tc>
      </w:tr>
      <w:tr w:rsidR="0051214D" w:rsidRPr="00240F33" w14:paraId="4474ECA6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20BD061B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0E9FF23C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291C92A8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(0.78)</w:t>
            </w:r>
          </w:p>
        </w:tc>
        <w:tc>
          <w:tcPr>
            <w:tcW w:w="923" w:type="pct"/>
            <w:hideMark/>
          </w:tcPr>
          <w:p w14:paraId="48330CF9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(0.61)</w:t>
            </w:r>
          </w:p>
        </w:tc>
        <w:tc>
          <w:tcPr>
            <w:tcW w:w="923" w:type="pct"/>
            <w:hideMark/>
          </w:tcPr>
          <w:p w14:paraId="69859368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(0.89)</w:t>
            </w:r>
          </w:p>
        </w:tc>
      </w:tr>
      <w:tr w:rsidR="0051214D" w:rsidRPr="00240F33" w14:paraId="580CDB2F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54A77D69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38830E92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16D2C05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747</w:t>
            </w:r>
          </w:p>
        </w:tc>
        <w:tc>
          <w:tcPr>
            <w:tcW w:w="923" w:type="pct"/>
            <w:hideMark/>
          </w:tcPr>
          <w:p w14:paraId="2E28D5FE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369</w:t>
            </w:r>
          </w:p>
        </w:tc>
        <w:tc>
          <w:tcPr>
            <w:tcW w:w="923" w:type="pct"/>
            <w:hideMark/>
          </w:tcPr>
          <w:p w14:paraId="6FA640B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378</w:t>
            </w:r>
          </w:p>
        </w:tc>
      </w:tr>
      <w:tr w:rsidR="0051214D" w:rsidRPr="00240F33" w14:paraId="42F51376" w14:textId="77777777" w:rsidTr="004B4386">
        <w:trPr>
          <w:trHeight w:val="320"/>
        </w:trPr>
        <w:tc>
          <w:tcPr>
            <w:tcW w:w="767" w:type="pct"/>
            <w:vMerge/>
            <w:hideMark/>
          </w:tcPr>
          <w:p w14:paraId="004170EC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 w:val="restart"/>
            <w:hideMark/>
          </w:tcPr>
          <w:p w14:paraId="6995AEDA" w14:textId="77777777" w:rsidR="0051214D" w:rsidRPr="00240F33" w:rsidRDefault="0051214D" w:rsidP="0051214D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The baby should stay with Julie in a supervised setting</w:t>
            </w:r>
          </w:p>
        </w:tc>
        <w:tc>
          <w:tcPr>
            <w:tcW w:w="923" w:type="pct"/>
            <w:hideMark/>
          </w:tcPr>
          <w:p w14:paraId="2E61C5FA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2.93</w:t>
            </w:r>
          </w:p>
        </w:tc>
        <w:tc>
          <w:tcPr>
            <w:tcW w:w="923" w:type="pct"/>
            <w:hideMark/>
          </w:tcPr>
          <w:p w14:paraId="77F4D571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3.09</w:t>
            </w:r>
          </w:p>
        </w:tc>
        <w:tc>
          <w:tcPr>
            <w:tcW w:w="923" w:type="pct"/>
            <w:hideMark/>
          </w:tcPr>
          <w:p w14:paraId="06AD5726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2.77</w:t>
            </w:r>
          </w:p>
        </w:tc>
      </w:tr>
      <w:tr w:rsidR="0051214D" w:rsidRPr="00240F33" w14:paraId="602596C3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4EF87AB8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2D88D16B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74D6B0E9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(0.84)</w:t>
            </w:r>
          </w:p>
        </w:tc>
        <w:tc>
          <w:tcPr>
            <w:tcW w:w="923" w:type="pct"/>
            <w:hideMark/>
          </w:tcPr>
          <w:p w14:paraId="6B4DDFF1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(0.82)</w:t>
            </w:r>
          </w:p>
        </w:tc>
        <w:tc>
          <w:tcPr>
            <w:tcW w:w="923" w:type="pct"/>
            <w:hideMark/>
          </w:tcPr>
          <w:p w14:paraId="2594FFC9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(0.84)</w:t>
            </w:r>
          </w:p>
        </w:tc>
      </w:tr>
      <w:tr w:rsidR="0051214D" w:rsidRPr="00240F33" w14:paraId="35EDD619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1D15A164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61DD380B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7EBBD91B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747</w:t>
            </w:r>
          </w:p>
        </w:tc>
        <w:tc>
          <w:tcPr>
            <w:tcW w:w="923" w:type="pct"/>
            <w:hideMark/>
          </w:tcPr>
          <w:p w14:paraId="0784DC38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369</w:t>
            </w:r>
          </w:p>
        </w:tc>
        <w:tc>
          <w:tcPr>
            <w:tcW w:w="923" w:type="pct"/>
            <w:hideMark/>
          </w:tcPr>
          <w:p w14:paraId="0F010A1E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378</w:t>
            </w:r>
          </w:p>
        </w:tc>
      </w:tr>
      <w:tr w:rsidR="0051214D" w:rsidRPr="00240F33" w14:paraId="346DDE12" w14:textId="77777777" w:rsidTr="004B4386">
        <w:trPr>
          <w:trHeight w:val="320"/>
        </w:trPr>
        <w:tc>
          <w:tcPr>
            <w:tcW w:w="767" w:type="pct"/>
            <w:vMerge/>
            <w:hideMark/>
          </w:tcPr>
          <w:p w14:paraId="003B5594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 w:val="restart"/>
            <w:hideMark/>
          </w:tcPr>
          <w:p w14:paraId="7F4EAFBB" w14:textId="77777777" w:rsidR="0051214D" w:rsidRPr="00240F33" w:rsidRDefault="0051214D" w:rsidP="0051214D">
            <w:pPr>
              <w:jc w:val="both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The baby should be placed in foster care</w:t>
            </w:r>
          </w:p>
        </w:tc>
        <w:tc>
          <w:tcPr>
            <w:tcW w:w="923" w:type="pct"/>
            <w:hideMark/>
          </w:tcPr>
          <w:p w14:paraId="08B8962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2.50</w:t>
            </w:r>
          </w:p>
        </w:tc>
        <w:tc>
          <w:tcPr>
            <w:tcW w:w="923" w:type="pct"/>
            <w:hideMark/>
          </w:tcPr>
          <w:p w14:paraId="2C64B906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2.39</w:t>
            </w:r>
          </w:p>
        </w:tc>
        <w:tc>
          <w:tcPr>
            <w:tcW w:w="923" w:type="pct"/>
            <w:hideMark/>
          </w:tcPr>
          <w:p w14:paraId="2F1ADBC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2.60</w:t>
            </w:r>
          </w:p>
        </w:tc>
      </w:tr>
      <w:tr w:rsidR="0051214D" w:rsidRPr="00240F33" w14:paraId="0BEC7EF0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75ED39A5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28C9585E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4F4FD781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(0.87)</w:t>
            </w:r>
          </w:p>
        </w:tc>
        <w:tc>
          <w:tcPr>
            <w:tcW w:w="923" w:type="pct"/>
            <w:hideMark/>
          </w:tcPr>
          <w:p w14:paraId="450B4309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(0.87)</w:t>
            </w:r>
          </w:p>
        </w:tc>
        <w:tc>
          <w:tcPr>
            <w:tcW w:w="923" w:type="pct"/>
            <w:hideMark/>
          </w:tcPr>
          <w:p w14:paraId="5C177B92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(0.85)</w:t>
            </w:r>
          </w:p>
        </w:tc>
      </w:tr>
      <w:tr w:rsidR="0051214D" w:rsidRPr="00240F33" w14:paraId="539C1A9F" w14:textId="77777777" w:rsidTr="004B4386">
        <w:trPr>
          <w:trHeight w:val="340"/>
        </w:trPr>
        <w:tc>
          <w:tcPr>
            <w:tcW w:w="767" w:type="pct"/>
            <w:vMerge/>
            <w:hideMark/>
          </w:tcPr>
          <w:p w14:paraId="0ACE6A13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466" w:type="pct"/>
            <w:vMerge/>
            <w:hideMark/>
          </w:tcPr>
          <w:p w14:paraId="2BC806D0" w14:textId="77777777" w:rsidR="0051214D" w:rsidRPr="00240F33" w:rsidRDefault="0051214D" w:rsidP="0051214D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923" w:type="pct"/>
            <w:hideMark/>
          </w:tcPr>
          <w:p w14:paraId="33BA1DF9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747</w:t>
            </w:r>
          </w:p>
        </w:tc>
        <w:tc>
          <w:tcPr>
            <w:tcW w:w="923" w:type="pct"/>
            <w:hideMark/>
          </w:tcPr>
          <w:p w14:paraId="061CAD1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369</w:t>
            </w:r>
          </w:p>
        </w:tc>
        <w:tc>
          <w:tcPr>
            <w:tcW w:w="923" w:type="pct"/>
            <w:hideMark/>
          </w:tcPr>
          <w:p w14:paraId="1528A705" w14:textId="77777777" w:rsidR="0051214D" w:rsidRPr="00240F33" w:rsidRDefault="0051214D" w:rsidP="0051214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0F33">
              <w:rPr>
                <w:rFonts w:ascii="Garamond" w:hAnsi="Garamond" w:cs="Calibri"/>
                <w:color w:val="000000"/>
              </w:rPr>
              <w:t>378</w:t>
            </w:r>
          </w:p>
        </w:tc>
      </w:tr>
    </w:tbl>
    <w:p w14:paraId="1870D4D0" w14:textId="77777777" w:rsidR="001C300F" w:rsidRPr="003910DC" w:rsidRDefault="001C300F" w:rsidP="003910DC">
      <w:pPr>
        <w:rPr>
          <w:rFonts w:ascii="Garamond" w:hAnsi="Garamond"/>
        </w:rPr>
      </w:pPr>
    </w:p>
    <w:p w14:paraId="484940AE" w14:textId="77777777" w:rsidR="00B475E2" w:rsidRDefault="00B475E2">
      <w:pPr>
        <w:spacing w:after="160" w:line="259" w:lineRule="auto"/>
        <w:rPr>
          <w:rFonts w:ascii="Garamond" w:hAnsi="Garamond"/>
          <w:b/>
          <w:color w:val="010205"/>
        </w:rPr>
      </w:pPr>
      <w:r>
        <w:rPr>
          <w:rFonts w:ascii="Garamond" w:hAnsi="Garamond"/>
          <w:b/>
          <w:color w:val="010205"/>
        </w:rPr>
        <w:br w:type="page"/>
      </w:r>
    </w:p>
    <w:p w14:paraId="31E57BF6" w14:textId="5BCC50EB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  <w:b/>
        </w:rPr>
      </w:pPr>
      <w:r w:rsidRPr="003910DC">
        <w:rPr>
          <w:rFonts w:ascii="Garamond" w:hAnsi="Garamond"/>
          <w:b/>
          <w:color w:val="010205"/>
        </w:rPr>
        <w:lastRenderedPageBreak/>
        <w:t xml:space="preserve">Table </w:t>
      </w:r>
      <w:r w:rsidR="00766D9D">
        <w:rPr>
          <w:rFonts w:ascii="Garamond" w:hAnsi="Garamond"/>
          <w:b/>
          <w:color w:val="010205"/>
        </w:rPr>
        <w:t>A</w:t>
      </w:r>
      <w:r w:rsidRPr="003910DC">
        <w:rPr>
          <w:rFonts w:ascii="Garamond" w:hAnsi="Garamond"/>
          <w:b/>
          <w:color w:val="010205"/>
        </w:rPr>
        <w:t>3: Descriptive statistics on the statement</w:t>
      </w:r>
      <w:r w:rsidR="00766D9D">
        <w:rPr>
          <w:rFonts w:ascii="Garamond" w:hAnsi="Garamond"/>
          <w:b/>
          <w:color w:val="010205"/>
        </w:rPr>
        <w:t xml:space="preserve">: </w:t>
      </w:r>
      <w:r w:rsidRPr="003910DC">
        <w:rPr>
          <w:rFonts w:ascii="Garamond" w:hAnsi="Garamond"/>
          <w:b/>
          <w:color w:val="010205"/>
        </w:rPr>
        <w:t xml:space="preserve">“Julie should be free to bring her baby home regardless of the social worker’s assessment” </w:t>
      </w:r>
      <w:r w:rsidR="00766D9D">
        <w:rPr>
          <w:rFonts w:ascii="Garamond" w:hAnsi="Garamond"/>
          <w:b/>
          <w:color w:val="010205"/>
        </w:rPr>
        <w:t xml:space="preserve">by </w:t>
      </w:r>
      <w:r w:rsidRPr="003910DC">
        <w:rPr>
          <w:rFonts w:ascii="Garamond" w:hAnsi="Garamond"/>
          <w:b/>
          <w:color w:val="010205"/>
        </w:rPr>
        <w:t>treatment scenario</w:t>
      </w:r>
    </w:p>
    <w:p w14:paraId="4BD15665" w14:textId="77777777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927"/>
        <w:gridCol w:w="928"/>
        <w:gridCol w:w="927"/>
        <w:gridCol w:w="928"/>
        <w:gridCol w:w="927"/>
        <w:gridCol w:w="928"/>
      </w:tblGrid>
      <w:tr w:rsidR="00C96874" w:rsidRPr="003910DC" w14:paraId="19BFB2D5" w14:textId="77777777" w:rsidTr="000276CB">
        <w:trPr>
          <w:cantSplit/>
          <w:trHeight w:val="3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8EC4C3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Treatment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34A68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Response category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6AE687D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Total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28F6901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Norway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6035AD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USA</w:t>
            </w:r>
          </w:p>
        </w:tc>
      </w:tr>
      <w:tr w:rsidR="00C96874" w:rsidRPr="003910DC" w14:paraId="6B39A13E" w14:textId="77777777" w:rsidTr="000276CB">
        <w:trPr>
          <w:cantSplit/>
          <w:trHeight w:val="347"/>
        </w:trPr>
        <w:tc>
          <w:tcPr>
            <w:tcW w:w="1980" w:type="dxa"/>
            <w:vMerge/>
            <w:shd w:val="clear" w:color="auto" w:fill="auto"/>
          </w:tcPr>
          <w:p w14:paraId="6A3C63F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D45C6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b/>
                <w:color w:val="000000" w:themeColor="text1"/>
              </w:rPr>
            </w:pPr>
          </w:p>
        </w:tc>
        <w:tc>
          <w:tcPr>
            <w:tcW w:w="927" w:type="dxa"/>
            <w:shd w:val="clear" w:color="auto" w:fill="auto"/>
          </w:tcPr>
          <w:p w14:paraId="52EA2C3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7CB0294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14:paraId="0D2C721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7D20D7F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14:paraId="7009AD6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3E4EAC6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</w:tr>
      <w:tr w:rsidR="00C96874" w:rsidRPr="003910DC" w14:paraId="35B19BB9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CEBCAF3" w14:textId="5189F35A" w:rsidR="00467071" w:rsidRPr="003910DC" w:rsidRDefault="00D52EFA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Low risk</w:t>
            </w:r>
            <w:r w:rsidR="00467071" w:rsidRPr="003910DC">
              <w:rPr>
                <w:rFonts w:ascii="Garamond" w:hAnsi="Garamond" w:cs="Arial"/>
                <w:color w:val="000000" w:themeColor="text1"/>
              </w:rPr>
              <w:t xml:space="preserve"> (X1)</w:t>
            </w:r>
          </w:p>
        </w:tc>
        <w:tc>
          <w:tcPr>
            <w:tcW w:w="2410" w:type="dxa"/>
            <w:shd w:val="clear" w:color="auto" w:fill="auto"/>
          </w:tcPr>
          <w:p w14:paraId="1CD596D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490838F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566</w:t>
            </w:r>
          </w:p>
        </w:tc>
        <w:tc>
          <w:tcPr>
            <w:tcW w:w="928" w:type="dxa"/>
          </w:tcPr>
          <w:p w14:paraId="5B7DBEBB" w14:textId="77777777" w:rsidR="00467071" w:rsidRPr="003910DC" w:rsidRDefault="00467071" w:rsidP="003910DC">
            <w:pPr>
              <w:tabs>
                <w:tab w:val="left" w:pos="495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80.7</w:t>
            </w:r>
          </w:p>
        </w:tc>
        <w:tc>
          <w:tcPr>
            <w:tcW w:w="927" w:type="dxa"/>
          </w:tcPr>
          <w:p w14:paraId="020B00D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311</w:t>
            </w:r>
          </w:p>
        </w:tc>
        <w:tc>
          <w:tcPr>
            <w:tcW w:w="928" w:type="dxa"/>
          </w:tcPr>
          <w:p w14:paraId="7B2B5FE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91.7</w:t>
            </w:r>
          </w:p>
        </w:tc>
        <w:tc>
          <w:tcPr>
            <w:tcW w:w="927" w:type="dxa"/>
          </w:tcPr>
          <w:p w14:paraId="4A0B75D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255</w:t>
            </w:r>
          </w:p>
        </w:tc>
        <w:tc>
          <w:tcPr>
            <w:tcW w:w="928" w:type="dxa"/>
          </w:tcPr>
          <w:p w14:paraId="34B598BF" w14:textId="77777777" w:rsidR="00467071" w:rsidRPr="003910DC" w:rsidRDefault="00467071" w:rsidP="003910DC">
            <w:pPr>
              <w:tabs>
                <w:tab w:val="left" w:pos="615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70.4</w:t>
            </w:r>
          </w:p>
        </w:tc>
      </w:tr>
      <w:tr w:rsidR="00C96874" w:rsidRPr="003910DC" w14:paraId="1CD991DD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79AFD4DB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985CEC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4D5B17B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135</w:t>
            </w:r>
          </w:p>
        </w:tc>
        <w:tc>
          <w:tcPr>
            <w:tcW w:w="928" w:type="dxa"/>
          </w:tcPr>
          <w:p w14:paraId="3AA8A1E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19.3</w:t>
            </w:r>
          </w:p>
        </w:tc>
        <w:tc>
          <w:tcPr>
            <w:tcW w:w="927" w:type="dxa"/>
          </w:tcPr>
          <w:p w14:paraId="7257715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28</w:t>
            </w:r>
          </w:p>
        </w:tc>
        <w:tc>
          <w:tcPr>
            <w:tcW w:w="928" w:type="dxa"/>
          </w:tcPr>
          <w:p w14:paraId="1FA3AAF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8.3</w:t>
            </w:r>
          </w:p>
        </w:tc>
        <w:tc>
          <w:tcPr>
            <w:tcW w:w="927" w:type="dxa"/>
          </w:tcPr>
          <w:p w14:paraId="64E36EF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107</w:t>
            </w:r>
          </w:p>
        </w:tc>
        <w:tc>
          <w:tcPr>
            <w:tcW w:w="928" w:type="dxa"/>
          </w:tcPr>
          <w:p w14:paraId="04250FB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29.6</w:t>
            </w:r>
          </w:p>
        </w:tc>
      </w:tr>
      <w:tr w:rsidR="00C96874" w:rsidRPr="003910DC" w14:paraId="7751D7A6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61BD9AB5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1E5004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0948543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701</w:t>
            </w:r>
          </w:p>
        </w:tc>
        <w:tc>
          <w:tcPr>
            <w:tcW w:w="928" w:type="dxa"/>
          </w:tcPr>
          <w:p w14:paraId="36D2E90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54430D8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339</w:t>
            </w:r>
          </w:p>
        </w:tc>
        <w:tc>
          <w:tcPr>
            <w:tcW w:w="928" w:type="dxa"/>
          </w:tcPr>
          <w:p w14:paraId="2B6AFFA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42DDD2E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362</w:t>
            </w:r>
          </w:p>
        </w:tc>
        <w:tc>
          <w:tcPr>
            <w:tcW w:w="928" w:type="dxa"/>
          </w:tcPr>
          <w:p w14:paraId="52F0B4B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  <w:tr w:rsidR="00C96874" w:rsidRPr="003910DC" w14:paraId="4F47EEA1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9CAEF3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Medium risk (X2)</w:t>
            </w:r>
          </w:p>
        </w:tc>
        <w:tc>
          <w:tcPr>
            <w:tcW w:w="2410" w:type="dxa"/>
            <w:shd w:val="clear" w:color="auto" w:fill="auto"/>
          </w:tcPr>
          <w:p w14:paraId="1948112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7CC809B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593</w:t>
            </w:r>
          </w:p>
        </w:tc>
        <w:tc>
          <w:tcPr>
            <w:tcW w:w="928" w:type="dxa"/>
          </w:tcPr>
          <w:p w14:paraId="212ABDC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84.7</w:t>
            </w:r>
          </w:p>
        </w:tc>
        <w:tc>
          <w:tcPr>
            <w:tcW w:w="927" w:type="dxa"/>
          </w:tcPr>
          <w:p w14:paraId="7FBF499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299</w:t>
            </w:r>
          </w:p>
        </w:tc>
        <w:tc>
          <w:tcPr>
            <w:tcW w:w="928" w:type="dxa"/>
          </w:tcPr>
          <w:p w14:paraId="68771EF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92.6</w:t>
            </w:r>
          </w:p>
        </w:tc>
        <w:tc>
          <w:tcPr>
            <w:tcW w:w="927" w:type="dxa"/>
          </w:tcPr>
          <w:p w14:paraId="3CEACB6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294</w:t>
            </w:r>
          </w:p>
        </w:tc>
        <w:tc>
          <w:tcPr>
            <w:tcW w:w="928" w:type="dxa"/>
          </w:tcPr>
          <w:p w14:paraId="168A360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78.0</w:t>
            </w:r>
          </w:p>
        </w:tc>
      </w:tr>
      <w:tr w:rsidR="00C96874" w:rsidRPr="003910DC" w14:paraId="45D4C2A9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159A7DE4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2DC60C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3B79A10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107</w:t>
            </w:r>
          </w:p>
        </w:tc>
        <w:tc>
          <w:tcPr>
            <w:tcW w:w="928" w:type="dxa"/>
          </w:tcPr>
          <w:p w14:paraId="4423C1F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15.3</w:t>
            </w:r>
          </w:p>
        </w:tc>
        <w:tc>
          <w:tcPr>
            <w:tcW w:w="927" w:type="dxa"/>
          </w:tcPr>
          <w:p w14:paraId="2AD4151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24</w:t>
            </w:r>
          </w:p>
        </w:tc>
        <w:tc>
          <w:tcPr>
            <w:tcW w:w="928" w:type="dxa"/>
          </w:tcPr>
          <w:p w14:paraId="2538F0D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7.4</w:t>
            </w:r>
          </w:p>
        </w:tc>
        <w:tc>
          <w:tcPr>
            <w:tcW w:w="927" w:type="dxa"/>
          </w:tcPr>
          <w:p w14:paraId="147C1C6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83</w:t>
            </w:r>
          </w:p>
        </w:tc>
        <w:tc>
          <w:tcPr>
            <w:tcW w:w="928" w:type="dxa"/>
          </w:tcPr>
          <w:p w14:paraId="785A936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22.0</w:t>
            </w:r>
          </w:p>
        </w:tc>
      </w:tr>
      <w:tr w:rsidR="00C96874" w:rsidRPr="003910DC" w14:paraId="72DCCD5F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0E3C9FBE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6C9076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292DC9E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700</w:t>
            </w:r>
          </w:p>
        </w:tc>
        <w:tc>
          <w:tcPr>
            <w:tcW w:w="928" w:type="dxa"/>
          </w:tcPr>
          <w:p w14:paraId="5CA80B7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35CDD9C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323</w:t>
            </w:r>
          </w:p>
        </w:tc>
        <w:tc>
          <w:tcPr>
            <w:tcW w:w="928" w:type="dxa"/>
          </w:tcPr>
          <w:p w14:paraId="3528B4E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75B10DA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377</w:t>
            </w:r>
          </w:p>
        </w:tc>
        <w:tc>
          <w:tcPr>
            <w:tcW w:w="928" w:type="dxa"/>
          </w:tcPr>
          <w:p w14:paraId="2465DD0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  <w:tr w:rsidR="00C96874" w:rsidRPr="003910DC" w14:paraId="5C13035A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BBFBD6F" w14:textId="05C052DF" w:rsidR="00467071" w:rsidRPr="003910DC" w:rsidRDefault="00D52EFA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High risk (X3)</w:t>
            </w:r>
          </w:p>
        </w:tc>
        <w:tc>
          <w:tcPr>
            <w:tcW w:w="2410" w:type="dxa"/>
            <w:shd w:val="clear" w:color="auto" w:fill="auto"/>
          </w:tcPr>
          <w:p w14:paraId="25D311F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2D65AF0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654</w:t>
            </w:r>
          </w:p>
        </w:tc>
        <w:tc>
          <w:tcPr>
            <w:tcW w:w="928" w:type="dxa"/>
          </w:tcPr>
          <w:p w14:paraId="30F8D8D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87.6</w:t>
            </w:r>
          </w:p>
        </w:tc>
        <w:tc>
          <w:tcPr>
            <w:tcW w:w="927" w:type="dxa"/>
          </w:tcPr>
          <w:p w14:paraId="55A3918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351</w:t>
            </w:r>
          </w:p>
        </w:tc>
        <w:tc>
          <w:tcPr>
            <w:tcW w:w="928" w:type="dxa"/>
          </w:tcPr>
          <w:p w14:paraId="7F122D8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95.1</w:t>
            </w:r>
          </w:p>
        </w:tc>
        <w:tc>
          <w:tcPr>
            <w:tcW w:w="927" w:type="dxa"/>
          </w:tcPr>
          <w:p w14:paraId="77694CD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303</w:t>
            </w:r>
          </w:p>
        </w:tc>
        <w:tc>
          <w:tcPr>
            <w:tcW w:w="928" w:type="dxa"/>
          </w:tcPr>
          <w:p w14:paraId="1DB5A1F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80.2</w:t>
            </w:r>
          </w:p>
        </w:tc>
      </w:tr>
      <w:tr w:rsidR="00C96874" w:rsidRPr="003910DC" w14:paraId="69B88496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</w:tcPr>
          <w:p w14:paraId="60747B3F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FA8FAC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40A9646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93</w:t>
            </w:r>
          </w:p>
        </w:tc>
        <w:tc>
          <w:tcPr>
            <w:tcW w:w="928" w:type="dxa"/>
          </w:tcPr>
          <w:p w14:paraId="3D7EBC6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12.4</w:t>
            </w:r>
          </w:p>
        </w:tc>
        <w:tc>
          <w:tcPr>
            <w:tcW w:w="927" w:type="dxa"/>
          </w:tcPr>
          <w:p w14:paraId="420DCF1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18</w:t>
            </w:r>
          </w:p>
        </w:tc>
        <w:tc>
          <w:tcPr>
            <w:tcW w:w="928" w:type="dxa"/>
          </w:tcPr>
          <w:p w14:paraId="26CDCCB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4.9</w:t>
            </w:r>
          </w:p>
        </w:tc>
        <w:tc>
          <w:tcPr>
            <w:tcW w:w="927" w:type="dxa"/>
          </w:tcPr>
          <w:p w14:paraId="403366E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75</w:t>
            </w:r>
          </w:p>
        </w:tc>
        <w:tc>
          <w:tcPr>
            <w:tcW w:w="928" w:type="dxa"/>
          </w:tcPr>
          <w:p w14:paraId="0EFF0D9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19.8</w:t>
            </w:r>
          </w:p>
        </w:tc>
      </w:tr>
      <w:tr w:rsidR="00C96874" w:rsidRPr="003910DC" w14:paraId="5D322109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</w:tcPr>
          <w:p w14:paraId="66C35392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6E69E32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6F3C243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747</w:t>
            </w:r>
          </w:p>
        </w:tc>
        <w:tc>
          <w:tcPr>
            <w:tcW w:w="928" w:type="dxa"/>
          </w:tcPr>
          <w:p w14:paraId="71460BB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273DA06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369</w:t>
            </w:r>
          </w:p>
        </w:tc>
        <w:tc>
          <w:tcPr>
            <w:tcW w:w="928" w:type="dxa"/>
          </w:tcPr>
          <w:p w14:paraId="023ED58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3F9159A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378</w:t>
            </w:r>
          </w:p>
        </w:tc>
        <w:tc>
          <w:tcPr>
            <w:tcW w:w="928" w:type="dxa"/>
          </w:tcPr>
          <w:p w14:paraId="462A3B4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</w:tbl>
    <w:p w14:paraId="672A4037" w14:textId="77777777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</w:rPr>
      </w:pPr>
    </w:p>
    <w:p w14:paraId="5AEE780A" w14:textId="77777777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</w:rPr>
      </w:pPr>
    </w:p>
    <w:p w14:paraId="5594385A" w14:textId="77777777" w:rsidR="00B475E2" w:rsidRDefault="00B475E2">
      <w:pPr>
        <w:spacing w:after="160" w:line="259" w:lineRule="auto"/>
        <w:rPr>
          <w:rFonts w:ascii="Garamond" w:hAnsi="Garamond"/>
          <w:b/>
          <w:color w:val="010205"/>
        </w:rPr>
      </w:pPr>
      <w:r>
        <w:rPr>
          <w:rFonts w:ascii="Garamond" w:hAnsi="Garamond"/>
          <w:b/>
          <w:color w:val="010205"/>
        </w:rPr>
        <w:br w:type="page"/>
      </w:r>
    </w:p>
    <w:p w14:paraId="097FED5B" w14:textId="3D432FF9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  <w:b/>
        </w:rPr>
      </w:pPr>
      <w:r w:rsidRPr="003910DC">
        <w:rPr>
          <w:rFonts w:ascii="Garamond" w:hAnsi="Garamond"/>
          <w:b/>
          <w:color w:val="010205"/>
        </w:rPr>
        <w:lastRenderedPageBreak/>
        <w:t xml:space="preserve">Table </w:t>
      </w:r>
      <w:r w:rsidR="00766D9D">
        <w:rPr>
          <w:rFonts w:ascii="Garamond" w:hAnsi="Garamond"/>
          <w:b/>
          <w:color w:val="010205"/>
        </w:rPr>
        <w:t>A4</w:t>
      </w:r>
      <w:r w:rsidRPr="003910DC">
        <w:rPr>
          <w:rFonts w:ascii="Garamond" w:hAnsi="Garamond"/>
          <w:b/>
          <w:color w:val="010205"/>
        </w:rPr>
        <w:t>: Descriptive statistics on the statement of “The baby should stay with Julie in a supervised setting” in</w:t>
      </w:r>
      <w:r w:rsidR="00C96874" w:rsidRPr="003910DC">
        <w:rPr>
          <w:rFonts w:ascii="Garamond" w:hAnsi="Garamond"/>
          <w:b/>
          <w:color w:val="010205"/>
        </w:rPr>
        <w:t xml:space="preserve"> three</w:t>
      </w:r>
      <w:r w:rsidRPr="003910DC">
        <w:rPr>
          <w:rFonts w:ascii="Garamond" w:hAnsi="Garamond"/>
          <w:b/>
          <w:color w:val="010205"/>
        </w:rPr>
        <w:t xml:space="preserve"> treatment scenario</w:t>
      </w:r>
    </w:p>
    <w:p w14:paraId="0BC167BF" w14:textId="77777777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  <w:b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927"/>
        <w:gridCol w:w="928"/>
        <w:gridCol w:w="927"/>
        <w:gridCol w:w="928"/>
        <w:gridCol w:w="927"/>
        <w:gridCol w:w="928"/>
      </w:tblGrid>
      <w:tr w:rsidR="00C96874" w:rsidRPr="003910DC" w14:paraId="1A152C90" w14:textId="77777777" w:rsidTr="000276CB">
        <w:trPr>
          <w:cantSplit/>
          <w:trHeight w:val="3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5B5B9E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Treatment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7A93FC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Response category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301DC3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Total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6968FE2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Norway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BEBA49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USA</w:t>
            </w:r>
          </w:p>
        </w:tc>
      </w:tr>
      <w:tr w:rsidR="00C96874" w:rsidRPr="003910DC" w14:paraId="6A3572CB" w14:textId="77777777" w:rsidTr="000276CB">
        <w:trPr>
          <w:cantSplit/>
          <w:trHeight w:val="347"/>
        </w:trPr>
        <w:tc>
          <w:tcPr>
            <w:tcW w:w="1980" w:type="dxa"/>
            <w:vMerge/>
            <w:shd w:val="clear" w:color="auto" w:fill="auto"/>
          </w:tcPr>
          <w:p w14:paraId="395B5AB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B4067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b/>
                <w:color w:val="000000" w:themeColor="text1"/>
              </w:rPr>
            </w:pPr>
          </w:p>
        </w:tc>
        <w:tc>
          <w:tcPr>
            <w:tcW w:w="927" w:type="dxa"/>
            <w:shd w:val="clear" w:color="auto" w:fill="auto"/>
          </w:tcPr>
          <w:p w14:paraId="15697B0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0AA13C9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14:paraId="669E670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65E3448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14:paraId="5AC8F46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6A556CA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</w:tr>
      <w:tr w:rsidR="00C96874" w:rsidRPr="003910DC" w14:paraId="78259F8C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F81BDD3" w14:textId="3E37DA54" w:rsidR="00467071" w:rsidRPr="003910DC" w:rsidRDefault="00D52EFA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Low risk</w:t>
            </w:r>
            <w:r w:rsidR="00467071" w:rsidRPr="003910DC">
              <w:rPr>
                <w:rFonts w:ascii="Garamond" w:hAnsi="Garamond" w:cs="Arial"/>
                <w:color w:val="000000" w:themeColor="text1"/>
              </w:rPr>
              <w:t xml:space="preserve"> (X1)</w:t>
            </w:r>
          </w:p>
        </w:tc>
        <w:tc>
          <w:tcPr>
            <w:tcW w:w="2410" w:type="dxa"/>
            <w:shd w:val="clear" w:color="auto" w:fill="auto"/>
          </w:tcPr>
          <w:p w14:paraId="4F5C069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1875BEE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131</w:t>
            </w:r>
          </w:p>
        </w:tc>
        <w:tc>
          <w:tcPr>
            <w:tcW w:w="928" w:type="dxa"/>
          </w:tcPr>
          <w:p w14:paraId="7828600D" w14:textId="77777777" w:rsidR="00467071" w:rsidRPr="003910DC" w:rsidRDefault="00467071" w:rsidP="003910DC">
            <w:pPr>
              <w:tabs>
                <w:tab w:val="left" w:pos="405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18.7</w:t>
            </w:r>
          </w:p>
        </w:tc>
        <w:tc>
          <w:tcPr>
            <w:tcW w:w="927" w:type="dxa"/>
          </w:tcPr>
          <w:p w14:paraId="3FF9DA45" w14:textId="77777777" w:rsidR="00467071" w:rsidRPr="003910DC" w:rsidRDefault="00467071" w:rsidP="003910DC">
            <w:pPr>
              <w:tabs>
                <w:tab w:val="left" w:pos="570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44</w:t>
            </w:r>
          </w:p>
        </w:tc>
        <w:tc>
          <w:tcPr>
            <w:tcW w:w="928" w:type="dxa"/>
          </w:tcPr>
          <w:p w14:paraId="6F37532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13.0</w:t>
            </w:r>
          </w:p>
        </w:tc>
        <w:tc>
          <w:tcPr>
            <w:tcW w:w="927" w:type="dxa"/>
          </w:tcPr>
          <w:p w14:paraId="387E8B1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87</w:t>
            </w:r>
          </w:p>
        </w:tc>
        <w:tc>
          <w:tcPr>
            <w:tcW w:w="928" w:type="dxa"/>
          </w:tcPr>
          <w:p w14:paraId="69AB9FFD" w14:textId="77777777" w:rsidR="00467071" w:rsidRPr="003910DC" w:rsidRDefault="00467071" w:rsidP="003910DC">
            <w:pPr>
              <w:tabs>
                <w:tab w:val="left" w:pos="510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24.0</w:t>
            </w:r>
          </w:p>
        </w:tc>
      </w:tr>
      <w:tr w:rsidR="00C96874" w:rsidRPr="003910DC" w14:paraId="62F42EB5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5666BA9D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E12038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541D705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570</w:t>
            </w:r>
          </w:p>
        </w:tc>
        <w:tc>
          <w:tcPr>
            <w:tcW w:w="928" w:type="dxa"/>
          </w:tcPr>
          <w:p w14:paraId="086B727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81.3</w:t>
            </w:r>
          </w:p>
        </w:tc>
        <w:tc>
          <w:tcPr>
            <w:tcW w:w="927" w:type="dxa"/>
          </w:tcPr>
          <w:p w14:paraId="1D1386F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295</w:t>
            </w:r>
          </w:p>
        </w:tc>
        <w:tc>
          <w:tcPr>
            <w:tcW w:w="928" w:type="dxa"/>
          </w:tcPr>
          <w:p w14:paraId="112E7B7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87.0</w:t>
            </w:r>
          </w:p>
        </w:tc>
        <w:tc>
          <w:tcPr>
            <w:tcW w:w="927" w:type="dxa"/>
          </w:tcPr>
          <w:p w14:paraId="3F44539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275</w:t>
            </w:r>
          </w:p>
        </w:tc>
        <w:tc>
          <w:tcPr>
            <w:tcW w:w="928" w:type="dxa"/>
          </w:tcPr>
          <w:p w14:paraId="3B48626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76.0</w:t>
            </w:r>
          </w:p>
        </w:tc>
      </w:tr>
      <w:tr w:rsidR="00C96874" w:rsidRPr="003910DC" w14:paraId="4312CEA4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4CB0CA6B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5523D9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2F11B81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701</w:t>
            </w:r>
          </w:p>
        </w:tc>
        <w:tc>
          <w:tcPr>
            <w:tcW w:w="928" w:type="dxa"/>
          </w:tcPr>
          <w:p w14:paraId="55CF922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1726FFE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339</w:t>
            </w:r>
          </w:p>
        </w:tc>
        <w:tc>
          <w:tcPr>
            <w:tcW w:w="928" w:type="dxa"/>
          </w:tcPr>
          <w:p w14:paraId="4E33B53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30BC656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362</w:t>
            </w:r>
          </w:p>
        </w:tc>
        <w:tc>
          <w:tcPr>
            <w:tcW w:w="928" w:type="dxa"/>
          </w:tcPr>
          <w:p w14:paraId="468A4F5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  <w:tr w:rsidR="00C96874" w:rsidRPr="003910DC" w14:paraId="2225D0BC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38E441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Medium risk (X2)</w:t>
            </w:r>
          </w:p>
        </w:tc>
        <w:tc>
          <w:tcPr>
            <w:tcW w:w="2410" w:type="dxa"/>
            <w:shd w:val="clear" w:color="auto" w:fill="auto"/>
          </w:tcPr>
          <w:p w14:paraId="43D7106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2C9C33E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144</w:t>
            </w:r>
          </w:p>
        </w:tc>
        <w:tc>
          <w:tcPr>
            <w:tcW w:w="928" w:type="dxa"/>
          </w:tcPr>
          <w:p w14:paraId="7F7FF68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20.6</w:t>
            </w:r>
          </w:p>
        </w:tc>
        <w:tc>
          <w:tcPr>
            <w:tcW w:w="927" w:type="dxa"/>
          </w:tcPr>
          <w:p w14:paraId="6B20F85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48</w:t>
            </w:r>
          </w:p>
        </w:tc>
        <w:tc>
          <w:tcPr>
            <w:tcW w:w="928" w:type="dxa"/>
          </w:tcPr>
          <w:p w14:paraId="6AE54D3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14.9</w:t>
            </w:r>
          </w:p>
        </w:tc>
        <w:tc>
          <w:tcPr>
            <w:tcW w:w="927" w:type="dxa"/>
          </w:tcPr>
          <w:p w14:paraId="79D04F2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96</w:t>
            </w:r>
          </w:p>
        </w:tc>
        <w:tc>
          <w:tcPr>
            <w:tcW w:w="928" w:type="dxa"/>
          </w:tcPr>
          <w:p w14:paraId="4779AE7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25.5</w:t>
            </w:r>
          </w:p>
        </w:tc>
      </w:tr>
      <w:tr w:rsidR="00C96874" w:rsidRPr="003910DC" w14:paraId="03EB2528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1FC5922B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985353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0658592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556</w:t>
            </w:r>
          </w:p>
        </w:tc>
        <w:tc>
          <w:tcPr>
            <w:tcW w:w="928" w:type="dxa"/>
          </w:tcPr>
          <w:p w14:paraId="0660E78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79.4</w:t>
            </w:r>
          </w:p>
        </w:tc>
        <w:tc>
          <w:tcPr>
            <w:tcW w:w="927" w:type="dxa"/>
          </w:tcPr>
          <w:p w14:paraId="4E9F5FB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275</w:t>
            </w:r>
          </w:p>
        </w:tc>
        <w:tc>
          <w:tcPr>
            <w:tcW w:w="928" w:type="dxa"/>
          </w:tcPr>
          <w:p w14:paraId="5327CD5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85.1</w:t>
            </w:r>
          </w:p>
        </w:tc>
        <w:tc>
          <w:tcPr>
            <w:tcW w:w="927" w:type="dxa"/>
          </w:tcPr>
          <w:p w14:paraId="38FE597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281</w:t>
            </w:r>
          </w:p>
        </w:tc>
        <w:tc>
          <w:tcPr>
            <w:tcW w:w="928" w:type="dxa"/>
          </w:tcPr>
          <w:p w14:paraId="10BB7E5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74.5</w:t>
            </w:r>
          </w:p>
        </w:tc>
      </w:tr>
      <w:tr w:rsidR="00C96874" w:rsidRPr="003910DC" w14:paraId="36A2B926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6EFD1691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E57AAD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0442D99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700</w:t>
            </w:r>
          </w:p>
        </w:tc>
        <w:tc>
          <w:tcPr>
            <w:tcW w:w="928" w:type="dxa"/>
          </w:tcPr>
          <w:p w14:paraId="13A2790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5B0AE9F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323</w:t>
            </w:r>
          </w:p>
        </w:tc>
        <w:tc>
          <w:tcPr>
            <w:tcW w:w="928" w:type="dxa"/>
          </w:tcPr>
          <w:p w14:paraId="4CBDDD4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2ADECA0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377</w:t>
            </w:r>
          </w:p>
        </w:tc>
        <w:tc>
          <w:tcPr>
            <w:tcW w:w="928" w:type="dxa"/>
          </w:tcPr>
          <w:p w14:paraId="3FF860B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  <w:tr w:rsidR="00C96874" w:rsidRPr="003910DC" w14:paraId="4997FA0B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BA5C5E4" w14:textId="72A532AE" w:rsidR="00467071" w:rsidRPr="003910DC" w:rsidRDefault="00D52EFA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High risk (X3)</w:t>
            </w:r>
          </w:p>
        </w:tc>
        <w:tc>
          <w:tcPr>
            <w:tcW w:w="2410" w:type="dxa"/>
            <w:shd w:val="clear" w:color="auto" w:fill="auto"/>
          </w:tcPr>
          <w:p w14:paraId="41A5829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058E93C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189</w:t>
            </w:r>
          </w:p>
        </w:tc>
        <w:tc>
          <w:tcPr>
            <w:tcW w:w="928" w:type="dxa"/>
          </w:tcPr>
          <w:p w14:paraId="49C7D50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25.3</w:t>
            </w:r>
          </w:p>
        </w:tc>
        <w:tc>
          <w:tcPr>
            <w:tcW w:w="927" w:type="dxa"/>
          </w:tcPr>
          <w:p w14:paraId="1243DC3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69</w:t>
            </w:r>
          </w:p>
        </w:tc>
        <w:tc>
          <w:tcPr>
            <w:tcW w:w="928" w:type="dxa"/>
          </w:tcPr>
          <w:p w14:paraId="5064C53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18.7</w:t>
            </w:r>
          </w:p>
        </w:tc>
        <w:tc>
          <w:tcPr>
            <w:tcW w:w="927" w:type="dxa"/>
          </w:tcPr>
          <w:p w14:paraId="44EE732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120</w:t>
            </w:r>
          </w:p>
        </w:tc>
        <w:tc>
          <w:tcPr>
            <w:tcW w:w="928" w:type="dxa"/>
          </w:tcPr>
          <w:p w14:paraId="0AC52E9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31.7</w:t>
            </w:r>
          </w:p>
        </w:tc>
      </w:tr>
      <w:tr w:rsidR="00C96874" w:rsidRPr="003910DC" w14:paraId="1445408B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</w:tcPr>
          <w:p w14:paraId="66604685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7E43F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0501566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558</w:t>
            </w:r>
          </w:p>
        </w:tc>
        <w:tc>
          <w:tcPr>
            <w:tcW w:w="928" w:type="dxa"/>
          </w:tcPr>
          <w:p w14:paraId="1F5CB62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74.7</w:t>
            </w:r>
          </w:p>
        </w:tc>
        <w:tc>
          <w:tcPr>
            <w:tcW w:w="927" w:type="dxa"/>
          </w:tcPr>
          <w:p w14:paraId="42C52FB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300</w:t>
            </w:r>
          </w:p>
        </w:tc>
        <w:tc>
          <w:tcPr>
            <w:tcW w:w="928" w:type="dxa"/>
          </w:tcPr>
          <w:p w14:paraId="21C3694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81.3</w:t>
            </w:r>
          </w:p>
        </w:tc>
        <w:tc>
          <w:tcPr>
            <w:tcW w:w="927" w:type="dxa"/>
          </w:tcPr>
          <w:p w14:paraId="60A98ED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258</w:t>
            </w:r>
          </w:p>
        </w:tc>
        <w:tc>
          <w:tcPr>
            <w:tcW w:w="928" w:type="dxa"/>
          </w:tcPr>
          <w:p w14:paraId="63D8EE9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68.3</w:t>
            </w:r>
          </w:p>
        </w:tc>
      </w:tr>
      <w:tr w:rsidR="00C96874" w:rsidRPr="003910DC" w14:paraId="4AC9B9E6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</w:tcPr>
          <w:p w14:paraId="3FC9BE62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9997DA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5077725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747</w:t>
            </w:r>
          </w:p>
        </w:tc>
        <w:tc>
          <w:tcPr>
            <w:tcW w:w="928" w:type="dxa"/>
          </w:tcPr>
          <w:p w14:paraId="116B918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66BA10C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369</w:t>
            </w:r>
          </w:p>
        </w:tc>
        <w:tc>
          <w:tcPr>
            <w:tcW w:w="928" w:type="dxa"/>
          </w:tcPr>
          <w:p w14:paraId="0B217E8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1EFECBC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378</w:t>
            </w:r>
          </w:p>
        </w:tc>
        <w:tc>
          <w:tcPr>
            <w:tcW w:w="928" w:type="dxa"/>
          </w:tcPr>
          <w:p w14:paraId="2FDCF5A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</w:tbl>
    <w:p w14:paraId="37ED9468" w14:textId="77777777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</w:rPr>
      </w:pPr>
    </w:p>
    <w:p w14:paraId="55557B35" w14:textId="77777777" w:rsidR="00B475E2" w:rsidRDefault="00B475E2" w:rsidP="003910DC">
      <w:pPr>
        <w:autoSpaceDE w:val="0"/>
        <w:autoSpaceDN w:val="0"/>
        <w:adjustRightInd w:val="0"/>
        <w:rPr>
          <w:rFonts w:ascii="Garamond" w:hAnsi="Garamond"/>
          <w:b/>
          <w:color w:val="010205"/>
        </w:rPr>
      </w:pPr>
    </w:p>
    <w:p w14:paraId="42067CC3" w14:textId="77777777" w:rsidR="00B475E2" w:rsidRDefault="00B475E2">
      <w:pPr>
        <w:spacing w:after="160" w:line="259" w:lineRule="auto"/>
        <w:rPr>
          <w:rFonts w:ascii="Garamond" w:hAnsi="Garamond"/>
          <w:b/>
          <w:color w:val="010205"/>
        </w:rPr>
      </w:pPr>
      <w:r>
        <w:rPr>
          <w:rFonts w:ascii="Garamond" w:hAnsi="Garamond"/>
          <w:b/>
          <w:color w:val="010205"/>
        </w:rPr>
        <w:br w:type="page"/>
      </w:r>
    </w:p>
    <w:p w14:paraId="55D894FE" w14:textId="3242A6D1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  <w:b/>
        </w:rPr>
      </w:pPr>
      <w:r w:rsidRPr="003910DC">
        <w:rPr>
          <w:rFonts w:ascii="Garamond" w:hAnsi="Garamond"/>
          <w:b/>
          <w:color w:val="010205"/>
        </w:rPr>
        <w:lastRenderedPageBreak/>
        <w:t xml:space="preserve">Table </w:t>
      </w:r>
      <w:r w:rsidR="00766D9D">
        <w:rPr>
          <w:rFonts w:ascii="Garamond" w:hAnsi="Garamond"/>
          <w:b/>
          <w:color w:val="010205"/>
        </w:rPr>
        <w:t>A5</w:t>
      </w:r>
      <w:r w:rsidRPr="003910DC">
        <w:rPr>
          <w:rFonts w:ascii="Garamond" w:hAnsi="Garamond"/>
          <w:b/>
          <w:color w:val="010205"/>
        </w:rPr>
        <w:t xml:space="preserve">: Descriptive statistics on the statement of “The baby should be placed in foster care” in </w:t>
      </w:r>
      <w:r w:rsidR="00C96874" w:rsidRPr="003910DC">
        <w:rPr>
          <w:rFonts w:ascii="Garamond" w:hAnsi="Garamond"/>
          <w:b/>
          <w:color w:val="010205"/>
        </w:rPr>
        <w:t>three</w:t>
      </w:r>
      <w:r w:rsidRPr="003910DC">
        <w:rPr>
          <w:rFonts w:ascii="Garamond" w:hAnsi="Garamond"/>
          <w:b/>
          <w:color w:val="010205"/>
        </w:rPr>
        <w:t xml:space="preserve"> treatment scenario</w:t>
      </w:r>
    </w:p>
    <w:p w14:paraId="70D8AF4F" w14:textId="77777777" w:rsidR="00467071" w:rsidRPr="003910DC" w:rsidRDefault="00467071" w:rsidP="003910DC">
      <w:pPr>
        <w:autoSpaceDE w:val="0"/>
        <w:autoSpaceDN w:val="0"/>
        <w:adjustRightInd w:val="0"/>
        <w:rPr>
          <w:rFonts w:ascii="Garamond" w:hAnsi="Garamond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927"/>
        <w:gridCol w:w="928"/>
        <w:gridCol w:w="927"/>
        <w:gridCol w:w="928"/>
        <w:gridCol w:w="927"/>
        <w:gridCol w:w="928"/>
      </w:tblGrid>
      <w:tr w:rsidR="00C96874" w:rsidRPr="003910DC" w14:paraId="0E124A4A" w14:textId="77777777" w:rsidTr="000276CB">
        <w:trPr>
          <w:cantSplit/>
          <w:trHeight w:val="3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3CA5E2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Treatment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58A490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Response category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65210D2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Total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4002690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Norway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78540C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USA</w:t>
            </w:r>
          </w:p>
        </w:tc>
      </w:tr>
      <w:tr w:rsidR="00C96874" w:rsidRPr="003910DC" w14:paraId="639A2253" w14:textId="77777777" w:rsidTr="000276CB">
        <w:trPr>
          <w:cantSplit/>
          <w:trHeight w:val="347"/>
        </w:trPr>
        <w:tc>
          <w:tcPr>
            <w:tcW w:w="1980" w:type="dxa"/>
            <w:vMerge/>
            <w:shd w:val="clear" w:color="auto" w:fill="auto"/>
          </w:tcPr>
          <w:p w14:paraId="6EB8BD5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4599B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b/>
                <w:color w:val="000000" w:themeColor="text1"/>
              </w:rPr>
            </w:pPr>
          </w:p>
        </w:tc>
        <w:tc>
          <w:tcPr>
            <w:tcW w:w="927" w:type="dxa"/>
            <w:shd w:val="clear" w:color="auto" w:fill="auto"/>
          </w:tcPr>
          <w:p w14:paraId="4927B25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12F2774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14:paraId="7AD76C7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3568BA2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  <w:tc>
          <w:tcPr>
            <w:tcW w:w="927" w:type="dxa"/>
            <w:shd w:val="clear" w:color="auto" w:fill="auto"/>
          </w:tcPr>
          <w:p w14:paraId="0DB9D7D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N</w:t>
            </w:r>
          </w:p>
        </w:tc>
        <w:tc>
          <w:tcPr>
            <w:tcW w:w="928" w:type="dxa"/>
            <w:shd w:val="clear" w:color="auto" w:fill="auto"/>
          </w:tcPr>
          <w:p w14:paraId="2D990D2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b/>
                <w:color w:val="000000" w:themeColor="text1"/>
              </w:rPr>
            </w:pPr>
            <w:r w:rsidRPr="003910DC">
              <w:rPr>
                <w:rFonts w:ascii="Garamond" w:hAnsi="Garamond" w:cs="Arial"/>
                <w:b/>
                <w:color w:val="000000" w:themeColor="text1"/>
              </w:rPr>
              <w:t>%</w:t>
            </w:r>
          </w:p>
        </w:tc>
      </w:tr>
      <w:tr w:rsidR="00C96874" w:rsidRPr="003910DC" w14:paraId="6DCEFF80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B23BAD9" w14:textId="469637B8" w:rsidR="00467071" w:rsidRPr="003910DC" w:rsidRDefault="00D52EFA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Low risk</w:t>
            </w:r>
            <w:r w:rsidR="00467071" w:rsidRPr="003910DC">
              <w:rPr>
                <w:rFonts w:ascii="Garamond" w:hAnsi="Garamond" w:cs="Arial"/>
                <w:color w:val="000000" w:themeColor="text1"/>
              </w:rPr>
              <w:t xml:space="preserve"> (X1)</w:t>
            </w:r>
          </w:p>
        </w:tc>
        <w:tc>
          <w:tcPr>
            <w:tcW w:w="2410" w:type="dxa"/>
            <w:shd w:val="clear" w:color="auto" w:fill="auto"/>
          </w:tcPr>
          <w:p w14:paraId="14C3D18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3748FDF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459</w:t>
            </w:r>
          </w:p>
        </w:tc>
        <w:tc>
          <w:tcPr>
            <w:tcW w:w="928" w:type="dxa"/>
          </w:tcPr>
          <w:p w14:paraId="06436D6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65.5</w:t>
            </w:r>
          </w:p>
        </w:tc>
        <w:tc>
          <w:tcPr>
            <w:tcW w:w="927" w:type="dxa"/>
          </w:tcPr>
          <w:p w14:paraId="63C8FA9B" w14:textId="77777777" w:rsidR="00467071" w:rsidRPr="003910DC" w:rsidRDefault="00467071" w:rsidP="003910DC">
            <w:pPr>
              <w:tabs>
                <w:tab w:val="left" w:pos="495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243</w:t>
            </w:r>
          </w:p>
        </w:tc>
        <w:tc>
          <w:tcPr>
            <w:tcW w:w="928" w:type="dxa"/>
          </w:tcPr>
          <w:p w14:paraId="3043059E" w14:textId="77777777" w:rsidR="00467071" w:rsidRPr="003910DC" w:rsidRDefault="00467071" w:rsidP="003910DC">
            <w:pPr>
              <w:tabs>
                <w:tab w:val="left" w:pos="585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71.7</w:t>
            </w:r>
          </w:p>
        </w:tc>
        <w:tc>
          <w:tcPr>
            <w:tcW w:w="927" w:type="dxa"/>
          </w:tcPr>
          <w:p w14:paraId="163B5B2A" w14:textId="77777777" w:rsidR="00467071" w:rsidRPr="003910DC" w:rsidRDefault="00467071" w:rsidP="003910DC">
            <w:pPr>
              <w:tabs>
                <w:tab w:val="left" w:pos="540"/>
              </w:tabs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216</w:t>
            </w:r>
          </w:p>
        </w:tc>
        <w:tc>
          <w:tcPr>
            <w:tcW w:w="928" w:type="dxa"/>
          </w:tcPr>
          <w:p w14:paraId="7E2508C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59.7</w:t>
            </w:r>
          </w:p>
        </w:tc>
      </w:tr>
      <w:tr w:rsidR="00C96874" w:rsidRPr="003910DC" w14:paraId="01521B78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392CD4B3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7E8B2F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052682B4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242</w:t>
            </w:r>
          </w:p>
        </w:tc>
        <w:tc>
          <w:tcPr>
            <w:tcW w:w="928" w:type="dxa"/>
          </w:tcPr>
          <w:p w14:paraId="3170E61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34.5</w:t>
            </w:r>
          </w:p>
        </w:tc>
        <w:tc>
          <w:tcPr>
            <w:tcW w:w="927" w:type="dxa"/>
          </w:tcPr>
          <w:p w14:paraId="5338E59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96</w:t>
            </w:r>
          </w:p>
        </w:tc>
        <w:tc>
          <w:tcPr>
            <w:tcW w:w="928" w:type="dxa"/>
          </w:tcPr>
          <w:p w14:paraId="48CD944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28.3</w:t>
            </w:r>
          </w:p>
        </w:tc>
        <w:tc>
          <w:tcPr>
            <w:tcW w:w="927" w:type="dxa"/>
          </w:tcPr>
          <w:p w14:paraId="11BE0BE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146</w:t>
            </w:r>
          </w:p>
        </w:tc>
        <w:tc>
          <w:tcPr>
            <w:tcW w:w="928" w:type="dxa"/>
          </w:tcPr>
          <w:p w14:paraId="42DBB24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40.3</w:t>
            </w:r>
          </w:p>
        </w:tc>
      </w:tr>
      <w:tr w:rsidR="00C96874" w:rsidRPr="003910DC" w14:paraId="686D9E60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45F47261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DD4DE6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7A64578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701</w:t>
            </w:r>
          </w:p>
        </w:tc>
        <w:tc>
          <w:tcPr>
            <w:tcW w:w="928" w:type="dxa"/>
          </w:tcPr>
          <w:p w14:paraId="767EAE8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74FA852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339</w:t>
            </w:r>
          </w:p>
        </w:tc>
        <w:tc>
          <w:tcPr>
            <w:tcW w:w="928" w:type="dxa"/>
          </w:tcPr>
          <w:p w14:paraId="49D3ED3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6240E13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362</w:t>
            </w:r>
          </w:p>
        </w:tc>
        <w:tc>
          <w:tcPr>
            <w:tcW w:w="928" w:type="dxa"/>
          </w:tcPr>
          <w:p w14:paraId="6E0C498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  <w:tr w:rsidR="00C96874" w:rsidRPr="003910DC" w14:paraId="19235AD7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061BD17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Medium risk (X2)</w:t>
            </w:r>
          </w:p>
        </w:tc>
        <w:tc>
          <w:tcPr>
            <w:tcW w:w="2410" w:type="dxa"/>
            <w:shd w:val="clear" w:color="auto" w:fill="auto"/>
          </w:tcPr>
          <w:p w14:paraId="509FEAA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21F9031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401</w:t>
            </w:r>
          </w:p>
        </w:tc>
        <w:tc>
          <w:tcPr>
            <w:tcW w:w="928" w:type="dxa"/>
          </w:tcPr>
          <w:p w14:paraId="68F7A88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57.3</w:t>
            </w:r>
          </w:p>
        </w:tc>
        <w:tc>
          <w:tcPr>
            <w:tcW w:w="927" w:type="dxa"/>
          </w:tcPr>
          <w:p w14:paraId="0009E8F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185</w:t>
            </w:r>
          </w:p>
        </w:tc>
        <w:tc>
          <w:tcPr>
            <w:tcW w:w="928" w:type="dxa"/>
          </w:tcPr>
          <w:p w14:paraId="173BFB7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57.3</w:t>
            </w:r>
          </w:p>
        </w:tc>
        <w:tc>
          <w:tcPr>
            <w:tcW w:w="927" w:type="dxa"/>
          </w:tcPr>
          <w:p w14:paraId="732BD27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216</w:t>
            </w:r>
          </w:p>
        </w:tc>
        <w:tc>
          <w:tcPr>
            <w:tcW w:w="928" w:type="dxa"/>
          </w:tcPr>
          <w:p w14:paraId="7336D20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57.3</w:t>
            </w:r>
          </w:p>
        </w:tc>
      </w:tr>
      <w:tr w:rsidR="00C96874" w:rsidRPr="003910DC" w14:paraId="06C48E94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7C60A1EC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2230E74D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4926458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299</w:t>
            </w:r>
          </w:p>
        </w:tc>
        <w:tc>
          <w:tcPr>
            <w:tcW w:w="928" w:type="dxa"/>
          </w:tcPr>
          <w:p w14:paraId="5C45E34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42.7</w:t>
            </w:r>
          </w:p>
        </w:tc>
        <w:tc>
          <w:tcPr>
            <w:tcW w:w="927" w:type="dxa"/>
          </w:tcPr>
          <w:p w14:paraId="002CB3C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138</w:t>
            </w:r>
          </w:p>
        </w:tc>
        <w:tc>
          <w:tcPr>
            <w:tcW w:w="928" w:type="dxa"/>
          </w:tcPr>
          <w:p w14:paraId="4DF86C8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42.7</w:t>
            </w:r>
          </w:p>
        </w:tc>
        <w:tc>
          <w:tcPr>
            <w:tcW w:w="927" w:type="dxa"/>
          </w:tcPr>
          <w:p w14:paraId="4E6804C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161</w:t>
            </w:r>
          </w:p>
        </w:tc>
        <w:tc>
          <w:tcPr>
            <w:tcW w:w="928" w:type="dxa"/>
          </w:tcPr>
          <w:p w14:paraId="078B518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42.7</w:t>
            </w:r>
          </w:p>
        </w:tc>
      </w:tr>
      <w:tr w:rsidR="00C96874" w:rsidRPr="003910DC" w14:paraId="2DCF30DA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  <w:vAlign w:val="center"/>
          </w:tcPr>
          <w:p w14:paraId="3D9E7D03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42EAD3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0DB8CC2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700</w:t>
            </w:r>
          </w:p>
        </w:tc>
        <w:tc>
          <w:tcPr>
            <w:tcW w:w="928" w:type="dxa"/>
          </w:tcPr>
          <w:p w14:paraId="057C1F6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05CE61BB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323</w:t>
            </w:r>
          </w:p>
        </w:tc>
        <w:tc>
          <w:tcPr>
            <w:tcW w:w="928" w:type="dxa"/>
          </w:tcPr>
          <w:p w14:paraId="5988013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51A2D93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377</w:t>
            </w:r>
          </w:p>
        </w:tc>
        <w:tc>
          <w:tcPr>
            <w:tcW w:w="928" w:type="dxa"/>
          </w:tcPr>
          <w:p w14:paraId="6F731A9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  <w:tr w:rsidR="00C96874" w:rsidRPr="003910DC" w14:paraId="00C3AE3D" w14:textId="77777777" w:rsidTr="000276CB">
        <w:trPr>
          <w:cantSplit/>
          <w:trHeight w:val="3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091DE8F" w14:textId="54537748" w:rsidR="00467071" w:rsidRPr="003910DC" w:rsidRDefault="00D52EFA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High risk (X3)</w:t>
            </w:r>
          </w:p>
        </w:tc>
        <w:tc>
          <w:tcPr>
            <w:tcW w:w="2410" w:type="dxa"/>
            <w:shd w:val="clear" w:color="auto" w:fill="auto"/>
          </w:tcPr>
          <w:p w14:paraId="7713D2BC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1-2(Disagree)</w:t>
            </w:r>
          </w:p>
        </w:tc>
        <w:tc>
          <w:tcPr>
            <w:tcW w:w="927" w:type="dxa"/>
          </w:tcPr>
          <w:p w14:paraId="4E887EB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389</w:t>
            </w:r>
          </w:p>
        </w:tc>
        <w:tc>
          <w:tcPr>
            <w:tcW w:w="928" w:type="dxa"/>
          </w:tcPr>
          <w:p w14:paraId="65731B8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52.1</w:t>
            </w:r>
          </w:p>
        </w:tc>
        <w:tc>
          <w:tcPr>
            <w:tcW w:w="927" w:type="dxa"/>
          </w:tcPr>
          <w:p w14:paraId="0BF5234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218</w:t>
            </w:r>
          </w:p>
        </w:tc>
        <w:tc>
          <w:tcPr>
            <w:tcW w:w="928" w:type="dxa"/>
          </w:tcPr>
          <w:p w14:paraId="56581F7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59.1</w:t>
            </w:r>
          </w:p>
        </w:tc>
        <w:tc>
          <w:tcPr>
            <w:tcW w:w="927" w:type="dxa"/>
          </w:tcPr>
          <w:p w14:paraId="0DBBA73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171</w:t>
            </w:r>
          </w:p>
        </w:tc>
        <w:tc>
          <w:tcPr>
            <w:tcW w:w="928" w:type="dxa"/>
          </w:tcPr>
          <w:p w14:paraId="730ACF68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45.2</w:t>
            </w:r>
          </w:p>
        </w:tc>
      </w:tr>
      <w:tr w:rsidR="00C96874" w:rsidRPr="003910DC" w14:paraId="02953555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</w:tcPr>
          <w:p w14:paraId="6E000B89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2C77B83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3-4(Agree)</w:t>
            </w:r>
          </w:p>
        </w:tc>
        <w:tc>
          <w:tcPr>
            <w:tcW w:w="927" w:type="dxa"/>
          </w:tcPr>
          <w:p w14:paraId="09DA0F7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358</w:t>
            </w:r>
          </w:p>
        </w:tc>
        <w:tc>
          <w:tcPr>
            <w:tcW w:w="928" w:type="dxa"/>
          </w:tcPr>
          <w:p w14:paraId="0D8FBE32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47.9</w:t>
            </w:r>
          </w:p>
        </w:tc>
        <w:tc>
          <w:tcPr>
            <w:tcW w:w="927" w:type="dxa"/>
          </w:tcPr>
          <w:p w14:paraId="5E802A9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151</w:t>
            </w:r>
          </w:p>
        </w:tc>
        <w:tc>
          <w:tcPr>
            <w:tcW w:w="928" w:type="dxa"/>
          </w:tcPr>
          <w:p w14:paraId="75EF36C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40.9</w:t>
            </w:r>
          </w:p>
        </w:tc>
        <w:tc>
          <w:tcPr>
            <w:tcW w:w="927" w:type="dxa"/>
          </w:tcPr>
          <w:p w14:paraId="751457A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207</w:t>
            </w:r>
          </w:p>
        </w:tc>
        <w:tc>
          <w:tcPr>
            <w:tcW w:w="928" w:type="dxa"/>
          </w:tcPr>
          <w:p w14:paraId="2873EE99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54.8</w:t>
            </w:r>
          </w:p>
        </w:tc>
      </w:tr>
      <w:tr w:rsidR="00C96874" w:rsidRPr="003910DC" w14:paraId="4E18DDF9" w14:textId="77777777" w:rsidTr="000276CB">
        <w:trPr>
          <w:cantSplit/>
          <w:trHeight w:val="343"/>
        </w:trPr>
        <w:tc>
          <w:tcPr>
            <w:tcW w:w="1980" w:type="dxa"/>
            <w:vMerge/>
            <w:shd w:val="clear" w:color="auto" w:fill="auto"/>
          </w:tcPr>
          <w:p w14:paraId="312BB7E0" w14:textId="77777777" w:rsidR="00467071" w:rsidRPr="003910DC" w:rsidRDefault="00467071" w:rsidP="003910DC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7539D67A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Total</w:t>
            </w:r>
          </w:p>
        </w:tc>
        <w:tc>
          <w:tcPr>
            <w:tcW w:w="927" w:type="dxa"/>
          </w:tcPr>
          <w:p w14:paraId="46E60FD0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747</w:t>
            </w:r>
          </w:p>
        </w:tc>
        <w:tc>
          <w:tcPr>
            <w:tcW w:w="928" w:type="dxa"/>
          </w:tcPr>
          <w:p w14:paraId="02F98465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3958C466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369</w:t>
            </w:r>
          </w:p>
        </w:tc>
        <w:tc>
          <w:tcPr>
            <w:tcW w:w="928" w:type="dxa"/>
          </w:tcPr>
          <w:p w14:paraId="1D734F41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  <w:tc>
          <w:tcPr>
            <w:tcW w:w="927" w:type="dxa"/>
          </w:tcPr>
          <w:p w14:paraId="6BB4450E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378</w:t>
            </w:r>
          </w:p>
        </w:tc>
        <w:tc>
          <w:tcPr>
            <w:tcW w:w="928" w:type="dxa"/>
          </w:tcPr>
          <w:p w14:paraId="7DCA1F1F" w14:textId="77777777" w:rsidR="00467071" w:rsidRPr="003910DC" w:rsidRDefault="00467071" w:rsidP="003910D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Garamond" w:hAnsi="Garamond" w:cs="Arial"/>
                <w:color w:val="000000" w:themeColor="text1"/>
              </w:rPr>
            </w:pPr>
            <w:r w:rsidRPr="003910DC">
              <w:rPr>
                <w:rFonts w:ascii="Garamond" w:hAnsi="Garamond" w:cs="Arial"/>
                <w:color w:val="000000" w:themeColor="text1"/>
              </w:rPr>
              <w:t>100.0</w:t>
            </w:r>
          </w:p>
        </w:tc>
      </w:tr>
    </w:tbl>
    <w:p w14:paraId="6C40767E" w14:textId="77777777" w:rsidR="00C96874" w:rsidRPr="003910DC" w:rsidRDefault="00C96874" w:rsidP="003910DC">
      <w:pPr>
        <w:tabs>
          <w:tab w:val="left" w:pos="1545"/>
        </w:tabs>
        <w:rPr>
          <w:rFonts w:ascii="Garamond" w:hAnsi="Garamond"/>
        </w:rPr>
      </w:pPr>
    </w:p>
    <w:p w14:paraId="5D0C6764" w14:textId="77777777" w:rsidR="00B475E2" w:rsidRDefault="00B475E2">
      <w:pPr>
        <w:spacing w:after="160" w:line="259" w:lineRule="auto"/>
        <w:rPr>
          <w:rFonts w:ascii="Garamond" w:hAnsi="Garamond" w:cs="Arial"/>
          <w:b/>
          <w:bCs/>
          <w:color w:val="222222"/>
          <w:shd w:val="clear" w:color="auto" w:fill="FFFFFF"/>
        </w:rPr>
      </w:pPr>
      <w:r>
        <w:rPr>
          <w:rFonts w:ascii="Garamond" w:hAnsi="Garamond" w:cs="Arial"/>
          <w:b/>
          <w:bCs/>
          <w:color w:val="222222"/>
          <w:shd w:val="clear" w:color="auto" w:fill="FFFFFF"/>
        </w:rPr>
        <w:br w:type="page"/>
      </w:r>
    </w:p>
    <w:p w14:paraId="7D553434" w14:textId="0940EC52" w:rsidR="00B475E2" w:rsidRPr="00E63CAE" w:rsidRDefault="00B475E2" w:rsidP="00B475E2">
      <w:pPr>
        <w:jc w:val="both"/>
        <w:rPr>
          <w:rFonts w:ascii="Garamond" w:hAnsi="Garamond"/>
          <w:b/>
          <w:bCs/>
        </w:rPr>
      </w:pPr>
      <w:r w:rsidRPr="00E63CAE">
        <w:rPr>
          <w:rFonts w:ascii="Garamond" w:hAnsi="Garamond" w:cs="Arial"/>
          <w:b/>
          <w:bCs/>
          <w:color w:val="222222"/>
          <w:shd w:val="clear" w:color="auto" w:fill="FFFFFF"/>
        </w:rPr>
        <w:lastRenderedPageBreak/>
        <w:t>Table A</w:t>
      </w:r>
      <w:r w:rsidR="00B8614E">
        <w:rPr>
          <w:rFonts w:ascii="Garamond" w:hAnsi="Garamond" w:cs="Arial"/>
          <w:b/>
          <w:bCs/>
          <w:color w:val="222222"/>
          <w:shd w:val="clear" w:color="auto" w:fill="FFFFFF"/>
        </w:rPr>
        <w:t>6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>:</w:t>
      </w:r>
      <w:r w:rsidRPr="00E63CAE">
        <w:rPr>
          <w:rFonts w:ascii="Garamond" w:hAnsi="Garamond"/>
          <w:b/>
          <w:bCs/>
        </w:rPr>
        <w:t xml:space="preserve"> Mediation of Association Between Country and Unrestricted Parenting</w:t>
      </w:r>
    </w:p>
    <w:tbl>
      <w:tblPr>
        <w:tblW w:w="6080" w:type="dxa"/>
        <w:tblLayout w:type="fixed"/>
        <w:tblLook w:val="04A0" w:firstRow="1" w:lastRow="0" w:firstColumn="1" w:lastColumn="0" w:noHBand="0" w:noVBand="1"/>
      </w:tblPr>
      <w:tblGrid>
        <w:gridCol w:w="2160"/>
        <w:gridCol w:w="914"/>
        <w:gridCol w:w="1296"/>
        <w:gridCol w:w="1710"/>
      </w:tblGrid>
      <w:tr w:rsidR="00B475E2" w14:paraId="56B19DF6" w14:textId="77777777" w:rsidTr="005D5255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99AA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3E274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51DC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95% CI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36F7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% Total Effect</w:t>
            </w:r>
          </w:p>
        </w:tc>
      </w:tr>
      <w:tr w:rsidR="00B475E2" w14:paraId="3ECF0BBF" w14:textId="77777777" w:rsidTr="005D5255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67F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Direct Effect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F810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0.54***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5674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(0.46, 0.64)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7569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78%</w:t>
            </w:r>
          </w:p>
        </w:tc>
      </w:tr>
      <w:tr w:rsidR="00B475E2" w14:paraId="4757D814" w14:textId="77777777" w:rsidTr="005D5255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69F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Total Indirect Effect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9921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0.85***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01C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(0.78, 0.92)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53B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22%</w:t>
            </w:r>
          </w:p>
        </w:tc>
      </w:tr>
      <w:tr w:rsidR="00B475E2" w14:paraId="7A1845BB" w14:textId="77777777" w:rsidTr="005D5255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379" w14:textId="77777777" w:rsidR="00B475E2" w:rsidRDefault="00B475E2" w:rsidP="005D5255">
            <w:pPr>
              <w:ind w:firstLineChars="100" w:firstLine="240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Age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204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0.94***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E1F8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(0.91, 0.97)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43A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8%</w:t>
            </w:r>
          </w:p>
        </w:tc>
      </w:tr>
      <w:tr w:rsidR="00B475E2" w14:paraId="775DBE8D" w14:textId="77777777" w:rsidTr="005D5255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DC6" w14:textId="77777777" w:rsidR="00B475E2" w:rsidRDefault="00B475E2" w:rsidP="005D5255">
            <w:pPr>
              <w:ind w:firstLineChars="100" w:firstLine="240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Migrant Status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1BB4" w14:textId="1AB6C063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9C4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(0.82, 0.98)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B1B7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14%</w:t>
            </w:r>
          </w:p>
        </w:tc>
      </w:tr>
      <w:tr w:rsidR="00B475E2" w14:paraId="3CB2AD37" w14:textId="77777777" w:rsidTr="005D5255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417D7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Total Effect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6D3F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0.46***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D111" w14:textId="77777777" w:rsidR="00B475E2" w:rsidRDefault="00B475E2" w:rsidP="005D525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(0.40, 0.53)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6871" w14:textId="77777777" w:rsidR="00B475E2" w:rsidRDefault="00B475E2" w:rsidP="005D5255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100%</w:t>
            </w:r>
          </w:p>
        </w:tc>
      </w:tr>
    </w:tbl>
    <w:p w14:paraId="3C475721" w14:textId="77777777" w:rsidR="00C42BF7" w:rsidRPr="00214D33" w:rsidRDefault="00C42BF7" w:rsidP="00C42BF7">
      <w:pPr>
        <w:rPr>
          <w:rFonts w:ascii="Garamond" w:hAnsi="Garamond"/>
        </w:rPr>
      </w:pPr>
      <w:r w:rsidRPr="00214D33">
        <w:rPr>
          <w:rFonts w:ascii="Garamond" w:hAnsi="Garamond"/>
          <w:i/>
          <w:iCs/>
        </w:rPr>
        <w:t>Notes.</w:t>
      </w:r>
      <w:r w:rsidRPr="00214D33">
        <w:rPr>
          <w:rFonts w:ascii="Garamond" w:hAnsi="Garamond"/>
        </w:rPr>
        <w:t xml:space="preserve"> Bootstrapped standard errors (reps=1,000) </w:t>
      </w:r>
    </w:p>
    <w:p w14:paraId="17E652D3" w14:textId="77777777" w:rsidR="00C42BF7" w:rsidRPr="00214D33" w:rsidRDefault="00C42BF7" w:rsidP="00C42BF7">
      <w:pPr>
        <w:rPr>
          <w:rFonts w:ascii="Garamond" w:hAnsi="Garamond"/>
        </w:rPr>
      </w:pPr>
      <w:r w:rsidRPr="00214D33">
        <w:rPr>
          <w:rFonts w:ascii="Garamond" w:hAnsi="Garamond"/>
        </w:rPr>
        <w:t xml:space="preserve">** </w:t>
      </w:r>
      <w:r w:rsidRPr="00214D33">
        <w:rPr>
          <w:rFonts w:ascii="Garamond" w:hAnsi="Garamond"/>
          <w:i/>
        </w:rPr>
        <w:t>p</w:t>
      </w:r>
      <w:r w:rsidRPr="00214D33">
        <w:rPr>
          <w:rFonts w:ascii="Garamond" w:hAnsi="Garamond"/>
        </w:rPr>
        <w:t>≤0.01</w:t>
      </w:r>
    </w:p>
    <w:p w14:paraId="58B78A5D" w14:textId="5B39AE8F" w:rsidR="00D2403F" w:rsidRDefault="00C42BF7" w:rsidP="003910DC">
      <w:pPr>
        <w:rPr>
          <w:rFonts w:ascii="Garamond" w:hAnsi="Garamond"/>
          <w:b/>
          <w:bCs/>
        </w:rPr>
      </w:pPr>
      <w:r w:rsidRPr="00214D33">
        <w:rPr>
          <w:rFonts w:ascii="Garamond" w:hAnsi="Garamond"/>
        </w:rPr>
        <w:t xml:space="preserve">*** </w:t>
      </w:r>
      <w:r w:rsidRPr="00214D33">
        <w:rPr>
          <w:rFonts w:ascii="Garamond" w:hAnsi="Garamond"/>
          <w:i/>
        </w:rPr>
        <w:t>p</w:t>
      </w:r>
      <w:r w:rsidRPr="00214D33">
        <w:rPr>
          <w:rFonts w:ascii="Garamond" w:hAnsi="Garamond"/>
        </w:rPr>
        <w:t>≤0.001</w:t>
      </w:r>
    </w:p>
    <w:p w14:paraId="60EB251C" w14:textId="53CC2D32" w:rsidR="00F452BB" w:rsidRDefault="00F452BB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5AEEB772" w14:textId="2F91AE55" w:rsidR="000C3123" w:rsidRDefault="00F452BB" w:rsidP="003910DC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Figure </w:t>
      </w:r>
      <w:r w:rsidR="00B475E2">
        <w:rPr>
          <w:rFonts w:ascii="Garamond" w:hAnsi="Garamond"/>
          <w:b/>
          <w:bCs/>
        </w:rPr>
        <w:t>A1</w:t>
      </w:r>
      <w:r>
        <w:rPr>
          <w:rFonts w:ascii="Garamond" w:hAnsi="Garamond"/>
          <w:b/>
          <w:bCs/>
        </w:rPr>
        <w:t xml:space="preserve"> </w:t>
      </w:r>
      <w:r w:rsidRPr="003910DC">
        <w:rPr>
          <w:rFonts w:ascii="Garamond" w:hAnsi="Garamond"/>
          <w:b/>
          <w:bCs/>
        </w:rPr>
        <w:t xml:space="preserve">Mean variations </w:t>
      </w:r>
      <w:r>
        <w:rPr>
          <w:rFonts w:ascii="Garamond" w:hAnsi="Garamond"/>
          <w:b/>
          <w:bCs/>
        </w:rPr>
        <w:t>by country</w:t>
      </w:r>
      <w:r w:rsidRPr="003910DC">
        <w:rPr>
          <w:rFonts w:ascii="Garamond" w:hAnsi="Garamond"/>
          <w:b/>
          <w:bCs/>
        </w:rPr>
        <w:t xml:space="preserve"> according to risk </w:t>
      </w:r>
      <w:r>
        <w:rPr>
          <w:rFonts w:ascii="Garamond" w:hAnsi="Garamond"/>
          <w:b/>
          <w:bCs/>
        </w:rPr>
        <w:t>level</w:t>
      </w:r>
      <w:r w:rsidRPr="003910DC">
        <w:rPr>
          <w:rFonts w:ascii="Garamond" w:hAnsi="Garamond"/>
          <w:b/>
          <w:bCs/>
        </w:rPr>
        <w:t xml:space="preserve"> and </w:t>
      </w:r>
      <w:r w:rsidR="000F5005">
        <w:rPr>
          <w:rFonts w:ascii="Garamond" w:hAnsi="Garamond"/>
          <w:b/>
          <w:bCs/>
        </w:rPr>
        <w:t xml:space="preserve">agreement with </w:t>
      </w:r>
      <w:r w:rsidRPr="003910DC">
        <w:rPr>
          <w:rFonts w:ascii="Garamond" w:hAnsi="Garamond"/>
          <w:b/>
          <w:bCs/>
        </w:rPr>
        <w:t>response statements (</w:t>
      </w:r>
      <w:r>
        <w:rPr>
          <w:rFonts w:ascii="Garamond" w:hAnsi="Garamond"/>
          <w:b/>
          <w:bCs/>
        </w:rPr>
        <w:t>unrestricted parenting, restricted parenting, and suspended parenting</w:t>
      </w:r>
      <w:r w:rsidRPr="003910DC">
        <w:rPr>
          <w:rFonts w:ascii="Garamond" w:hAnsi="Garamond"/>
          <w:b/>
          <w:bCs/>
        </w:rPr>
        <w:t>)</w:t>
      </w:r>
    </w:p>
    <w:p w14:paraId="6B750FCB" w14:textId="083488E0" w:rsidR="00F452BB" w:rsidRDefault="00F452BB" w:rsidP="003910DC">
      <w:pPr>
        <w:rPr>
          <w:rFonts w:ascii="Garamond" w:hAnsi="Garamond"/>
          <w:b/>
          <w:bCs/>
        </w:rPr>
      </w:pPr>
      <w:r>
        <w:rPr>
          <w:noProof/>
        </w:rPr>
        <w:drawing>
          <wp:inline distT="0" distB="0" distL="0" distR="0" wp14:anchorId="3D899518" wp14:editId="62298C10">
            <wp:extent cx="7118350" cy="4584700"/>
            <wp:effectExtent l="0" t="0" r="6350" b="1270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A3B4FD71-C013-9A4C-BE05-0B3247D2B7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73A774" w14:textId="77777777" w:rsidR="001275D7" w:rsidRPr="003910DC" w:rsidRDefault="001275D7" w:rsidP="003910DC">
      <w:pPr>
        <w:rPr>
          <w:rFonts w:ascii="Garamond" w:hAnsi="Garamond"/>
          <w:b/>
          <w:bCs/>
        </w:rPr>
      </w:pPr>
    </w:p>
    <w:p w14:paraId="1E0B86DB" w14:textId="77777777" w:rsidR="00C11C53" w:rsidRPr="003910DC" w:rsidRDefault="00C11C53" w:rsidP="00B475E2">
      <w:pPr>
        <w:jc w:val="both"/>
        <w:rPr>
          <w:rFonts w:ascii="Garamond" w:hAnsi="Garamond"/>
        </w:rPr>
      </w:pPr>
    </w:p>
    <w:sectPr w:rsidR="00C11C53" w:rsidRPr="003910DC" w:rsidSect="000063A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B8411" w14:textId="77777777" w:rsidR="00262F1A" w:rsidRDefault="00262F1A" w:rsidP="000A2C5A">
      <w:r>
        <w:separator/>
      </w:r>
    </w:p>
  </w:endnote>
  <w:endnote w:type="continuationSeparator" w:id="0">
    <w:p w14:paraId="572A12F7" w14:textId="77777777" w:rsidR="00262F1A" w:rsidRDefault="00262F1A" w:rsidP="000A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71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C51C7" w14:textId="11B5C174" w:rsidR="005D5255" w:rsidRDefault="005D52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5424D3" w14:textId="77777777" w:rsidR="005D5255" w:rsidRDefault="005D5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5FDA" w14:textId="77777777" w:rsidR="00262F1A" w:rsidRDefault="00262F1A" w:rsidP="000A2C5A">
      <w:r>
        <w:separator/>
      </w:r>
    </w:p>
  </w:footnote>
  <w:footnote w:type="continuationSeparator" w:id="0">
    <w:p w14:paraId="3CC3D7DB" w14:textId="77777777" w:rsidR="00262F1A" w:rsidRDefault="00262F1A" w:rsidP="000A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87"/>
    <w:rsid w:val="000063A2"/>
    <w:rsid w:val="00017EF3"/>
    <w:rsid w:val="00020789"/>
    <w:rsid w:val="00022365"/>
    <w:rsid w:val="00026762"/>
    <w:rsid w:val="000276CB"/>
    <w:rsid w:val="00027EA5"/>
    <w:rsid w:val="000325C9"/>
    <w:rsid w:val="00034687"/>
    <w:rsid w:val="000379C4"/>
    <w:rsid w:val="00075366"/>
    <w:rsid w:val="00075E89"/>
    <w:rsid w:val="000A204A"/>
    <w:rsid w:val="000A2C5A"/>
    <w:rsid w:val="000B4E89"/>
    <w:rsid w:val="000C3123"/>
    <w:rsid w:val="000F401E"/>
    <w:rsid w:val="000F4569"/>
    <w:rsid w:val="000F5005"/>
    <w:rsid w:val="00110C86"/>
    <w:rsid w:val="001124B4"/>
    <w:rsid w:val="00125F17"/>
    <w:rsid w:val="001275D7"/>
    <w:rsid w:val="00143CC5"/>
    <w:rsid w:val="00162387"/>
    <w:rsid w:val="0017795C"/>
    <w:rsid w:val="001C300F"/>
    <w:rsid w:val="001C3587"/>
    <w:rsid w:val="001E373E"/>
    <w:rsid w:val="001F2FDB"/>
    <w:rsid w:val="00202F58"/>
    <w:rsid w:val="002326EB"/>
    <w:rsid w:val="00240F33"/>
    <w:rsid w:val="00262F1A"/>
    <w:rsid w:val="00295862"/>
    <w:rsid w:val="002A769A"/>
    <w:rsid w:val="002B4BC8"/>
    <w:rsid w:val="002B5645"/>
    <w:rsid w:val="002B7E85"/>
    <w:rsid w:val="002D3DC9"/>
    <w:rsid w:val="002D59AA"/>
    <w:rsid w:val="002E7DDD"/>
    <w:rsid w:val="003245A3"/>
    <w:rsid w:val="00347ED5"/>
    <w:rsid w:val="003551D2"/>
    <w:rsid w:val="003678E7"/>
    <w:rsid w:val="003910DC"/>
    <w:rsid w:val="003A2883"/>
    <w:rsid w:val="003D5E91"/>
    <w:rsid w:val="00425515"/>
    <w:rsid w:val="00425D03"/>
    <w:rsid w:val="0044167F"/>
    <w:rsid w:val="004655E5"/>
    <w:rsid w:val="00467071"/>
    <w:rsid w:val="00477A5C"/>
    <w:rsid w:val="00480BEB"/>
    <w:rsid w:val="004925A7"/>
    <w:rsid w:val="00495BCB"/>
    <w:rsid w:val="004B4386"/>
    <w:rsid w:val="004B5C4E"/>
    <w:rsid w:val="004C0375"/>
    <w:rsid w:val="004C648F"/>
    <w:rsid w:val="004F2329"/>
    <w:rsid w:val="004F5E8B"/>
    <w:rsid w:val="00505B2F"/>
    <w:rsid w:val="0051214D"/>
    <w:rsid w:val="005242D2"/>
    <w:rsid w:val="00532B07"/>
    <w:rsid w:val="00551C74"/>
    <w:rsid w:val="005530E6"/>
    <w:rsid w:val="005846D8"/>
    <w:rsid w:val="005B09B8"/>
    <w:rsid w:val="005C177C"/>
    <w:rsid w:val="005D5255"/>
    <w:rsid w:val="005E0559"/>
    <w:rsid w:val="005F6F06"/>
    <w:rsid w:val="006017AB"/>
    <w:rsid w:val="00604B0B"/>
    <w:rsid w:val="00610807"/>
    <w:rsid w:val="00626280"/>
    <w:rsid w:val="00634478"/>
    <w:rsid w:val="006505D7"/>
    <w:rsid w:val="00650AE7"/>
    <w:rsid w:val="00652A52"/>
    <w:rsid w:val="006541DA"/>
    <w:rsid w:val="00661C8B"/>
    <w:rsid w:val="0069525F"/>
    <w:rsid w:val="006A2960"/>
    <w:rsid w:val="006B683F"/>
    <w:rsid w:val="006C6A33"/>
    <w:rsid w:val="006C7522"/>
    <w:rsid w:val="006C79A1"/>
    <w:rsid w:val="006C7B85"/>
    <w:rsid w:val="006E07B8"/>
    <w:rsid w:val="006F20CB"/>
    <w:rsid w:val="007272BB"/>
    <w:rsid w:val="00734007"/>
    <w:rsid w:val="00757151"/>
    <w:rsid w:val="00766D9D"/>
    <w:rsid w:val="00796E38"/>
    <w:rsid w:val="007A2932"/>
    <w:rsid w:val="007D1046"/>
    <w:rsid w:val="007D1A22"/>
    <w:rsid w:val="007D7EF0"/>
    <w:rsid w:val="007E4A82"/>
    <w:rsid w:val="007F47ED"/>
    <w:rsid w:val="00806B34"/>
    <w:rsid w:val="00835DCA"/>
    <w:rsid w:val="008378A2"/>
    <w:rsid w:val="008647FC"/>
    <w:rsid w:val="008A10A4"/>
    <w:rsid w:val="008A4A82"/>
    <w:rsid w:val="008A6F54"/>
    <w:rsid w:val="008C1850"/>
    <w:rsid w:val="008C3436"/>
    <w:rsid w:val="008D3192"/>
    <w:rsid w:val="008D700B"/>
    <w:rsid w:val="008D7F23"/>
    <w:rsid w:val="008E3B5B"/>
    <w:rsid w:val="008E5043"/>
    <w:rsid w:val="008F2CB5"/>
    <w:rsid w:val="008F3ED8"/>
    <w:rsid w:val="0091363B"/>
    <w:rsid w:val="00932B82"/>
    <w:rsid w:val="0094679F"/>
    <w:rsid w:val="00947C20"/>
    <w:rsid w:val="00957816"/>
    <w:rsid w:val="00961675"/>
    <w:rsid w:val="00961EBF"/>
    <w:rsid w:val="00963254"/>
    <w:rsid w:val="00964AC4"/>
    <w:rsid w:val="00966A05"/>
    <w:rsid w:val="009708C1"/>
    <w:rsid w:val="009B340E"/>
    <w:rsid w:val="009B3A77"/>
    <w:rsid w:val="009B4ADD"/>
    <w:rsid w:val="009E5199"/>
    <w:rsid w:val="00A145E9"/>
    <w:rsid w:val="00A64AB6"/>
    <w:rsid w:val="00A761C5"/>
    <w:rsid w:val="00A76441"/>
    <w:rsid w:val="00AB680F"/>
    <w:rsid w:val="00AB6A7D"/>
    <w:rsid w:val="00AC4600"/>
    <w:rsid w:val="00AD0396"/>
    <w:rsid w:val="00AD6FD8"/>
    <w:rsid w:val="00AF519C"/>
    <w:rsid w:val="00B1138E"/>
    <w:rsid w:val="00B475E2"/>
    <w:rsid w:val="00B51687"/>
    <w:rsid w:val="00B65A89"/>
    <w:rsid w:val="00B8475C"/>
    <w:rsid w:val="00B84888"/>
    <w:rsid w:val="00B8614E"/>
    <w:rsid w:val="00B90C0E"/>
    <w:rsid w:val="00B94E5A"/>
    <w:rsid w:val="00BF3EEA"/>
    <w:rsid w:val="00C11C53"/>
    <w:rsid w:val="00C260CF"/>
    <w:rsid w:val="00C42BF7"/>
    <w:rsid w:val="00C61495"/>
    <w:rsid w:val="00C70667"/>
    <w:rsid w:val="00C8700E"/>
    <w:rsid w:val="00C96874"/>
    <w:rsid w:val="00CD5292"/>
    <w:rsid w:val="00CF62BF"/>
    <w:rsid w:val="00D13B04"/>
    <w:rsid w:val="00D2270D"/>
    <w:rsid w:val="00D2403F"/>
    <w:rsid w:val="00D2685A"/>
    <w:rsid w:val="00D32FA1"/>
    <w:rsid w:val="00D36351"/>
    <w:rsid w:val="00D369F5"/>
    <w:rsid w:val="00D43F63"/>
    <w:rsid w:val="00D46D41"/>
    <w:rsid w:val="00D52EFA"/>
    <w:rsid w:val="00DA6377"/>
    <w:rsid w:val="00DB3249"/>
    <w:rsid w:val="00DB54BE"/>
    <w:rsid w:val="00DD55C7"/>
    <w:rsid w:val="00DD6292"/>
    <w:rsid w:val="00DE22B6"/>
    <w:rsid w:val="00DE479C"/>
    <w:rsid w:val="00E15B20"/>
    <w:rsid w:val="00E16317"/>
    <w:rsid w:val="00E2649F"/>
    <w:rsid w:val="00E35E39"/>
    <w:rsid w:val="00E42DA7"/>
    <w:rsid w:val="00E669B9"/>
    <w:rsid w:val="00EA3F3C"/>
    <w:rsid w:val="00EA78E4"/>
    <w:rsid w:val="00EC04E6"/>
    <w:rsid w:val="00ED39EE"/>
    <w:rsid w:val="00F10822"/>
    <w:rsid w:val="00F26BE4"/>
    <w:rsid w:val="00F30D2F"/>
    <w:rsid w:val="00F452BB"/>
    <w:rsid w:val="00F45745"/>
    <w:rsid w:val="00F46848"/>
    <w:rsid w:val="00F5239D"/>
    <w:rsid w:val="00F569A6"/>
    <w:rsid w:val="00F61314"/>
    <w:rsid w:val="00F64470"/>
    <w:rsid w:val="00F777F3"/>
    <w:rsid w:val="00F90749"/>
    <w:rsid w:val="00F97368"/>
    <w:rsid w:val="00FB464B"/>
    <w:rsid w:val="00FC192E"/>
    <w:rsid w:val="00FC46CA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F85A"/>
  <w15:chartTrackingRefBased/>
  <w15:docId w15:val="{322C6CC2-8599-42F7-B8AF-37CFB74F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C5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0A2C5A"/>
  </w:style>
  <w:style w:type="paragraph" w:styleId="Footer">
    <w:name w:val="footer"/>
    <w:basedOn w:val="Normal"/>
    <w:link w:val="FooterChar"/>
    <w:uiPriority w:val="99"/>
    <w:unhideWhenUsed/>
    <w:rsid w:val="000A2C5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0A2C5A"/>
  </w:style>
  <w:style w:type="paragraph" w:styleId="BalloonText">
    <w:name w:val="Balloon Text"/>
    <w:basedOn w:val="Normal"/>
    <w:link w:val="BalloonTextChar"/>
    <w:uiPriority w:val="99"/>
    <w:semiHidden/>
    <w:unhideWhenUsed/>
    <w:rsid w:val="004F2329"/>
    <w:rPr>
      <w:rFonts w:eastAsiaTheme="minorHAnsi"/>
      <w:sz w:val="18"/>
      <w:szCs w:val="18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2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A6F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5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64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oeroscoe\Documents\RESEARCH\JILL%20PAPERS\FREEDOM\CURRENT%20DRAFT\RESULTS\Figures%20A1-A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08172539984687"/>
          <c:y val="0.12434423190176022"/>
          <c:w val="0.80027506374370461"/>
          <c:h val="0.85803803956638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multiLvlStrRef>
              <c:f>Sheet1!$A$2:$B$10</c:f>
              <c:multiLvlStrCache>
                <c:ptCount val="9"/>
                <c:lvl>
                  <c:pt idx="0">
                    <c:v>Unrestricted</c:v>
                  </c:pt>
                  <c:pt idx="1">
                    <c:v>Restricted</c:v>
                  </c:pt>
                  <c:pt idx="2">
                    <c:v>Suspended</c:v>
                  </c:pt>
                  <c:pt idx="3">
                    <c:v>Unrestricted</c:v>
                  </c:pt>
                  <c:pt idx="4">
                    <c:v>Restricted</c:v>
                  </c:pt>
                  <c:pt idx="5">
                    <c:v>Suspended</c:v>
                  </c:pt>
                  <c:pt idx="6">
                    <c:v>Unrestricted</c:v>
                  </c:pt>
                  <c:pt idx="7">
                    <c:v>Restricted</c:v>
                  </c:pt>
                  <c:pt idx="8">
                    <c:v>Suspended</c:v>
                  </c:pt>
                </c:lvl>
                <c:lvl>
                  <c:pt idx="0">
                    <c:v>Low Risk (X1)</c:v>
                  </c:pt>
                  <c:pt idx="3">
                    <c:v>Medium Risk (X2)</c:v>
                  </c:pt>
                  <c:pt idx="6">
                    <c:v>High Risk (X3)</c:v>
                  </c:pt>
                </c:lvl>
              </c:multiLvlStrCache>
            </c:multiLvlStrRef>
          </c:cat>
          <c:val>
            <c:numRef>
              <c:f>Sheet1!$C$2:$C$10</c:f>
              <c:numCache>
                <c:formatCode>0.00</c:formatCode>
                <c:ptCount val="9"/>
                <c:pt idx="0">
                  <c:v>1.9072750000000001</c:v>
                </c:pt>
                <c:pt idx="1">
                  <c:v>3.0727530000000001</c:v>
                </c:pt>
                <c:pt idx="2">
                  <c:v>2.28816</c:v>
                </c:pt>
                <c:pt idx="3">
                  <c:v>1.7771429999999999</c:v>
                </c:pt>
                <c:pt idx="4">
                  <c:v>3.0185710000000001</c:v>
                </c:pt>
                <c:pt idx="5">
                  <c:v>2.4142860000000002</c:v>
                </c:pt>
                <c:pt idx="6">
                  <c:v>1.6693439999999999</c:v>
                </c:pt>
                <c:pt idx="7">
                  <c:v>2.9303880000000002</c:v>
                </c:pt>
                <c:pt idx="8">
                  <c:v>2.4953150000000002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14-C54F-B57F-65A50704B8E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Norway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Sheet1!$A$2:$B$10</c:f>
              <c:multiLvlStrCache>
                <c:ptCount val="9"/>
                <c:lvl>
                  <c:pt idx="0">
                    <c:v>Unrestricted</c:v>
                  </c:pt>
                  <c:pt idx="1">
                    <c:v>Restricted</c:v>
                  </c:pt>
                  <c:pt idx="2">
                    <c:v>Suspended</c:v>
                  </c:pt>
                  <c:pt idx="3">
                    <c:v>Unrestricted</c:v>
                  </c:pt>
                  <c:pt idx="4">
                    <c:v>Restricted</c:v>
                  </c:pt>
                  <c:pt idx="5">
                    <c:v>Suspended</c:v>
                  </c:pt>
                  <c:pt idx="6">
                    <c:v>Unrestricted</c:v>
                  </c:pt>
                  <c:pt idx="7">
                    <c:v>Restricted</c:v>
                  </c:pt>
                  <c:pt idx="8">
                    <c:v>Suspended</c:v>
                  </c:pt>
                </c:lvl>
                <c:lvl>
                  <c:pt idx="0">
                    <c:v>Low Risk (X1)</c:v>
                  </c:pt>
                  <c:pt idx="3">
                    <c:v>Medium Risk (X2)</c:v>
                  </c:pt>
                  <c:pt idx="6">
                    <c:v>High Risk (X3)</c:v>
                  </c:pt>
                </c:lvl>
              </c:multiLvlStrCache>
            </c:multiLvlStrRef>
          </c:cat>
          <c:val>
            <c:numRef>
              <c:f>Sheet1!$D$2:$D$10</c:f>
              <c:numCache>
                <c:formatCode>0.00</c:formatCode>
                <c:ptCount val="9"/>
                <c:pt idx="0">
                  <c:v>1.6519170000000001</c:v>
                </c:pt>
                <c:pt idx="1">
                  <c:v>3.2831860000000002</c:v>
                </c:pt>
                <c:pt idx="2">
                  <c:v>2.1651919999999998</c:v>
                </c:pt>
                <c:pt idx="3">
                  <c:v>1.603715</c:v>
                </c:pt>
                <c:pt idx="4">
                  <c:v>3.1981419999999998</c:v>
                </c:pt>
                <c:pt idx="5">
                  <c:v>2.399381</c:v>
                </c:pt>
                <c:pt idx="6">
                  <c:v>1.4850950000000001</c:v>
                </c:pt>
                <c:pt idx="7">
                  <c:v>3.0921409999999998</c:v>
                </c:pt>
                <c:pt idx="8">
                  <c:v>2.392954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14-C54F-B57F-65A50704B8EB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USA (California)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Sheet1!$A$2:$B$10</c:f>
              <c:multiLvlStrCache>
                <c:ptCount val="9"/>
                <c:lvl>
                  <c:pt idx="0">
                    <c:v>Unrestricted</c:v>
                  </c:pt>
                  <c:pt idx="1">
                    <c:v>Restricted</c:v>
                  </c:pt>
                  <c:pt idx="2">
                    <c:v>Suspended</c:v>
                  </c:pt>
                  <c:pt idx="3">
                    <c:v>Unrestricted</c:v>
                  </c:pt>
                  <c:pt idx="4">
                    <c:v>Restricted</c:v>
                  </c:pt>
                  <c:pt idx="5">
                    <c:v>Suspended</c:v>
                  </c:pt>
                  <c:pt idx="6">
                    <c:v>Unrestricted</c:v>
                  </c:pt>
                  <c:pt idx="7">
                    <c:v>Restricted</c:v>
                  </c:pt>
                  <c:pt idx="8">
                    <c:v>Suspended</c:v>
                  </c:pt>
                </c:lvl>
                <c:lvl>
                  <c:pt idx="0">
                    <c:v>Low Risk (X1)</c:v>
                  </c:pt>
                  <c:pt idx="3">
                    <c:v>Medium Risk (X2)</c:v>
                  </c:pt>
                  <c:pt idx="6">
                    <c:v>High Risk (X3)</c:v>
                  </c:pt>
                </c:lvl>
              </c:multiLvlStrCache>
            </c:multiLvlStrRef>
          </c:cat>
          <c:val>
            <c:numRef>
              <c:f>Sheet1!$E$2:$E$10</c:f>
              <c:numCache>
                <c:formatCode>0.00</c:formatCode>
                <c:ptCount val="9"/>
                <c:pt idx="0">
                  <c:v>2.1464089999999998</c:v>
                </c:pt>
                <c:pt idx="1">
                  <c:v>2.8756910000000002</c:v>
                </c:pt>
                <c:pt idx="2">
                  <c:v>2.4033150000000001</c:v>
                </c:pt>
                <c:pt idx="3">
                  <c:v>1.925729</c:v>
                </c:pt>
                <c:pt idx="4">
                  <c:v>2.8647209999999999</c:v>
                </c:pt>
                <c:pt idx="5">
                  <c:v>2.4270559999999999</c:v>
                </c:pt>
                <c:pt idx="6">
                  <c:v>1.8492059999999999</c:v>
                </c:pt>
                <c:pt idx="7">
                  <c:v>2.7724869999999999</c:v>
                </c:pt>
                <c:pt idx="8">
                  <c:v>2.5952380000000002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14-C54F-B57F-65A50704B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1415631"/>
        <c:axId val="1322068399"/>
      </c:barChart>
      <c:catAx>
        <c:axId val="132141563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1322068399"/>
        <c:crosses val="autoZero"/>
        <c:auto val="1"/>
        <c:lblAlgn val="ctr"/>
        <c:lblOffset val="100"/>
        <c:noMultiLvlLbl val="0"/>
      </c:catAx>
      <c:valAx>
        <c:axId val="1322068399"/>
        <c:scaling>
          <c:orientation val="minMax"/>
          <c:max val="4"/>
          <c:min val="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r>
                  <a:rPr lang="en-US" sz="1200" b="0" i="0" baseline="0">
                    <a:effectLst/>
                  </a:rPr>
                  <a:t>Mean Agreement (1=disgree, 4=agree)</a:t>
                </a:r>
                <a:endParaRPr lang="en-US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Garamond" panose="02020404030301010803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US"/>
          </a:p>
        </c:txPr>
        <c:crossAx val="1321415631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61337248098224"/>
          <c:y val="0.31756232686980607"/>
          <c:w val="0.21895523541270101"/>
          <c:h val="0.1672022160664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Garamond" panose="02020404030301010803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Muhammad Baniamin</dc:creator>
  <cp:keywords/>
  <dc:description/>
  <cp:lastModifiedBy>Jill Duerr BERRICK</cp:lastModifiedBy>
  <cp:revision>2</cp:revision>
  <dcterms:created xsi:type="dcterms:W3CDTF">2021-09-05T23:20:00Z</dcterms:created>
  <dcterms:modified xsi:type="dcterms:W3CDTF">2021-09-05T23:20:00Z</dcterms:modified>
</cp:coreProperties>
</file>