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34C" w:rsidRPr="002E283D" w:rsidRDefault="0084134C" w:rsidP="0084134C">
      <w:pPr>
        <w:spacing w:line="360" w:lineRule="auto"/>
        <w:rPr>
          <w:rFonts w:ascii="Times New Roman" w:hAnsi="Times New Roman" w:cs="Times New Roman"/>
          <w:b/>
          <w:sz w:val="24"/>
          <w:szCs w:val="26"/>
        </w:rPr>
      </w:pPr>
      <w:r w:rsidRPr="002E283D">
        <w:rPr>
          <w:rFonts w:ascii="Times New Roman" w:hAnsi="Times New Roman" w:cs="Times New Roman"/>
          <w:b/>
          <w:sz w:val="24"/>
          <w:szCs w:val="26"/>
        </w:rPr>
        <w:t xml:space="preserve">Appendices </w:t>
      </w:r>
    </w:p>
    <w:p w:rsidR="0084134C" w:rsidRPr="00F52129" w:rsidRDefault="0084134C" w:rsidP="0084134C">
      <w:pPr>
        <w:spacing w:line="259" w:lineRule="auto"/>
        <w:rPr>
          <w:rFonts w:ascii="Times New Roman" w:hAnsi="Times New Roman" w:cs="Times New Roman"/>
          <w:sz w:val="24"/>
          <w:szCs w:val="24"/>
        </w:rPr>
      </w:pPr>
      <w:r w:rsidRPr="00F52129">
        <w:rPr>
          <w:rFonts w:ascii="Times New Roman" w:hAnsi="Times New Roman" w:cs="Times New Roman"/>
          <w:b/>
          <w:sz w:val="24"/>
          <w:szCs w:val="24"/>
        </w:rPr>
        <w:t>Appendix A.</w:t>
      </w:r>
      <w:r w:rsidRPr="00F52129">
        <w:rPr>
          <w:rFonts w:ascii="Times New Roman" w:hAnsi="Times New Roman" w:cs="Times New Roman"/>
          <w:sz w:val="24"/>
          <w:szCs w:val="24"/>
        </w:rPr>
        <w:t xml:space="preserve"> Country Sample</w:t>
      </w:r>
    </w:p>
    <w:tbl>
      <w:tblPr>
        <w:tblStyle w:val="GridTable1Light-Accent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84134C" w:rsidRPr="00F52129" w:rsidTr="001354F4">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985" w:type="dxa"/>
            <w:tcBorders>
              <w:left w:val="nil"/>
              <w:bottom w:val="single" w:sz="12" w:space="0" w:color="auto"/>
            </w:tcBorders>
            <w:shd w:val="clear" w:color="auto" w:fill="auto"/>
          </w:tcPr>
          <w:p w:rsidR="0084134C" w:rsidRPr="00CB7805" w:rsidRDefault="0084134C" w:rsidP="001354F4">
            <w:pPr>
              <w:jc w:val="center"/>
              <w:rPr>
                <w:rFonts w:ascii="Times New Roman" w:hAnsi="Times New Roman" w:cs="Times New Roman"/>
                <w:b w:val="0"/>
                <w:sz w:val="6"/>
                <w:szCs w:val="12"/>
              </w:rPr>
            </w:pPr>
          </w:p>
          <w:p w:rsidR="0084134C" w:rsidRPr="00F52129" w:rsidRDefault="0084134C" w:rsidP="001354F4">
            <w:pPr>
              <w:rPr>
                <w:rFonts w:ascii="Times New Roman" w:hAnsi="Times New Roman" w:cs="Times New Roman"/>
                <w:b w:val="0"/>
                <w:sz w:val="24"/>
                <w:szCs w:val="24"/>
              </w:rPr>
            </w:pPr>
            <w:r w:rsidRPr="00F52129">
              <w:rPr>
                <w:rFonts w:ascii="Times New Roman" w:hAnsi="Times New Roman" w:cs="Times New Roman"/>
                <w:b w:val="0"/>
                <w:sz w:val="24"/>
                <w:szCs w:val="24"/>
              </w:rPr>
              <w:t>Continents</w:t>
            </w:r>
          </w:p>
        </w:tc>
        <w:tc>
          <w:tcPr>
            <w:tcW w:w="7087" w:type="dxa"/>
            <w:tcBorders>
              <w:bottom w:val="single" w:sz="12" w:space="0" w:color="auto"/>
              <w:right w:val="nil"/>
            </w:tcBorders>
            <w:shd w:val="clear" w:color="auto" w:fill="auto"/>
          </w:tcPr>
          <w:p w:rsidR="0084134C" w:rsidRPr="00CB7805" w:rsidRDefault="0084134C" w:rsidP="001354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4"/>
                <w:szCs w:val="12"/>
              </w:rPr>
            </w:pPr>
          </w:p>
          <w:p w:rsidR="0084134C" w:rsidRPr="00F52129" w:rsidRDefault="0084134C" w:rsidP="001354F4">
            <w:pPr>
              <w:tabs>
                <w:tab w:val="left" w:pos="1841"/>
                <w:tab w:val="center" w:pos="3435"/>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sidRPr="00F52129">
              <w:rPr>
                <w:rFonts w:ascii="Times New Roman" w:hAnsi="Times New Roman" w:cs="Times New Roman"/>
                <w:b w:val="0"/>
                <w:sz w:val="24"/>
                <w:szCs w:val="24"/>
              </w:rPr>
              <w:t>Countries</w:t>
            </w:r>
          </w:p>
        </w:tc>
      </w:tr>
      <w:tr w:rsidR="0084134C" w:rsidRPr="00B508C9" w:rsidTr="001354F4">
        <w:trPr>
          <w:trHeight w:val="639"/>
        </w:trPr>
        <w:tc>
          <w:tcPr>
            <w:cnfStyle w:val="001000000000" w:firstRow="0" w:lastRow="0" w:firstColumn="1" w:lastColumn="0" w:oddVBand="0" w:evenVBand="0" w:oddHBand="0" w:evenHBand="0" w:firstRowFirstColumn="0" w:firstRowLastColumn="0" w:lastRowFirstColumn="0" w:lastRowLastColumn="0"/>
            <w:tcW w:w="1985" w:type="dxa"/>
            <w:tcBorders>
              <w:top w:val="single" w:sz="12" w:space="0" w:color="auto"/>
              <w:left w:val="nil"/>
            </w:tcBorders>
          </w:tcPr>
          <w:p w:rsidR="0084134C" w:rsidRPr="00F52129" w:rsidRDefault="0084134C" w:rsidP="001354F4">
            <w:pPr>
              <w:rPr>
                <w:rFonts w:ascii="Times New Roman" w:hAnsi="Times New Roman" w:cs="Times New Roman"/>
                <w:b w:val="0"/>
                <w:sz w:val="24"/>
                <w:szCs w:val="24"/>
              </w:rPr>
            </w:pPr>
          </w:p>
          <w:p w:rsidR="0084134C" w:rsidRPr="00F52129" w:rsidRDefault="0084134C" w:rsidP="001354F4">
            <w:pPr>
              <w:rPr>
                <w:rFonts w:ascii="Times New Roman" w:hAnsi="Times New Roman" w:cs="Times New Roman"/>
                <w:b w:val="0"/>
                <w:sz w:val="24"/>
                <w:szCs w:val="24"/>
              </w:rPr>
            </w:pPr>
          </w:p>
          <w:p w:rsidR="0084134C" w:rsidRPr="00F52129" w:rsidRDefault="0084134C" w:rsidP="001354F4">
            <w:pPr>
              <w:rPr>
                <w:rFonts w:ascii="Times New Roman" w:hAnsi="Times New Roman" w:cs="Times New Roman"/>
                <w:b w:val="0"/>
                <w:sz w:val="24"/>
                <w:szCs w:val="24"/>
              </w:rPr>
            </w:pPr>
            <w:r w:rsidRPr="00F52129">
              <w:rPr>
                <w:rFonts w:ascii="Times New Roman" w:hAnsi="Times New Roman" w:cs="Times New Roman"/>
                <w:b w:val="0"/>
                <w:sz w:val="24"/>
                <w:szCs w:val="24"/>
              </w:rPr>
              <w:t>Africa</w:t>
            </w:r>
          </w:p>
        </w:tc>
        <w:tc>
          <w:tcPr>
            <w:tcW w:w="7087" w:type="dxa"/>
            <w:tcBorders>
              <w:top w:val="single" w:sz="12" w:space="0" w:color="auto"/>
              <w:right w:val="nil"/>
            </w:tcBorders>
          </w:tcPr>
          <w:p w:rsidR="0084134C" w:rsidRPr="00F52129" w:rsidRDefault="0084134C" w:rsidP="001354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10"/>
              </w:rPr>
            </w:pPr>
          </w:p>
          <w:p w:rsidR="0084134C" w:rsidRPr="00F52129" w:rsidRDefault="0084134C" w:rsidP="001354F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lang w:val="it-CH"/>
              </w:rPr>
            </w:pPr>
            <w:r w:rsidRPr="00F52129">
              <w:rPr>
                <w:rFonts w:ascii="Times New Roman" w:hAnsi="Times New Roman" w:cs="Times New Roman"/>
                <w:sz w:val="18"/>
                <w:szCs w:val="24"/>
                <w:lang w:val="it-CH"/>
              </w:rPr>
              <w:t xml:space="preserve">Algeria   Angola   Benin   Botswana   Burkina Faso   Burundi   </w:t>
            </w:r>
            <w:proofErr w:type="spellStart"/>
            <w:r w:rsidRPr="00F52129">
              <w:rPr>
                <w:rFonts w:ascii="Times New Roman" w:hAnsi="Times New Roman" w:cs="Times New Roman"/>
                <w:sz w:val="18"/>
                <w:szCs w:val="24"/>
                <w:lang w:val="it-CH"/>
              </w:rPr>
              <w:t>Cabo</w:t>
            </w:r>
            <w:proofErr w:type="spellEnd"/>
            <w:r w:rsidRPr="00F52129">
              <w:rPr>
                <w:rFonts w:ascii="Times New Roman" w:hAnsi="Times New Roman" w:cs="Times New Roman"/>
                <w:sz w:val="18"/>
                <w:szCs w:val="24"/>
                <w:lang w:val="it-CH"/>
              </w:rPr>
              <w:t xml:space="preserve"> Verde   Cameroon   C. </w:t>
            </w:r>
            <w:proofErr w:type="spellStart"/>
            <w:r w:rsidRPr="00F52129">
              <w:rPr>
                <w:rFonts w:ascii="Times New Roman" w:hAnsi="Times New Roman" w:cs="Times New Roman"/>
                <w:sz w:val="18"/>
                <w:szCs w:val="24"/>
                <w:lang w:val="it-CH"/>
              </w:rPr>
              <w:t>African</w:t>
            </w:r>
            <w:proofErr w:type="spellEnd"/>
            <w:r w:rsidRPr="00F52129">
              <w:rPr>
                <w:rFonts w:ascii="Times New Roman" w:hAnsi="Times New Roman" w:cs="Times New Roman"/>
                <w:sz w:val="18"/>
                <w:szCs w:val="24"/>
                <w:lang w:val="it-CH"/>
              </w:rPr>
              <w:t xml:space="preserve"> Republic   Chad   Congo, </w:t>
            </w:r>
            <w:proofErr w:type="spellStart"/>
            <w:r w:rsidRPr="00F52129">
              <w:rPr>
                <w:rFonts w:ascii="Times New Roman" w:hAnsi="Times New Roman" w:cs="Times New Roman"/>
                <w:sz w:val="18"/>
                <w:szCs w:val="24"/>
                <w:lang w:val="it-CH"/>
              </w:rPr>
              <w:t>Dem</w:t>
            </w:r>
            <w:proofErr w:type="spellEnd"/>
            <w:r w:rsidRPr="00F52129">
              <w:rPr>
                <w:rFonts w:ascii="Times New Roman" w:hAnsi="Times New Roman" w:cs="Times New Roman"/>
                <w:sz w:val="18"/>
                <w:szCs w:val="24"/>
                <w:lang w:val="it-CH"/>
              </w:rPr>
              <w:t>. Rep.   Congo, Rep.   Cote d'</w:t>
            </w:r>
            <w:proofErr w:type="spellStart"/>
            <w:r w:rsidRPr="00F52129">
              <w:rPr>
                <w:rFonts w:ascii="Times New Roman" w:hAnsi="Times New Roman" w:cs="Times New Roman"/>
                <w:sz w:val="18"/>
                <w:szCs w:val="24"/>
                <w:lang w:val="it-CH"/>
              </w:rPr>
              <w:t>Ivoire</w:t>
            </w:r>
            <w:proofErr w:type="spellEnd"/>
            <w:r w:rsidRPr="00F52129">
              <w:rPr>
                <w:rFonts w:ascii="Times New Roman" w:hAnsi="Times New Roman" w:cs="Times New Roman"/>
                <w:sz w:val="18"/>
                <w:szCs w:val="24"/>
                <w:lang w:val="it-CH"/>
              </w:rPr>
              <w:t xml:space="preserve">   Djibouti   </w:t>
            </w:r>
            <w:proofErr w:type="spellStart"/>
            <w:r w:rsidRPr="00F52129">
              <w:rPr>
                <w:rFonts w:ascii="Times New Roman" w:hAnsi="Times New Roman" w:cs="Times New Roman"/>
                <w:sz w:val="18"/>
                <w:szCs w:val="24"/>
                <w:lang w:val="it-CH"/>
              </w:rPr>
              <w:t>Egypt</w:t>
            </w:r>
            <w:proofErr w:type="spellEnd"/>
            <w:r w:rsidRPr="00F52129">
              <w:rPr>
                <w:rFonts w:ascii="Times New Roman" w:hAnsi="Times New Roman" w:cs="Times New Roman"/>
                <w:sz w:val="18"/>
                <w:szCs w:val="24"/>
                <w:lang w:val="it-CH"/>
              </w:rPr>
              <w:t xml:space="preserve">, </w:t>
            </w:r>
            <w:proofErr w:type="spellStart"/>
            <w:r w:rsidRPr="00F52129">
              <w:rPr>
                <w:rFonts w:ascii="Times New Roman" w:hAnsi="Times New Roman" w:cs="Times New Roman"/>
                <w:sz w:val="18"/>
                <w:szCs w:val="24"/>
                <w:lang w:val="it-CH"/>
              </w:rPr>
              <w:t>Arab</w:t>
            </w:r>
            <w:proofErr w:type="spellEnd"/>
            <w:r w:rsidRPr="00F52129">
              <w:rPr>
                <w:rFonts w:ascii="Times New Roman" w:hAnsi="Times New Roman" w:cs="Times New Roman"/>
                <w:sz w:val="18"/>
                <w:szCs w:val="24"/>
                <w:lang w:val="it-CH"/>
              </w:rPr>
              <w:t xml:space="preserve"> Rep.   </w:t>
            </w:r>
            <w:proofErr w:type="spellStart"/>
            <w:r w:rsidRPr="00F52129">
              <w:rPr>
                <w:rFonts w:ascii="Times New Roman" w:hAnsi="Times New Roman" w:cs="Times New Roman"/>
                <w:sz w:val="18"/>
                <w:szCs w:val="24"/>
                <w:lang w:val="it-CH"/>
              </w:rPr>
              <w:t>Ethiopia</w:t>
            </w:r>
            <w:proofErr w:type="spellEnd"/>
            <w:r w:rsidRPr="00F52129">
              <w:rPr>
                <w:rFonts w:ascii="Times New Roman" w:hAnsi="Times New Roman" w:cs="Times New Roman"/>
                <w:sz w:val="18"/>
                <w:szCs w:val="24"/>
                <w:lang w:val="it-CH"/>
              </w:rPr>
              <w:t xml:space="preserve">   Gambia, The   Ghana   Guinea   Lesotho   Liberia   Madagascar   Malawi   Mali   Mauritania   Mauritius   Morocco   </w:t>
            </w:r>
            <w:proofErr w:type="spellStart"/>
            <w:r w:rsidRPr="00F52129">
              <w:rPr>
                <w:rFonts w:ascii="Times New Roman" w:hAnsi="Times New Roman" w:cs="Times New Roman"/>
                <w:sz w:val="18"/>
                <w:szCs w:val="24"/>
                <w:lang w:val="it-CH"/>
              </w:rPr>
              <w:t>Mozambique</w:t>
            </w:r>
            <w:proofErr w:type="spellEnd"/>
            <w:r w:rsidRPr="00F52129">
              <w:rPr>
                <w:rFonts w:ascii="Times New Roman" w:hAnsi="Times New Roman" w:cs="Times New Roman"/>
                <w:sz w:val="18"/>
                <w:szCs w:val="24"/>
                <w:lang w:val="it-CH"/>
              </w:rPr>
              <w:t xml:space="preserve">   Namibia   Niger   Nigeria   </w:t>
            </w:r>
            <w:proofErr w:type="spellStart"/>
            <w:r w:rsidRPr="00F52129">
              <w:rPr>
                <w:rFonts w:ascii="Times New Roman" w:hAnsi="Times New Roman" w:cs="Times New Roman"/>
                <w:sz w:val="18"/>
                <w:szCs w:val="24"/>
                <w:lang w:val="it-CH"/>
              </w:rPr>
              <w:t>Rwanda</w:t>
            </w:r>
            <w:proofErr w:type="spellEnd"/>
            <w:r w:rsidRPr="00F52129">
              <w:rPr>
                <w:rFonts w:ascii="Times New Roman" w:hAnsi="Times New Roman" w:cs="Times New Roman"/>
                <w:sz w:val="18"/>
                <w:szCs w:val="24"/>
                <w:lang w:val="it-CH"/>
              </w:rPr>
              <w:t xml:space="preserve">   Senegal   Sierra Leone   South Africa   Sudan   Tanzania   Togo   Tunisia   Uganda   Zambia   Zimbabwe   Kenya</w:t>
            </w:r>
          </w:p>
          <w:p w:rsidR="0084134C" w:rsidRPr="00F52129" w:rsidRDefault="0084134C" w:rsidP="001354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0"/>
                <w:szCs w:val="10"/>
                <w:lang w:val="it-CH"/>
              </w:rPr>
            </w:pPr>
          </w:p>
        </w:tc>
      </w:tr>
      <w:tr w:rsidR="0084134C" w:rsidRPr="00F52129" w:rsidTr="001354F4">
        <w:trPr>
          <w:trHeight w:val="1066"/>
        </w:trPr>
        <w:tc>
          <w:tcPr>
            <w:cnfStyle w:val="001000000000" w:firstRow="0" w:lastRow="0" w:firstColumn="1" w:lastColumn="0" w:oddVBand="0" w:evenVBand="0" w:oddHBand="0" w:evenHBand="0" w:firstRowFirstColumn="0" w:firstRowLastColumn="0" w:lastRowFirstColumn="0" w:lastRowLastColumn="0"/>
            <w:tcW w:w="1985" w:type="dxa"/>
            <w:tcBorders>
              <w:left w:val="nil"/>
            </w:tcBorders>
          </w:tcPr>
          <w:p w:rsidR="0084134C" w:rsidRPr="00F52129" w:rsidRDefault="0084134C" w:rsidP="001354F4">
            <w:pPr>
              <w:rPr>
                <w:rFonts w:ascii="Times New Roman" w:hAnsi="Times New Roman" w:cs="Times New Roman"/>
                <w:b w:val="0"/>
                <w:sz w:val="24"/>
                <w:szCs w:val="24"/>
                <w:lang w:val="it-CH"/>
              </w:rPr>
            </w:pPr>
          </w:p>
          <w:p w:rsidR="0084134C" w:rsidRPr="00F52129" w:rsidRDefault="0084134C" w:rsidP="001354F4">
            <w:pPr>
              <w:rPr>
                <w:rFonts w:ascii="Times New Roman" w:hAnsi="Times New Roman" w:cs="Times New Roman"/>
                <w:b w:val="0"/>
                <w:sz w:val="24"/>
                <w:szCs w:val="24"/>
              </w:rPr>
            </w:pPr>
            <w:r w:rsidRPr="00F52129">
              <w:rPr>
                <w:rFonts w:ascii="Times New Roman" w:hAnsi="Times New Roman" w:cs="Times New Roman"/>
                <w:b w:val="0"/>
                <w:sz w:val="24"/>
                <w:szCs w:val="24"/>
              </w:rPr>
              <w:t>Asia and Australia</w:t>
            </w:r>
          </w:p>
        </w:tc>
        <w:tc>
          <w:tcPr>
            <w:tcW w:w="7087" w:type="dxa"/>
            <w:tcBorders>
              <w:right w:val="nil"/>
            </w:tcBorders>
          </w:tcPr>
          <w:p w:rsidR="0084134C" w:rsidRPr="00F52129" w:rsidRDefault="0084134C" w:rsidP="001354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10"/>
              </w:rPr>
            </w:pPr>
          </w:p>
          <w:p w:rsidR="0084134C" w:rsidRPr="00F52129" w:rsidRDefault="0084134C" w:rsidP="001354F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F52129">
              <w:rPr>
                <w:rFonts w:ascii="Times New Roman" w:hAnsi="Times New Roman" w:cs="Times New Roman"/>
                <w:sz w:val="18"/>
                <w:szCs w:val="24"/>
              </w:rPr>
              <w:t>Azerbaijan   Bahrain   Bangladesh   Bhutan   Brunei Darussalam   Cambodia   China   India   Indonesia   Iran, Islamic Rep.   Israel   Japan   Jordan   Kuwait   Lao PDR   Lebanon   Malaysia   Mongolia   Myanmar   Nepal   Oman   Pakistan   Philippines   Qatar   Saudi Arabia   Singapore   Sri Lanka   Tajikistan   Thailand   Vietnam   Yemen, Rep.   Cyprus   Korea, Rep.   Kyrgyz Republic   Uzbekistan   Australia   New Zealand</w:t>
            </w:r>
          </w:p>
          <w:p w:rsidR="0084134C" w:rsidRPr="00F52129" w:rsidRDefault="0084134C" w:rsidP="001354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8"/>
                <w:szCs w:val="8"/>
              </w:rPr>
            </w:pPr>
          </w:p>
        </w:tc>
      </w:tr>
      <w:tr w:rsidR="0084134C" w:rsidRPr="00F52129" w:rsidTr="001354F4">
        <w:trPr>
          <w:trHeight w:val="1040"/>
        </w:trPr>
        <w:tc>
          <w:tcPr>
            <w:cnfStyle w:val="001000000000" w:firstRow="0" w:lastRow="0" w:firstColumn="1" w:lastColumn="0" w:oddVBand="0" w:evenVBand="0" w:oddHBand="0" w:evenHBand="0" w:firstRowFirstColumn="0" w:firstRowLastColumn="0" w:lastRowFirstColumn="0" w:lastRowLastColumn="0"/>
            <w:tcW w:w="1985" w:type="dxa"/>
            <w:tcBorders>
              <w:left w:val="nil"/>
            </w:tcBorders>
          </w:tcPr>
          <w:p w:rsidR="0084134C" w:rsidRPr="00F52129" w:rsidRDefault="0084134C" w:rsidP="001354F4">
            <w:pPr>
              <w:rPr>
                <w:rFonts w:ascii="Times New Roman" w:hAnsi="Times New Roman" w:cs="Times New Roman"/>
                <w:b w:val="0"/>
                <w:sz w:val="36"/>
                <w:szCs w:val="24"/>
              </w:rPr>
            </w:pPr>
          </w:p>
          <w:p w:rsidR="0084134C" w:rsidRDefault="0084134C" w:rsidP="001354F4">
            <w:pPr>
              <w:rPr>
                <w:rFonts w:ascii="Times New Roman" w:hAnsi="Times New Roman" w:cs="Times New Roman"/>
                <w:bCs w:val="0"/>
                <w:sz w:val="24"/>
                <w:szCs w:val="24"/>
              </w:rPr>
            </w:pPr>
            <w:r w:rsidRPr="00F52129">
              <w:rPr>
                <w:rFonts w:ascii="Times New Roman" w:hAnsi="Times New Roman" w:cs="Times New Roman"/>
                <w:b w:val="0"/>
                <w:sz w:val="24"/>
                <w:szCs w:val="24"/>
              </w:rPr>
              <w:t>Europe</w:t>
            </w:r>
          </w:p>
          <w:p w:rsidR="0084134C" w:rsidRPr="00F52129" w:rsidRDefault="0084134C" w:rsidP="001354F4">
            <w:pPr>
              <w:rPr>
                <w:rFonts w:ascii="Times New Roman" w:hAnsi="Times New Roman" w:cs="Times New Roman"/>
                <w:sz w:val="16"/>
                <w:szCs w:val="24"/>
              </w:rPr>
            </w:pPr>
          </w:p>
        </w:tc>
        <w:tc>
          <w:tcPr>
            <w:tcW w:w="7087" w:type="dxa"/>
            <w:tcBorders>
              <w:right w:val="nil"/>
            </w:tcBorders>
          </w:tcPr>
          <w:p w:rsidR="0084134C" w:rsidRPr="00F52129" w:rsidRDefault="0084134C" w:rsidP="001354F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F52129">
              <w:rPr>
                <w:rFonts w:ascii="Times New Roman" w:hAnsi="Times New Roman" w:cs="Times New Roman"/>
                <w:sz w:val="18"/>
                <w:szCs w:val="24"/>
              </w:rPr>
              <w:t>Albania   Armenia   Austria   Belgium   Bulgaria   Croatia   Czech Republic   Denmark   Estonia   Finland   France   Georgia   Germany   Greece   Hungary   Iceland   Ireland   Italy   Lithuania   Luxembourg   Macedonia, N.   Montenegro   Netherlands   Poland   Portugal   Romania   Russian Federation   Serbia   Slovak Republic   Slovenia   Spain   Sweden   Switzerland   Ukraine   United</w:t>
            </w:r>
            <w:r>
              <w:rPr>
                <w:rFonts w:ascii="Times New Roman" w:hAnsi="Times New Roman" w:cs="Times New Roman"/>
                <w:sz w:val="18"/>
                <w:szCs w:val="24"/>
              </w:rPr>
              <w:t>-</w:t>
            </w:r>
            <w:r w:rsidRPr="00F52129">
              <w:rPr>
                <w:rFonts w:ascii="Times New Roman" w:hAnsi="Times New Roman" w:cs="Times New Roman"/>
                <w:sz w:val="18"/>
                <w:szCs w:val="24"/>
              </w:rPr>
              <w:t xml:space="preserve"> Kingdom   Norway   Belarus   Kazakhstan   Latvia   Malta   Moldova   Turkey</w:t>
            </w:r>
          </w:p>
          <w:p w:rsidR="0084134C" w:rsidRPr="00F52129" w:rsidRDefault="0084134C" w:rsidP="001354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8"/>
              </w:rPr>
            </w:pPr>
          </w:p>
        </w:tc>
      </w:tr>
      <w:tr w:rsidR="0084134C" w:rsidRPr="00925429" w:rsidTr="001354F4">
        <w:trPr>
          <w:trHeight w:val="484"/>
        </w:trPr>
        <w:tc>
          <w:tcPr>
            <w:cnfStyle w:val="001000000000" w:firstRow="0" w:lastRow="0" w:firstColumn="1" w:lastColumn="0" w:oddVBand="0" w:evenVBand="0" w:oddHBand="0" w:evenHBand="0" w:firstRowFirstColumn="0" w:firstRowLastColumn="0" w:lastRowFirstColumn="0" w:lastRowLastColumn="0"/>
            <w:tcW w:w="1985" w:type="dxa"/>
            <w:tcBorders>
              <w:left w:val="nil"/>
            </w:tcBorders>
          </w:tcPr>
          <w:p w:rsidR="0084134C" w:rsidRPr="00F52129" w:rsidRDefault="0084134C" w:rsidP="001354F4">
            <w:pPr>
              <w:rPr>
                <w:rFonts w:ascii="Times New Roman" w:hAnsi="Times New Roman" w:cs="Times New Roman"/>
                <w:b w:val="0"/>
                <w:sz w:val="10"/>
                <w:szCs w:val="24"/>
              </w:rPr>
            </w:pPr>
          </w:p>
          <w:p w:rsidR="0084134C" w:rsidRPr="00F52129" w:rsidRDefault="0084134C" w:rsidP="001354F4">
            <w:pPr>
              <w:rPr>
                <w:rFonts w:ascii="Times New Roman" w:hAnsi="Times New Roman" w:cs="Times New Roman"/>
                <w:b w:val="0"/>
                <w:sz w:val="24"/>
                <w:szCs w:val="24"/>
              </w:rPr>
            </w:pPr>
            <w:r w:rsidRPr="00F52129">
              <w:rPr>
                <w:rFonts w:ascii="Times New Roman" w:hAnsi="Times New Roman" w:cs="Times New Roman"/>
                <w:b w:val="0"/>
                <w:sz w:val="24"/>
                <w:szCs w:val="24"/>
              </w:rPr>
              <w:t>South America</w:t>
            </w:r>
          </w:p>
        </w:tc>
        <w:tc>
          <w:tcPr>
            <w:tcW w:w="7087" w:type="dxa"/>
            <w:tcBorders>
              <w:right w:val="nil"/>
            </w:tcBorders>
          </w:tcPr>
          <w:p w:rsidR="0084134C" w:rsidRPr="00F52129" w:rsidRDefault="0084134C" w:rsidP="001354F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lang w:val="it-CH"/>
              </w:rPr>
            </w:pPr>
            <w:r w:rsidRPr="00F52129">
              <w:rPr>
                <w:rFonts w:ascii="Times New Roman" w:hAnsi="Times New Roman" w:cs="Times New Roman"/>
                <w:sz w:val="18"/>
                <w:szCs w:val="24"/>
                <w:lang w:val="it-CH"/>
              </w:rPr>
              <w:t>Argentina   Bolivia   Brazil   Chile   Colombia   Ecuador   Guyana   Paraguay   Peru   Uruguay   Venezuela, RB   Mexico</w:t>
            </w:r>
          </w:p>
          <w:p w:rsidR="0084134C" w:rsidRPr="00F52129" w:rsidRDefault="0084134C" w:rsidP="001354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lang w:val="it-CH"/>
              </w:rPr>
            </w:pPr>
          </w:p>
        </w:tc>
      </w:tr>
      <w:tr w:rsidR="0084134C" w:rsidRPr="00F52129" w:rsidTr="001354F4">
        <w:trPr>
          <w:trHeight w:val="709"/>
        </w:trPr>
        <w:tc>
          <w:tcPr>
            <w:cnfStyle w:val="001000000000" w:firstRow="0" w:lastRow="0" w:firstColumn="1" w:lastColumn="0" w:oddVBand="0" w:evenVBand="0" w:oddHBand="0" w:evenHBand="0" w:firstRowFirstColumn="0" w:firstRowLastColumn="0" w:lastRowFirstColumn="0" w:lastRowLastColumn="0"/>
            <w:tcW w:w="1985" w:type="dxa"/>
            <w:tcBorders>
              <w:left w:val="nil"/>
            </w:tcBorders>
          </w:tcPr>
          <w:p w:rsidR="0084134C" w:rsidRPr="00F52129" w:rsidRDefault="0084134C" w:rsidP="001354F4">
            <w:pPr>
              <w:rPr>
                <w:rFonts w:ascii="Times New Roman" w:hAnsi="Times New Roman" w:cs="Times New Roman"/>
                <w:b w:val="0"/>
                <w:sz w:val="16"/>
                <w:szCs w:val="24"/>
                <w:lang w:val="it-CH"/>
              </w:rPr>
            </w:pPr>
          </w:p>
          <w:p w:rsidR="0084134C" w:rsidRPr="00F52129" w:rsidRDefault="0084134C" w:rsidP="001354F4">
            <w:pPr>
              <w:rPr>
                <w:rFonts w:ascii="Times New Roman" w:hAnsi="Times New Roman" w:cs="Times New Roman"/>
                <w:b w:val="0"/>
                <w:sz w:val="24"/>
                <w:szCs w:val="24"/>
              </w:rPr>
            </w:pPr>
            <w:r w:rsidRPr="00F52129">
              <w:rPr>
                <w:rFonts w:ascii="Times New Roman" w:hAnsi="Times New Roman" w:cs="Times New Roman"/>
                <w:b w:val="0"/>
                <w:sz w:val="24"/>
                <w:szCs w:val="24"/>
              </w:rPr>
              <w:t>North America</w:t>
            </w:r>
          </w:p>
          <w:p w:rsidR="0084134C" w:rsidRPr="00F52129" w:rsidRDefault="0084134C" w:rsidP="001354F4">
            <w:pPr>
              <w:rPr>
                <w:rFonts w:ascii="Times New Roman" w:hAnsi="Times New Roman" w:cs="Times New Roman"/>
                <w:b w:val="0"/>
                <w:sz w:val="14"/>
                <w:szCs w:val="24"/>
              </w:rPr>
            </w:pPr>
          </w:p>
        </w:tc>
        <w:tc>
          <w:tcPr>
            <w:tcW w:w="7087" w:type="dxa"/>
            <w:tcBorders>
              <w:right w:val="nil"/>
            </w:tcBorders>
          </w:tcPr>
          <w:p w:rsidR="0084134C" w:rsidRPr="00F52129" w:rsidRDefault="0084134C" w:rsidP="001354F4">
            <w:pPr>
              <w:tabs>
                <w:tab w:val="left" w:pos="3731"/>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F52129">
              <w:rPr>
                <w:rFonts w:ascii="Times New Roman" w:hAnsi="Times New Roman" w:cs="Times New Roman"/>
                <w:sz w:val="18"/>
                <w:szCs w:val="24"/>
              </w:rPr>
              <w:t xml:space="preserve">Canada   United States   Bahamas, The   Barbados   Belize   Costa Rica   Cuba   Dominican Republic   El Salvador   Guatemala   Honduras   Jamaica   Nicaragua   Panama </w:t>
            </w:r>
            <w:r>
              <w:rPr>
                <w:rFonts w:ascii="Times New Roman" w:hAnsi="Times New Roman" w:cs="Times New Roman"/>
                <w:sz w:val="18"/>
                <w:szCs w:val="24"/>
              </w:rPr>
              <w:t xml:space="preserve">  St. Lucia   Trinidad &amp; Tobago</w:t>
            </w:r>
          </w:p>
        </w:tc>
      </w:tr>
    </w:tbl>
    <w:p w:rsidR="0084134C" w:rsidRPr="005646E2" w:rsidRDefault="0084134C" w:rsidP="0084134C">
      <w:pPr>
        <w:spacing w:line="360" w:lineRule="auto"/>
        <w:rPr>
          <w:rFonts w:ascii="Times New Roman" w:hAnsi="Times New Roman" w:cs="Times New Roman"/>
          <w:b/>
          <w:sz w:val="36"/>
          <w:szCs w:val="26"/>
        </w:rPr>
      </w:pPr>
    </w:p>
    <w:p w:rsidR="0084134C" w:rsidRDefault="0084134C" w:rsidP="0084134C">
      <w:pPr>
        <w:spacing w:line="259" w:lineRule="auto"/>
        <w:rPr>
          <w:rFonts w:ascii="Times New Roman" w:hAnsi="Times New Roman" w:cs="Times New Roman"/>
          <w:sz w:val="24"/>
          <w:szCs w:val="24"/>
        </w:rPr>
      </w:pPr>
      <w:r w:rsidRPr="004B0E77">
        <w:rPr>
          <w:rFonts w:ascii="Times New Roman" w:hAnsi="Times New Roman" w:cs="Times New Roman"/>
          <w:b/>
          <w:sz w:val="24"/>
          <w:szCs w:val="24"/>
        </w:rPr>
        <w:t>Appendix B.</w:t>
      </w:r>
      <w:r w:rsidRPr="00AD4130">
        <w:rPr>
          <w:rFonts w:ascii="Times New Roman" w:hAnsi="Times New Roman" w:cs="Times New Roman"/>
          <w:sz w:val="24"/>
          <w:szCs w:val="24"/>
        </w:rPr>
        <w:t xml:space="preserve"> Variables, Descriptions, and Sources</w:t>
      </w:r>
    </w:p>
    <w:tbl>
      <w:tblPr>
        <w:tblStyle w:val="GridTable1Light-Accent3"/>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969"/>
        <w:gridCol w:w="1984"/>
        <w:gridCol w:w="851"/>
      </w:tblGrid>
      <w:tr w:rsidR="0084134C" w:rsidRPr="00AD4130" w:rsidTr="001354F4">
        <w:trPr>
          <w:cnfStyle w:val="100000000000" w:firstRow="1" w:lastRow="0" w:firstColumn="0" w:lastColumn="0" w:oddVBand="0" w:evenVBand="0" w:oddHBand="0" w:evenHBand="0" w:firstRowFirstColumn="0" w:firstRowLastColumn="0" w:lastRowFirstColumn="0" w:lastRowLastColumn="0"/>
          <w:trHeight w:val="355"/>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nil"/>
              <w:bottom w:val="single" w:sz="18" w:space="0" w:color="auto"/>
              <w:right w:val="single" w:sz="4" w:space="0" w:color="auto"/>
            </w:tcBorders>
            <w:shd w:val="clear" w:color="auto" w:fill="auto"/>
            <w:vAlign w:val="center"/>
          </w:tcPr>
          <w:p w:rsidR="0084134C" w:rsidRPr="00CB7805" w:rsidRDefault="0084134C" w:rsidP="001354F4">
            <w:pPr>
              <w:rPr>
                <w:rFonts w:ascii="Times New Roman" w:hAnsi="Times New Roman" w:cs="Times New Roman"/>
                <w:b w:val="0"/>
                <w:szCs w:val="19"/>
              </w:rPr>
            </w:pPr>
            <w:r w:rsidRPr="00CB7805">
              <w:rPr>
                <w:rFonts w:ascii="Times New Roman" w:hAnsi="Times New Roman" w:cs="Times New Roman"/>
                <w:b w:val="0"/>
                <w:szCs w:val="19"/>
              </w:rPr>
              <w:t>Variable Code</w:t>
            </w:r>
          </w:p>
        </w:tc>
        <w:tc>
          <w:tcPr>
            <w:tcW w:w="3969" w:type="dxa"/>
            <w:tcBorders>
              <w:top w:val="single" w:sz="4" w:space="0" w:color="auto"/>
              <w:left w:val="single" w:sz="4" w:space="0" w:color="auto"/>
              <w:bottom w:val="single" w:sz="18" w:space="0" w:color="auto"/>
              <w:right w:val="nil"/>
            </w:tcBorders>
            <w:shd w:val="clear" w:color="auto" w:fill="auto"/>
            <w:vAlign w:val="center"/>
          </w:tcPr>
          <w:p w:rsidR="0084134C" w:rsidRPr="00CB7805" w:rsidRDefault="0084134C" w:rsidP="001354F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19"/>
              </w:rPr>
            </w:pPr>
            <w:r w:rsidRPr="00CB7805">
              <w:rPr>
                <w:rFonts w:ascii="Times New Roman" w:hAnsi="Times New Roman" w:cs="Times New Roman"/>
                <w:b w:val="0"/>
                <w:szCs w:val="19"/>
              </w:rPr>
              <w:t>Description</w:t>
            </w:r>
          </w:p>
        </w:tc>
        <w:tc>
          <w:tcPr>
            <w:tcW w:w="1984" w:type="dxa"/>
            <w:tcBorders>
              <w:top w:val="single" w:sz="4" w:space="0" w:color="auto"/>
              <w:left w:val="nil"/>
              <w:bottom w:val="single" w:sz="18" w:space="0" w:color="auto"/>
              <w:right w:val="nil"/>
            </w:tcBorders>
            <w:shd w:val="clear" w:color="auto" w:fill="auto"/>
            <w:vAlign w:val="center"/>
          </w:tcPr>
          <w:p w:rsidR="0084134C" w:rsidRPr="00CB7805" w:rsidRDefault="0084134C" w:rsidP="001354F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19"/>
              </w:rPr>
            </w:pPr>
            <w:r>
              <w:rPr>
                <w:rFonts w:ascii="Times New Roman" w:hAnsi="Times New Roman" w:cs="Times New Roman"/>
                <w:b w:val="0"/>
                <w:szCs w:val="19"/>
              </w:rPr>
              <w:t>Relation to concept</w:t>
            </w:r>
          </w:p>
        </w:tc>
        <w:tc>
          <w:tcPr>
            <w:tcW w:w="851" w:type="dxa"/>
            <w:tcBorders>
              <w:top w:val="single" w:sz="4" w:space="0" w:color="auto"/>
              <w:left w:val="nil"/>
              <w:bottom w:val="single" w:sz="18" w:space="0" w:color="auto"/>
              <w:right w:val="nil"/>
            </w:tcBorders>
            <w:shd w:val="clear" w:color="auto" w:fill="auto"/>
            <w:vAlign w:val="center"/>
          </w:tcPr>
          <w:p w:rsidR="0084134C" w:rsidRPr="00CB7805" w:rsidRDefault="0084134C" w:rsidP="001354F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19"/>
              </w:rPr>
            </w:pPr>
            <w:r w:rsidRPr="00CB7805">
              <w:rPr>
                <w:rFonts w:ascii="Times New Roman" w:hAnsi="Times New Roman" w:cs="Times New Roman"/>
                <w:b w:val="0"/>
                <w:szCs w:val="19"/>
              </w:rPr>
              <w:t>Source</w:t>
            </w:r>
          </w:p>
        </w:tc>
      </w:tr>
      <w:tr w:rsidR="0084134C" w:rsidRPr="00AD4130" w:rsidTr="001354F4">
        <w:trPr>
          <w:trHeight w:val="461"/>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auto"/>
              <w:left w:val="nil"/>
              <w:right w:val="single" w:sz="4" w:space="0" w:color="auto"/>
            </w:tcBorders>
            <w:vAlign w:val="center"/>
          </w:tcPr>
          <w:p w:rsidR="0084134C" w:rsidRPr="00CB7805" w:rsidRDefault="0084134C" w:rsidP="001354F4">
            <w:pPr>
              <w:rPr>
                <w:rFonts w:ascii="Times New Roman" w:hAnsi="Times New Roman" w:cs="Times New Roman"/>
                <w:b w:val="0"/>
                <w:sz w:val="18"/>
                <w:szCs w:val="18"/>
              </w:rPr>
            </w:pPr>
            <w:r w:rsidRPr="00CB7805">
              <w:rPr>
                <w:rFonts w:ascii="Times New Roman" w:hAnsi="Times New Roman" w:cs="Times New Roman"/>
                <w:b w:val="0"/>
                <w:sz w:val="18"/>
                <w:szCs w:val="18"/>
              </w:rPr>
              <w:t>CivilLib</w:t>
            </w:r>
          </w:p>
        </w:tc>
        <w:tc>
          <w:tcPr>
            <w:tcW w:w="3969" w:type="dxa"/>
            <w:tcBorders>
              <w:top w:val="single" w:sz="18" w:space="0" w:color="auto"/>
              <w:left w:val="single" w:sz="4" w:space="0" w:color="auto"/>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B7805">
              <w:rPr>
                <w:rFonts w:ascii="Times New Roman" w:hAnsi="Times New Roman" w:cs="Times New Roman"/>
                <w:sz w:val="18"/>
                <w:szCs w:val="18"/>
              </w:rPr>
              <w:t>Civil liberties</w:t>
            </w:r>
          </w:p>
        </w:tc>
        <w:tc>
          <w:tcPr>
            <w:tcW w:w="1984" w:type="dxa"/>
            <w:tcBorders>
              <w:top w:val="single" w:sz="18" w:space="0" w:color="auto"/>
              <w:left w:val="nil"/>
              <w:right w:val="nil"/>
            </w:tcBorders>
            <w:vAlign w:val="center"/>
          </w:tcPr>
          <w:p w:rsidR="0084134C" w:rsidRPr="00CB7805" w:rsidRDefault="0025414B"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Proactive</w:t>
            </w:r>
            <w:r w:rsidR="0084134C" w:rsidRPr="00CB7805">
              <w:rPr>
                <w:rFonts w:ascii="Times New Roman" w:hAnsi="Times New Roman" w:cs="Times New Roman"/>
                <w:sz w:val="18"/>
                <w:szCs w:val="18"/>
              </w:rPr>
              <w:t xml:space="preserve"> (+)</w:t>
            </w:r>
          </w:p>
          <w:p w:rsidR="0084134C" w:rsidRPr="00CB7805" w:rsidRDefault="0025414B"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Reactive</w:t>
            </w:r>
            <w:r w:rsidR="0084134C" w:rsidRPr="00CB7805">
              <w:rPr>
                <w:rFonts w:ascii="Times New Roman" w:hAnsi="Times New Roman" w:cs="Times New Roman"/>
                <w:sz w:val="18"/>
                <w:szCs w:val="18"/>
              </w:rPr>
              <w:t xml:space="preserve"> (+)</w:t>
            </w:r>
          </w:p>
        </w:tc>
        <w:tc>
          <w:tcPr>
            <w:tcW w:w="851" w:type="dxa"/>
            <w:tcBorders>
              <w:top w:val="single" w:sz="18" w:space="0" w:color="auto"/>
              <w:left w:val="nil"/>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B7805">
              <w:rPr>
                <w:rFonts w:ascii="Times New Roman" w:hAnsi="Times New Roman" w:cs="Times New Roman"/>
                <w:sz w:val="18"/>
                <w:szCs w:val="18"/>
              </w:rPr>
              <w:t>IDEA</w:t>
            </w:r>
          </w:p>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B7805">
              <w:rPr>
                <w:rFonts w:ascii="Times New Roman" w:hAnsi="Times New Roman" w:cs="Times New Roman"/>
                <w:sz w:val="18"/>
                <w:szCs w:val="18"/>
              </w:rPr>
              <w:t>&amp; FHI</w:t>
            </w:r>
          </w:p>
        </w:tc>
      </w:tr>
      <w:tr w:rsidR="0084134C" w:rsidRPr="00AD4130" w:rsidTr="001354F4">
        <w:trPr>
          <w:trHeight w:val="430"/>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single" w:sz="4" w:space="0" w:color="auto"/>
            </w:tcBorders>
            <w:vAlign w:val="center"/>
          </w:tcPr>
          <w:p w:rsidR="0084134C" w:rsidRPr="00CB7805" w:rsidRDefault="0084134C" w:rsidP="001354F4">
            <w:pPr>
              <w:rPr>
                <w:rFonts w:ascii="Times New Roman" w:hAnsi="Times New Roman" w:cs="Times New Roman"/>
                <w:b w:val="0"/>
                <w:sz w:val="18"/>
                <w:szCs w:val="18"/>
              </w:rPr>
            </w:pPr>
            <w:r w:rsidRPr="00CB7805">
              <w:rPr>
                <w:rFonts w:ascii="Times New Roman" w:hAnsi="Times New Roman" w:cs="Times New Roman"/>
                <w:b w:val="0"/>
                <w:sz w:val="18"/>
                <w:szCs w:val="18"/>
              </w:rPr>
              <w:t>TotSocProt</w:t>
            </w:r>
          </w:p>
        </w:tc>
        <w:tc>
          <w:tcPr>
            <w:tcW w:w="3969" w:type="dxa"/>
            <w:tcBorders>
              <w:left w:val="single" w:sz="4" w:space="0" w:color="auto"/>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B7805">
              <w:rPr>
                <w:rFonts w:ascii="Times New Roman" w:hAnsi="Times New Roman" w:cs="Times New Roman"/>
                <w:sz w:val="18"/>
                <w:szCs w:val="18"/>
              </w:rPr>
              <w:t>Total social protection expenditure</w:t>
            </w:r>
            <w:r>
              <w:rPr>
                <w:rFonts w:ascii="Times New Roman" w:hAnsi="Times New Roman" w:cs="Times New Roman"/>
                <w:sz w:val="18"/>
                <w:szCs w:val="18"/>
              </w:rPr>
              <w:t>,</w:t>
            </w:r>
            <w:r w:rsidRPr="00CB7805">
              <w:rPr>
                <w:rFonts w:ascii="Times New Roman" w:hAnsi="Times New Roman" w:cs="Times New Roman"/>
                <w:sz w:val="18"/>
                <w:szCs w:val="18"/>
              </w:rPr>
              <w:t xml:space="preserve"> including health (% of GDP)</w:t>
            </w:r>
          </w:p>
        </w:tc>
        <w:tc>
          <w:tcPr>
            <w:tcW w:w="1984" w:type="dxa"/>
            <w:tcBorders>
              <w:left w:val="nil"/>
              <w:right w:val="nil"/>
            </w:tcBorders>
            <w:vAlign w:val="center"/>
          </w:tcPr>
          <w:p w:rsidR="0084134C" w:rsidRPr="00CB7805" w:rsidRDefault="0025414B"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Reactive</w:t>
            </w:r>
            <w:r w:rsidRPr="00CB7805">
              <w:rPr>
                <w:rFonts w:ascii="Times New Roman" w:hAnsi="Times New Roman" w:cs="Times New Roman"/>
                <w:sz w:val="18"/>
                <w:szCs w:val="18"/>
              </w:rPr>
              <w:t xml:space="preserve"> </w:t>
            </w:r>
            <w:r w:rsidR="0084134C" w:rsidRPr="00CB7805">
              <w:rPr>
                <w:rFonts w:ascii="Times New Roman" w:hAnsi="Times New Roman" w:cs="Times New Roman"/>
                <w:sz w:val="18"/>
                <w:szCs w:val="18"/>
              </w:rPr>
              <w:t>(+)</w:t>
            </w:r>
          </w:p>
        </w:tc>
        <w:tc>
          <w:tcPr>
            <w:tcW w:w="851" w:type="dxa"/>
            <w:tcBorders>
              <w:left w:val="nil"/>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B7805">
              <w:rPr>
                <w:rFonts w:ascii="Times New Roman" w:hAnsi="Times New Roman" w:cs="Times New Roman"/>
                <w:sz w:val="18"/>
                <w:szCs w:val="18"/>
              </w:rPr>
              <w:t>ILO</w:t>
            </w:r>
          </w:p>
        </w:tc>
      </w:tr>
      <w:tr w:rsidR="0084134C" w:rsidRPr="00AD4130" w:rsidTr="001354F4">
        <w:trPr>
          <w:trHeight w:val="430"/>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single" w:sz="4" w:space="0" w:color="auto"/>
            </w:tcBorders>
            <w:vAlign w:val="center"/>
          </w:tcPr>
          <w:p w:rsidR="0084134C" w:rsidRPr="00CB7805" w:rsidRDefault="0084134C" w:rsidP="001354F4">
            <w:pPr>
              <w:rPr>
                <w:rFonts w:ascii="Times New Roman" w:hAnsi="Times New Roman" w:cs="Times New Roman"/>
                <w:b w:val="0"/>
                <w:sz w:val="18"/>
                <w:szCs w:val="18"/>
              </w:rPr>
            </w:pPr>
            <w:proofErr w:type="spellStart"/>
            <w:r w:rsidRPr="00CB7805">
              <w:rPr>
                <w:rFonts w:ascii="Times New Roman" w:hAnsi="Times New Roman" w:cs="Times New Roman"/>
                <w:b w:val="0"/>
                <w:sz w:val="18"/>
                <w:szCs w:val="18"/>
              </w:rPr>
              <w:t>SocSecPoli</w:t>
            </w:r>
            <w:proofErr w:type="spellEnd"/>
          </w:p>
        </w:tc>
        <w:tc>
          <w:tcPr>
            <w:tcW w:w="3969" w:type="dxa"/>
            <w:tcBorders>
              <w:left w:val="single" w:sz="4" w:space="0" w:color="auto"/>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93A2F">
              <w:rPr>
                <w:rFonts w:ascii="Times New Roman" w:hAnsi="Times New Roman" w:cs="Times New Roman"/>
                <w:sz w:val="18"/>
                <w:szCs w:val="18"/>
              </w:rPr>
              <w:t xml:space="preserve">Number of social security policy areas covered by a statutory </w:t>
            </w:r>
            <w:proofErr w:type="spellStart"/>
            <w:r w:rsidRPr="00793A2F">
              <w:rPr>
                <w:rFonts w:ascii="Times New Roman" w:hAnsi="Times New Roman" w:cs="Times New Roman"/>
                <w:sz w:val="18"/>
                <w:szCs w:val="18"/>
              </w:rPr>
              <w:t>programme</w:t>
            </w:r>
            <w:proofErr w:type="spellEnd"/>
          </w:p>
        </w:tc>
        <w:tc>
          <w:tcPr>
            <w:tcW w:w="1984" w:type="dxa"/>
            <w:tcBorders>
              <w:left w:val="nil"/>
              <w:right w:val="nil"/>
            </w:tcBorders>
            <w:vAlign w:val="center"/>
          </w:tcPr>
          <w:p w:rsidR="0084134C" w:rsidRPr="00CB7805" w:rsidRDefault="0025414B"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Reactive</w:t>
            </w:r>
            <w:r w:rsidRPr="00CB7805">
              <w:rPr>
                <w:rFonts w:ascii="Times New Roman" w:hAnsi="Times New Roman" w:cs="Times New Roman"/>
                <w:sz w:val="18"/>
                <w:szCs w:val="18"/>
              </w:rPr>
              <w:t xml:space="preserve"> </w:t>
            </w:r>
            <w:r w:rsidR="0084134C" w:rsidRPr="00CB7805">
              <w:rPr>
                <w:rFonts w:ascii="Times New Roman" w:hAnsi="Times New Roman" w:cs="Times New Roman"/>
                <w:sz w:val="18"/>
                <w:szCs w:val="18"/>
              </w:rPr>
              <w:t>(+)</w:t>
            </w:r>
          </w:p>
        </w:tc>
        <w:tc>
          <w:tcPr>
            <w:tcW w:w="851" w:type="dxa"/>
            <w:tcBorders>
              <w:left w:val="nil"/>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B7805">
              <w:rPr>
                <w:rFonts w:ascii="Times New Roman" w:hAnsi="Times New Roman" w:cs="Times New Roman"/>
                <w:sz w:val="18"/>
                <w:szCs w:val="18"/>
              </w:rPr>
              <w:t>ILO</w:t>
            </w:r>
          </w:p>
        </w:tc>
      </w:tr>
      <w:tr w:rsidR="0084134C" w:rsidRPr="00AD4130" w:rsidTr="001354F4">
        <w:trPr>
          <w:trHeight w:val="456"/>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single" w:sz="4" w:space="0" w:color="auto"/>
            </w:tcBorders>
            <w:vAlign w:val="center"/>
          </w:tcPr>
          <w:p w:rsidR="0084134C" w:rsidRPr="00CB7805" w:rsidRDefault="0084134C" w:rsidP="001354F4">
            <w:pPr>
              <w:rPr>
                <w:rFonts w:ascii="Times New Roman" w:hAnsi="Times New Roman" w:cs="Times New Roman"/>
                <w:b w:val="0"/>
                <w:sz w:val="18"/>
                <w:szCs w:val="18"/>
              </w:rPr>
            </w:pPr>
            <w:proofErr w:type="spellStart"/>
            <w:r w:rsidRPr="00CB7805">
              <w:rPr>
                <w:rFonts w:ascii="Times New Roman" w:hAnsi="Times New Roman" w:cs="Times New Roman"/>
                <w:b w:val="0"/>
                <w:sz w:val="18"/>
                <w:szCs w:val="18"/>
              </w:rPr>
              <w:t>Undernourish</w:t>
            </w:r>
            <w:proofErr w:type="spellEnd"/>
          </w:p>
        </w:tc>
        <w:tc>
          <w:tcPr>
            <w:tcW w:w="3969" w:type="dxa"/>
            <w:tcBorders>
              <w:left w:val="single" w:sz="4" w:space="0" w:color="auto"/>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B7805">
              <w:rPr>
                <w:rFonts w:ascii="Times New Roman" w:hAnsi="Times New Roman" w:cs="Times New Roman"/>
                <w:sz w:val="18"/>
                <w:szCs w:val="18"/>
              </w:rPr>
              <w:t>Prevalence of undernourishment (% of population)</w:t>
            </w:r>
          </w:p>
        </w:tc>
        <w:tc>
          <w:tcPr>
            <w:tcW w:w="1984" w:type="dxa"/>
            <w:tcBorders>
              <w:left w:val="nil"/>
              <w:right w:val="nil"/>
            </w:tcBorders>
            <w:vAlign w:val="center"/>
          </w:tcPr>
          <w:p w:rsidR="0084134C" w:rsidRPr="00CB7805" w:rsidRDefault="0025414B"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Reactive</w:t>
            </w:r>
            <w:r w:rsidRPr="00CB7805">
              <w:rPr>
                <w:rFonts w:ascii="Times New Roman" w:hAnsi="Times New Roman" w:cs="Times New Roman"/>
                <w:sz w:val="18"/>
                <w:szCs w:val="18"/>
              </w:rPr>
              <w:t xml:space="preserve"> </w:t>
            </w:r>
            <w:r w:rsidR="0084134C" w:rsidRPr="00CB7805">
              <w:rPr>
                <w:rFonts w:ascii="Times New Roman" w:hAnsi="Times New Roman" w:cs="Times New Roman"/>
                <w:sz w:val="18"/>
                <w:szCs w:val="18"/>
              </w:rPr>
              <w:t>(-)</w:t>
            </w:r>
          </w:p>
        </w:tc>
        <w:tc>
          <w:tcPr>
            <w:tcW w:w="851" w:type="dxa"/>
            <w:tcBorders>
              <w:left w:val="nil"/>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B7805">
              <w:rPr>
                <w:rFonts w:ascii="Times New Roman" w:hAnsi="Times New Roman" w:cs="Times New Roman"/>
                <w:sz w:val="18"/>
                <w:szCs w:val="18"/>
              </w:rPr>
              <w:t>WDI</w:t>
            </w:r>
          </w:p>
        </w:tc>
      </w:tr>
      <w:tr w:rsidR="0084134C" w:rsidRPr="00AD4130" w:rsidTr="001354F4">
        <w:trPr>
          <w:trHeight w:val="406"/>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single" w:sz="4" w:space="0" w:color="auto"/>
            </w:tcBorders>
            <w:vAlign w:val="center"/>
          </w:tcPr>
          <w:p w:rsidR="0084134C" w:rsidRPr="00CB7805" w:rsidRDefault="0084134C" w:rsidP="001354F4">
            <w:pPr>
              <w:rPr>
                <w:rFonts w:ascii="Times New Roman" w:hAnsi="Times New Roman" w:cs="Times New Roman"/>
                <w:b w:val="0"/>
                <w:sz w:val="18"/>
                <w:szCs w:val="18"/>
              </w:rPr>
            </w:pPr>
            <w:proofErr w:type="spellStart"/>
            <w:r w:rsidRPr="00CB7805">
              <w:rPr>
                <w:rFonts w:ascii="Times New Roman" w:hAnsi="Times New Roman" w:cs="Times New Roman"/>
                <w:b w:val="0"/>
                <w:sz w:val="18"/>
                <w:szCs w:val="18"/>
              </w:rPr>
              <w:t>ChildMortR</w:t>
            </w:r>
            <w:proofErr w:type="spellEnd"/>
          </w:p>
        </w:tc>
        <w:tc>
          <w:tcPr>
            <w:tcW w:w="3969" w:type="dxa"/>
            <w:tcBorders>
              <w:left w:val="single" w:sz="4" w:space="0" w:color="auto"/>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3493D">
              <w:rPr>
                <w:rFonts w:ascii="Times New Roman" w:hAnsi="Times New Roman" w:cs="Times New Roman"/>
                <w:sz w:val="18"/>
                <w:szCs w:val="18"/>
              </w:rPr>
              <w:t>Mortality rate, under-5 (per 1,000 live births)</w:t>
            </w:r>
          </w:p>
        </w:tc>
        <w:tc>
          <w:tcPr>
            <w:tcW w:w="1984" w:type="dxa"/>
            <w:tcBorders>
              <w:left w:val="nil"/>
              <w:right w:val="nil"/>
            </w:tcBorders>
            <w:vAlign w:val="center"/>
          </w:tcPr>
          <w:p w:rsidR="0084134C" w:rsidRPr="00CB7805" w:rsidRDefault="0025414B"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Reactive</w:t>
            </w:r>
            <w:r w:rsidRPr="00CB7805">
              <w:rPr>
                <w:rFonts w:ascii="Times New Roman" w:hAnsi="Times New Roman" w:cs="Times New Roman"/>
                <w:sz w:val="18"/>
                <w:szCs w:val="18"/>
              </w:rPr>
              <w:t xml:space="preserve"> </w:t>
            </w:r>
            <w:r w:rsidR="0084134C" w:rsidRPr="00CB7805">
              <w:rPr>
                <w:rFonts w:ascii="Times New Roman" w:hAnsi="Times New Roman" w:cs="Times New Roman"/>
                <w:sz w:val="18"/>
                <w:szCs w:val="18"/>
              </w:rPr>
              <w:t>(-)</w:t>
            </w:r>
          </w:p>
        </w:tc>
        <w:tc>
          <w:tcPr>
            <w:tcW w:w="851" w:type="dxa"/>
            <w:tcBorders>
              <w:left w:val="nil"/>
              <w:right w:val="nil"/>
            </w:tcBorders>
            <w:vAlign w:val="center"/>
          </w:tcPr>
          <w:p w:rsidR="0084134C" w:rsidRPr="008233F6"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18"/>
              </w:rPr>
            </w:pPr>
          </w:p>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B7805">
              <w:rPr>
                <w:rFonts w:ascii="Times New Roman" w:hAnsi="Times New Roman" w:cs="Times New Roman"/>
                <w:sz w:val="18"/>
                <w:szCs w:val="18"/>
              </w:rPr>
              <w:t>WDI</w:t>
            </w:r>
          </w:p>
        </w:tc>
      </w:tr>
      <w:tr w:rsidR="0084134C" w:rsidRPr="00AD4130" w:rsidTr="001354F4">
        <w:trPr>
          <w:trHeight w:val="424"/>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single" w:sz="4" w:space="0" w:color="auto"/>
            </w:tcBorders>
            <w:vAlign w:val="center"/>
          </w:tcPr>
          <w:p w:rsidR="0084134C" w:rsidRPr="00CB7805" w:rsidRDefault="0084134C" w:rsidP="001354F4">
            <w:pPr>
              <w:rPr>
                <w:rFonts w:ascii="Times New Roman" w:hAnsi="Times New Roman" w:cs="Times New Roman"/>
                <w:b w:val="0"/>
                <w:sz w:val="18"/>
                <w:szCs w:val="18"/>
              </w:rPr>
            </w:pPr>
            <w:proofErr w:type="spellStart"/>
            <w:r w:rsidRPr="00CB7805">
              <w:rPr>
                <w:rFonts w:ascii="Times New Roman" w:hAnsi="Times New Roman" w:cs="Times New Roman"/>
                <w:b w:val="0"/>
                <w:sz w:val="18"/>
                <w:szCs w:val="18"/>
              </w:rPr>
              <w:t>MaternalMortR</w:t>
            </w:r>
            <w:proofErr w:type="spellEnd"/>
          </w:p>
        </w:tc>
        <w:tc>
          <w:tcPr>
            <w:tcW w:w="3969" w:type="dxa"/>
            <w:tcBorders>
              <w:left w:val="single" w:sz="4" w:space="0" w:color="auto"/>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A3997">
              <w:rPr>
                <w:rFonts w:ascii="Times New Roman" w:hAnsi="Times New Roman" w:cs="Times New Roman"/>
                <w:sz w:val="18"/>
                <w:szCs w:val="18"/>
              </w:rPr>
              <w:t>Maternal mortality ratio (per 100,000 live births)</w:t>
            </w:r>
          </w:p>
        </w:tc>
        <w:tc>
          <w:tcPr>
            <w:tcW w:w="1984" w:type="dxa"/>
            <w:tcBorders>
              <w:left w:val="nil"/>
              <w:right w:val="nil"/>
            </w:tcBorders>
            <w:vAlign w:val="center"/>
          </w:tcPr>
          <w:p w:rsidR="0084134C" w:rsidRPr="00CB7805" w:rsidRDefault="0025414B"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Reactive</w:t>
            </w:r>
            <w:r w:rsidRPr="00CB7805">
              <w:rPr>
                <w:rFonts w:ascii="Times New Roman" w:hAnsi="Times New Roman" w:cs="Times New Roman"/>
                <w:sz w:val="18"/>
                <w:szCs w:val="18"/>
              </w:rPr>
              <w:t xml:space="preserve"> </w:t>
            </w:r>
            <w:r w:rsidR="0084134C" w:rsidRPr="00CB7805">
              <w:rPr>
                <w:rFonts w:ascii="Times New Roman" w:hAnsi="Times New Roman" w:cs="Times New Roman"/>
                <w:sz w:val="18"/>
                <w:szCs w:val="18"/>
              </w:rPr>
              <w:t>(-)</w:t>
            </w:r>
          </w:p>
        </w:tc>
        <w:tc>
          <w:tcPr>
            <w:tcW w:w="851" w:type="dxa"/>
            <w:tcBorders>
              <w:left w:val="nil"/>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B7805">
              <w:rPr>
                <w:rFonts w:ascii="Times New Roman" w:hAnsi="Times New Roman" w:cs="Times New Roman"/>
                <w:sz w:val="18"/>
                <w:szCs w:val="18"/>
              </w:rPr>
              <w:t>WDI</w:t>
            </w:r>
          </w:p>
        </w:tc>
      </w:tr>
      <w:tr w:rsidR="0084134C" w:rsidRPr="00AD4130" w:rsidTr="001354F4">
        <w:trPr>
          <w:trHeight w:val="414"/>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single" w:sz="4" w:space="0" w:color="auto"/>
            </w:tcBorders>
            <w:vAlign w:val="center"/>
          </w:tcPr>
          <w:p w:rsidR="0084134C" w:rsidRPr="00CB7805" w:rsidRDefault="0084134C" w:rsidP="001354F4">
            <w:pPr>
              <w:rPr>
                <w:rFonts w:ascii="Times New Roman" w:hAnsi="Times New Roman" w:cs="Times New Roman"/>
                <w:b w:val="0"/>
                <w:sz w:val="18"/>
                <w:szCs w:val="18"/>
              </w:rPr>
            </w:pPr>
            <w:proofErr w:type="spellStart"/>
            <w:r w:rsidRPr="00CB7805">
              <w:rPr>
                <w:rFonts w:ascii="Times New Roman" w:hAnsi="Times New Roman" w:cs="Times New Roman"/>
                <w:b w:val="0"/>
                <w:sz w:val="18"/>
                <w:szCs w:val="18"/>
              </w:rPr>
              <w:t>OldPensCov</w:t>
            </w:r>
            <w:proofErr w:type="spellEnd"/>
          </w:p>
        </w:tc>
        <w:tc>
          <w:tcPr>
            <w:tcW w:w="3969" w:type="dxa"/>
            <w:tcBorders>
              <w:left w:val="single" w:sz="4" w:space="0" w:color="auto"/>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A4E87">
              <w:rPr>
                <w:rFonts w:ascii="Times New Roman" w:hAnsi="Times New Roman" w:cs="Times New Roman"/>
                <w:sz w:val="18"/>
                <w:szCs w:val="18"/>
              </w:rPr>
              <w:t>Social protection effective coverage by group of population</w:t>
            </w:r>
            <w:r>
              <w:rPr>
                <w:rFonts w:ascii="Times New Roman" w:hAnsi="Times New Roman" w:cs="Times New Roman"/>
                <w:sz w:val="18"/>
                <w:szCs w:val="18"/>
              </w:rPr>
              <w:t xml:space="preserve"> (older persons)</w:t>
            </w:r>
          </w:p>
        </w:tc>
        <w:tc>
          <w:tcPr>
            <w:tcW w:w="1984" w:type="dxa"/>
            <w:tcBorders>
              <w:left w:val="nil"/>
              <w:right w:val="nil"/>
            </w:tcBorders>
            <w:vAlign w:val="center"/>
          </w:tcPr>
          <w:p w:rsidR="0084134C" w:rsidRPr="00CB7805" w:rsidRDefault="0025414B"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Reactive</w:t>
            </w:r>
            <w:r w:rsidRPr="00CB7805">
              <w:rPr>
                <w:rFonts w:ascii="Times New Roman" w:hAnsi="Times New Roman" w:cs="Times New Roman"/>
                <w:sz w:val="18"/>
                <w:szCs w:val="18"/>
              </w:rPr>
              <w:t xml:space="preserve"> </w:t>
            </w:r>
            <w:r w:rsidR="0084134C" w:rsidRPr="00CB7805">
              <w:rPr>
                <w:rFonts w:ascii="Times New Roman" w:hAnsi="Times New Roman" w:cs="Times New Roman"/>
                <w:sz w:val="18"/>
                <w:szCs w:val="18"/>
              </w:rPr>
              <w:t>(+)</w:t>
            </w:r>
          </w:p>
        </w:tc>
        <w:tc>
          <w:tcPr>
            <w:tcW w:w="851" w:type="dxa"/>
            <w:tcBorders>
              <w:left w:val="nil"/>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B7805">
              <w:rPr>
                <w:rFonts w:ascii="Times New Roman" w:hAnsi="Times New Roman" w:cs="Times New Roman"/>
                <w:sz w:val="18"/>
                <w:szCs w:val="18"/>
              </w:rPr>
              <w:t>ILO</w:t>
            </w:r>
          </w:p>
        </w:tc>
      </w:tr>
      <w:tr w:rsidR="0084134C" w:rsidRPr="00AD4130" w:rsidTr="001354F4">
        <w:trPr>
          <w:trHeight w:val="433"/>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single" w:sz="4" w:space="0" w:color="auto"/>
            </w:tcBorders>
            <w:vAlign w:val="center"/>
          </w:tcPr>
          <w:p w:rsidR="0084134C" w:rsidRPr="00CB7805" w:rsidRDefault="0084134C" w:rsidP="001354F4">
            <w:pPr>
              <w:rPr>
                <w:rFonts w:ascii="Times New Roman" w:hAnsi="Times New Roman" w:cs="Times New Roman"/>
                <w:b w:val="0"/>
                <w:sz w:val="18"/>
                <w:szCs w:val="18"/>
              </w:rPr>
            </w:pPr>
            <w:proofErr w:type="spellStart"/>
            <w:r w:rsidRPr="00CB7805">
              <w:rPr>
                <w:rFonts w:ascii="Times New Roman" w:hAnsi="Times New Roman" w:cs="Times New Roman"/>
                <w:b w:val="0"/>
                <w:sz w:val="18"/>
                <w:szCs w:val="18"/>
              </w:rPr>
              <w:t>HealthCovDf</w:t>
            </w:r>
            <w:proofErr w:type="spellEnd"/>
          </w:p>
        </w:tc>
        <w:tc>
          <w:tcPr>
            <w:tcW w:w="3969" w:type="dxa"/>
            <w:tcBorders>
              <w:left w:val="single" w:sz="4" w:space="0" w:color="auto"/>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B7805">
              <w:rPr>
                <w:rFonts w:ascii="Times New Roman" w:hAnsi="Times New Roman" w:cs="Times New Roman"/>
                <w:sz w:val="18"/>
                <w:szCs w:val="18"/>
              </w:rPr>
              <w:t>Legal health coverage deficit, % of population without legal coverage</w:t>
            </w:r>
          </w:p>
        </w:tc>
        <w:tc>
          <w:tcPr>
            <w:tcW w:w="1984" w:type="dxa"/>
            <w:tcBorders>
              <w:left w:val="nil"/>
              <w:right w:val="nil"/>
            </w:tcBorders>
            <w:vAlign w:val="center"/>
          </w:tcPr>
          <w:p w:rsidR="0084134C" w:rsidRPr="00CB7805" w:rsidRDefault="0025414B"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Reactive</w:t>
            </w:r>
            <w:r w:rsidRPr="00CB7805">
              <w:rPr>
                <w:rFonts w:ascii="Times New Roman" w:hAnsi="Times New Roman" w:cs="Times New Roman"/>
                <w:sz w:val="18"/>
                <w:szCs w:val="18"/>
              </w:rPr>
              <w:t xml:space="preserve"> </w:t>
            </w:r>
            <w:r w:rsidR="0084134C" w:rsidRPr="00CB7805">
              <w:rPr>
                <w:rFonts w:ascii="Times New Roman" w:hAnsi="Times New Roman" w:cs="Times New Roman"/>
                <w:sz w:val="18"/>
                <w:szCs w:val="18"/>
              </w:rPr>
              <w:t>(+)</w:t>
            </w:r>
          </w:p>
        </w:tc>
        <w:tc>
          <w:tcPr>
            <w:tcW w:w="851" w:type="dxa"/>
            <w:tcBorders>
              <w:left w:val="nil"/>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B7805">
              <w:rPr>
                <w:rFonts w:ascii="Times New Roman" w:hAnsi="Times New Roman" w:cs="Times New Roman"/>
                <w:sz w:val="18"/>
                <w:szCs w:val="18"/>
              </w:rPr>
              <w:t>ILO</w:t>
            </w:r>
          </w:p>
        </w:tc>
      </w:tr>
      <w:tr w:rsidR="0084134C" w:rsidRPr="00AD4130" w:rsidTr="001354F4">
        <w:trPr>
          <w:trHeight w:val="356"/>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single" w:sz="4" w:space="0" w:color="auto"/>
            </w:tcBorders>
            <w:vAlign w:val="center"/>
          </w:tcPr>
          <w:p w:rsidR="0084134C" w:rsidRPr="00CB7805" w:rsidRDefault="0084134C" w:rsidP="001354F4">
            <w:pPr>
              <w:rPr>
                <w:rFonts w:ascii="Times New Roman" w:hAnsi="Times New Roman" w:cs="Times New Roman"/>
                <w:b w:val="0"/>
                <w:sz w:val="18"/>
                <w:szCs w:val="18"/>
              </w:rPr>
            </w:pPr>
            <w:proofErr w:type="spellStart"/>
            <w:r w:rsidRPr="00CB7805">
              <w:rPr>
                <w:rFonts w:ascii="Times New Roman" w:hAnsi="Times New Roman" w:cs="Times New Roman"/>
                <w:b w:val="0"/>
                <w:sz w:val="18"/>
                <w:szCs w:val="18"/>
              </w:rPr>
              <w:t>WorkPov</w:t>
            </w:r>
            <w:proofErr w:type="spellEnd"/>
          </w:p>
        </w:tc>
        <w:tc>
          <w:tcPr>
            <w:tcW w:w="3969" w:type="dxa"/>
            <w:tcBorders>
              <w:left w:val="single" w:sz="4" w:space="0" w:color="auto"/>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B7805">
              <w:rPr>
                <w:rFonts w:ascii="Times New Roman" w:hAnsi="Times New Roman" w:cs="Times New Roman"/>
                <w:sz w:val="18"/>
                <w:szCs w:val="18"/>
              </w:rPr>
              <w:t>Working poverty rate (age 15+)</w:t>
            </w:r>
          </w:p>
        </w:tc>
        <w:tc>
          <w:tcPr>
            <w:tcW w:w="1984" w:type="dxa"/>
            <w:tcBorders>
              <w:left w:val="nil"/>
              <w:right w:val="nil"/>
            </w:tcBorders>
            <w:vAlign w:val="center"/>
          </w:tcPr>
          <w:p w:rsidR="0084134C" w:rsidRPr="00CB7805" w:rsidRDefault="0025414B"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Reactive</w:t>
            </w:r>
            <w:r w:rsidRPr="00CB7805">
              <w:rPr>
                <w:rFonts w:ascii="Times New Roman" w:hAnsi="Times New Roman" w:cs="Times New Roman"/>
                <w:sz w:val="18"/>
                <w:szCs w:val="18"/>
              </w:rPr>
              <w:t xml:space="preserve"> </w:t>
            </w:r>
            <w:r w:rsidR="0084134C" w:rsidRPr="00CB7805">
              <w:rPr>
                <w:rFonts w:ascii="Times New Roman" w:hAnsi="Times New Roman" w:cs="Times New Roman"/>
                <w:sz w:val="18"/>
                <w:szCs w:val="18"/>
              </w:rPr>
              <w:t>(-)</w:t>
            </w:r>
          </w:p>
        </w:tc>
        <w:tc>
          <w:tcPr>
            <w:tcW w:w="851" w:type="dxa"/>
            <w:tcBorders>
              <w:left w:val="nil"/>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B7805">
              <w:rPr>
                <w:rFonts w:ascii="Times New Roman" w:hAnsi="Times New Roman" w:cs="Times New Roman"/>
                <w:sz w:val="18"/>
                <w:szCs w:val="18"/>
              </w:rPr>
              <w:t>ILO</w:t>
            </w:r>
          </w:p>
        </w:tc>
      </w:tr>
      <w:tr w:rsidR="0084134C" w:rsidRPr="00AD4130" w:rsidTr="001354F4">
        <w:trPr>
          <w:trHeight w:val="426"/>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single" w:sz="4" w:space="0" w:color="auto"/>
            </w:tcBorders>
            <w:vAlign w:val="center"/>
          </w:tcPr>
          <w:p w:rsidR="0084134C" w:rsidRPr="00CB7805" w:rsidRDefault="0084134C" w:rsidP="001354F4">
            <w:pPr>
              <w:rPr>
                <w:rFonts w:ascii="Times New Roman" w:hAnsi="Times New Roman" w:cs="Times New Roman"/>
                <w:b w:val="0"/>
                <w:sz w:val="18"/>
                <w:szCs w:val="18"/>
              </w:rPr>
            </w:pPr>
            <w:r w:rsidRPr="00CB7805">
              <w:rPr>
                <w:rFonts w:ascii="Times New Roman" w:hAnsi="Times New Roman" w:cs="Times New Roman"/>
                <w:b w:val="0"/>
                <w:sz w:val="18"/>
                <w:szCs w:val="18"/>
              </w:rPr>
              <w:t>EducExp</w:t>
            </w:r>
          </w:p>
        </w:tc>
        <w:tc>
          <w:tcPr>
            <w:tcW w:w="3969" w:type="dxa"/>
            <w:tcBorders>
              <w:left w:val="single" w:sz="4" w:space="0" w:color="auto"/>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E</w:t>
            </w:r>
            <w:r w:rsidRPr="00E57D00">
              <w:rPr>
                <w:rFonts w:ascii="Times New Roman" w:hAnsi="Times New Roman" w:cs="Times New Roman"/>
                <w:sz w:val="18"/>
                <w:szCs w:val="18"/>
              </w:rPr>
              <w:t>ducation expenditure (% of GNI)</w:t>
            </w:r>
          </w:p>
        </w:tc>
        <w:tc>
          <w:tcPr>
            <w:tcW w:w="1984" w:type="dxa"/>
            <w:tcBorders>
              <w:left w:val="nil"/>
              <w:right w:val="nil"/>
            </w:tcBorders>
            <w:vAlign w:val="center"/>
          </w:tcPr>
          <w:p w:rsidR="0084134C" w:rsidRPr="00CB7805" w:rsidRDefault="0025414B"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Proactive</w:t>
            </w:r>
            <w:r w:rsidRPr="00CB7805">
              <w:rPr>
                <w:rFonts w:ascii="Times New Roman" w:hAnsi="Times New Roman" w:cs="Times New Roman"/>
                <w:sz w:val="18"/>
                <w:szCs w:val="18"/>
              </w:rPr>
              <w:t xml:space="preserve"> </w:t>
            </w:r>
            <w:r w:rsidR="0084134C" w:rsidRPr="00CB7805">
              <w:rPr>
                <w:rFonts w:ascii="Times New Roman" w:hAnsi="Times New Roman" w:cs="Times New Roman"/>
                <w:sz w:val="18"/>
                <w:szCs w:val="18"/>
              </w:rPr>
              <w:t>(+)</w:t>
            </w:r>
          </w:p>
        </w:tc>
        <w:tc>
          <w:tcPr>
            <w:tcW w:w="851" w:type="dxa"/>
            <w:tcBorders>
              <w:left w:val="nil"/>
              <w:right w:val="nil"/>
            </w:tcBorders>
            <w:vAlign w:val="center"/>
          </w:tcPr>
          <w:p w:rsidR="0084134C" w:rsidRPr="008233F6"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
                <w:szCs w:val="18"/>
              </w:rPr>
            </w:pPr>
          </w:p>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B7805">
              <w:rPr>
                <w:rFonts w:ascii="Times New Roman" w:hAnsi="Times New Roman" w:cs="Times New Roman"/>
                <w:sz w:val="18"/>
                <w:szCs w:val="18"/>
              </w:rPr>
              <w:t>WDI</w:t>
            </w:r>
          </w:p>
        </w:tc>
      </w:tr>
      <w:tr w:rsidR="0084134C" w:rsidRPr="00AD4130" w:rsidTr="001354F4">
        <w:trPr>
          <w:trHeight w:val="410"/>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single" w:sz="4" w:space="0" w:color="auto"/>
            </w:tcBorders>
            <w:vAlign w:val="center"/>
          </w:tcPr>
          <w:p w:rsidR="0084134C" w:rsidRPr="00CB7805" w:rsidRDefault="0084134C" w:rsidP="001354F4">
            <w:pPr>
              <w:rPr>
                <w:rFonts w:ascii="Times New Roman" w:hAnsi="Times New Roman" w:cs="Times New Roman"/>
                <w:b w:val="0"/>
                <w:sz w:val="18"/>
                <w:szCs w:val="18"/>
              </w:rPr>
            </w:pPr>
            <w:proofErr w:type="spellStart"/>
            <w:r w:rsidRPr="00CB7805">
              <w:rPr>
                <w:rFonts w:ascii="Times New Roman" w:hAnsi="Times New Roman" w:cs="Times New Roman"/>
                <w:b w:val="0"/>
                <w:sz w:val="18"/>
                <w:szCs w:val="18"/>
              </w:rPr>
              <w:t>EducIndex</w:t>
            </w:r>
            <w:proofErr w:type="spellEnd"/>
          </w:p>
        </w:tc>
        <w:tc>
          <w:tcPr>
            <w:tcW w:w="3969" w:type="dxa"/>
            <w:tcBorders>
              <w:left w:val="single" w:sz="4" w:space="0" w:color="auto"/>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Calculated using m</w:t>
            </w:r>
            <w:r w:rsidRPr="00CB7805">
              <w:rPr>
                <w:rFonts w:ascii="Times New Roman" w:hAnsi="Times New Roman" w:cs="Times New Roman"/>
                <w:sz w:val="18"/>
                <w:szCs w:val="18"/>
              </w:rPr>
              <w:t xml:space="preserve">ean </w:t>
            </w:r>
            <w:r>
              <w:rPr>
                <w:rFonts w:ascii="Times New Roman" w:hAnsi="Times New Roman" w:cs="Times New Roman"/>
                <w:sz w:val="18"/>
                <w:szCs w:val="18"/>
              </w:rPr>
              <w:t>y</w:t>
            </w:r>
            <w:r w:rsidRPr="00CB7805">
              <w:rPr>
                <w:rFonts w:ascii="Times New Roman" w:hAnsi="Times New Roman" w:cs="Times New Roman"/>
                <w:sz w:val="18"/>
                <w:szCs w:val="18"/>
              </w:rPr>
              <w:t xml:space="preserve">ears of </w:t>
            </w:r>
            <w:r>
              <w:rPr>
                <w:rFonts w:ascii="Times New Roman" w:hAnsi="Times New Roman" w:cs="Times New Roman"/>
                <w:sz w:val="18"/>
                <w:szCs w:val="18"/>
              </w:rPr>
              <w:t>schooling and e</w:t>
            </w:r>
            <w:r w:rsidRPr="00CB7805">
              <w:rPr>
                <w:rFonts w:ascii="Times New Roman" w:hAnsi="Times New Roman" w:cs="Times New Roman"/>
                <w:sz w:val="18"/>
                <w:szCs w:val="18"/>
              </w:rPr>
              <w:t xml:space="preserve">xpected </w:t>
            </w:r>
            <w:r>
              <w:rPr>
                <w:rFonts w:ascii="Times New Roman" w:hAnsi="Times New Roman" w:cs="Times New Roman"/>
                <w:sz w:val="18"/>
                <w:szCs w:val="18"/>
              </w:rPr>
              <w:t>y</w:t>
            </w:r>
            <w:r w:rsidRPr="00CB7805">
              <w:rPr>
                <w:rFonts w:ascii="Times New Roman" w:hAnsi="Times New Roman" w:cs="Times New Roman"/>
                <w:sz w:val="18"/>
                <w:szCs w:val="18"/>
              </w:rPr>
              <w:t xml:space="preserve">ears of </w:t>
            </w:r>
            <w:r>
              <w:rPr>
                <w:rFonts w:ascii="Times New Roman" w:hAnsi="Times New Roman" w:cs="Times New Roman"/>
                <w:sz w:val="18"/>
                <w:szCs w:val="18"/>
              </w:rPr>
              <w:t>s</w:t>
            </w:r>
            <w:r w:rsidRPr="00CB7805">
              <w:rPr>
                <w:rFonts w:ascii="Times New Roman" w:hAnsi="Times New Roman" w:cs="Times New Roman"/>
                <w:sz w:val="18"/>
                <w:szCs w:val="18"/>
              </w:rPr>
              <w:t>chooling</w:t>
            </w:r>
          </w:p>
        </w:tc>
        <w:tc>
          <w:tcPr>
            <w:tcW w:w="1984" w:type="dxa"/>
            <w:tcBorders>
              <w:left w:val="nil"/>
              <w:right w:val="nil"/>
            </w:tcBorders>
            <w:vAlign w:val="center"/>
          </w:tcPr>
          <w:p w:rsidR="0084134C" w:rsidRPr="00CB7805" w:rsidRDefault="0025414B"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Proactive</w:t>
            </w:r>
            <w:r w:rsidRPr="00CB7805">
              <w:rPr>
                <w:rFonts w:ascii="Times New Roman" w:hAnsi="Times New Roman" w:cs="Times New Roman"/>
                <w:sz w:val="18"/>
                <w:szCs w:val="18"/>
              </w:rPr>
              <w:t xml:space="preserve"> </w:t>
            </w:r>
            <w:r w:rsidR="0084134C" w:rsidRPr="00CB7805">
              <w:rPr>
                <w:rFonts w:ascii="Times New Roman" w:hAnsi="Times New Roman" w:cs="Times New Roman"/>
                <w:sz w:val="18"/>
                <w:szCs w:val="18"/>
              </w:rPr>
              <w:t>(+)</w:t>
            </w:r>
          </w:p>
        </w:tc>
        <w:tc>
          <w:tcPr>
            <w:tcW w:w="851" w:type="dxa"/>
            <w:tcBorders>
              <w:left w:val="nil"/>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B7805">
              <w:rPr>
                <w:rFonts w:ascii="Times New Roman" w:hAnsi="Times New Roman" w:cs="Times New Roman"/>
                <w:sz w:val="18"/>
                <w:szCs w:val="18"/>
              </w:rPr>
              <w:t>UN</w:t>
            </w:r>
          </w:p>
        </w:tc>
      </w:tr>
      <w:tr w:rsidR="0084134C" w:rsidRPr="00AD4130" w:rsidTr="001354F4">
        <w:trPr>
          <w:trHeight w:val="418"/>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single" w:sz="4" w:space="0" w:color="auto"/>
            </w:tcBorders>
            <w:vAlign w:val="center"/>
          </w:tcPr>
          <w:p w:rsidR="0084134C" w:rsidRPr="00CB7805" w:rsidRDefault="0084134C" w:rsidP="001354F4">
            <w:pPr>
              <w:rPr>
                <w:rFonts w:ascii="Times New Roman" w:hAnsi="Times New Roman" w:cs="Times New Roman"/>
                <w:b w:val="0"/>
                <w:sz w:val="18"/>
                <w:szCs w:val="18"/>
              </w:rPr>
            </w:pPr>
            <w:proofErr w:type="spellStart"/>
            <w:r w:rsidRPr="00CB7805">
              <w:rPr>
                <w:rFonts w:ascii="Times New Roman" w:hAnsi="Times New Roman" w:cs="Times New Roman"/>
                <w:b w:val="0"/>
                <w:sz w:val="18"/>
                <w:szCs w:val="18"/>
              </w:rPr>
              <w:t>PrepriSchEn</w:t>
            </w:r>
            <w:proofErr w:type="spellEnd"/>
          </w:p>
        </w:tc>
        <w:tc>
          <w:tcPr>
            <w:tcW w:w="3969" w:type="dxa"/>
            <w:tcBorders>
              <w:left w:val="single" w:sz="4" w:space="0" w:color="auto"/>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B17C2">
              <w:rPr>
                <w:rFonts w:ascii="Times New Roman" w:hAnsi="Times New Roman" w:cs="Times New Roman"/>
                <w:sz w:val="18"/>
                <w:szCs w:val="18"/>
              </w:rPr>
              <w:t>Gross enrolment ratio, pre-primary (% of preschool-age children)</w:t>
            </w:r>
          </w:p>
        </w:tc>
        <w:tc>
          <w:tcPr>
            <w:tcW w:w="1984" w:type="dxa"/>
            <w:tcBorders>
              <w:left w:val="nil"/>
              <w:right w:val="nil"/>
            </w:tcBorders>
            <w:vAlign w:val="center"/>
          </w:tcPr>
          <w:p w:rsidR="0084134C" w:rsidRPr="00CB7805" w:rsidRDefault="0025414B"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Proactive</w:t>
            </w:r>
            <w:r w:rsidRPr="00CB7805">
              <w:rPr>
                <w:rFonts w:ascii="Times New Roman" w:hAnsi="Times New Roman" w:cs="Times New Roman"/>
                <w:sz w:val="18"/>
                <w:szCs w:val="18"/>
              </w:rPr>
              <w:t xml:space="preserve"> </w:t>
            </w:r>
            <w:r w:rsidR="0084134C" w:rsidRPr="00CB7805">
              <w:rPr>
                <w:rFonts w:ascii="Times New Roman" w:hAnsi="Times New Roman" w:cs="Times New Roman"/>
                <w:sz w:val="18"/>
                <w:szCs w:val="18"/>
              </w:rPr>
              <w:t>(+)</w:t>
            </w:r>
          </w:p>
        </w:tc>
        <w:tc>
          <w:tcPr>
            <w:tcW w:w="851" w:type="dxa"/>
            <w:tcBorders>
              <w:left w:val="nil"/>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B7805">
              <w:rPr>
                <w:rFonts w:ascii="Times New Roman" w:hAnsi="Times New Roman" w:cs="Times New Roman"/>
                <w:sz w:val="18"/>
                <w:szCs w:val="18"/>
              </w:rPr>
              <w:t>WDI</w:t>
            </w:r>
          </w:p>
        </w:tc>
      </w:tr>
      <w:tr w:rsidR="0084134C" w:rsidRPr="00AD4130" w:rsidTr="001354F4">
        <w:trPr>
          <w:trHeight w:val="356"/>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single" w:sz="4" w:space="0" w:color="auto"/>
            </w:tcBorders>
            <w:vAlign w:val="center"/>
          </w:tcPr>
          <w:p w:rsidR="0084134C" w:rsidRPr="00CB7805" w:rsidRDefault="0084134C" w:rsidP="001354F4">
            <w:pPr>
              <w:rPr>
                <w:rFonts w:ascii="Times New Roman" w:hAnsi="Times New Roman" w:cs="Times New Roman"/>
                <w:b w:val="0"/>
                <w:sz w:val="18"/>
                <w:szCs w:val="18"/>
              </w:rPr>
            </w:pPr>
            <w:proofErr w:type="spellStart"/>
            <w:r w:rsidRPr="00CB7805">
              <w:rPr>
                <w:rFonts w:ascii="Times New Roman" w:hAnsi="Times New Roman" w:cs="Times New Roman"/>
                <w:b w:val="0"/>
                <w:sz w:val="18"/>
                <w:szCs w:val="18"/>
              </w:rPr>
              <w:t>GenDIndex</w:t>
            </w:r>
            <w:proofErr w:type="spellEnd"/>
          </w:p>
        </w:tc>
        <w:tc>
          <w:tcPr>
            <w:tcW w:w="3969" w:type="dxa"/>
            <w:tcBorders>
              <w:left w:val="single" w:sz="4" w:space="0" w:color="auto"/>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B7805">
              <w:rPr>
                <w:rFonts w:ascii="Times New Roman" w:hAnsi="Times New Roman" w:cs="Times New Roman"/>
                <w:sz w:val="18"/>
                <w:szCs w:val="18"/>
              </w:rPr>
              <w:t>Gender development index</w:t>
            </w:r>
          </w:p>
        </w:tc>
        <w:tc>
          <w:tcPr>
            <w:tcW w:w="1984" w:type="dxa"/>
            <w:tcBorders>
              <w:left w:val="nil"/>
              <w:right w:val="nil"/>
            </w:tcBorders>
            <w:vAlign w:val="center"/>
          </w:tcPr>
          <w:p w:rsidR="0084134C" w:rsidRPr="00CB7805" w:rsidRDefault="0025414B"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Proactive</w:t>
            </w:r>
            <w:r w:rsidRPr="00CB7805">
              <w:rPr>
                <w:rFonts w:ascii="Times New Roman" w:hAnsi="Times New Roman" w:cs="Times New Roman"/>
                <w:sz w:val="18"/>
                <w:szCs w:val="18"/>
              </w:rPr>
              <w:t xml:space="preserve"> </w:t>
            </w:r>
            <w:r w:rsidR="0084134C" w:rsidRPr="00CB7805">
              <w:rPr>
                <w:rFonts w:ascii="Times New Roman" w:hAnsi="Times New Roman" w:cs="Times New Roman"/>
                <w:sz w:val="18"/>
                <w:szCs w:val="18"/>
              </w:rPr>
              <w:t>(+)</w:t>
            </w:r>
          </w:p>
        </w:tc>
        <w:tc>
          <w:tcPr>
            <w:tcW w:w="851" w:type="dxa"/>
            <w:tcBorders>
              <w:left w:val="nil"/>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B7805">
              <w:rPr>
                <w:rFonts w:ascii="Times New Roman" w:hAnsi="Times New Roman" w:cs="Times New Roman"/>
                <w:sz w:val="18"/>
                <w:szCs w:val="18"/>
              </w:rPr>
              <w:t>UN</w:t>
            </w:r>
          </w:p>
        </w:tc>
      </w:tr>
      <w:tr w:rsidR="0084134C" w:rsidRPr="00AD4130" w:rsidTr="001354F4">
        <w:trPr>
          <w:trHeight w:val="418"/>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single" w:sz="4" w:space="0" w:color="auto"/>
            </w:tcBorders>
            <w:vAlign w:val="center"/>
          </w:tcPr>
          <w:p w:rsidR="0084134C" w:rsidRPr="00CB7805" w:rsidRDefault="0084134C" w:rsidP="001354F4">
            <w:pPr>
              <w:rPr>
                <w:rFonts w:ascii="Times New Roman" w:hAnsi="Times New Roman" w:cs="Times New Roman"/>
                <w:b w:val="0"/>
                <w:sz w:val="18"/>
                <w:szCs w:val="18"/>
              </w:rPr>
            </w:pPr>
            <w:proofErr w:type="spellStart"/>
            <w:r w:rsidRPr="00CB7805">
              <w:rPr>
                <w:rFonts w:ascii="Times New Roman" w:hAnsi="Times New Roman" w:cs="Times New Roman"/>
                <w:b w:val="0"/>
                <w:sz w:val="18"/>
                <w:szCs w:val="18"/>
              </w:rPr>
              <w:lastRenderedPageBreak/>
              <w:t>InternetUsage</w:t>
            </w:r>
            <w:proofErr w:type="spellEnd"/>
          </w:p>
        </w:tc>
        <w:tc>
          <w:tcPr>
            <w:tcW w:w="3969" w:type="dxa"/>
            <w:tcBorders>
              <w:left w:val="single" w:sz="4" w:space="0" w:color="auto"/>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B7805">
              <w:rPr>
                <w:rFonts w:ascii="Times New Roman" w:hAnsi="Times New Roman" w:cs="Times New Roman"/>
                <w:sz w:val="18"/>
                <w:szCs w:val="18"/>
              </w:rPr>
              <w:t>Individuals using the Internet (% of population)</w:t>
            </w:r>
          </w:p>
        </w:tc>
        <w:tc>
          <w:tcPr>
            <w:tcW w:w="1984" w:type="dxa"/>
            <w:tcBorders>
              <w:left w:val="nil"/>
              <w:right w:val="nil"/>
            </w:tcBorders>
            <w:vAlign w:val="center"/>
          </w:tcPr>
          <w:p w:rsidR="0084134C" w:rsidRPr="00CB7805" w:rsidRDefault="0025414B"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Proactive</w:t>
            </w:r>
            <w:r w:rsidRPr="00CB7805">
              <w:rPr>
                <w:rFonts w:ascii="Times New Roman" w:hAnsi="Times New Roman" w:cs="Times New Roman"/>
                <w:sz w:val="18"/>
                <w:szCs w:val="18"/>
              </w:rPr>
              <w:t xml:space="preserve"> </w:t>
            </w:r>
            <w:r w:rsidR="0084134C" w:rsidRPr="00CB7805">
              <w:rPr>
                <w:rFonts w:ascii="Times New Roman" w:hAnsi="Times New Roman" w:cs="Times New Roman"/>
                <w:sz w:val="18"/>
                <w:szCs w:val="18"/>
              </w:rPr>
              <w:t>(+)</w:t>
            </w:r>
          </w:p>
        </w:tc>
        <w:tc>
          <w:tcPr>
            <w:tcW w:w="851" w:type="dxa"/>
            <w:tcBorders>
              <w:left w:val="nil"/>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B7805">
              <w:rPr>
                <w:rFonts w:ascii="Times New Roman" w:hAnsi="Times New Roman" w:cs="Times New Roman"/>
                <w:sz w:val="18"/>
                <w:szCs w:val="18"/>
              </w:rPr>
              <w:t>WDI</w:t>
            </w:r>
          </w:p>
        </w:tc>
      </w:tr>
      <w:tr w:rsidR="0084134C" w:rsidRPr="00AD4130" w:rsidTr="001354F4">
        <w:trPr>
          <w:trHeight w:val="362"/>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single" w:sz="4" w:space="0" w:color="auto"/>
            </w:tcBorders>
            <w:vAlign w:val="center"/>
          </w:tcPr>
          <w:p w:rsidR="0084134C" w:rsidRPr="00CB7805" w:rsidRDefault="0084134C" w:rsidP="001354F4">
            <w:pPr>
              <w:rPr>
                <w:rFonts w:ascii="Times New Roman" w:hAnsi="Times New Roman" w:cs="Times New Roman"/>
                <w:b w:val="0"/>
                <w:sz w:val="18"/>
                <w:szCs w:val="18"/>
              </w:rPr>
            </w:pPr>
            <w:proofErr w:type="spellStart"/>
            <w:r w:rsidRPr="00CB7805">
              <w:rPr>
                <w:rFonts w:ascii="Times New Roman" w:hAnsi="Times New Roman" w:cs="Times New Roman"/>
                <w:b w:val="0"/>
                <w:sz w:val="18"/>
                <w:szCs w:val="18"/>
              </w:rPr>
              <w:t>TertiaryEd</w:t>
            </w:r>
            <w:proofErr w:type="spellEnd"/>
          </w:p>
        </w:tc>
        <w:tc>
          <w:tcPr>
            <w:tcW w:w="3969" w:type="dxa"/>
            <w:tcBorders>
              <w:left w:val="single" w:sz="4" w:space="0" w:color="auto"/>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E6071">
              <w:rPr>
                <w:rFonts w:ascii="Times New Roman" w:hAnsi="Times New Roman" w:cs="Times New Roman"/>
                <w:sz w:val="18"/>
                <w:szCs w:val="18"/>
              </w:rPr>
              <w:t>School enrollment, tertiary (% gross)</w:t>
            </w:r>
          </w:p>
        </w:tc>
        <w:tc>
          <w:tcPr>
            <w:tcW w:w="1984" w:type="dxa"/>
            <w:tcBorders>
              <w:left w:val="nil"/>
              <w:right w:val="nil"/>
            </w:tcBorders>
            <w:vAlign w:val="center"/>
          </w:tcPr>
          <w:p w:rsidR="0084134C" w:rsidRPr="00CB7805" w:rsidRDefault="0025414B"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Proactive</w:t>
            </w:r>
            <w:r w:rsidRPr="00CB7805">
              <w:rPr>
                <w:rFonts w:ascii="Times New Roman" w:hAnsi="Times New Roman" w:cs="Times New Roman"/>
                <w:sz w:val="18"/>
                <w:szCs w:val="18"/>
              </w:rPr>
              <w:t xml:space="preserve"> </w:t>
            </w:r>
            <w:r w:rsidR="0084134C" w:rsidRPr="00CB7805">
              <w:rPr>
                <w:rFonts w:ascii="Times New Roman" w:hAnsi="Times New Roman" w:cs="Times New Roman"/>
                <w:sz w:val="18"/>
                <w:szCs w:val="18"/>
              </w:rPr>
              <w:t>(+)</w:t>
            </w:r>
          </w:p>
        </w:tc>
        <w:tc>
          <w:tcPr>
            <w:tcW w:w="851" w:type="dxa"/>
            <w:tcBorders>
              <w:left w:val="nil"/>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B7805">
              <w:rPr>
                <w:rFonts w:ascii="Times New Roman" w:hAnsi="Times New Roman" w:cs="Times New Roman"/>
                <w:sz w:val="18"/>
                <w:szCs w:val="18"/>
              </w:rPr>
              <w:t>WDI</w:t>
            </w:r>
          </w:p>
        </w:tc>
      </w:tr>
      <w:tr w:rsidR="0084134C" w:rsidRPr="00AD4130" w:rsidTr="001354F4">
        <w:trPr>
          <w:trHeight w:val="389"/>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single" w:sz="4" w:space="0" w:color="auto"/>
            </w:tcBorders>
            <w:vAlign w:val="center"/>
          </w:tcPr>
          <w:p w:rsidR="0084134C" w:rsidRPr="00CB7805" w:rsidRDefault="0084134C" w:rsidP="001354F4">
            <w:pPr>
              <w:rPr>
                <w:rFonts w:ascii="Times New Roman" w:hAnsi="Times New Roman" w:cs="Times New Roman"/>
                <w:b w:val="0"/>
                <w:sz w:val="18"/>
                <w:szCs w:val="18"/>
              </w:rPr>
            </w:pPr>
            <w:proofErr w:type="spellStart"/>
            <w:r w:rsidRPr="00CB7805">
              <w:rPr>
                <w:rFonts w:ascii="Times New Roman" w:hAnsi="Times New Roman" w:cs="Times New Roman"/>
                <w:b w:val="0"/>
                <w:sz w:val="18"/>
                <w:szCs w:val="18"/>
              </w:rPr>
              <w:t>MaternityLe</w:t>
            </w:r>
            <w:proofErr w:type="spellEnd"/>
          </w:p>
        </w:tc>
        <w:tc>
          <w:tcPr>
            <w:tcW w:w="3969" w:type="dxa"/>
            <w:tcBorders>
              <w:left w:val="single" w:sz="4" w:space="0" w:color="auto"/>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B7805">
              <w:rPr>
                <w:rFonts w:ascii="Times New Roman" w:hAnsi="Times New Roman" w:cs="Times New Roman"/>
                <w:sz w:val="18"/>
                <w:szCs w:val="18"/>
              </w:rPr>
              <w:t>Length of maternity leave (weeks)</w:t>
            </w:r>
            <w:r>
              <w:rPr>
                <w:rFonts w:ascii="Times New Roman" w:hAnsi="Times New Roman" w:cs="Times New Roman"/>
                <w:sz w:val="18"/>
                <w:szCs w:val="18"/>
              </w:rPr>
              <w:t>,</w:t>
            </w:r>
            <w:r w:rsidRPr="00CB7805">
              <w:rPr>
                <w:rFonts w:ascii="Times New Roman" w:hAnsi="Times New Roman" w:cs="Times New Roman"/>
                <w:sz w:val="18"/>
                <w:szCs w:val="18"/>
              </w:rPr>
              <w:t xml:space="preserve"> paid leave only</w:t>
            </w:r>
          </w:p>
        </w:tc>
        <w:tc>
          <w:tcPr>
            <w:tcW w:w="1984" w:type="dxa"/>
            <w:tcBorders>
              <w:left w:val="nil"/>
              <w:right w:val="nil"/>
            </w:tcBorders>
            <w:vAlign w:val="center"/>
          </w:tcPr>
          <w:p w:rsidR="0084134C" w:rsidRPr="00CB7805" w:rsidRDefault="0025414B"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Proactive</w:t>
            </w:r>
            <w:r w:rsidRPr="00CB7805">
              <w:rPr>
                <w:rFonts w:ascii="Times New Roman" w:hAnsi="Times New Roman" w:cs="Times New Roman"/>
                <w:sz w:val="18"/>
                <w:szCs w:val="18"/>
              </w:rPr>
              <w:t xml:space="preserve"> </w:t>
            </w:r>
            <w:r w:rsidR="0084134C" w:rsidRPr="00CB7805">
              <w:rPr>
                <w:rFonts w:ascii="Times New Roman" w:hAnsi="Times New Roman" w:cs="Times New Roman"/>
                <w:sz w:val="18"/>
                <w:szCs w:val="18"/>
              </w:rPr>
              <w:t>(+)</w:t>
            </w:r>
          </w:p>
        </w:tc>
        <w:tc>
          <w:tcPr>
            <w:tcW w:w="851" w:type="dxa"/>
            <w:tcBorders>
              <w:left w:val="nil"/>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B7805">
              <w:rPr>
                <w:rFonts w:ascii="Times New Roman" w:hAnsi="Times New Roman" w:cs="Times New Roman"/>
                <w:sz w:val="18"/>
                <w:szCs w:val="18"/>
              </w:rPr>
              <w:t>ILO</w:t>
            </w:r>
          </w:p>
        </w:tc>
      </w:tr>
      <w:tr w:rsidR="0084134C" w:rsidRPr="00AD4130" w:rsidTr="001354F4">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single" w:sz="4" w:space="0" w:color="auto"/>
            </w:tcBorders>
            <w:vAlign w:val="center"/>
          </w:tcPr>
          <w:p w:rsidR="0084134C" w:rsidRPr="00CB7805" w:rsidRDefault="0084134C" w:rsidP="001354F4">
            <w:pPr>
              <w:rPr>
                <w:rFonts w:ascii="Times New Roman" w:hAnsi="Times New Roman" w:cs="Times New Roman"/>
                <w:b w:val="0"/>
                <w:sz w:val="18"/>
                <w:szCs w:val="18"/>
              </w:rPr>
            </w:pPr>
            <w:proofErr w:type="spellStart"/>
            <w:r w:rsidRPr="00CB7805">
              <w:rPr>
                <w:rFonts w:ascii="Times New Roman" w:hAnsi="Times New Roman" w:cs="Times New Roman"/>
                <w:b w:val="0"/>
                <w:sz w:val="18"/>
                <w:szCs w:val="18"/>
              </w:rPr>
              <w:t>RenEnergOut</w:t>
            </w:r>
            <w:proofErr w:type="spellEnd"/>
          </w:p>
        </w:tc>
        <w:tc>
          <w:tcPr>
            <w:tcW w:w="3969" w:type="dxa"/>
            <w:tcBorders>
              <w:left w:val="single" w:sz="4" w:space="0" w:color="auto"/>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Renewable e</w:t>
            </w:r>
            <w:r w:rsidRPr="00CB7805">
              <w:rPr>
                <w:rFonts w:ascii="Times New Roman" w:hAnsi="Times New Roman" w:cs="Times New Roman"/>
                <w:sz w:val="18"/>
                <w:szCs w:val="18"/>
              </w:rPr>
              <w:t xml:space="preserve">nergy </w:t>
            </w:r>
            <w:r>
              <w:rPr>
                <w:rFonts w:ascii="Times New Roman" w:hAnsi="Times New Roman" w:cs="Times New Roman"/>
                <w:sz w:val="18"/>
                <w:szCs w:val="18"/>
              </w:rPr>
              <w:t>o</w:t>
            </w:r>
            <w:r w:rsidRPr="00CB7805">
              <w:rPr>
                <w:rFonts w:ascii="Times New Roman" w:hAnsi="Times New Roman" w:cs="Times New Roman"/>
                <w:sz w:val="18"/>
                <w:szCs w:val="18"/>
              </w:rPr>
              <w:t>utput (</w:t>
            </w:r>
            <w:r>
              <w:rPr>
                <w:rFonts w:ascii="Times New Roman" w:hAnsi="Times New Roman" w:cs="Times New Roman"/>
                <w:sz w:val="18"/>
                <w:szCs w:val="18"/>
              </w:rPr>
              <w:t>%</w:t>
            </w:r>
            <w:r w:rsidRPr="00CB7805">
              <w:rPr>
                <w:rFonts w:ascii="Times New Roman" w:hAnsi="Times New Roman" w:cs="Times New Roman"/>
                <w:sz w:val="18"/>
                <w:szCs w:val="18"/>
              </w:rPr>
              <w:t xml:space="preserve"> of total output)</w:t>
            </w:r>
          </w:p>
        </w:tc>
        <w:tc>
          <w:tcPr>
            <w:tcW w:w="1984" w:type="dxa"/>
            <w:tcBorders>
              <w:left w:val="nil"/>
              <w:right w:val="nil"/>
            </w:tcBorders>
            <w:vAlign w:val="center"/>
          </w:tcPr>
          <w:p w:rsidR="0084134C" w:rsidRPr="00CB7805" w:rsidRDefault="0025414B"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Proactive</w:t>
            </w:r>
            <w:r w:rsidRPr="00CB7805">
              <w:rPr>
                <w:rFonts w:ascii="Times New Roman" w:hAnsi="Times New Roman" w:cs="Times New Roman"/>
                <w:sz w:val="18"/>
                <w:szCs w:val="18"/>
              </w:rPr>
              <w:t xml:space="preserve"> </w:t>
            </w:r>
            <w:r w:rsidR="0084134C" w:rsidRPr="00CB7805">
              <w:rPr>
                <w:rFonts w:ascii="Times New Roman" w:hAnsi="Times New Roman" w:cs="Times New Roman"/>
                <w:sz w:val="18"/>
                <w:szCs w:val="18"/>
              </w:rPr>
              <w:t>(+)</w:t>
            </w:r>
          </w:p>
        </w:tc>
        <w:tc>
          <w:tcPr>
            <w:tcW w:w="851" w:type="dxa"/>
            <w:tcBorders>
              <w:left w:val="nil"/>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B7805">
              <w:rPr>
                <w:rFonts w:ascii="Times New Roman" w:hAnsi="Times New Roman" w:cs="Times New Roman"/>
                <w:sz w:val="18"/>
                <w:szCs w:val="18"/>
              </w:rPr>
              <w:t>WDI</w:t>
            </w:r>
          </w:p>
        </w:tc>
      </w:tr>
      <w:tr w:rsidR="0084134C" w:rsidRPr="00AD4130" w:rsidTr="001354F4">
        <w:trPr>
          <w:trHeight w:val="416"/>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single" w:sz="4" w:space="0" w:color="auto"/>
            </w:tcBorders>
            <w:vAlign w:val="center"/>
          </w:tcPr>
          <w:p w:rsidR="0084134C" w:rsidRPr="00CB7805" w:rsidRDefault="0084134C" w:rsidP="001354F4">
            <w:pPr>
              <w:rPr>
                <w:rFonts w:ascii="Times New Roman" w:hAnsi="Times New Roman" w:cs="Times New Roman"/>
                <w:b w:val="0"/>
                <w:sz w:val="18"/>
                <w:szCs w:val="18"/>
              </w:rPr>
            </w:pPr>
            <w:proofErr w:type="spellStart"/>
            <w:r w:rsidRPr="00CB7805">
              <w:rPr>
                <w:rFonts w:ascii="Times New Roman" w:hAnsi="Times New Roman" w:cs="Times New Roman"/>
                <w:b w:val="0"/>
                <w:sz w:val="18"/>
                <w:szCs w:val="18"/>
              </w:rPr>
              <w:t>LaborForcePR</w:t>
            </w:r>
            <w:proofErr w:type="spellEnd"/>
          </w:p>
        </w:tc>
        <w:tc>
          <w:tcPr>
            <w:tcW w:w="3969" w:type="dxa"/>
            <w:tcBorders>
              <w:left w:val="single" w:sz="4" w:space="0" w:color="auto"/>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spellStart"/>
            <w:r w:rsidRPr="00CB7805">
              <w:rPr>
                <w:rFonts w:ascii="Times New Roman" w:hAnsi="Times New Roman" w:cs="Times New Roman"/>
                <w:sz w:val="18"/>
                <w:szCs w:val="18"/>
              </w:rPr>
              <w:t>Labour</w:t>
            </w:r>
            <w:proofErr w:type="spellEnd"/>
            <w:r w:rsidRPr="00CB7805">
              <w:rPr>
                <w:rFonts w:ascii="Times New Roman" w:hAnsi="Times New Roman" w:cs="Times New Roman"/>
                <w:sz w:val="18"/>
                <w:szCs w:val="18"/>
              </w:rPr>
              <w:t xml:space="preserve"> force participation rates of population at ages 15-64 (%)</w:t>
            </w:r>
          </w:p>
        </w:tc>
        <w:tc>
          <w:tcPr>
            <w:tcW w:w="1984" w:type="dxa"/>
            <w:tcBorders>
              <w:left w:val="nil"/>
              <w:right w:val="nil"/>
            </w:tcBorders>
            <w:vAlign w:val="center"/>
          </w:tcPr>
          <w:p w:rsidR="0084134C" w:rsidRPr="00CB7805" w:rsidRDefault="0025414B"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Proactive</w:t>
            </w:r>
            <w:r w:rsidRPr="00CB7805">
              <w:rPr>
                <w:rFonts w:ascii="Times New Roman" w:hAnsi="Times New Roman" w:cs="Times New Roman"/>
                <w:sz w:val="18"/>
                <w:szCs w:val="18"/>
              </w:rPr>
              <w:t xml:space="preserve"> </w:t>
            </w:r>
            <w:r w:rsidR="0084134C" w:rsidRPr="00CB7805">
              <w:rPr>
                <w:rFonts w:ascii="Times New Roman" w:hAnsi="Times New Roman" w:cs="Times New Roman"/>
                <w:sz w:val="18"/>
                <w:szCs w:val="18"/>
              </w:rPr>
              <w:t>(+)</w:t>
            </w:r>
          </w:p>
        </w:tc>
        <w:tc>
          <w:tcPr>
            <w:tcW w:w="851" w:type="dxa"/>
            <w:tcBorders>
              <w:left w:val="nil"/>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B7805">
              <w:rPr>
                <w:rFonts w:ascii="Times New Roman" w:hAnsi="Times New Roman" w:cs="Times New Roman"/>
                <w:sz w:val="18"/>
                <w:szCs w:val="18"/>
              </w:rPr>
              <w:t>ILO</w:t>
            </w:r>
          </w:p>
        </w:tc>
      </w:tr>
      <w:tr w:rsidR="0084134C" w:rsidRPr="00AD4130" w:rsidTr="001354F4">
        <w:trPr>
          <w:trHeight w:val="394"/>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bottom w:val="single" w:sz="18" w:space="0" w:color="auto"/>
              <w:right w:val="single" w:sz="4" w:space="0" w:color="auto"/>
            </w:tcBorders>
            <w:vAlign w:val="center"/>
          </w:tcPr>
          <w:p w:rsidR="0084134C" w:rsidRPr="00CB7805" w:rsidRDefault="0084134C" w:rsidP="001354F4">
            <w:pPr>
              <w:rPr>
                <w:rFonts w:ascii="Times New Roman" w:hAnsi="Times New Roman" w:cs="Times New Roman"/>
                <w:b w:val="0"/>
                <w:sz w:val="18"/>
                <w:szCs w:val="18"/>
              </w:rPr>
            </w:pPr>
            <w:proofErr w:type="spellStart"/>
            <w:r w:rsidRPr="00CB7805">
              <w:rPr>
                <w:rFonts w:ascii="Times New Roman" w:hAnsi="Times New Roman" w:cs="Times New Roman"/>
                <w:b w:val="0"/>
                <w:sz w:val="18"/>
                <w:szCs w:val="18"/>
              </w:rPr>
              <w:t>LUnderutility</w:t>
            </w:r>
            <w:proofErr w:type="spellEnd"/>
          </w:p>
        </w:tc>
        <w:tc>
          <w:tcPr>
            <w:tcW w:w="3969" w:type="dxa"/>
            <w:tcBorders>
              <w:left w:val="single" w:sz="4" w:space="0" w:color="auto"/>
              <w:bottom w:val="single" w:sz="18" w:space="0" w:color="auto"/>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B7805">
              <w:rPr>
                <w:rFonts w:ascii="Times New Roman" w:hAnsi="Times New Roman" w:cs="Times New Roman"/>
                <w:sz w:val="18"/>
                <w:szCs w:val="18"/>
              </w:rPr>
              <w:t xml:space="preserve">Combined rate of unemployment and potential </w:t>
            </w:r>
            <w:proofErr w:type="spellStart"/>
            <w:r w:rsidRPr="00CB7805">
              <w:rPr>
                <w:rFonts w:ascii="Times New Roman" w:hAnsi="Times New Roman" w:cs="Times New Roman"/>
                <w:sz w:val="18"/>
                <w:szCs w:val="18"/>
              </w:rPr>
              <w:t>labour</w:t>
            </w:r>
            <w:proofErr w:type="spellEnd"/>
            <w:r w:rsidRPr="00CB7805">
              <w:rPr>
                <w:rFonts w:ascii="Times New Roman" w:hAnsi="Times New Roman" w:cs="Times New Roman"/>
                <w:sz w:val="18"/>
                <w:szCs w:val="18"/>
              </w:rPr>
              <w:t xml:space="preserve"> force (LU3) %, total 15+</w:t>
            </w:r>
          </w:p>
        </w:tc>
        <w:tc>
          <w:tcPr>
            <w:tcW w:w="1984" w:type="dxa"/>
            <w:tcBorders>
              <w:left w:val="nil"/>
              <w:bottom w:val="single" w:sz="18" w:space="0" w:color="auto"/>
              <w:right w:val="nil"/>
            </w:tcBorders>
            <w:vAlign w:val="center"/>
          </w:tcPr>
          <w:p w:rsidR="0084134C" w:rsidRPr="00CB7805" w:rsidRDefault="0025414B"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Proactive</w:t>
            </w:r>
            <w:r w:rsidRPr="00CB7805">
              <w:rPr>
                <w:rFonts w:ascii="Times New Roman" w:hAnsi="Times New Roman" w:cs="Times New Roman"/>
                <w:sz w:val="18"/>
                <w:szCs w:val="18"/>
              </w:rPr>
              <w:t xml:space="preserve"> </w:t>
            </w:r>
            <w:r w:rsidR="0084134C" w:rsidRPr="00CB7805">
              <w:rPr>
                <w:rFonts w:ascii="Times New Roman" w:hAnsi="Times New Roman" w:cs="Times New Roman"/>
                <w:sz w:val="18"/>
                <w:szCs w:val="18"/>
              </w:rPr>
              <w:t>(-)</w:t>
            </w:r>
          </w:p>
        </w:tc>
        <w:tc>
          <w:tcPr>
            <w:tcW w:w="851" w:type="dxa"/>
            <w:tcBorders>
              <w:left w:val="nil"/>
              <w:bottom w:val="single" w:sz="18" w:space="0" w:color="auto"/>
              <w:right w:val="nil"/>
            </w:tcBorders>
            <w:vAlign w:val="center"/>
          </w:tcPr>
          <w:p w:rsidR="0084134C" w:rsidRPr="00CB7805" w:rsidRDefault="0084134C" w:rsidP="001354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B7805">
              <w:rPr>
                <w:rFonts w:ascii="Times New Roman" w:hAnsi="Times New Roman" w:cs="Times New Roman"/>
                <w:sz w:val="18"/>
                <w:szCs w:val="18"/>
              </w:rPr>
              <w:t>ILO</w:t>
            </w:r>
          </w:p>
        </w:tc>
      </w:tr>
    </w:tbl>
    <w:p w:rsidR="0084134C" w:rsidRPr="00784D71" w:rsidRDefault="0084134C" w:rsidP="0084134C">
      <w:pPr>
        <w:tabs>
          <w:tab w:val="left" w:pos="2020"/>
        </w:tabs>
        <w:jc w:val="both"/>
        <w:rPr>
          <w:rFonts w:ascii="Times New Roman" w:hAnsi="Times New Roman" w:cs="Times New Roman"/>
          <w:i/>
          <w:sz w:val="2"/>
          <w:szCs w:val="19"/>
        </w:rPr>
      </w:pPr>
    </w:p>
    <w:p w:rsidR="0084134C" w:rsidRDefault="0084134C" w:rsidP="0084134C">
      <w:pPr>
        <w:tabs>
          <w:tab w:val="left" w:pos="2020"/>
        </w:tabs>
        <w:spacing w:after="0"/>
        <w:jc w:val="both"/>
        <w:rPr>
          <w:rFonts w:ascii="Times New Roman" w:hAnsi="Times New Roman" w:cs="Times New Roman"/>
          <w:sz w:val="18"/>
          <w:szCs w:val="18"/>
        </w:rPr>
      </w:pPr>
      <w:r w:rsidRPr="00CB7805">
        <w:rPr>
          <w:rFonts w:ascii="Times New Roman" w:hAnsi="Times New Roman" w:cs="Times New Roman"/>
          <w:i/>
          <w:sz w:val="18"/>
          <w:szCs w:val="18"/>
        </w:rPr>
        <w:t>Note</w:t>
      </w:r>
      <w:r w:rsidRPr="00CB7805">
        <w:rPr>
          <w:rFonts w:ascii="Times New Roman" w:hAnsi="Times New Roman" w:cs="Times New Roman"/>
          <w:sz w:val="18"/>
          <w:szCs w:val="18"/>
        </w:rPr>
        <w:t xml:space="preserve">: In section, ‘Relation to </w:t>
      </w:r>
      <w:r>
        <w:rPr>
          <w:rFonts w:ascii="Times New Roman" w:hAnsi="Times New Roman" w:cs="Times New Roman"/>
          <w:sz w:val="18"/>
          <w:szCs w:val="18"/>
        </w:rPr>
        <w:t>concept</w:t>
      </w:r>
      <w:r w:rsidRPr="00CB7805">
        <w:rPr>
          <w:rFonts w:ascii="Times New Roman" w:hAnsi="Times New Roman" w:cs="Times New Roman"/>
          <w:sz w:val="18"/>
          <w:szCs w:val="18"/>
        </w:rPr>
        <w:t>, ‘</w:t>
      </w:r>
      <w:r w:rsidR="00A36A78">
        <w:rPr>
          <w:rFonts w:ascii="Times New Roman" w:hAnsi="Times New Roman" w:cs="Times New Roman"/>
          <w:sz w:val="18"/>
          <w:szCs w:val="18"/>
        </w:rPr>
        <w:t>Reactive</w:t>
      </w:r>
      <w:r w:rsidRPr="00CB7805">
        <w:rPr>
          <w:rFonts w:ascii="Times New Roman" w:hAnsi="Times New Roman" w:cs="Times New Roman"/>
          <w:sz w:val="18"/>
          <w:szCs w:val="18"/>
        </w:rPr>
        <w:t xml:space="preserve"> (+/-)’ and ‘</w:t>
      </w:r>
      <w:r w:rsidR="00A36A78">
        <w:rPr>
          <w:rFonts w:ascii="Times New Roman" w:hAnsi="Times New Roman" w:cs="Times New Roman"/>
          <w:sz w:val="18"/>
          <w:szCs w:val="18"/>
        </w:rPr>
        <w:t>Proactive</w:t>
      </w:r>
      <w:r w:rsidR="00A36A78" w:rsidRPr="00CB7805">
        <w:rPr>
          <w:rFonts w:ascii="Times New Roman" w:hAnsi="Times New Roman" w:cs="Times New Roman"/>
          <w:sz w:val="18"/>
          <w:szCs w:val="18"/>
        </w:rPr>
        <w:t xml:space="preserve"> </w:t>
      </w:r>
      <w:r w:rsidRPr="00CB7805">
        <w:rPr>
          <w:rFonts w:ascii="Times New Roman" w:hAnsi="Times New Roman" w:cs="Times New Roman"/>
          <w:sz w:val="18"/>
          <w:szCs w:val="18"/>
        </w:rPr>
        <w:t>(+/-)’ c</w:t>
      </w:r>
      <w:r>
        <w:rPr>
          <w:rFonts w:ascii="Times New Roman" w:hAnsi="Times New Roman" w:cs="Times New Roman"/>
          <w:sz w:val="18"/>
          <w:szCs w:val="18"/>
        </w:rPr>
        <w:t xml:space="preserve">lassification suggests that respective </w:t>
      </w:r>
      <w:r w:rsidRPr="00CB7805">
        <w:rPr>
          <w:rFonts w:ascii="Times New Roman" w:hAnsi="Times New Roman" w:cs="Times New Roman"/>
          <w:sz w:val="18"/>
          <w:szCs w:val="18"/>
        </w:rPr>
        <w:t>variable</w:t>
      </w:r>
      <w:r>
        <w:rPr>
          <w:rFonts w:ascii="Times New Roman" w:hAnsi="Times New Roman" w:cs="Times New Roman"/>
          <w:sz w:val="18"/>
          <w:szCs w:val="18"/>
        </w:rPr>
        <w:t>s</w:t>
      </w:r>
      <w:r w:rsidRPr="00CB7805">
        <w:rPr>
          <w:rFonts w:ascii="Times New Roman" w:hAnsi="Times New Roman" w:cs="Times New Roman"/>
          <w:sz w:val="18"/>
          <w:szCs w:val="18"/>
        </w:rPr>
        <w:t xml:space="preserve"> </w:t>
      </w:r>
      <w:r>
        <w:rPr>
          <w:rFonts w:ascii="Times New Roman" w:hAnsi="Times New Roman" w:cs="Times New Roman"/>
          <w:sz w:val="18"/>
          <w:szCs w:val="18"/>
        </w:rPr>
        <w:t>are positively or negatively related</w:t>
      </w:r>
      <w:r w:rsidRPr="00CB7805">
        <w:rPr>
          <w:rFonts w:ascii="Times New Roman" w:hAnsi="Times New Roman" w:cs="Times New Roman"/>
          <w:sz w:val="18"/>
          <w:szCs w:val="18"/>
        </w:rPr>
        <w:t xml:space="preserve"> to </w:t>
      </w:r>
      <w:r>
        <w:rPr>
          <w:rFonts w:ascii="Times New Roman" w:hAnsi="Times New Roman" w:cs="Times New Roman"/>
          <w:sz w:val="18"/>
          <w:szCs w:val="18"/>
        </w:rPr>
        <w:t>a</w:t>
      </w:r>
      <w:r w:rsidRPr="00CB7805">
        <w:rPr>
          <w:rFonts w:ascii="Times New Roman" w:hAnsi="Times New Roman" w:cs="Times New Roman"/>
          <w:sz w:val="18"/>
          <w:szCs w:val="18"/>
        </w:rPr>
        <w:t xml:space="preserve"> specific regime. For example, the higher is the ‘</w:t>
      </w:r>
      <w:r w:rsidRPr="00CB7805">
        <w:rPr>
          <w:rFonts w:ascii="Times New Roman" w:hAnsi="Times New Roman" w:cs="Times New Roman"/>
          <w:i/>
          <w:sz w:val="18"/>
          <w:szCs w:val="18"/>
        </w:rPr>
        <w:t>Total social protection expenditure</w:t>
      </w:r>
      <w:r>
        <w:rPr>
          <w:rFonts w:ascii="Times New Roman" w:hAnsi="Times New Roman" w:cs="Times New Roman"/>
          <w:i/>
          <w:sz w:val="18"/>
          <w:szCs w:val="18"/>
        </w:rPr>
        <w:t>,</w:t>
      </w:r>
      <w:r w:rsidRPr="00CB7805">
        <w:rPr>
          <w:rFonts w:ascii="Times New Roman" w:hAnsi="Times New Roman" w:cs="Times New Roman"/>
          <w:i/>
          <w:sz w:val="18"/>
          <w:szCs w:val="18"/>
        </w:rPr>
        <w:t xml:space="preserve"> including health (% of GDP)’ </w:t>
      </w:r>
      <w:r w:rsidRPr="00CB7805">
        <w:rPr>
          <w:rFonts w:ascii="Times New Roman" w:hAnsi="Times New Roman" w:cs="Times New Roman"/>
          <w:sz w:val="18"/>
          <w:szCs w:val="18"/>
        </w:rPr>
        <w:t>the</w:t>
      </w:r>
      <w:r w:rsidRPr="00CB7805">
        <w:rPr>
          <w:rFonts w:ascii="Times New Roman" w:hAnsi="Times New Roman" w:cs="Times New Roman"/>
          <w:i/>
          <w:sz w:val="18"/>
          <w:szCs w:val="18"/>
        </w:rPr>
        <w:t xml:space="preserve"> </w:t>
      </w:r>
      <w:r>
        <w:rPr>
          <w:rFonts w:ascii="Times New Roman" w:hAnsi="Times New Roman" w:cs="Times New Roman"/>
          <w:sz w:val="18"/>
          <w:szCs w:val="18"/>
        </w:rPr>
        <w:t>stronger is a country’s preference towards</w:t>
      </w:r>
      <w:r w:rsidRPr="00CB7805">
        <w:rPr>
          <w:rFonts w:ascii="Times New Roman" w:hAnsi="Times New Roman" w:cs="Times New Roman"/>
          <w:sz w:val="18"/>
          <w:szCs w:val="18"/>
        </w:rPr>
        <w:t xml:space="preserve"> ‘</w:t>
      </w:r>
      <w:r w:rsidR="00A36A78">
        <w:rPr>
          <w:rFonts w:ascii="Times New Roman" w:hAnsi="Times New Roman" w:cs="Times New Roman"/>
          <w:sz w:val="18"/>
          <w:szCs w:val="18"/>
        </w:rPr>
        <w:t>Reactive’</w:t>
      </w:r>
      <w:r w:rsidR="00A36A78" w:rsidRPr="00CB7805">
        <w:rPr>
          <w:rFonts w:ascii="Times New Roman" w:hAnsi="Times New Roman" w:cs="Times New Roman"/>
          <w:sz w:val="18"/>
          <w:szCs w:val="18"/>
        </w:rPr>
        <w:t xml:space="preserve"> </w:t>
      </w:r>
      <w:r w:rsidRPr="00CB7805">
        <w:rPr>
          <w:rFonts w:ascii="Times New Roman" w:hAnsi="Times New Roman" w:cs="Times New Roman"/>
          <w:sz w:val="18"/>
          <w:szCs w:val="18"/>
        </w:rPr>
        <w:t xml:space="preserve">welfare state </w:t>
      </w:r>
      <w:r>
        <w:rPr>
          <w:rFonts w:ascii="Times New Roman" w:hAnsi="Times New Roman" w:cs="Times New Roman"/>
          <w:sz w:val="18"/>
          <w:szCs w:val="18"/>
        </w:rPr>
        <w:t>policies</w:t>
      </w:r>
      <w:r w:rsidRPr="00CB7805">
        <w:rPr>
          <w:rFonts w:ascii="Times New Roman" w:hAnsi="Times New Roman" w:cs="Times New Roman"/>
          <w:sz w:val="18"/>
          <w:szCs w:val="18"/>
        </w:rPr>
        <w:t>.</w:t>
      </w:r>
      <w:r>
        <w:rPr>
          <w:rFonts w:ascii="Times New Roman" w:hAnsi="Times New Roman" w:cs="Times New Roman"/>
          <w:sz w:val="18"/>
          <w:szCs w:val="18"/>
        </w:rPr>
        <w:t xml:space="preserve"> </w:t>
      </w:r>
    </w:p>
    <w:p w:rsidR="0084134C" w:rsidRPr="00CB7805" w:rsidRDefault="0084134C" w:rsidP="0084134C">
      <w:pPr>
        <w:tabs>
          <w:tab w:val="left" w:pos="2020"/>
        </w:tabs>
        <w:spacing w:after="0"/>
        <w:jc w:val="both"/>
        <w:rPr>
          <w:rFonts w:ascii="Times New Roman" w:hAnsi="Times New Roman" w:cs="Times New Roman"/>
          <w:sz w:val="18"/>
          <w:szCs w:val="18"/>
        </w:rPr>
      </w:pPr>
      <w:r>
        <w:rPr>
          <w:rFonts w:ascii="Times New Roman" w:hAnsi="Times New Roman" w:cs="Times New Roman"/>
          <w:sz w:val="18"/>
          <w:szCs w:val="18"/>
        </w:rPr>
        <w:t>A</w:t>
      </w:r>
      <w:r w:rsidRPr="00CB7805">
        <w:rPr>
          <w:rFonts w:ascii="Times New Roman" w:hAnsi="Times New Roman" w:cs="Times New Roman"/>
          <w:sz w:val="18"/>
          <w:szCs w:val="18"/>
        </w:rPr>
        <w:t xml:space="preserve">cronyms: ILO (International Labor Organization); WDI (World Development Indicators); UN (United Nations); FHI (Freedom House Index); IDEA (International Institute for Democracy and Electoral Assistance). </w:t>
      </w:r>
    </w:p>
    <w:p w:rsidR="0084134C" w:rsidRPr="005646E2" w:rsidRDefault="0084134C" w:rsidP="0084134C">
      <w:pPr>
        <w:spacing w:line="259" w:lineRule="auto"/>
        <w:rPr>
          <w:rFonts w:ascii="Times New Roman" w:hAnsi="Times New Roman" w:cs="Times New Roman"/>
          <w:b/>
          <w:sz w:val="40"/>
          <w:szCs w:val="24"/>
        </w:rPr>
      </w:pPr>
    </w:p>
    <w:p w:rsidR="0084134C" w:rsidRPr="0059536D" w:rsidRDefault="0084134C" w:rsidP="0084134C">
      <w:pPr>
        <w:spacing w:line="259" w:lineRule="auto"/>
        <w:rPr>
          <w:rFonts w:ascii="Times New Roman" w:hAnsi="Times New Roman" w:cs="Times New Roman"/>
          <w:sz w:val="24"/>
          <w:szCs w:val="24"/>
        </w:rPr>
      </w:pPr>
      <w:r w:rsidRPr="00446A36">
        <w:rPr>
          <w:rFonts w:ascii="Times New Roman" w:hAnsi="Times New Roman" w:cs="Times New Roman"/>
          <w:b/>
          <w:sz w:val="24"/>
          <w:szCs w:val="24"/>
        </w:rPr>
        <w:t>Appendix C.</w:t>
      </w:r>
      <w:r w:rsidRPr="00AD4130">
        <w:rPr>
          <w:rFonts w:ascii="Times New Roman" w:hAnsi="Times New Roman" w:cs="Times New Roman"/>
          <w:sz w:val="24"/>
          <w:szCs w:val="24"/>
        </w:rPr>
        <w:t xml:space="preserve"> Summary Statistics of the Variables Measured</w:t>
      </w:r>
      <w:r>
        <w:fldChar w:fldCharType="begin"/>
      </w:r>
      <w:r>
        <w:instrText xml:space="preserve"> LINK Excel.Sheet.12 "\\\\nas-sowi.campus.unibe.ch\\sowi\\homes\\ipw\\vh18u509\\Desktop\\World Development Manuscript\\Sources\\Final File.xlsx" "Sheet1!R2C1:R21C6" \a \f 4 \h  \* MERGEFORMAT </w:instrText>
      </w:r>
      <w:r>
        <w:fldChar w:fldCharType="separate"/>
      </w:r>
    </w:p>
    <w:tbl>
      <w:tblPr>
        <w:tblW w:w="8036" w:type="dxa"/>
        <w:jc w:val="center"/>
        <w:tblLook w:val="04A0" w:firstRow="1" w:lastRow="0" w:firstColumn="1" w:lastColumn="0" w:noHBand="0" w:noVBand="1"/>
      </w:tblPr>
      <w:tblGrid>
        <w:gridCol w:w="3156"/>
        <w:gridCol w:w="976"/>
        <w:gridCol w:w="976"/>
        <w:gridCol w:w="976"/>
        <w:gridCol w:w="976"/>
        <w:gridCol w:w="976"/>
      </w:tblGrid>
      <w:tr w:rsidR="0084134C" w:rsidRPr="0059536D" w:rsidTr="001354F4">
        <w:trPr>
          <w:trHeight w:val="300"/>
          <w:jc w:val="center"/>
        </w:trPr>
        <w:tc>
          <w:tcPr>
            <w:tcW w:w="3156" w:type="dxa"/>
            <w:tcBorders>
              <w:top w:val="single" w:sz="4" w:space="0" w:color="auto"/>
              <w:left w:val="nil"/>
              <w:bottom w:val="single" w:sz="4" w:space="0" w:color="auto"/>
              <w:right w:val="nil"/>
            </w:tcBorders>
            <w:shd w:val="clear" w:color="auto" w:fill="auto"/>
            <w:noWrap/>
            <w:vAlign w:val="bottom"/>
            <w:hideMark/>
          </w:tcPr>
          <w:p w:rsidR="0084134C" w:rsidRPr="0059536D" w:rsidRDefault="0084134C" w:rsidP="001354F4">
            <w:pPr>
              <w:spacing w:after="0" w:line="240" w:lineRule="auto"/>
              <w:rPr>
                <w:rFonts w:ascii="Times New Roman" w:eastAsia="Times New Roman" w:hAnsi="Times New Roman" w:cs="Times New Roman"/>
                <w:bCs/>
                <w:color w:val="000000"/>
                <w:sz w:val="24"/>
                <w:szCs w:val="20"/>
                <w:lang w:val="en-GB" w:eastAsia="en-GB"/>
              </w:rPr>
            </w:pPr>
            <w:r w:rsidRPr="0059536D">
              <w:rPr>
                <w:rFonts w:ascii="Times New Roman" w:eastAsia="Times New Roman" w:hAnsi="Times New Roman" w:cs="Times New Roman"/>
                <w:bCs/>
                <w:color w:val="000000"/>
                <w:sz w:val="24"/>
                <w:szCs w:val="20"/>
                <w:lang w:val="en-GB" w:eastAsia="en-GB"/>
              </w:rPr>
              <w:t>Indicator</w:t>
            </w:r>
          </w:p>
        </w:tc>
        <w:tc>
          <w:tcPr>
            <w:tcW w:w="976" w:type="dxa"/>
            <w:tcBorders>
              <w:top w:val="single" w:sz="4" w:space="0" w:color="auto"/>
              <w:left w:val="nil"/>
              <w:bottom w:val="single" w:sz="4" w:space="0" w:color="auto"/>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bCs/>
                <w:color w:val="000000"/>
                <w:sz w:val="24"/>
                <w:szCs w:val="20"/>
                <w:lang w:val="en-GB" w:eastAsia="en-GB"/>
              </w:rPr>
            </w:pPr>
            <w:r w:rsidRPr="0059536D">
              <w:rPr>
                <w:rFonts w:ascii="Times New Roman" w:eastAsia="Times New Roman" w:hAnsi="Times New Roman" w:cs="Times New Roman"/>
                <w:bCs/>
                <w:color w:val="000000"/>
                <w:sz w:val="24"/>
                <w:szCs w:val="20"/>
                <w:lang w:val="en-GB" w:eastAsia="en-GB"/>
              </w:rPr>
              <w:t>N</w:t>
            </w:r>
          </w:p>
        </w:tc>
        <w:tc>
          <w:tcPr>
            <w:tcW w:w="976" w:type="dxa"/>
            <w:tcBorders>
              <w:top w:val="single" w:sz="4" w:space="0" w:color="auto"/>
              <w:left w:val="nil"/>
              <w:bottom w:val="single" w:sz="4" w:space="0" w:color="auto"/>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bCs/>
                <w:color w:val="000000"/>
                <w:sz w:val="24"/>
                <w:szCs w:val="20"/>
                <w:lang w:val="en-GB" w:eastAsia="en-GB"/>
              </w:rPr>
            </w:pPr>
            <w:r w:rsidRPr="0059536D">
              <w:rPr>
                <w:rFonts w:ascii="Times New Roman" w:eastAsia="Times New Roman" w:hAnsi="Times New Roman" w:cs="Times New Roman"/>
                <w:bCs/>
                <w:color w:val="000000"/>
                <w:sz w:val="24"/>
                <w:szCs w:val="20"/>
                <w:lang w:val="en-GB" w:eastAsia="en-GB"/>
              </w:rPr>
              <w:t>Min</w:t>
            </w:r>
          </w:p>
        </w:tc>
        <w:tc>
          <w:tcPr>
            <w:tcW w:w="976" w:type="dxa"/>
            <w:tcBorders>
              <w:top w:val="single" w:sz="4" w:space="0" w:color="auto"/>
              <w:left w:val="nil"/>
              <w:bottom w:val="single" w:sz="4" w:space="0" w:color="auto"/>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bCs/>
                <w:color w:val="000000"/>
                <w:sz w:val="24"/>
                <w:szCs w:val="20"/>
                <w:lang w:val="en-GB" w:eastAsia="en-GB"/>
              </w:rPr>
            </w:pPr>
            <w:r w:rsidRPr="0059536D">
              <w:rPr>
                <w:rFonts w:ascii="Times New Roman" w:eastAsia="Times New Roman" w:hAnsi="Times New Roman" w:cs="Times New Roman"/>
                <w:bCs/>
                <w:color w:val="000000"/>
                <w:sz w:val="24"/>
                <w:szCs w:val="20"/>
                <w:lang w:val="en-GB" w:eastAsia="en-GB"/>
              </w:rPr>
              <w:t>Mean</w:t>
            </w:r>
          </w:p>
        </w:tc>
        <w:tc>
          <w:tcPr>
            <w:tcW w:w="976" w:type="dxa"/>
            <w:tcBorders>
              <w:top w:val="single" w:sz="4" w:space="0" w:color="auto"/>
              <w:left w:val="nil"/>
              <w:bottom w:val="single" w:sz="4" w:space="0" w:color="auto"/>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bCs/>
                <w:color w:val="000000"/>
                <w:sz w:val="24"/>
                <w:szCs w:val="20"/>
                <w:lang w:val="en-GB" w:eastAsia="en-GB"/>
              </w:rPr>
            </w:pPr>
            <w:r w:rsidRPr="0059536D">
              <w:rPr>
                <w:rFonts w:ascii="Times New Roman" w:eastAsia="Times New Roman" w:hAnsi="Times New Roman" w:cs="Times New Roman"/>
                <w:bCs/>
                <w:color w:val="000000"/>
                <w:sz w:val="24"/>
                <w:szCs w:val="20"/>
                <w:lang w:val="en-GB" w:eastAsia="en-GB"/>
              </w:rPr>
              <w:t>Max</w:t>
            </w:r>
          </w:p>
        </w:tc>
        <w:tc>
          <w:tcPr>
            <w:tcW w:w="976" w:type="dxa"/>
            <w:tcBorders>
              <w:top w:val="single" w:sz="4" w:space="0" w:color="auto"/>
              <w:left w:val="nil"/>
              <w:bottom w:val="single" w:sz="4" w:space="0" w:color="auto"/>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bCs/>
                <w:color w:val="000000"/>
                <w:sz w:val="24"/>
                <w:szCs w:val="20"/>
                <w:lang w:val="en-GB" w:eastAsia="en-GB"/>
              </w:rPr>
            </w:pPr>
            <w:proofErr w:type="spellStart"/>
            <w:r w:rsidRPr="0059536D">
              <w:rPr>
                <w:rFonts w:ascii="Times New Roman" w:eastAsia="Times New Roman" w:hAnsi="Times New Roman" w:cs="Times New Roman"/>
                <w:bCs/>
                <w:color w:val="000000"/>
                <w:sz w:val="24"/>
                <w:szCs w:val="20"/>
                <w:lang w:val="en-GB" w:eastAsia="en-GB"/>
              </w:rPr>
              <w:t>St.Dev</w:t>
            </w:r>
            <w:proofErr w:type="spellEnd"/>
            <w:r w:rsidRPr="0059536D">
              <w:rPr>
                <w:rFonts w:ascii="Times New Roman" w:eastAsia="Times New Roman" w:hAnsi="Times New Roman" w:cs="Times New Roman"/>
                <w:bCs/>
                <w:color w:val="000000"/>
                <w:sz w:val="24"/>
                <w:szCs w:val="20"/>
                <w:lang w:val="en-GB" w:eastAsia="en-GB"/>
              </w:rPr>
              <w:t>.</w:t>
            </w:r>
          </w:p>
        </w:tc>
      </w:tr>
      <w:tr w:rsidR="0084134C" w:rsidRPr="0059536D" w:rsidTr="001354F4">
        <w:trPr>
          <w:trHeight w:val="300"/>
          <w:jc w:val="center"/>
        </w:trPr>
        <w:tc>
          <w:tcPr>
            <w:tcW w:w="315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rPr>
                <w:rFonts w:ascii="Times New Roman" w:eastAsia="Times New Roman" w:hAnsi="Times New Roman" w:cs="Times New Roman"/>
                <w:color w:val="000000"/>
                <w:sz w:val="20"/>
                <w:szCs w:val="20"/>
                <w:lang w:val="en-GB" w:eastAsia="en-GB"/>
              </w:rPr>
            </w:pPr>
            <w:proofErr w:type="spellStart"/>
            <w:r w:rsidRPr="0059536D">
              <w:rPr>
                <w:rFonts w:ascii="Times New Roman" w:eastAsia="Times New Roman" w:hAnsi="Times New Roman" w:cs="Times New Roman"/>
                <w:color w:val="000000"/>
                <w:sz w:val="20"/>
                <w:szCs w:val="20"/>
                <w:lang w:val="en-GB" w:eastAsia="en-GB"/>
              </w:rPr>
              <w:t>TotSocProt</w:t>
            </w:r>
            <w:proofErr w:type="spellEnd"/>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150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0.17</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10.84</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31.69</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8.03</w:t>
            </w:r>
          </w:p>
        </w:tc>
      </w:tr>
      <w:tr w:rsidR="0084134C" w:rsidRPr="0059536D" w:rsidTr="001354F4">
        <w:trPr>
          <w:trHeight w:val="300"/>
          <w:jc w:val="center"/>
        </w:trPr>
        <w:tc>
          <w:tcPr>
            <w:tcW w:w="315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rPr>
                <w:rFonts w:ascii="Times New Roman" w:eastAsia="Times New Roman" w:hAnsi="Times New Roman" w:cs="Times New Roman"/>
                <w:color w:val="000000"/>
                <w:sz w:val="20"/>
                <w:szCs w:val="20"/>
                <w:lang w:val="en-GB" w:eastAsia="en-GB"/>
              </w:rPr>
            </w:pPr>
            <w:proofErr w:type="spellStart"/>
            <w:r w:rsidRPr="0059536D">
              <w:rPr>
                <w:rFonts w:ascii="Times New Roman" w:eastAsia="Times New Roman" w:hAnsi="Times New Roman" w:cs="Times New Roman"/>
                <w:color w:val="000000"/>
                <w:sz w:val="20"/>
                <w:szCs w:val="20"/>
                <w:lang w:val="en-GB" w:eastAsia="en-GB"/>
              </w:rPr>
              <w:t>SocSecPoli</w:t>
            </w:r>
            <w:proofErr w:type="spellEnd"/>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150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1.00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6.63</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8.00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1.52</w:t>
            </w:r>
          </w:p>
        </w:tc>
      </w:tr>
      <w:tr w:rsidR="0084134C" w:rsidRPr="0059536D" w:rsidTr="001354F4">
        <w:trPr>
          <w:trHeight w:val="300"/>
          <w:jc w:val="center"/>
        </w:trPr>
        <w:tc>
          <w:tcPr>
            <w:tcW w:w="315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rPr>
                <w:rFonts w:ascii="Times New Roman" w:eastAsia="Times New Roman" w:hAnsi="Times New Roman" w:cs="Times New Roman"/>
                <w:color w:val="000000"/>
                <w:sz w:val="20"/>
                <w:szCs w:val="20"/>
                <w:lang w:val="en-GB" w:eastAsia="en-GB"/>
              </w:rPr>
            </w:pPr>
            <w:proofErr w:type="spellStart"/>
            <w:r w:rsidRPr="0059536D">
              <w:rPr>
                <w:rFonts w:ascii="Times New Roman" w:eastAsia="Times New Roman" w:hAnsi="Times New Roman" w:cs="Times New Roman"/>
                <w:color w:val="000000"/>
                <w:sz w:val="20"/>
                <w:szCs w:val="20"/>
                <w:lang w:val="en-GB" w:eastAsia="en-GB"/>
              </w:rPr>
              <w:t>CivilRights</w:t>
            </w:r>
            <w:proofErr w:type="spellEnd"/>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150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0.22</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0.68</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0.98</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0.20</w:t>
            </w:r>
          </w:p>
        </w:tc>
      </w:tr>
      <w:tr w:rsidR="0084134C" w:rsidRPr="0059536D" w:rsidTr="001354F4">
        <w:trPr>
          <w:trHeight w:val="300"/>
          <w:jc w:val="center"/>
        </w:trPr>
        <w:tc>
          <w:tcPr>
            <w:tcW w:w="315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rPr>
                <w:rFonts w:ascii="Times New Roman" w:eastAsia="Times New Roman" w:hAnsi="Times New Roman" w:cs="Times New Roman"/>
                <w:color w:val="000000"/>
                <w:sz w:val="20"/>
                <w:szCs w:val="20"/>
                <w:lang w:val="en-GB" w:eastAsia="en-GB"/>
              </w:rPr>
            </w:pPr>
            <w:proofErr w:type="spellStart"/>
            <w:r w:rsidRPr="0059536D">
              <w:rPr>
                <w:rFonts w:ascii="Times New Roman" w:eastAsia="Times New Roman" w:hAnsi="Times New Roman" w:cs="Times New Roman"/>
                <w:color w:val="000000"/>
                <w:sz w:val="20"/>
                <w:szCs w:val="20"/>
                <w:lang w:val="en-GB" w:eastAsia="en-GB"/>
              </w:rPr>
              <w:t>Undernourish</w:t>
            </w:r>
            <w:proofErr w:type="spellEnd"/>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150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2.50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11.13</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67.30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12.06</w:t>
            </w:r>
          </w:p>
        </w:tc>
      </w:tr>
      <w:tr w:rsidR="0084134C" w:rsidRPr="0059536D" w:rsidTr="001354F4">
        <w:trPr>
          <w:trHeight w:val="300"/>
          <w:jc w:val="center"/>
        </w:trPr>
        <w:tc>
          <w:tcPr>
            <w:tcW w:w="315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rPr>
                <w:rFonts w:ascii="Times New Roman" w:eastAsia="Times New Roman" w:hAnsi="Times New Roman" w:cs="Times New Roman"/>
                <w:color w:val="000000"/>
                <w:sz w:val="20"/>
                <w:szCs w:val="20"/>
                <w:lang w:val="en-GB" w:eastAsia="en-GB"/>
              </w:rPr>
            </w:pPr>
            <w:proofErr w:type="spellStart"/>
            <w:r w:rsidRPr="0059536D">
              <w:rPr>
                <w:rFonts w:ascii="Times New Roman" w:eastAsia="Times New Roman" w:hAnsi="Times New Roman" w:cs="Times New Roman"/>
                <w:color w:val="000000"/>
                <w:sz w:val="20"/>
                <w:szCs w:val="20"/>
                <w:lang w:val="en-GB" w:eastAsia="en-GB"/>
              </w:rPr>
              <w:t>ChildMortR</w:t>
            </w:r>
            <w:proofErr w:type="spellEnd"/>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150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2.30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29.83</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130.80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31.73</w:t>
            </w:r>
          </w:p>
        </w:tc>
      </w:tr>
      <w:tr w:rsidR="0084134C" w:rsidRPr="0059536D" w:rsidTr="001354F4">
        <w:trPr>
          <w:trHeight w:val="300"/>
          <w:jc w:val="center"/>
        </w:trPr>
        <w:tc>
          <w:tcPr>
            <w:tcW w:w="315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rPr>
                <w:rFonts w:ascii="Times New Roman" w:eastAsia="Times New Roman" w:hAnsi="Times New Roman" w:cs="Times New Roman"/>
                <w:color w:val="000000"/>
                <w:sz w:val="20"/>
                <w:szCs w:val="20"/>
                <w:lang w:val="en-GB" w:eastAsia="en-GB"/>
              </w:rPr>
            </w:pPr>
            <w:proofErr w:type="spellStart"/>
            <w:r w:rsidRPr="0059536D">
              <w:rPr>
                <w:rFonts w:ascii="Times New Roman" w:eastAsia="Times New Roman" w:hAnsi="Times New Roman" w:cs="Times New Roman"/>
                <w:color w:val="000000"/>
                <w:sz w:val="20"/>
                <w:szCs w:val="20"/>
                <w:lang w:val="en-GB" w:eastAsia="en-GB"/>
              </w:rPr>
              <w:t>MaternalMortR</w:t>
            </w:r>
            <w:proofErr w:type="spellEnd"/>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150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3.00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162.63</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1360.00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237.22</w:t>
            </w:r>
          </w:p>
        </w:tc>
      </w:tr>
      <w:tr w:rsidR="0084134C" w:rsidRPr="0059536D" w:rsidTr="001354F4">
        <w:trPr>
          <w:trHeight w:val="300"/>
          <w:jc w:val="center"/>
        </w:trPr>
        <w:tc>
          <w:tcPr>
            <w:tcW w:w="315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rPr>
                <w:rFonts w:ascii="Times New Roman" w:eastAsia="Times New Roman" w:hAnsi="Times New Roman" w:cs="Times New Roman"/>
                <w:color w:val="000000"/>
                <w:sz w:val="20"/>
                <w:szCs w:val="20"/>
                <w:lang w:val="en-GB" w:eastAsia="en-GB"/>
              </w:rPr>
            </w:pPr>
            <w:proofErr w:type="spellStart"/>
            <w:r w:rsidRPr="0059536D">
              <w:rPr>
                <w:rFonts w:ascii="Times New Roman" w:eastAsia="Times New Roman" w:hAnsi="Times New Roman" w:cs="Times New Roman"/>
                <w:color w:val="000000"/>
                <w:sz w:val="20"/>
                <w:szCs w:val="20"/>
                <w:lang w:val="en-GB" w:eastAsia="en-GB"/>
              </w:rPr>
              <w:t>OldPensCov</w:t>
            </w:r>
            <w:proofErr w:type="spellEnd"/>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150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0.00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56.74</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100.00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38.53</w:t>
            </w:r>
          </w:p>
        </w:tc>
      </w:tr>
      <w:tr w:rsidR="0084134C" w:rsidRPr="0059536D" w:rsidTr="001354F4">
        <w:trPr>
          <w:trHeight w:val="300"/>
          <w:jc w:val="center"/>
        </w:trPr>
        <w:tc>
          <w:tcPr>
            <w:tcW w:w="315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rPr>
                <w:rFonts w:ascii="Times New Roman" w:eastAsia="Times New Roman" w:hAnsi="Times New Roman" w:cs="Times New Roman"/>
                <w:color w:val="000000"/>
                <w:sz w:val="20"/>
                <w:szCs w:val="20"/>
                <w:lang w:val="en-GB" w:eastAsia="en-GB"/>
              </w:rPr>
            </w:pPr>
            <w:proofErr w:type="spellStart"/>
            <w:r w:rsidRPr="0059536D">
              <w:rPr>
                <w:rFonts w:ascii="Times New Roman" w:eastAsia="Times New Roman" w:hAnsi="Times New Roman" w:cs="Times New Roman"/>
                <w:color w:val="000000"/>
                <w:sz w:val="20"/>
                <w:szCs w:val="20"/>
                <w:lang w:val="en-GB" w:eastAsia="en-GB"/>
              </w:rPr>
              <w:t>HealthCovDf</w:t>
            </w:r>
            <w:proofErr w:type="spellEnd"/>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150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0.00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37.65</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100.00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39.12</w:t>
            </w:r>
          </w:p>
        </w:tc>
      </w:tr>
      <w:tr w:rsidR="0084134C" w:rsidRPr="0059536D" w:rsidTr="001354F4">
        <w:trPr>
          <w:trHeight w:val="300"/>
          <w:jc w:val="center"/>
        </w:trPr>
        <w:tc>
          <w:tcPr>
            <w:tcW w:w="315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rPr>
                <w:rFonts w:ascii="Times New Roman" w:eastAsia="Times New Roman" w:hAnsi="Times New Roman" w:cs="Times New Roman"/>
                <w:color w:val="000000"/>
                <w:sz w:val="20"/>
                <w:szCs w:val="20"/>
                <w:lang w:val="en-GB" w:eastAsia="en-GB"/>
              </w:rPr>
            </w:pPr>
            <w:proofErr w:type="spellStart"/>
            <w:r w:rsidRPr="0059536D">
              <w:rPr>
                <w:rFonts w:ascii="Times New Roman" w:eastAsia="Times New Roman" w:hAnsi="Times New Roman" w:cs="Times New Roman"/>
                <w:color w:val="000000"/>
                <w:sz w:val="20"/>
                <w:szCs w:val="20"/>
                <w:lang w:val="en-GB" w:eastAsia="en-GB"/>
              </w:rPr>
              <w:t>WorkPov</w:t>
            </w:r>
            <w:proofErr w:type="spellEnd"/>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150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0.00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13.32</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73.43</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17.59</w:t>
            </w:r>
          </w:p>
        </w:tc>
      </w:tr>
      <w:tr w:rsidR="0084134C" w:rsidRPr="0059536D" w:rsidTr="001354F4">
        <w:trPr>
          <w:trHeight w:val="300"/>
          <w:jc w:val="center"/>
        </w:trPr>
        <w:tc>
          <w:tcPr>
            <w:tcW w:w="315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rPr>
                <w:rFonts w:ascii="Times New Roman" w:eastAsia="Times New Roman" w:hAnsi="Times New Roman" w:cs="Times New Roman"/>
                <w:color w:val="000000"/>
                <w:sz w:val="20"/>
                <w:szCs w:val="20"/>
                <w:lang w:val="en-GB" w:eastAsia="en-GB"/>
              </w:rPr>
            </w:pPr>
            <w:proofErr w:type="spellStart"/>
            <w:r w:rsidRPr="0059536D">
              <w:rPr>
                <w:rFonts w:ascii="Times New Roman" w:eastAsia="Times New Roman" w:hAnsi="Times New Roman" w:cs="Times New Roman"/>
                <w:color w:val="000000"/>
                <w:sz w:val="20"/>
                <w:szCs w:val="20"/>
                <w:lang w:val="en-GB" w:eastAsia="en-GB"/>
              </w:rPr>
              <w:t>EducExp</w:t>
            </w:r>
            <w:proofErr w:type="spellEnd"/>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150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0.70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4.48</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15.52</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2.09</w:t>
            </w:r>
          </w:p>
        </w:tc>
      </w:tr>
      <w:tr w:rsidR="0084134C" w:rsidRPr="0059536D" w:rsidTr="001354F4">
        <w:trPr>
          <w:trHeight w:val="300"/>
          <w:jc w:val="center"/>
        </w:trPr>
        <w:tc>
          <w:tcPr>
            <w:tcW w:w="315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rPr>
                <w:rFonts w:ascii="Times New Roman" w:eastAsia="Times New Roman" w:hAnsi="Times New Roman" w:cs="Times New Roman"/>
                <w:color w:val="000000"/>
                <w:sz w:val="20"/>
                <w:szCs w:val="20"/>
                <w:lang w:val="en-GB" w:eastAsia="en-GB"/>
              </w:rPr>
            </w:pPr>
            <w:proofErr w:type="spellStart"/>
            <w:r w:rsidRPr="0059536D">
              <w:rPr>
                <w:rFonts w:ascii="Times New Roman" w:eastAsia="Times New Roman" w:hAnsi="Times New Roman" w:cs="Times New Roman"/>
                <w:color w:val="000000"/>
                <w:sz w:val="20"/>
                <w:szCs w:val="20"/>
                <w:lang w:val="en-GB" w:eastAsia="en-GB"/>
              </w:rPr>
              <w:t>EducIndex</w:t>
            </w:r>
            <w:proofErr w:type="spellEnd"/>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150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0.21</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0.66</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0.94</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0.18</w:t>
            </w:r>
          </w:p>
        </w:tc>
      </w:tr>
      <w:tr w:rsidR="0084134C" w:rsidRPr="0059536D" w:rsidTr="001354F4">
        <w:trPr>
          <w:trHeight w:val="300"/>
          <w:jc w:val="center"/>
        </w:trPr>
        <w:tc>
          <w:tcPr>
            <w:tcW w:w="315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rPr>
                <w:rFonts w:ascii="Times New Roman" w:eastAsia="Times New Roman" w:hAnsi="Times New Roman" w:cs="Times New Roman"/>
                <w:color w:val="000000"/>
                <w:sz w:val="20"/>
                <w:szCs w:val="20"/>
                <w:lang w:val="en-GB" w:eastAsia="en-GB"/>
              </w:rPr>
            </w:pPr>
            <w:proofErr w:type="spellStart"/>
            <w:r w:rsidRPr="0059536D">
              <w:rPr>
                <w:rFonts w:ascii="Times New Roman" w:eastAsia="Times New Roman" w:hAnsi="Times New Roman" w:cs="Times New Roman"/>
                <w:color w:val="000000"/>
                <w:sz w:val="20"/>
                <w:szCs w:val="20"/>
                <w:lang w:val="en-GB" w:eastAsia="en-GB"/>
              </w:rPr>
              <w:t>PrepriSchEn</w:t>
            </w:r>
            <w:proofErr w:type="spellEnd"/>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150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1.00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61.44</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170.00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35.28</w:t>
            </w:r>
          </w:p>
        </w:tc>
      </w:tr>
      <w:tr w:rsidR="0084134C" w:rsidRPr="0059536D" w:rsidTr="001354F4">
        <w:trPr>
          <w:trHeight w:val="300"/>
          <w:jc w:val="center"/>
        </w:trPr>
        <w:tc>
          <w:tcPr>
            <w:tcW w:w="315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rPr>
                <w:rFonts w:ascii="Times New Roman" w:eastAsia="Times New Roman" w:hAnsi="Times New Roman" w:cs="Times New Roman"/>
                <w:color w:val="000000"/>
                <w:sz w:val="20"/>
                <w:szCs w:val="20"/>
                <w:lang w:val="en-GB" w:eastAsia="en-GB"/>
              </w:rPr>
            </w:pPr>
            <w:proofErr w:type="spellStart"/>
            <w:r w:rsidRPr="0059536D">
              <w:rPr>
                <w:rFonts w:ascii="Times New Roman" w:eastAsia="Times New Roman" w:hAnsi="Times New Roman" w:cs="Times New Roman"/>
                <w:color w:val="000000"/>
                <w:sz w:val="20"/>
                <w:szCs w:val="20"/>
                <w:lang w:val="en-GB" w:eastAsia="en-GB"/>
              </w:rPr>
              <w:t>GenDIndex</w:t>
            </w:r>
            <w:proofErr w:type="spellEnd"/>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150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0.55</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0.94</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1.03</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0.07</w:t>
            </w:r>
          </w:p>
        </w:tc>
      </w:tr>
      <w:tr w:rsidR="0084134C" w:rsidRPr="0059536D" w:rsidTr="001354F4">
        <w:trPr>
          <w:trHeight w:val="300"/>
          <w:jc w:val="center"/>
        </w:trPr>
        <w:tc>
          <w:tcPr>
            <w:tcW w:w="315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rPr>
                <w:rFonts w:ascii="Times New Roman" w:eastAsia="Times New Roman" w:hAnsi="Times New Roman" w:cs="Times New Roman"/>
                <w:color w:val="000000"/>
                <w:sz w:val="20"/>
                <w:szCs w:val="20"/>
                <w:lang w:val="en-GB" w:eastAsia="en-GB"/>
              </w:rPr>
            </w:pPr>
            <w:proofErr w:type="spellStart"/>
            <w:r w:rsidRPr="0059536D">
              <w:rPr>
                <w:rFonts w:ascii="Times New Roman" w:eastAsia="Times New Roman" w:hAnsi="Times New Roman" w:cs="Times New Roman"/>
                <w:color w:val="000000"/>
                <w:sz w:val="20"/>
                <w:szCs w:val="20"/>
                <w:lang w:val="en-GB" w:eastAsia="en-GB"/>
              </w:rPr>
              <w:t>InternetUsage</w:t>
            </w:r>
            <w:proofErr w:type="spellEnd"/>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150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2.48</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49.34</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98.20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27.94</w:t>
            </w:r>
          </w:p>
        </w:tc>
      </w:tr>
      <w:tr w:rsidR="0084134C" w:rsidRPr="0059536D" w:rsidTr="001354F4">
        <w:trPr>
          <w:trHeight w:val="300"/>
          <w:jc w:val="center"/>
        </w:trPr>
        <w:tc>
          <w:tcPr>
            <w:tcW w:w="315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rPr>
                <w:rFonts w:ascii="Times New Roman" w:eastAsia="Times New Roman" w:hAnsi="Times New Roman" w:cs="Times New Roman"/>
                <w:color w:val="000000"/>
                <w:sz w:val="20"/>
                <w:szCs w:val="20"/>
                <w:lang w:val="en-GB" w:eastAsia="en-GB"/>
              </w:rPr>
            </w:pPr>
            <w:proofErr w:type="spellStart"/>
            <w:r w:rsidRPr="0059536D">
              <w:rPr>
                <w:rFonts w:ascii="Times New Roman" w:eastAsia="Times New Roman" w:hAnsi="Times New Roman" w:cs="Times New Roman"/>
                <w:color w:val="000000"/>
                <w:sz w:val="20"/>
                <w:szCs w:val="20"/>
                <w:lang w:val="en-GB" w:eastAsia="en-GB"/>
              </w:rPr>
              <w:t>TertiaryEd</w:t>
            </w:r>
            <w:proofErr w:type="spellEnd"/>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150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0.77</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40.45</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126.38</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28.75</w:t>
            </w:r>
          </w:p>
        </w:tc>
      </w:tr>
      <w:tr w:rsidR="0084134C" w:rsidRPr="0059536D" w:rsidTr="001354F4">
        <w:trPr>
          <w:trHeight w:val="300"/>
          <w:jc w:val="center"/>
        </w:trPr>
        <w:tc>
          <w:tcPr>
            <w:tcW w:w="315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rPr>
                <w:rFonts w:ascii="Times New Roman" w:eastAsia="Times New Roman" w:hAnsi="Times New Roman" w:cs="Times New Roman"/>
                <w:color w:val="000000"/>
                <w:sz w:val="20"/>
                <w:szCs w:val="20"/>
                <w:lang w:val="en-GB" w:eastAsia="en-GB"/>
              </w:rPr>
            </w:pPr>
            <w:proofErr w:type="spellStart"/>
            <w:r w:rsidRPr="0059536D">
              <w:rPr>
                <w:rFonts w:ascii="Times New Roman" w:eastAsia="Times New Roman" w:hAnsi="Times New Roman" w:cs="Times New Roman"/>
                <w:color w:val="000000"/>
                <w:sz w:val="20"/>
                <w:szCs w:val="20"/>
                <w:lang w:val="en-GB" w:eastAsia="en-GB"/>
              </w:rPr>
              <w:t>MaternityLe</w:t>
            </w:r>
            <w:proofErr w:type="spellEnd"/>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150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0.00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16.70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60.00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8.96</w:t>
            </w:r>
          </w:p>
        </w:tc>
      </w:tr>
      <w:tr w:rsidR="0084134C" w:rsidRPr="0059536D" w:rsidTr="001354F4">
        <w:trPr>
          <w:trHeight w:val="300"/>
          <w:jc w:val="center"/>
        </w:trPr>
        <w:tc>
          <w:tcPr>
            <w:tcW w:w="315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rPr>
                <w:rFonts w:ascii="Times New Roman" w:eastAsia="Times New Roman" w:hAnsi="Times New Roman" w:cs="Times New Roman"/>
                <w:color w:val="000000"/>
                <w:sz w:val="20"/>
                <w:szCs w:val="20"/>
                <w:lang w:val="en-GB" w:eastAsia="en-GB"/>
              </w:rPr>
            </w:pPr>
            <w:proofErr w:type="spellStart"/>
            <w:r w:rsidRPr="0059536D">
              <w:rPr>
                <w:rFonts w:ascii="Times New Roman" w:eastAsia="Times New Roman" w:hAnsi="Times New Roman" w:cs="Times New Roman"/>
                <w:color w:val="000000"/>
                <w:sz w:val="20"/>
                <w:szCs w:val="20"/>
                <w:lang w:val="en-GB" w:eastAsia="en-GB"/>
              </w:rPr>
              <w:t>RenEnergOut</w:t>
            </w:r>
            <w:proofErr w:type="spellEnd"/>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150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0.00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37.06</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100.00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32.95</w:t>
            </w:r>
          </w:p>
        </w:tc>
      </w:tr>
      <w:tr w:rsidR="0084134C" w:rsidRPr="0059536D" w:rsidTr="001354F4">
        <w:trPr>
          <w:trHeight w:val="300"/>
          <w:jc w:val="center"/>
        </w:trPr>
        <w:tc>
          <w:tcPr>
            <w:tcW w:w="315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rPr>
                <w:rFonts w:ascii="Times New Roman" w:eastAsia="Times New Roman" w:hAnsi="Times New Roman" w:cs="Times New Roman"/>
                <w:color w:val="000000"/>
                <w:sz w:val="20"/>
                <w:szCs w:val="20"/>
                <w:lang w:val="en-GB" w:eastAsia="en-GB"/>
              </w:rPr>
            </w:pPr>
            <w:proofErr w:type="spellStart"/>
            <w:r w:rsidRPr="0059536D">
              <w:rPr>
                <w:rFonts w:ascii="Times New Roman" w:eastAsia="Times New Roman" w:hAnsi="Times New Roman" w:cs="Times New Roman"/>
                <w:color w:val="000000"/>
                <w:sz w:val="20"/>
                <w:szCs w:val="20"/>
                <w:lang w:val="en-GB" w:eastAsia="en-GB"/>
              </w:rPr>
              <w:t>LaborForcePR</w:t>
            </w:r>
            <w:proofErr w:type="spellEnd"/>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150</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42.18</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69.88</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88.76</w:t>
            </w:r>
          </w:p>
        </w:tc>
        <w:tc>
          <w:tcPr>
            <w:tcW w:w="976" w:type="dxa"/>
            <w:tcBorders>
              <w:top w:val="nil"/>
              <w:left w:val="nil"/>
              <w:bottom w:val="nil"/>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9.74</w:t>
            </w:r>
          </w:p>
        </w:tc>
      </w:tr>
      <w:tr w:rsidR="0084134C" w:rsidRPr="0059536D" w:rsidTr="001354F4">
        <w:trPr>
          <w:trHeight w:val="315"/>
          <w:jc w:val="center"/>
        </w:trPr>
        <w:tc>
          <w:tcPr>
            <w:tcW w:w="3156" w:type="dxa"/>
            <w:tcBorders>
              <w:top w:val="nil"/>
              <w:left w:val="nil"/>
              <w:bottom w:val="single" w:sz="8" w:space="0" w:color="auto"/>
              <w:right w:val="nil"/>
            </w:tcBorders>
            <w:shd w:val="clear" w:color="auto" w:fill="auto"/>
            <w:noWrap/>
            <w:vAlign w:val="bottom"/>
            <w:hideMark/>
          </w:tcPr>
          <w:p w:rsidR="0084134C" w:rsidRPr="0059536D" w:rsidRDefault="0084134C" w:rsidP="001354F4">
            <w:pPr>
              <w:spacing w:after="0" w:line="240" w:lineRule="auto"/>
              <w:rPr>
                <w:rFonts w:ascii="Times New Roman" w:eastAsia="Times New Roman" w:hAnsi="Times New Roman" w:cs="Times New Roman"/>
                <w:color w:val="000000"/>
                <w:sz w:val="20"/>
                <w:szCs w:val="20"/>
                <w:lang w:val="en-GB" w:eastAsia="en-GB"/>
              </w:rPr>
            </w:pPr>
            <w:proofErr w:type="spellStart"/>
            <w:r w:rsidRPr="0059536D">
              <w:rPr>
                <w:rFonts w:ascii="Times New Roman" w:eastAsia="Times New Roman" w:hAnsi="Times New Roman" w:cs="Times New Roman"/>
                <w:color w:val="000000"/>
                <w:sz w:val="20"/>
                <w:szCs w:val="20"/>
                <w:lang w:val="en-GB" w:eastAsia="en-GB"/>
              </w:rPr>
              <w:t>LUnderutility</w:t>
            </w:r>
            <w:proofErr w:type="spellEnd"/>
          </w:p>
        </w:tc>
        <w:tc>
          <w:tcPr>
            <w:tcW w:w="976" w:type="dxa"/>
            <w:tcBorders>
              <w:top w:val="nil"/>
              <w:left w:val="nil"/>
              <w:bottom w:val="single" w:sz="8" w:space="0" w:color="auto"/>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150</w:t>
            </w:r>
          </w:p>
        </w:tc>
        <w:tc>
          <w:tcPr>
            <w:tcW w:w="976" w:type="dxa"/>
            <w:tcBorders>
              <w:top w:val="nil"/>
              <w:left w:val="nil"/>
              <w:bottom w:val="single" w:sz="8" w:space="0" w:color="auto"/>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1.70</w:t>
            </w:r>
          </w:p>
        </w:tc>
        <w:tc>
          <w:tcPr>
            <w:tcW w:w="976" w:type="dxa"/>
            <w:tcBorders>
              <w:top w:val="nil"/>
              <w:left w:val="nil"/>
              <w:bottom w:val="single" w:sz="8" w:space="0" w:color="auto"/>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12.40</w:t>
            </w:r>
          </w:p>
        </w:tc>
        <w:tc>
          <w:tcPr>
            <w:tcW w:w="976" w:type="dxa"/>
            <w:tcBorders>
              <w:top w:val="nil"/>
              <w:left w:val="nil"/>
              <w:bottom w:val="single" w:sz="8" w:space="0" w:color="auto"/>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34.60</w:t>
            </w:r>
          </w:p>
        </w:tc>
        <w:tc>
          <w:tcPr>
            <w:tcW w:w="976" w:type="dxa"/>
            <w:tcBorders>
              <w:top w:val="nil"/>
              <w:left w:val="nil"/>
              <w:bottom w:val="single" w:sz="8" w:space="0" w:color="auto"/>
              <w:right w:val="nil"/>
            </w:tcBorders>
            <w:shd w:val="clear" w:color="auto" w:fill="auto"/>
            <w:noWrap/>
            <w:vAlign w:val="bottom"/>
            <w:hideMark/>
          </w:tcPr>
          <w:p w:rsidR="0084134C" w:rsidRPr="0059536D" w:rsidRDefault="0084134C" w:rsidP="001354F4">
            <w:pPr>
              <w:spacing w:after="0" w:line="240" w:lineRule="auto"/>
              <w:jc w:val="center"/>
              <w:rPr>
                <w:rFonts w:ascii="Times New Roman" w:eastAsia="Times New Roman" w:hAnsi="Times New Roman" w:cs="Times New Roman"/>
                <w:color w:val="000000"/>
                <w:sz w:val="18"/>
                <w:szCs w:val="18"/>
                <w:lang w:val="en-GB" w:eastAsia="en-GB"/>
              </w:rPr>
            </w:pPr>
            <w:r w:rsidRPr="0059536D">
              <w:rPr>
                <w:rFonts w:ascii="Times New Roman" w:eastAsia="Times New Roman" w:hAnsi="Times New Roman" w:cs="Times New Roman"/>
                <w:color w:val="000000"/>
                <w:sz w:val="18"/>
                <w:szCs w:val="18"/>
                <w:lang w:val="en-GB" w:eastAsia="en-GB"/>
              </w:rPr>
              <w:t>7.19</w:t>
            </w:r>
          </w:p>
        </w:tc>
      </w:tr>
    </w:tbl>
    <w:p w:rsidR="0084134C" w:rsidRPr="00E73694" w:rsidRDefault="0084134C" w:rsidP="0084134C">
      <w:pPr>
        <w:spacing w:after="0" w:line="276" w:lineRule="auto"/>
        <w:jc w:val="both"/>
        <w:rPr>
          <w:rFonts w:ascii="Times New Roman" w:hAnsi="Times New Roman" w:cs="Times New Roman"/>
          <w:b/>
          <w:sz w:val="8"/>
          <w:szCs w:val="26"/>
        </w:rPr>
      </w:pPr>
      <w:r>
        <w:rPr>
          <w:rFonts w:ascii="Times New Roman" w:hAnsi="Times New Roman" w:cs="Times New Roman"/>
          <w:b/>
          <w:sz w:val="26"/>
          <w:szCs w:val="26"/>
        </w:rPr>
        <w:fldChar w:fldCharType="end"/>
      </w:r>
    </w:p>
    <w:p w:rsidR="0084134C" w:rsidRPr="002B1AFB" w:rsidRDefault="0084134C" w:rsidP="0084134C">
      <w:pPr>
        <w:spacing w:after="0" w:line="276" w:lineRule="auto"/>
        <w:jc w:val="both"/>
        <w:rPr>
          <w:rFonts w:ascii="Times New Roman" w:hAnsi="Times New Roman" w:cs="Times New Roman"/>
          <w:sz w:val="18"/>
          <w:szCs w:val="18"/>
        </w:rPr>
      </w:pPr>
      <w:r w:rsidRPr="002B1AFB">
        <w:rPr>
          <w:rFonts w:ascii="Times New Roman" w:hAnsi="Times New Roman" w:cs="Times New Roman"/>
          <w:i/>
          <w:sz w:val="18"/>
          <w:szCs w:val="18"/>
        </w:rPr>
        <w:t>Note</w:t>
      </w:r>
      <w:r w:rsidRPr="002B1AFB">
        <w:rPr>
          <w:rFonts w:ascii="Times New Roman" w:hAnsi="Times New Roman" w:cs="Times New Roman"/>
          <w:sz w:val="18"/>
          <w:szCs w:val="18"/>
        </w:rPr>
        <w:t xml:space="preserve">: The summary statistics table shows the data ranges vary significantly (e.g. see the minimum and maximum value of the variables ‘Maternal Mortality Rate’ and ‘Child Mortality Rate’); </w:t>
      </w:r>
      <w:r>
        <w:rPr>
          <w:rFonts w:ascii="Times New Roman" w:hAnsi="Times New Roman" w:cs="Times New Roman"/>
          <w:sz w:val="18"/>
          <w:szCs w:val="18"/>
        </w:rPr>
        <w:t>hence</w:t>
      </w:r>
      <w:r w:rsidRPr="002B1AFB">
        <w:rPr>
          <w:rFonts w:ascii="Times New Roman" w:hAnsi="Times New Roman" w:cs="Times New Roman"/>
          <w:sz w:val="18"/>
          <w:szCs w:val="18"/>
        </w:rPr>
        <w:t xml:space="preserve">, </w:t>
      </w:r>
      <w:r>
        <w:rPr>
          <w:rFonts w:ascii="Times New Roman" w:hAnsi="Times New Roman" w:cs="Times New Roman"/>
          <w:sz w:val="18"/>
          <w:szCs w:val="18"/>
        </w:rPr>
        <w:t>standardization of data</w:t>
      </w:r>
      <w:r w:rsidRPr="002B1AFB">
        <w:rPr>
          <w:rFonts w:ascii="Times New Roman" w:hAnsi="Times New Roman" w:cs="Times New Roman"/>
          <w:sz w:val="18"/>
          <w:szCs w:val="18"/>
        </w:rPr>
        <w:t xml:space="preserve"> </w:t>
      </w:r>
      <w:r>
        <w:rPr>
          <w:rFonts w:ascii="Times New Roman" w:hAnsi="Times New Roman" w:cs="Times New Roman"/>
          <w:sz w:val="18"/>
          <w:szCs w:val="18"/>
        </w:rPr>
        <w:t>is necessary</w:t>
      </w:r>
      <w:r w:rsidRPr="002B1AFB">
        <w:rPr>
          <w:rFonts w:ascii="Times New Roman" w:hAnsi="Times New Roman" w:cs="Times New Roman"/>
          <w:sz w:val="18"/>
          <w:szCs w:val="18"/>
        </w:rPr>
        <w:t xml:space="preserve"> </w:t>
      </w:r>
      <w:r>
        <w:rPr>
          <w:rFonts w:ascii="Times New Roman" w:hAnsi="Times New Roman" w:cs="Times New Roman"/>
          <w:sz w:val="18"/>
          <w:szCs w:val="18"/>
        </w:rPr>
        <w:t>since</w:t>
      </w:r>
      <w:r w:rsidRPr="002B1AFB">
        <w:rPr>
          <w:rFonts w:ascii="Times New Roman" w:hAnsi="Times New Roman" w:cs="Times New Roman"/>
          <w:sz w:val="18"/>
          <w:szCs w:val="18"/>
        </w:rPr>
        <w:t xml:space="preserve"> we look for relations among the variables.   </w:t>
      </w:r>
    </w:p>
    <w:p w:rsidR="004012C2" w:rsidRDefault="004012C2"/>
    <w:p w:rsidR="00A8421F" w:rsidRDefault="00A8421F"/>
    <w:p w:rsidR="00A8421F" w:rsidRDefault="00A8421F">
      <w:pPr>
        <w:rPr>
          <w:rFonts w:ascii="Times New Roman" w:hAnsi="Times New Roman" w:cs="Times New Roman"/>
          <w:sz w:val="24"/>
          <w:szCs w:val="24"/>
        </w:rPr>
      </w:pPr>
      <w:r>
        <w:rPr>
          <w:rFonts w:ascii="Times New Roman" w:hAnsi="Times New Roman" w:cs="Times New Roman"/>
          <w:b/>
          <w:sz w:val="24"/>
          <w:szCs w:val="24"/>
        </w:rPr>
        <w:t xml:space="preserve">Appendix </w:t>
      </w:r>
      <w:r w:rsidRPr="00A8421F">
        <w:rPr>
          <w:rFonts w:ascii="Times New Roman" w:hAnsi="Times New Roman" w:cs="Times New Roman"/>
          <w:b/>
          <w:sz w:val="24"/>
          <w:szCs w:val="24"/>
        </w:rPr>
        <w:t>D</w:t>
      </w:r>
      <w:r w:rsidRPr="00446A36">
        <w:rPr>
          <w:rFonts w:ascii="Times New Roman" w:hAnsi="Times New Roman" w:cs="Times New Roman"/>
          <w:b/>
          <w:sz w:val="24"/>
          <w:szCs w:val="24"/>
        </w:rPr>
        <w:t>.</w:t>
      </w:r>
      <w:r w:rsidRPr="00AD4130">
        <w:rPr>
          <w:rFonts w:ascii="Times New Roman" w:hAnsi="Times New Roman" w:cs="Times New Roman"/>
          <w:sz w:val="24"/>
          <w:szCs w:val="24"/>
        </w:rPr>
        <w:t xml:space="preserve"> </w:t>
      </w:r>
      <w:r w:rsidR="00157806" w:rsidRPr="00157806">
        <w:rPr>
          <w:rFonts w:ascii="Times New Roman" w:hAnsi="Times New Roman" w:cs="Times New Roman"/>
          <w:sz w:val="24"/>
          <w:szCs w:val="24"/>
        </w:rPr>
        <w:t>Robustness Checks</w:t>
      </w:r>
    </w:p>
    <w:p w:rsidR="00157806" w:rsidRPr="00157806" w:rsidRDefault="00157806" w:rsidP="00157806">
      <w:pPr>
        <w:spacing w:line="360" w:lineRule="auto"/>
        <w:jc w:val="both"/>
        <w:rPr>
          <w:rFonts w:ascii="Times New Roman" w:hAnsi="Times New Roman" w:cs="Times New Roman"/>
          <w:sz w:val="24"/>
          <w:szCs w:val="26"/>
        </w:rPr>
      </w:pPr>
      <w:r w:rsidRPr="00157806">
        <w:rPr>
          <w:rFonts w:ascii="Times New Roman" w:hAnsi="Times New Roman" w:cs="Times New Roman"/>
          <w:sz w:val="24"/>
          <w:szCs w:val="26"/>
        </w:rPr>
        <w:t xml:space="preserve">After obtaining and assessing the cluster results, in this section, we test for their robustness. Literature suggests that biased cluster results typically originate from the presence of outlying </w:t>
      </w:r>
      <w:r w:rsidRPr="00157806">
        <w:rPr>
          <w:rFonts w:ascii="Times New Roman" w:hAnsi="Times New Roman" w:cs="Times New Roman"/>
          <w:sz w:val="24"/>
          <w:szCs w:val="26"/>
        </w:rPr>
        <w:lastRenderedPageBreak/>
        <w:t>observations in the dataset and the deviations from essential theoretical assumptions (Garcia-</w:t>
      </w:r>
      <w:proofErr w:type="spellStart"/>
      <w:r w:rsidRPr="00157806">
        <w:rPr>
          <w:rFonts w:ascii="Times New Roman" w:hAnsi="Times New Roman" w:cs="Times New Roman"/>
          <w:sz w:val="24"/>
          <w:szCs w:val="26"/>
        </w:rPr>
        <w:t>Escudero</w:t>
      </w:r>
      <w:proofErr w:type="spellEnd"/>
      <w:r w:rsidRPr="00157806">
        <w:rPr>
          <w:rFonts w:ascii="Times New Roman" w:hAnsi="Times New Roman" w:cs="Times New Roman"/>
          <w:sz w:val="24"/>
          <w:szCs w:val="26"/>
        </w:rPr>
        <w:t xml:space="preserve"> et al., 2010). In this study, both issues are important because we use data with highly diverse observations and introduce two novel concepts</w:t>
      </w:r>
      <w:r w:rsidRPr="00157806">
        <w:rPr>
          <w:rFonts w:ascii="Times New Roman" w:hAnsi="Times New Roman" w:cs="Times New Roman"/>
          <w:sz w:val="24"/>
          <w:szCs w:val="26"/>
          <w:vertAlign w:val="superscript"/>
        </w:rPr>
        <w:footnoteReference w:id="1"/>
      </w:r>
      <w:r w:rsidRPr="00157806">
        <w:rPr>
          <w:rFonts w:ascii="Times New Roman" w:hAnsi="Times New Roman" w:cs="Times New Roman"/>
          <w:sz w:val="24"/>
          <w:szCs w:val="26"/>
        </w:rPr>
        <w:t xml:space="preserve"> in welfare state research. For the model-based clustering approach, robustness methods, based on trimming, are highly praised and recommended (Fritz et al., 2012; Garcia-</w:t>
      </w:r>
      <w:proofErr w:type="spellStart"/>
      <w:r w:rsidRPr="00157806">
        <w:rPr>
          <w:rFonts w:ascii="Times New Roman" w:hAnsi="Times New Roman" w:cs="Times New Roman"/>
          <w:sz w:val="24"/>
          <w:szCs w:val="26"/>
        </w:rPr>
        <w:t>Escudero</w:t>
      </w:r>
      <w:proofErr w:type="spellEnd"/>
      <w:r w:rsidRPr="00157806">
        <w:rPr>
          <w:rFonts w:ascii="Times New Roman" w:hAnsi="Times New Roman" w:cs="Times New Roman"/>
          <w:sz w:val="24"/>
          <w:szCs w:val="26"/>
        </w:rPr>
        <w:t xml:space="preserve"> et al., 2010, 2011). Hence, we apply the trimming approach in our data, by excluding from the sample five percent of the potential extreme values. The trimmed results confirm that, predominantly, countries remain in the same clusters, as shown in the three above-listed tables</w:t>
      </w:r>
      <w:r w:rsidRPr="00157806">
        <w:rPr>
          <w:rFonts w:ascii="Times New Roman" w:hAnsi="Times New Roman" w:cs="Times New Roman"/>
          <w:sz w:val="24"/>
          <w:szCs w:val="26"/>
          <w:vertAlign w:val="superscript"/>
        </w:rPr>
        <w:footnoteReference w:id="2"/>
      </w:r>
      <w:r w:rsidRPr="00157806">
        <w:rPr>
          <w:rFonts w:ascii="Times New Roman" w:hAnsi="Times New Roman" w:cs="Times New Roman"/>
          <w:sz w:val="24"/>
          <w:szCs w:val="26"/>
        </w:rPr>
        <w:t xml:space="preserve">. </w:t>
      </w:r>
    </w:p>
    <w:p w:rsidR="00157806" w:rsidRPr="00157806" w:rsidRDefault="00157806" w:rsidP="00157806">
      <w:pPr>
        <w:spacing w:after="0" w:line="360" w:lineRule="auto"/>
        <w:jc w:val="both"/>
        <w:rPr>
          <w:rFonts w:ascii="Times New Roman" w:hAnsi="Times New Roman" w:cs="Times New Roman"/>
          <w:b/>
          <w:sz w:val="24"/>
          <w:szCs w:val="24"/>
        </w:rPr>
      </w:pPr>
      <w:r w:rsidRPr="00157806">
        <w:rPr>
          <w:rFonts w:ascii="Times New Roman" w:hAnsi="Times New Roman" w:cs="Times New Roman"/>
          <w:b/>
          <w:sz w:val="24"/>
          <w:szCs w:val="24"/>
        </w:rPr>
        <w:t>Figure 3.</w:t>
      </w:r>
    </w:p>
    <w:p w:rsidR="00157806" w:rsidRPr="00157806" w:rsidRDefault="00157806" w:rsidP="00157806">
      <w:pPr>
        <w:spacing w:after="0" w:line="360" w:lineRule="auto"/>
        <w:jc w:val="both"/>
        <w:rPr>
          <w:rFonts w:ascii="Times New Roman" w:hAnsi="Times New Roman" w:cs="Times New Roman"/>
          <w:sz w:val="24"/>
          <w:szCs w:val="24"/>
        </w:rPr>
      </w:pPr>
      <w:r w:rsidRPr="00157806">
        <w:rPr>
          <w:rFonts w:ascii="Times New Roman" w:hAnsi="Times New Roman" w:cs="Times New Roman"/>
          <w:sz w:val="24"/>
          <w:szCs w:val="24"/>
        </w:rPr>
        <w:t>Robustness check: Trimmed Clusters</w:t>
      </w:r>
    </w:p>
    <w:p w:rsidR="00157806" w:rsidRPr="00157806" w:rsidRDefault="00157806" w:rsidP="00157806">
      <w:pPr>
        <w:pStyle w:val="ListParagraph"/>
        <w:spacing w:line="360" w:lineRule="auto"/>
        <w:ind w:left="360"/>
        <w:rPr>
          <w:noProof/>
          <w:sz w:val="4"/>
          <w:lang w:val="en-GB" w:eastAsia="en-GB"/>
        </w:rPr>
      </w:pPr>
      <w:r w:rsidRPr="00157806">
        <w:rPr>
          <w:rFonts w:ascii="Times New Roman" w:hAnsi="Times New Roman" w:cs="Times New Roman"/>
          <w:noProof/>
          <w:sz w:val="24"/>
          <w:szCs w:val="26"/>
          <w:lang w:val="en-GB" w:eastAsia="en-GB"/>
        </w:rPr>
        <mc:AlternateContent>
          <mc:Choice Requires="wps">
            <w:drawing>
              <wp:anchor distT="0" distB="0" distL="114300" distR="114300" simplePos="0" relativeHeight="251660288" behindDoc="1" locked="0" layoutInCell="1" allowOverlap="1" wp14:anchorId="6CCA7C68" wp14:editId="2F13964C">
                <wp:simplePos x="0" y="0"/>
                <wp:positionH relativeFrom="margin">
                  <wp:align>center</wp:align>
                </wp:positionH>
                <wp:positionV relativeFrom="paragraph">
                  <wp:posOffset>32385</wp:posOffset>
                </wp:positionV>
                <wp:extent cx="3902710" cy="2578735"/>
                <wp:effectExtent l="0" t="0" r="21590" b="12065"/>
                <wp:wrapNone/>
                <wp:docPr id="6" name="Rechteck 38"/>
                <wp:cNvGraphicFramePr/>
                <a:graphic xmlns:a="http://schemas.openxmlformats.org/drawingml/2006/main">
                  <a:graphicData uri="http://schemas.microsoft.com/office/word/2010/wordprocessingShape">
                    <wps:wsp>
                      <wps:cNvSpPr/>
                      <wps:spPr>
                        <a:xfrm>
                          <a:off x="0" y="0"/>
                          <a:ext cx="3902710" cy="2578735"/>
                        </a:xfrm>
                        <a:prstGeom prst="rect">
                          <a:avLst/>
                        </a:prstGeom>
                        <a:ln w="1270">
                          <a:solidFill>
                            <a:schemeClr val="accent1">
                              <a:lumMod val="40000"/>
                              <a:lumOff val="60000"/>
                            </a:schemeClr>
                          </a:solidFill>
                        </a:ln>
                      </wps:spPr>
                      <wps:style>
                        <a:lnRef idx="2">
                          <a:schemeClr val="accent3"/>
                        </a:lnRef>
                        <a:fillRef idx="1">
                          <a:schemeClr val="lt1"/>
                        </a:fillRef>
                        <a:effectRef idx="0">
                          <a:schemeClr val="accent3"/>
                        </a:effectRef>
                        <a:fontRef idx="minor">
                          <a:schemeClr val="dk1"/>
                        </a:fontRef>
                      </wps:style>
                      <wps:txbx>
                        <w:txbxContent>
                          <w:p w:rsidR="00157806" w:rsidRPr="00E25F2F" w:rsidRDefault="00157806" w:rsidP="00157806">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A7C68" id="Rechteck 38" o:spid="_x0000_s1026" style="position:absolute;left:0;text-align:left;margin-left:0;margin-top:2.55pt;width:307.3pt;height:203.0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" fillcolor="white [3201]" strokecolor="#bdd6ee [1300]" strokeweight=".1pt">
                <v:textbox>
                  <w:txbxContent>
                    <w:p w:rsidR="00157806" w:rsidRPr="00E25F2F" w:rsidRDefault="00157806" w:rsidP="00157806">
                      <w:pPr>
                        <w:jc w:val="center"/>
                        <w:rPr>
                          <w:lang w:val="en-GB"/>
                        </w:rPr>
                      </w:pPr>
                    </w:p>
                  </w:txbxContent>
                </v:textbox>
                <w10:wrap anchorx="margin"/>
              </v:rect>
            </w:pict>
          </mc:Fallback>
        </mc:AlternateContent>
      </w:r>
    </w:p>
    <w:p w:rsidR="00157806" w:rsidRPr="00157806" w:rsidRDefault="00157806" w:rsidP="00157806">
      <w:pPr>
        <w:pStyle w:val="ListParagraph"/>
        <w:spacing w:line="360" w:lineRule="auto"/>
        <w:ind w:left="360"/>
        <w:rPr>
          <w:rFonts w:ascii="Cambria" w:hAnsi="Cambria"/>
          <w:b/>
          <w:sz w:val="4"/>
          <w:szCs w:val="24"/>
        </w:rPr>
      </w:pPr>
      <w:r w:rsidRPr="00157806">
        <w:rPr>
          <w:rFonts w:ascii="Cambria" w:hAnsi="Cambria"/>
          <w:i/>
          <w:noProof/>
          <w:sz w:val="20"/>
          <w:szCs w:val="20"/>
          <w:lang w:val="en-GB" w:eastAsia="en-GB"/>
        </w:rPr>
        <w:drawing>
          <wp:anchor distT="0" distB="0" distL="114300" distR="114300" simplePos="0" relativeHeight="251659264" behindDoc="0" locked="0" layoutInCell="1" allowOverlap="1" wp14:anchorId="1D79A679" wp14:editId="5EF420A9">
            <wp:simplePos x="0" y="0"/>
            <wp:positionH relativeFrom="margin">
              <wp:align>center</wp:align>
            </wp:positionH>
            <wp:positionV relativeFrom="paragraph">
              <wp:posOffset>92710</wp:posOffset>
            </wp:positionV>
            <wp:extent cx="3604260" cy="24466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plot.png"/>
                    <pic:cNvPicPr/>
                  </pic:nvPicPr>
                  <pic:blipFill>
                    <a:blip r:embed="rId6">
                      <a:extLst>
                        <a:ext uri="{28A0092B-C50C-407E-A947-70E740481C1C}">
                          <a14:useLocalDpi xmlns:a14="http://schemas.microsoft.com/office/drawing/2010/main" val="0"/>
                        </a:ext>
                      </a:extLst>
                    </a:blip>
                    <a:stretch>
                      <a:fillRect/>
                    </a:stretch>
                  </pic:blipFill>
                  <pic:spPr>
                    <a:xfrm>
                      <a:off x="0" y="0"/>
                      <a:ext cx="3604260" cy="2446655"/>
                    </a:xfrm>
                    <a:prstGeom prst="rect">
                      <a:avLst/>
                    </a:prstGeom>
                  </pic:spPr>
                </pic:pic>
              </a:graphicData>
            </a:graphic>
            <wp14:sizeRelH relativeFrom="page">
              <wp14:pctWidth>0</wp14:pctWidth>
            </wp14:sizeRelH>
            <wp14:sizeRelV relativeFrom="page">
              <wp14:pctHeight>0</wp14:pctHeight>
            </wp14:sizeRelV>
          </wp:anchor>
        </w:drawing>
      </w:r>
    </w:p>
    <w:p w:rsidR="00157806" w:rsidRPr="00157806" w:rsidRDefault="00157806" w:rsidP="00157806">
      <w:pPr>
        <w:tabs>
          <w:tab w:val="left" w:pos="2020"/>
          <w:tab w:val="left" w:pos="2939"/>
          <w:tab w:val="left" w:pos="4393"/>
          <w:tab w:val="center" w:pos="4680"/>
        </w:tabs>
        <w:spacing w:line="360" w:lineRule="auto"/>
        <w:rPr>
          <w:rFonts w:ascii="Cambria" w:hAnsi="Cambria"/>
          <w:i/>
          <w:sz w:val="16"/>
          <w:szCs w:val="16"/>
        </w:rPr>
      </w:pPr>
      <w:r w:rsidRPr="00157806">
        <w:rPr>
          <w:rFonts w:ascii="Cambria" w:hAnsi="Cambria"/>
          <w:i/>
          <w:sz w:val="16"/>
          <w:szCs w:val="16"/>
        </w:rPr>
        <w:t xml:space="preserve">                  </w:t>
      </w:r>
      <w:r w:rsidRPr="00157806">
        <w:rPr>
          <w:rFonts w:ascii="Cambria" w:hAnsi="Cambria"/>
          <w:i/>
          <w:sz w:val="2"/>
          <w:szCs w:val="2"/>
        </w:rPr>
        <w:tab/>
      </w:r>
      <w:r w:rsidRPr="00157806">
        <w:rPr>
          <w:rFonts w:ascii="Cambria" w:hAnsi="Cambria"/>
          <w:i/>
          <w:sz w:val="16"/>
          <w:szCs w:val="16"/>
        </w:rPr>
        <w:tab/>
      </w:r>
      <w:r w:rsidRPr="00157806">
        <w:rPr>
          <w:rFonts w:ascii="Cambria" w:hAnsi="Cambria"/>
          <w:i/>
          <w:sz w:val="16"/>
          <w:szCs w:val="16"/>
        </w:rPr>
        <w:tab/>
        <w:t xml:space="preserve">           </w:t>
      </w:r>
    </w:p>
    <w:p w:rsidR="00157806" w:rsidRPr="00157806" w:rsidRDefault="00157806" w:rsidP="00157806">
      <w:pPr>
        <w:spacing w:line="360" w:lineRule="auto"/>
        <w:jc w:val="center"/>
        <w:rPr>
          <w:rFonts w:ascii="Cambria" w:hAnsi="Cambria"/>
          <w:i/>
          <w:sz w:val="20"/>
          <w:szCs w:val="20"/>
        </w:rPr>
      </w:pPr>
    </w:p>
    <w:p w:rsidR="00157806" w:rsidRPr="00157806" w:rsidRDefault="00157806" w:rsidP="00157806">
      <w:pPr>
        <w:spacing w:line="360" w:lineRule="auto"/>
        <w:jc w:val="center"/>
        <w:rPr>
          <w:rFonts w:ascii="Cambria" w:hAnsi="Cambria"/>
          <w:i/>
          <w:sz w:val="20"/>
          <w:szCs w:val="20"/>
        </w:rPr>
      </w:pPr>
    </w:p>
    <w:p w:rsidR="00157806" w:rsidRPr="00157806" w:rsidRDefault="00157806" w:rsidP="00157806">
      <w:pPr>
        <w:spacing w:line="360" w:lineRule="auto"/>
        <w:jc w:val="center"/>
        <w:rPr>
          <w:rFonts w:ascii="Cambria" w:hAnsi="Cambria"/>
          <w:i/>
          <w:sz w:val="20"/>
          <w:szCs w:val="20"/>
        </w:rPr>
      </w:pPr>
    </w:p>
    <w:p w:rsidR="00157806" w:rsidRPr="00157806" w:rsidRDefault="00157806" w:rsidP="00157806">
      <w:pPr>
        <w:spacing w:line="360" w:lineRule="auto"/>
        <w:jc w:val="center"/>
        <w:rPr>
          <w:rFonts w:ascii="Cambria" w:hAnsi="Cambria"/>
          <w:i/>
          <w:sz w:val="20"/>
          <w:szCs w:val="20"/>
        </w:rPr>
      </w:pPr>
    </w:p>
    <w:p w:rsidR="00157806" w:rsidRPr="00157806" w:rsidRDefault="00157806" w:rsidP="00157806">
      <w:pPr>
        <w:spacing w:line="360" w:lineRule="auto"/>
        <w:jc w:val="center"/>
        <w:rPr>
          <w:rFonts w:ascii="Cambria" w:hAnsi="Cambria"/>
          <w:i/>
          <w:sz w:val="20"/>
          <w:szCs w:val="20"/>
        </w:rPr>
      </w:pPr>
    </w:p>
    <w:p w:rsidR="00157806" w:rsidRPr="00157806" w:rsidRDefault="00157806" w:rsidP="00157806">
      <w:pPr>
        <w:spacing w:line="360" w:lineRule="auto"/>
        <w:jc w:val="center"/>
        <w:rPr>
          <w:rFonts w:ascii="Cambria" w:hAnsi="Cambria"/>
          <w:i/>
          <w:sz w:val="20"/>
          <w:szCs w:val="20"/>
        </w:rPr>
      </w:pPr>
    </w:p>
    <w:p w:rsidR="00157806" w:rsidRPr="00157806" w:rsidRDefault="00157806" w:rsidP="00157806">
      <w:pPr>
        <w:spacing w:line="360" w:lineRule="auto"/>
        <w:jc w:val="center"/>
        <w:rPr>
          <w:rFonts w:ascii="Cambria" w:hAnsi="Cambria"/>
          <w:i/>
          <w:sz w:val="20"/>
          <w:szCs w:val="20"/>
        </w:rPr>
      </w:pPr>
    </w:p>
    <w:p w:rsidR="00157806" w:rsidRPr="00157806" w:rsidRDefault="00157806" w:rsidP="00157806">
      <w:pPr>
        <w:spacing w:line="360" w:lineRule="auto"/>
        <w:jc w:val="center"/>
        <w:rPr>
          <w:rFonts w:ascii="Cambria" w:hAnsi="Cambria"/>
          <w:i/>
          <w:sz w:val="20"/>
          <w:szCs w:val="20"/>
        </w:rPr>
      </w:pPr>
    </w:p>
    <w:p w:rsidR="00157806" w:rsidRPr="00157806" w:rsidRDefault="00157806" w:rsidP="00157806">
      <w:pPr>
        <w:spacing w:line="360" w:lineRule="auto"/>
        <w:rPr>
          <w:rFonts w:ascii="Times New Roman" w:hAnsi="Times New Roman" w:cs="Times New Roman"/>
          <w:i/>
          <w:sz w:val="12"/>
          <w:szCs w:val="20"/>
        </w:rPr>
      </w:pPr>
    </w:p>
    <w:p w:rsidR="00157806" w:rsidRPr="003941E7" w:rsidRDefault="00157806" w:rsidP="003941E7">
      <w:pPr>
        <w:tabs>
          <w:tab w:val="left" w:pos="2020"/>
        </w:tabs>
        <w:spacing w:line="360" w:lineRule="auto"/>
        <w:jc w:val="both"/>
        <w:rPr>
          <w:rFonts w:ascii="Times New Roman" w:hAnsi="Times New Roman" w:cs="Times New Roman"/>
          <w:sz w:val="20"/>
          <w:szCs w:val="20"/>
        </w:rPr>
      </w:pPr>
      <w:r w:rsidRPr="00157806">
        <w:rPr>
          <w:rFonts w:ascii="Times New Roman" w:hAnsi="Times New Roman" w:cs="Times New Roman"/>
          <w:i/>
          <w:sz w:val="20"/>
          <w:szCs w:val="20"/>
        </w:rPr>
        <w:t xml:space="preserve">Note: </w:t>
      </w:r>
      <w:r w:rsidRPr="00157806">
        <w:rPr>
          <w:rFonts w:ascii="Times New Roman" w:hAnsi="Times New Roman" w:cs="Times New Roman"/>
          <w:sz w:val="20"/>
          <w:szCs w:val="20"/>
        </w:rPr>
        <w:t xml:space="preserve">This figure shows the cluster plots after the robustness check, using </w:t>
      </w:r>
      <w:proofErr w:type="spellStart"/>
      <w:r w:rsidRPr="00157806">
        <w:rPr>
          <w:rFonts w:ascii="Times New Roman" w:hAnsi="Times New Roman" w:cs="Times New Roman"/>
          <w:i/>
          <w:sz w:val="20"/>
          <w:szCs w:val="20"/>
        </w:rPr>
        <w:t>tclust</w:t>
      </w:r>
      <w:proofErr w:type="spellEnd"/>
      <w:r w:rsidRPr="00157806">
        <w:rPr>
          <w:rFonts w:ascii="Times New Roman" w:hAnsi="Times New Roman" w:cs="Times New Roman"/>
          <w:sz w:val="20"/>
          <w:szCs w:val="20"/>
        </w:rPr>
        <w:t xml:space="preserve"> in R Studio. The trimmed values are the ‘outlier countries’ shown in empty bullets ‘○’. </w:t>
      </w:r>
    </w:p>
    <w:p w:rsidR="00157806" w:rsidRDefault="00157806" w:rsidP="00157806">
      <w:pPr>
        <w:spacing w:line="360" w:lineRule="auto"/>
        <w:jc w:val="both"/>
        <w:rPr>
          <w:rFonts w:ascii="Times New Roman" w:hAnsi="Times New Roman" w:cs="Times New Roman"/>
          <w:sz w:val="24"/>
          <w:szCs w:val="26"/>
        </w:rPr>
      </w:pPr>
      <w:r w:rsidRPr="00157806">
        <w:rPr>
          <w:rFonts w:ascii="Times New Roman" w:hAnsi="Times New Roman" w:cs="Times New Roman"/>
          <w:sz w:val="24"/>
          <w:szCs w:val="26"/>
        </w:rPr>
        <w:t xml:space="preserve">The second robustness check tests whether our theoretical and empirical approach also provides meaningful results when using specific subsamples. Accordingly, we apply our proposed approach to the subsample of countries from Cluster 3, namely, including the well-developed welfare states of Europe and North America, for which many typologies exist. Applied to this country subsample, model-based cluster analysis again reveals three clusters. A first cluster within the </w:t>
      </w:r>
      <w:r w:rsidR="00A36A78">
        <w:rPr>
          <w:rFonts w:ascii="Times New Roman" w:hAnsi="Times New Roman" w:cs="Times New Roman"/>
          <w:sz w:val="24"/>
          <w:szCs w:val="26"/>
        </w:rPr>
        <w:t>Reactive</w:t>
      </w:r>
      <w:r w:rsidRPr="00157806">
        <w:rPr>
          <w:rFonts w:ascii="Times New Roman" w:hAnsi="Times New Roman" w:cs="Times New Roman"/>
          <w:sz w:val="24"/>
          <w:szCs w:val="26"/>
        </w:rPr>
        <w:t xml:space="preserve"> welfare states consists of countries with a relatively lower general level of </w:t>
      </w:r>
      <w:r w:rsidRPr="00157806">
        <w:rPr>
          <w:rFonts w:ascii="Times New Roman" w:hAnsi="Times New Roman" w:cs="Times New Roman"/>
          <w:sz w:val="24"/>
          <w:szCs w:val="26"/>
        </w:rPr>
        <w:lastRenderedPageBreak/>
        <w:t xml:space="preserve">welfare state engagement, e.g., most Eastern European countries but also several Latin-American states. The two remaining clusters consist of all West European and Anglo-Saxon countries. While these countries seem to be quite similar </w:t>
      </w:r>
      <w:r w:rsidR="003941E7">
        <w:rPr>
          <w:rFonts w:ascii="Times New Roman" w:hAnsi="Times New Roman" w:cs="Times New Roman"/>
          <w:sz w:val="24"/>
          <w:szCs w:val="26"/>
        </w:rPr>
        <w:t>concerning</w:t>
      </w:r>
      <w:r w:rsidRPr="00157806">
        <w:rPr>
          <w:rFonts w:ascii="Times New Roman" w:hAnsi="Times New Roman" w:cs="Times New Roman"/>
          <w:sz w:val="24"/>
          <w:szCs w:val="26"/>
        </w:rPr>
        <w:t xml:space="preserve"> the old risk policies, one group of countries, forming a distinct cluster, namely Austria, Canada, Denmark, Iceland, New Zealand, Norway, Sweden, and Switzerland, stand out having a stronger emphasis on new social risks. Thus, while the strength of our framework is to compare welfare states around the world, this subsample analysis demonstrates that the conceptual and empirical approach presented in this study </w:t>
      </w:r>
      <w:proofErr w:type="gramStart"/>
      <w:r w:rsidRPr="00157806">
        <w:rPr>
          <w:rFonts w:ascii="Times New Roman" w:hAnsi="Times New Roman" w:cs="Times New Roman"/>
          <w:sz w:val="24"/>
          <w:szCs w:val="26"/>
        </w:rPr>
        <w:t>can also be used</w:t>
      </w:r>
      <w:proofErr w:type="gramEnd"/>
      <w:r w:rsidRPr="00157806">
        <w:rPr>
          <w:rFonts w:ascii="Times New Roman" w:hAnsi="Times New Roman" w:cs="Times New Roman"/>
          <w:sz w:val="24"/>
          <w:szCs w:val="26"/>
        </w:rPr>
        <w:t xml:space="preserve"> to identify welfare state patterns with specific country groups or regions.</w:t>
      </w:r>
    </w:p>
    <w:p w:rsidR="0073458B" w:rsidRDefault="0073458B" w:rsidP="00157806">
      <w:pPr>
        <w:spacing w:line="360" w:lineRule="auto"/>
        <w:jc w:val="both"/>
        <w:rPr>
          <w:rFonts w:ascii="Times New Roman" w:hAnsi="Times New Roman" w:cs="Times New Roman"/>
          <w:sz w:val="24"/>
          <w:szCs w:val="26"/>
        </w:rPr>
      </w:pPr>
    </w:p>
    <w:p w:rsidR="0073458B" w:rsidRPr="0073458B" w:rsidRDefault="0073458B" w:rsidP="00157806">
      <w:pPr>
        <w:spacing w:line="360" w:lineRule="auto"/>
        <w:jc w:val="both"/>
        <w:rPr>
          <w:rFonts w:ascii="Times New Roman" w:hAnsi="Times New Roman" w:cs="Times New Roman"/>
          <w:b/>
          <w:sz w:val="24"/>
          <w:szCs w:val="26"/>
        </w:rPr>
      </w:pPr>
      <w:r w:rsidRPr="0073458B">
        <w:rPr>
          <w:rFonts w:ascii="Times New Roman" w:hAnsi="Times New Roman" w:cs="Times New Roman"/>
          <w:b/>
          <w:sz w:val="24"/>
          <w:szCs w:val="26"/>
        </w:rPr>
        <w:t>References</w:t>
      </w:r>
    </w:p>
    <w:p w:rsidR="0073458B" w:rsidRPr="0073458B" w:rsidRDefault="0073458B" w:rsidP="0073458B">
      <w:pPr>
        <w:pStyle w:val="Bibliography"/>
        <w:spacing w:line="360" w:lineRule="auto"/>
        <w:ind w:left="720" w:hanging="720"/>
        <w:jc w:val="both"/>
        <w:rPr>
          <w:rFonts w:ascii="Times New Roman" w:hAnsi="Times New Roman" w:cs="Times New Roman"/>
        </w:rPr>
      </w:pPr>
      <w:r w:rsidRPr="004F46AB">
        <w:rPr>
          <w:rFonts w:ascii="Times New Roman" w:hAnsi="Times New Roman" w:cs="Times New Roman"/>
        </w:rPr>
        <w:t xml:space="preserve">Fritz, H., Garc´ıa-Escudero, L. A. </w:t>
      </w:r>
      <w:r>
        <w:rPr>
          <w:rFonts w:ascii="Times New Roman" w:hAnsi="Times New Roman" w:cs="Times New Roman"/>
        </w:rPr>
        <w:t>and Mayo-Iscar, A. (2012),</w:t>
      </w:r>
      <w:r w:rsidRPr="004F46AB">
        <w:rPr>
          <w:rFonts w:ascii="Times New Roman" w:hAnsi="Times New Roman" w:cs="Times New Roman"/>
        </w:rPr>
        <w:t xml:space="preserve"> </w:t>
      </w:r>
      <w:r>
        <w:rPr>
          <w:rFonts w:ascii="Times New Roman" w:hAnsi="Times New Roman" w:cs="Times New Roman"/>
        </w:rPr>
        <w:t>‘</w:t>
      </w:r>
      <w:r w:rsidRPr="004F46AB">
        <w:rPr>
          <w:rFonts w:ascii="Times New Roman" w:hAnsi="Times New Roman" w:cs="Times New Roman"/>
        </w:rPr>
        <w:t>tclust: An R package for a trimming approach to cluster analysis</w:t>
      </w:r>
      <w:r>
        <w:rPr>
          <w:rFonts w:ascii="Times New Roman" w:hAnsi="Times New Roman" w:cs="Times New Roman"/>
        </w:rPr>
        <w:t>’,</w:t>
      </w:r>
      <w:r w:rsidRPr="004F46AB">
        <w:rPr>
          <w:rFonts w:ascii="Times New Roman" w:hAnsi="Times New Roman" w:cs="Times New Roman"/>
        </w:rPr>
        <w:t xml:space="preserve"> </w:t>
      </w:r>
      <w:r w:rsidRPr="004F46AB">
        <w:rPr>
          <w:rFonts w:ascii="Times New Roman" w:hAnsi="Times New Roman" w:cs="Times New Roman"/>
          <w:i/>
          <w:iCs/>
        </w:rPr>
        <w:t>Journal of Statistical Software</w:t>
      </w:r>
      <w:r w:rsidRPr="004F46AB">
        <w:rPr>
          <w:rFonts w:ascii="Times New Roman" w:hAnsi="Times New Roman" w:cs="Times New Roman"/>
        </w:rPr>
        <w:t>, 47(12): 1-26.</w:t>
      </w:r>
    </w:p>
    <w:p w:rsidR="0073458B" w:rsidRPr="00E102E7" w:rsidRDefault="0073458B" w:rsidP="0073458B">
      <w:pPr>
        <w:pStyle w:val="Bibliography"/>
        <w:spacing w:line="360" w:lineRule="auto"/>
        <w:ind w:left="720" w:hanging="720"/>
        <w:jc w:val="both"/>
        <w:rPr>
          <w:rFonts w:ascii="Times New Roman" w:hAnsi="Times New Roman" w:cs="Times New Roman"/>
        </w:rPr>
      </w:pPr>
      <w:r w:rsidRPr="00E102E7">
        <w:rPr>
          <w:rFonts w:ascii="Times New Roman" w:hAnsi="Times New Roman" w:cs="Times New Roman"/>
        </w:rPr>
        <w:t>García-Escudero, L. A., Gordaliza, A., Ma</w:t>
      </w:r>
      <w:r w:rsidR="00E102E7">
        <w:rPr>
          <w:rFonts w:ascii="Times New Roman" w:hAnsi="Times New Roman" w:cs="Times New Roman"/>
        </w:rPr>
        <w:t>trán, C.</w:t>
      </w:r>
      <w:r w:rsidRPr="00E102E7">
        <w:rPr>
          <w:rFonts w:ascii="Times New Roman" w:hAnsi="Times New Roman" w:cs="Times New Roman"/>
        </w:rPr>
        <w:t xml:space="preserve"> </w:t>
      </w:r>
      <w:r w:rsidR="00E102E7">
        <w:rPr>
          <w:rFonts w:ascii="Times New Roman" w:hAnsi="Times New Roman" w:cs="Times New Roman"/>
        </w:rPr>
        <w:t>and</w:t>
      </w:r>
      <w:r w:rsidRPr="00E102E7">
        <w:rPr>
          <w:rFonts w:ascii="Times New Roman" w:hAnsi="Times New Roman" w:cs="Times New Roman"/>
        </w:rPr>
        <w:t xml:space="preserve"> Mayo-Iscar, A. (2010)</w:t>
      </w:r>
      <w:r w:rsidR="00E102E7">
        <w:rPr>
          <w:rFonts w:ascii="Times New Roman" w:hAnsi="Times New Roman" w:cs="Times New Roman"/>
        </w:rPr>
        <w:t>,</w:t>
      </w:r>
      <w:r w:rsidRPr="00E102E7">
        <w:rPr>
          <w:rFonts w:ascii="Times New Roman" w:hAnsi="Times New Roman" w:cs="Times New Roman"/>
        </w:rPr>
        <w:t xml:space="preserve"> </w:t>
      </w:r>
      <w:r w:rsidR="00E102E7">
        <w:rPr>
          <w:rFonts w:ascii="Times New Roman" w:hAnsi="Times New Roman" w:cs="Times New Roman"/>
        </w:rPr>
        <w:t>‘</w:t>
      </w:r>
      <w:r w:rsidRPr="00E102E7">
        <w:rPr>
          <w:rFonts w:ascii="Times New Roman" w:hAnsi="Times New Roman" w:cs="Times New Roman"/>
        </w:rPr>
        <w:t>A review of robust clustering methods</w:t>
      </w:r>
      <w:r w:rsidR="00E102E7">
        <w:rPr>
          <w:rFonts w:ascii="Times New Roman" w:hAnsi="Times New Roman" w:cs="Times New Roman"/>
        </w:rPr>
        <w:t>,’</w:t>
      </w:r>
      <w:r w:rsidRPr="00E102E7">
        <w:rPr>
          <w:rFonts w:ascii="Times New Roman" w:hAnsi="Times New Roman" w:cs="Times New Roman"/>
        </w:rPr>
        <w:t xml:space="preserve"> </w:t>
      </w:r>
      <w:r w:rsidRPr="00E102E7">
        <w:rPr>
          <w:rFonts w:ascii="Times New Roman" w:hAnsi="Times New Roman" w:cs="Times New Roman"/>
          <w:i/>
          <w:iCs/>
        </w:rPr>
        <w:t>Advances in Data Analysis and Classification</w:t>
      </w:r>
      <w:r w:rsidRPr="00E102E7">
        <w:rPr>
          <w:rFonts w:ascii="Times New Roman" w:hAnsi="Times New Roman" w:cs="Times New Roman"/>
        </w:rPr>
        <w:t>, 4: 89-109.</w:t>
      </w:r>
    </w:p>
    <w:p w:rsidR="0073458B" w:rsidRPr="00E102E7" w:rsidRDefault="0073458B" w:rsidP="0073458B">
      <w:pPr>
        <w:pStyle w:val="Bibliography"/>
        <w:spacing w:line="360" w:lineRule="auto"/>
        <w:ind w:left="720" w:hanging="720"/>
        <w:jc w:val="both"/>
        <w:rPr>
          <w:rFonts w:ascii="Times New Roman" w:hAnsi="Times New Roman" w:cs="Times New Roman"/>
        </w:rPr>
      </w:pPr>
      <w:r w:rsidRPr="00E102E7">
        <w:rPr>
          <w:rFonts w:ascii="Times New Roman" w:hAnsi="Times New Roman" w:cs="Times New Roman"/>
        </w:rPr>
        <w:t>García-Escudero</w:t>
      </w:r>
      <w:r w:rsidR="00E102E7">
        <w:rPr>
          <w:rFonts w:ascii="Times New Roman" w:hAnsi="Times New Roman" w:cs="Times New Roman"/>
        </w:rPr>
        <w:t>, L., Gordaliza, A., Matràn, C.</w:t>
      </w:r>
      <w:r w:rsidRPr="00E102E7">
        <w:rPr>
          <w:rFonts w:ascii="Times New Roman" w:hAnsi="Times New Roman" w:cs="Times New Roman"/>
        </w:rPr>
        <w:t xml:space="preserve"> </w:t>
      </w:r>
      <w:r w:rsidR="00E102E7">
        <w:rPr>
          <w:rFonts w:ascii="Times New Roman" w:hAnsi="Times New Roman" w:cs="Times New Roman"/>
        </w:rPr>
        <w:t>and</w:t>
      </w:r>
      <w:r w:rsidRPr="00E102E7">
        <w:rPr>
          <w:rFonts w:ascii="Times New Roman" w:hAnsi="Times New Roman" w:cs="Times New Roman"/>
        </w:rPr>
        <w:t xml:space="preserve"> Mayo-Iscar, A. (2011)</w:t>
      </w:r>
      <w:r w:rsidR="00E102E7">
        <w:rPr>
          <w:rFonts w:ascii="Times New Roman" w:hAnsi="Times New Roman" w:cs="Times New Roman"/>
        </w:rPr>
        <w:t>,</w:t>
      </w:r>
      <w:r w:rsidRPr="00E102E7">
        <w:rPr>
          <w:rFonts w:ascii="Times New Roman" w:hAnsi="Times New Roman" w:cs="Times New Roman"/>
        </w:rPr>
        <w:t xml:space="preserve"> </w:t>
      </w:r>
      <w:r w:rsidR="00E102E7">
        <w:rPr>
          <w:rFonts w:ascii="Times New Roman" w:hAnsi="Times New Roman" w:cs="Times New Roman"/>
        </w:rPr>
        <w:t>‘</w:t>
      </w:r>
      <w:r w:rsidRPr="00E102E7">
        <w:rPr>
          <w:rFonts w:ascii="Times New Roman" w:hAnsi="Times New Roman" w:cs="Times New Roman"/>
        </w:rPr>
        <w:t xml:space="preserve">Exploring </w:t>
      </w:r>
      <w:r w:rsidR="00E102E7" w:rsidRPr="00E102E7">
        <w:rPr>
          <w:rFonts w:ascii="Times New Roman" w:hAnsi="Times New Roman" w:cs="Times New Roman"/>
        </w:rPr>
        <w:t>the number of groups in robust model-based clustering</w:t>
      </w:r>
      <w:r w:rsidR="00E102E7">
        <w:rPr>
          <w:rFonts w:ascii="Times New Roman" w:hAnsi="Times New Roman" w:cs="Times New Roman"/>
        </w:rPr>
        <w:t>’,</w:t>
      </w:r>
      <w:r w:rsidRPr="00E102E7">
        <w:rPr>
          <w:rFonts w:ascii="Times New Roman" w:hAnsi="Times New Roman" w:cs="Times New Roman"/>
        </w:rPr>
        <w:t xml:space="preserve"> </w:t>
      </w:r>
      <w:r w:rsidRPr="00E102E7">
        <w:rPr>
          <w:rFonts w:ascii="Times New Roman" w:hAnsi="Times New Roman" w:cs="Times New Roman"/>
          <w:i/>
          <w:iCs/>
        </w:rPr>
        <w:t>Statistics and Computing</w:t>
      </w:r>
      <w:r w:rsidRPr="00E102E7">
        <w:rPr>
          <w:rFonts w:ascii="Times New Roman" w:hAnsi="Times New Roman" w:cs="Times New Roman"/>
        </w:rPr>
        <w:t>, 1-25.</w:t>
      </w:r>
      <w:bookmarkStart w:id="0" w:name="_GoBack"/>
      <w:bookmarkEnd w:id="0"/>
    </w:p>
    <w:p w:rsidR="0073458B" w:rsidRPr="00157806" w:rsidRDefault="0073458B" w:rsidP="00157806">
      <w:pPr>
        <w:spacing w:line="360" w:lineRule="auto"/>
        <w:jc w:val="both"/>
        <w:rPr>
          <w:rFonts w:ascii="Times New Roman" w:hAnsi="Times New Roman" w:cs="Times New Roman"/>
          <w:sz w:val="24"/>
          <w:szCs w:val="26"/>
        </w:rPr>
      </w:pPr>
    </w:p>
    <w:sectPr w:rsidR="0073458B" w:rsidRPr="0015780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806" w:rsidRDefault="00157806" w:rsidP="00157806">
      <w:pPr>
        <w:spacing w:after="0" w:line="240" w:lineRule="auto"/>
      </w:pPr>
      <w:r>
        <w:separator/>
      </w:r>
    </w:p>
  </w:endnote>
  <w:endnote w:type="continuationSeparator" w:id="0">
    <w:p w:rsidR="00157806" w:rsidRDefault="00157806" w:rsidP="00157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715" w:rsidRDefault="00296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334685"/>
      <w:docPartObj>
        <w:docPartGallery w:val="Page Numbers (Bottom of Page)"/>
        <w:docPartUnique/>
      </w:docPartObj>
    </w:sdtPr>
    <w:sdtEndPr>
      <w:rPr>
        <w:noProof/>
      </w:rPr>
    </w:sdtEndPr>
    <w:sdtContent>
      <w:p w:rsidR="00296715" w:rsidRDefault="00296715">
        <w:pPr>
          <w:pStyle w:val="Footer"/>
          <w:jc w:val="right"/>
        </w:pPr>
        <w:r>
          <w:fldChar w:fldCharType="begin"/>
        </w:r>
        <w:r>
          <w:instrText xml:space="preserve"> PAGE   \* MERGEFORMAT </w:instrText>
        </w:r>
        <w:r>
          <w:fldChar w:fldCharType="separate"/>
        </w:r>
        <w:r w:rsidR="00152FBF">
          <w:rPr>
            <w:noProof/>
          </w:rPr>
          <w:t>4</w:t>
        </w:r>
        <w:r>
          <w:rPr>
            <w:noProof/>
          </w:rPr>
          <w:fldChar w:fldCharType="end"/>
        </w:r>
      </w:p>
    </w:sdtContent>
  </w:sdt>
  <w:p w:rsidR="00296715" w:rsidRDefault="002967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715" w:rsidRDefault="00296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806" w:rsidRDefault="00157806" w:rsidP="00157806">
      <w:pPr>
        <w:spacing w:after="0" w:line="240" w:lineRule="auto"/>
      </w:pPr>
      <w:r>
        <w:separator/>
      </w:r>
    </w:p>
  </w:footnote>
  <w:footnote w:type="continuationSeparator" w:id="0">
    <w:p w:rsidR="00157806" w:rsidRDefault="00157806" w:rsidP="00157806">
      <w:pPr>
        <w:spacing w:after="0" w:line="240" w:lineRule="auto"/>
      </w:pPr>
      <w:r>
        <w:continuationSeparator/>
      </w:r>
    </w:p>
  </w:footnote>
  <w:footnote w:id="1">
    <w:p w:rsidR="00157806" w:rsidRPr="00A43487" w:rsidRDefault="00157806" w:rsidP="00157806">
      <w:pPr>
        <w:pStyle w:val="FootnoteText"/>
        <w:rPr>
          <w:rFonts w:ascii="Cambria" w:hAnsi="Cambria"/>
          <w:lang w:val="en-GB"/>
        </w:rPr>
      </w:pPr>
      <w:r w:rsidRPr="00A43487">
        <w:rPr>
          <w:rStyle w:val="FootnoteReference"/>
          <w:rFonts w:ascii="Cambria" w:hAnsi="Cambria"/>
        </w:rPr>
        <w:footnoteRef/>
      </w:r>
      <w:r w:rsidRPr="00A43487">
        <w:rPr>
          <w:rFonts w:ascii="Cambria" w:hAnsi="Cambria"/>
        </w:rPr>
        <w:t xml:space="preserve"> </w:t>
      </w:r>
      <w:proofErr w:type="gramStart"/>
      <w:r w:rsidR="00524B94">
        <w:rPr>
          <w:rFonts w:ascii="Times New Roman" w:hAnsi="Times New Roman" w:cs="Times New Roman"/>
          <w:sz w:val="18"/>
          <w:szCs w:val="18"/>
          <w:lang w:val="en-GB"/>
        </w:rPr>
        <w:t>Reactive</w:t>
      </w:r>
      <w:r w:rsidRPr="00E8115C">
        <w:rPr>
          <w:rFonts w:ascii="Times New Roman" w:hAnsi="Times New Roman" w:cs="Times New Roman"/>
          <w:sz w:val="18"/>
          <w:szCs w:val="18"/>
          <w:lang w:val="en-GB"/>
        </w:rPr>
        <w:t xml:space="preserve"> and </w:t>
      </w:r>
      <w:r w:rsidR="00524B94">
        <w:rPr>
          <w:rFonts w:ascii="Times New Roman" w:hAnsi="Times New Roman" w:cs="Times New Roman"/>
          <w:sz w:val="18"/>
          <w:szCs w:val="18"/>
          <w:lang w:val="en-GB"/>
        </w:rPr>
        <w:t>Proactive</w:t>
      </w:r>
      <w:r w:rsidRPr="00E8115C">
        <w:rPr>
          <w:rFonts w:ascii="Times New Roman" w:hAnsi="Times New Roman" w:cs="Times New Roman"/>
          <w:sz w:val="18"/>
          <w:szCs w:val="18"/>
          <w:lang w:val="en-GB"/>
        </w:rPr>
        <w:t xml:space="preserve"> Welfare States</w:t>
      </w:r>
      <w:r>
        <w:rPr>
          <w:rFonts w:ascii="Times New Roman" w:hAnsi="Times New Roman" w:cs="Times New Roman"/>
          <w:sz w:val="18"/>
          <w:szCs w:val="18"/>
          <w:lang w:val="en-GB"/>
        </w:rPr>
        <w:t>.</w:t>
      </w:r>
      <w:proofErr w:type="gramEnd"/>
    </w:p>
  </w:footnote>
  <w:footnote w:id="2">
    <w:p w:rsidR="00157806" w:rsidRPr="00F55CCC" w:rsidRDefault="00157806" w:rsidP="00157806">
      <w:pPr>
        <w:pStyle w:val="FootnoteText"/>
        <w:jc w:val="both"/>
        <w:rPr>
          <w:lang w:val="en-GB"/>
        </w:rPr>
      </w:pPr>
      <w:r w:rsidRPr="00A43487">
        <w:rPr>
          <w:rStyle w:val="FootnoteReference"/>
          <w:rFonts w:ascii="Cambria" w:hAnsi="Cambria"/>
        </w:rPr>
        <w:footnoteRef/>
      </w:r>
      <w:r w:rsidRPr="00A43487">
        <w:rPr>
          <w:rFonts w:ascii="Cambria" w:hAnsi="Cambria"/>
        </w:rPr>
        <w:t xml:space="preserve"> </w:t>
      </w:r>
      <w:r>
        <w:rPr>
          <w:rFonts w:ascii="Times New Roman" w:hAnsi="Times New Roman" w:cs="Times New Roman"/>
          <w:sz w:val="18"/>
          <w:szCs w:val="18"/>
          <w:lang w:val="en-GB"/>
        </w:rPr>
        <w:t>Trimming approach excluded</w:t>
      </w:r>
      <w:r w:rsidRPr="005C23D9">
        <w:rPr>
          <w:rFonts w:ascii="Times New Roman" w:hAnsi="Times New Roman" w:cs="Times New Roman"/>
          <w:sz w:val="18"/>
          <w:szCs w:val="18"/>
          <w:lang w:val="en-GB"/>
        </w:rPr>
        <w:t xml:space="preserve"> </w:t>
      </w:r>
      <w:r>
        <w:rPr>
          <w:rFonts w:ascii="Times New Roman" w:hAnsi="Times New Roman" w:cs="Times New Roman"/>
          <w:sz w:val="18"/>
          <w:szCs w:val="18"/>
          <w:lang w:val="en-GB"/>
        </w:rPr>
        <w:t>five</w:t>
      </w:r>
      <w:r w:rsidRPr="005C23D9">
        <w:rPr>
          <w:rFonts w:ascii="Times New Roman" w:hAnsi="Times New Roman" w:cs="Times New Roman"/>
          <w:sz w:val="18"/>
          <w:szCs w:val="18"/>
          <w:lang w:val="en-GB"/>
        </w:rPr>
        <w:t xml:space="preserve"> percent of the most extreme observations. In this case, the excluded countries are Albania, Burundi, Central African Republic, Cuba, Lesotho, Liberia, Namibia, and Republic of Yemen.</w:t>
      </w:r>
      <w:r>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715" w:rsidRDefault="00296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715" w:rsidRDefault="002967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715" w:rsidRDefault="002967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yNTE3NzIzNDczNzBX0lEKTi0uzszPAymwrAUAowJhsCwAAAA="/>
  </w:docVars>
  <w:rsids>
    <w:rsidRoot w:val="00345A3E"/>
    <w:rsid w:val="00044F0E"/>
    <w:rsid w:val="000F6435"/>
    <w:rsid w:val="00152FBF"/>
    <w:rsid w:val="00157806"/>
    <w:rsid w:val="0025414B"/>
    <w:rsid w:val="002576C7"/>
    <w:rsid w:val="00296715"/>
    <w:rsid w:val="002B7713"/>
    <w:rsid w:val="002C61A2"/>
    <w:rsid w:val="00345A3E"/>
    <w:rsid w:val="003941E7"/>
    <w:rsid w:val="003C2141"/>
    <w:rsid w:val="004012C2"/>
    <w:rsid w:val="00524B94"/>
    <w:rsid w:val="00683180"/>
    <w:rsid w:val="006F4A76"/>
    <w:rsid w:val="0073458B"/>
    <w:rsid w:val="007B5634"/>
    <w:rsid w:val="0084134C"/>
    <w:rsid w:val="00A36A78"/>
    <w:rsid w:val="00A8421F"/>
    <w:rsid w:val="00D050C0"/>
    <w:rsid w:val="00E102E7"/>
    <w:rsid w:val="00E4779E"/>
    <w:rsid w:val="00EA3D8D"/>
    <w:rsid w:val="00F94C1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2A60B-D73A-4F69-9E6E-E1D2EFC0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34C"/>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3">
    <w:name w:val="Grid Table 1 Light Accent 3"/>
    <w:basedOn w:val="TableNormal"/>
    <w:uiPriority w:val="46"/>
    <w:rsid w:val="0084134C"/>
    <w:pPr>
      <w:spacing w:after="0" w:line="240" w:lineRule="auto"/>
    </w:pPr>
    <w:rPr>
      <w:lang w:val="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unhideWhenUsed/>
    <w:rsid w:val="00157806"/>
    <w:pPr>
      <w:spacing w:after="0" w:line="240" w:lineRule="auto"/>
    </w:pPr>
    <w:rPr>
      <w:sz w:val="20"/>
      <w:szCs w:val="20"/>
    </w:rPr>
  </w:style>
  <w:style w:type="character" w:customStyle="1" w:styleId="FootnoteTextChar">
    <w:name w:val="Footnote Text Char"/>
    <w:basedOn w:val="DefaultParagraphFont"/>
    <w:link w:val="FootnoteText"/>
    <w:uiPriority w:val="99"/>
    <w:rsid w:val="00157806"/>
    <w:rPr>
      <w:sz w:val="20"/>
      <w:szCs w:val="20"/>
      <w:lang w:val="en-US"/>
    </w:rPr>
  </w:style>
  <w:style w:type="character" w:styleId="FootnoteReference">
    <w:name w:val="footnote reference"/>
    <w:basedOn w:val="DefaultParagraphFont"/>
    <w:uiPriority w:val="99"/>
    <w:semiHidden/>
    <w:unhideWhenUsed/>
    <w:rsid w:val="00157806"/>
    <w:rPr>
      <w:vertAlign w:val="superscript"/>
    </w:rPr>
  </w:style>
  <w:style w:type="paragraph" w:styleId="ListParagraph">
    <w:name w:val="List Paragraph"/>
    <w:basedOn w:val="Normal"/>
    <w:uiPriority w:val="34"/>
    <w:qFormat/>
    <w:rsid w:val="00157806"/>
    <w:pPr>
      <w:ind w:left="720"/>
      <w:contextualSpacing/>
    </w:pPr>
  </w:style>
  <w:style w:type="paragraph" w:styleId="Header">
    <w:name w:val="header"/>
    <w:basedOn w:val="Normal"/>
    <w:link w:val="HeaderChar"/>
    <w:uiPriority w:val="99"/>
    <w:unhideWhenUsed/>
    <w:rsid w:val="002967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6715"/>
    <w:rPr>
      <w:lang w:val="en-US"/>
    </w:rPr>
  </w:style>
  <w:style w:type="paragraph" w:styleId="Footer">
    <w:name w:val="footer"/>
    <w:basedOn w:val="Normal"/>
    <w:link w:val="FooterChar"/>
    <w:uiPriority w:val="99"/>
    <w:unhideWhenUsed/>
    <w:rsid w:val="002967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6715"/>
    <w:rPr>
      <w:lang w:val="en-US"/>
    </w:rPr>
  </w:style>
  <w:style w:type="paragraph" w:styleId="Bibliography">
    <w:name w:val="Bibliography"/>
    <w:basedOn w:val="Normal"/>
    <w:next w:val="Normal"/>
    <w:uiPriority w:val="37"/>
    <w:unhideWhenUsed/>
    <w:rsid w:val="0073458B"/>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1263</Words>
  <Characters>7200</Characters>
  <Application>Microsoft Office Word</Application>
  <DocSecurity>0</DocSecurity>
  <Lines>60</Lines>
  <Paragraphs>16</Paragraphs>
  <ScaleCrop>false</ScaleCrop>
  <Company>University of Bern</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Hasanaj, Valon (IPW)</dc:creator>
  <cp:keywords/>
  <dc:description/>
  <cp:lastModifiedBy>Hasanaj, Valon (IPW)</cp:lastModifiedBy>
  <cp:revision>40</cp:revision>
  <dcterms:created xsi:type="dcterms:W3CDTF">2021-09-16T08:32:00Z</dcterms:created>
  <dcterms:modified xsi:type="dcterms:W3CDTF">2021-11-07T16:44:00Z</dcterms:modified>
</cp:coreProperties>
</file>