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2D28D" w14:textId="77777777" w:rsidR="00CB067F" w:rsidRPr="00F4659D" w:rsidRDefault="00CB067F" w:rsidP="00CB067F">
      <w:pPr>
        <w:spacing w:line="480" w:lineRule="auto"/>
        <w:jc w:val="both"/>
        <w:outlineLvl w:val="0"/>
        <w:rPr>
          <w:b/>
          <w:bCs/>
          <w:sz w:val="30"/>
          <w:szCs w:val="30"/>
        </w:rPr>
      </w:pPr>
      <w:r w:rsidRPr="00D23827">
        <w:rPr>
          <w:b/>
          <w:bCs/>
          <w:sz w:val="30"/>
          <w:szCs w:val="30"/>
        </w:rPr>
        <w:t>Supplementary Information</w:t>
      </w:r>
      <w:bookmarkStart w:id="0" w:name="_GoBack"/>
      <w:bookmarkEnd w:id="0"/>
    </w:p>
    <w:p w14:paraId="56F44AFB" w14:textId="77777777" w:rsidR="00CB067F" w:rsidRPr="00F4659D" w:rsidRDefault="00CB067F" w:rsidP="00CB067F">
      <w:pPr>
        <w:spacing w:line="480" w:lineRule="auto"/>
        <w:jc w:val="both"/>
        <w:outlineLvl w:val="0"/>
        <w:rPr>
          <w:b/>
          <w:bCs/>
          <w:sz w:val="30"/>
          <w:szCs w:val="30"/>
        </w:rPr>
      </w:pPr>
      <w:r w:rsidRPr="00D23827">
        <w:rPr>
          <w:b/>
          <w:bCs/>
          <w:sz w:val="30"/>
          <w:szCs w:val="30"/>
        </w:rPr>
        <w:t>Data Appendix</w:t>
      </w:r>
    </w:p>
    <w:p w14:paraId="74ED5E44" w14:textId="5D365CCA" w:rsidR="00CB067F" w:rsidRPr="00EB0D40" w:rsidRDefault="00CB067F" w:rsidP="00CB067F">
      <w:pPr>
        <w:jc w:val="both"/>
        <w:rPr>
          <w:sz w:val="24"/>
          <w:szCs w:val="24"/>
        </w:rPr>
      </w:pPr>
      <w:r w:rsidRPr="00EB0D40">
        <w:rPr>
          <w:sz w:val="24"/>
          <w:szCs w:val="24"/>
        </w:rPr>
        <w:t xml:space="preserve">This Data Appendix </w:t>
      </w:r>
      <w:r w:rsidR="000C4462">
        <w:rPr>
          <w:sz w:val="24"/>
          <w:szCs w:val="24"/>
        </w:rPr>
        <w:t>provides</w:t>
      </w:r>
      <w:r w:rsidRPr="00EB0D40">
        <w:rPr>
          <w:sz w:val="24"/>
          <w:szCs w:val="24"/>
        </w:rPr>
        <w:t xml:space="preserve"> a more technical discussion of </w:t>
      </w:r>
      <w:r>
        <w:rPr>
          <w:sz w:val="24"/>
          <w:szCs w:val="24"/>
        </w:rPr>
        <w:t xml:space="preserve">aspects of </w:t>
      </w:r>
      <w:r w:rsidRPr="00EB0D40">
        <w:rPr>
          <w:sz w:val="24"/>
          <w:szCs w:val="24"/>
        </w:rPr>
        <w:t xml:space="preserve">the </w:t>
      </w:r>
      <w:r>
        <w:rPr>
          <w:sz w:val="24"/>
          <w:szCs w:val="24"/>
        </w:rPr>
        <w:t>research design with particular reference to the topic modelling.</w:t>
      </w:r>
    </w:p>
    <w:p w14:paraId="514643CC" w14:textId="77777777" w:rsidR="00CB067F" w:rsidRDefault="00CB067F" w:rsidP="00CB067F">
      <w:pPr>
        <w:jc w:val="both"/>
        <w:rPr>
          <w:sz w:val="24"/>
          <w:szCs w:val="24"/>
        </w:rPr>
      </w:pPr>
    </w:p>
    <w:p w14:paraId="0FA3D4EF" w14:textId="77777777" w:rsidR="00CB067F" w:rsidRPr="00EC7A20" w:rsidRDefault="00CB067F" w:rsidP="00CB067F">
      <w:pPr>
        <w:jc w:val="both"/>
        <w:rPr>
          <w:b/>
          <w:sz w:val="24"/>
          <w:szCs w:val="24"/>
        </w:rPr>
      </w:pPr>
      <w:r>
        <w:rPr>
          <w:b/>
          <w:sz w:val="24"/>
          <w:szCs w:val="24"/>
        </w:rPr>
        <w:t>Data Collection</w:t>
      </w:r>
    </w:p>
    <w:p w14:paraId="1B2C96EA" w14:textId="77777777" w:rsidR="00CB067F" w:rsidRDefault="00CB067F" w:rsidP="00CB067F">
      <w:pPr>
        <w:jc w:val="both"/>
        <w:rPr>
          <w:sz w:val="24"/>
          <w:szCs w:val="24"/>
        </w:rPr>
      </w:pPr>
    </w:p>
    <w:p w14:paraId="18A64A6E" w14:textId="77777777" w:rsidR="00CB067F" w:rsidRPr="00C80675" w:rsidRDefault="00CB067F" w:rsidP="00CB067F">
      <w:pPr>
        <w:jc w:val="both"/>
        <w:rPr>
          <w:bCs/>
          <w:sz w:val="24"/>
          <w:szCs w:val="24"/>
        </w:rPr>
      </w:pPr>
      <w:r w:rsidRPr="00C80675">
        <w:rPr>
          <w:bCs/>
          <w:sz w:val="24"/>
          <w:szCs w:val="24"/>
        </w:rPr>
        <w:t>The reporting on a policy issue by media organi</w:t>
      </w:r>
      <w:r>
        <w:rPr>
          <w:bCs/>
          <w:sz w:val="24"/>
          <w:szCs w:val="24"/>
        </w:rPr>
        <w:t>s</w:t>
      </w:r>
      <w:r w:rsidRPr="00C80675">
        <w:rPr>
          <w:bCs/>
          <w:sz w:val="24"/>
          <w:szCs w:val="24"/>
        </w:rPr>
        <w:t>ations is responsive to the logics and norms of the media system in which it operates</w:t>
      </w:r>
      <w:r>
        <w:rPr>
          <w:bCs/>
          <w:sz w:val="24"/>
          <w:szCs w:val="24"/>
        </w:rPr>
        <w:t>. In an otherwise liberal pluralist media system, we would expect a norm of balanced coverage on a controversial policy topic, such as Coal Seam Gas (CSG)</w:t>
      </w:r>
      <w:r w:rsidRPr="00C80675">
        <w:rPr>
          <w:bCs/>
          <w:sz w:val="24"/>
          <w:szCs w:val="24"/>
        </w:rPr>
        <w:t xml:space="preserve">. </w:t>
      </w:r>
      <w:r>
        <w:rPr>
          <w:bCs/>
          <w:sz w:val="24"/>
          <w:szCs w:val="24"/>
        </w:rPr>
        <w:t xml:space="preserve">In Australia, the media system combines </w:t>
      </w:r>
      <w:r w:rsidRPr="00C80675">
        <w:rPr>
          <w:bCs/>
          <w:sz w:val="24"/>
          <w:szCs w:val="24"/>
        </w:rPr>
        <w:t>a liberal system with some degree of polari</w:t>
      </w:r>
      <w:r>
        <w:rPr>
          <w:bCs/>
          <w:sz w:val="24"/>
          <w:szCs w:val="24"/>
        </w:rPr>
        <w:t>s</w:t>
      </w:r>
      <w:r w:rsidRPr="00C80675">
        <w:rPr>
          <w:bCs/>
          <w:sz w:val="24"/>
          <w:szCs w:val="24"/>
        </w:rPr>
        <w:t xml:space="preserve">ation </w:t>
      </w:r>
      <w:r w:rsidRPr="00C80675">
        <w:rPr>
          <w:bCs/>
          <w:sz w:val="24"/>
          <w:szCs w:val="24"/>
        </w:rPr>
        <w:fldChar w:fldCharType="begin"/>
      </w:r>
      <w:r w:rsidRPr="00C80675">
        <w:rPr>
          <w:bCs/>
          <w:sz w:val="24"/>
          <w:szCs w:val="24"/>
        </w:rPr>
        <w:instrText xml:space="preserve"> ADDIN ZOTERO_ITEM CSL_CITATION {"citationID":"plbc2ml64","properties":{"formattedCitation":"(Hallin and Mancini 2004; Jones and Pusey 2010)","plainCitation":"(Hallin and Mancini 2004; Jones and Pusey 2010)"},"citationItems":[{"id":718,"uris":["http://zotero.org/users/258937/items/GVUXDQGD"],"uri":["http://zotero.org/users/258937/items/GVUXDQGD"],"itemData":{"id":718,"type":"book","title":"Comparing media systems: three models of media and politics","publisher":"Cambridge University Press","publisher-place":"New York","number-of-pages":"364","source":"Google Books","event-place":"New York","ISBN":"978-0-521-54308-8","call-number":"0819","shortTitle":"Comparing media systems","author":[{"family":"Hallin","given":"Daniel C."},{"family":"Mancini","given":"Paolo"}],"issued":{"date-parts":[["2004"]]}}},{"id":822,"uris":["http://zotero.org/users/258937/items/JF5NDSJ6"],"uri":["http://zotero.org/users/258937/items/JF5NDSJ6"],"itemData":{"id":822,"type":"article-journal","title":"Political communication and ‘media system’: the Australian canary","container-title":"Media, Culture &amp; Society","page":"451-471","volume":"32","issue":"3","source":"mcs.sagepub.com","DOI":"10.1177/0163443709361172","ISSN":"0163-4437, 1460-3675","shortTitle":"Political communication and ‘media system’","journalAbbreviation":"Media Culture Society","language":"en","author":[{"family":"Jones","given":"Paul K."},{"family":"Pusey","given":"Michael"}],"issued":{"date-parts":[["2010",5,1]]}}}],"schema":"https://github.com/citation-style-language/schema/raw/master/csl-citation.json"} </w:instrText>
      </w:r>
      <w:r w:rsidRPr="00C80675">
        <w:rPr>
          <w:bCs/>
          <w:sz w:val="24"/>
          <w:szCs w:val="24"/>
        </w:rPr>
        <w:fldChar w:fldCharType="separate"/>
      </w:r>
      <w:bookmarkStart w:id="1" w:name="_Hlk508125180"/>
      <w:r w:rsidRPr="00C80675">
        <w:rPr>
          <w:bCs/>
          <w:sz w:val="24"/>
          <w:szCs w:val="24"/>
        </w:rPr>
        <w:t>(Hallin and Mancini 2004; Jones and Pusey 2010</w:t>
      </w:r>
      <w:bookmarkEnd w:id="1"/>
      <w:r w:rsidRPr="00C80675">
        <w:rPr>
          <w:bCs/>
          <w:sz w:val="24"/>
          <w:szCs w:val="24"/>
        </w:rPr>
        <w:t>)</w:t>
      </w:r>
      <w:r w:rsidRPr="00C80675">
        <w:rPr>
          <w:bCs/>
          <w:sz w:val="24"/>
          <w:szCs w:val="24"/>
        </w:rPr>
        <w:fldChar w:fldCharType="end"/>
      </w:r>
      <w:r w:rsidRPr="00C80675">
        <w:rPr>
          <w:bCs/>
          <w:sz w:val="24"/>
          <w:szCs w:val="24"/>
        </w:rPr>
        <w:t>.</w:t>
      </w:r>
      <w:r>
        <w:rPr>
          <w:bCs/>
          <w:sz w:val="24"/>
          <w:szCs w:val="24"/>
        </w:rPr>
        <w:t xml:space="preserve"> These background considerations about the nature of the media system in Australia informed our decision to select </w:t>
      </w:r>
      <w:r w:rsidRPr="00C80675">
        <w:rPr>
          <w:bCs/>
          <w:sz w:val="24"/>
          <w:szCs w:val="24"/>
        </w:rPr>
        <w:t>four newspapers</w:t>
      </w:r>
      <w:r>
        <w:rPr>
          <w:bCs/>
          <w:sz w:val="24"/>
          <w:szCs w:val="24"/>
        </w:rPr>
        <w:t xml:space="preserve"> for this study. These four newspapers include </w:t>
      </w:r>
      <w:r w:rsidRPr="00C80675">
        <w:rPr>
          <w:bCs/>
          <w:sz w:val="24"/>
          <w:szCs w:val="24"/>
        </w:rPr>
        <w:t xml:space="preserve">the two national newspapers with the widest circulation </w:t>
      </w:r>
      <w:r>
        <w:rPr>
          <w:bCs/>
          <w:sz w:val="24"/>
          <w:szCs w:val="24"/>
        </w:rPr>
        <w:t xml:space="preserve">in Australia </w:t>
      </w:r>
      <w:r w:rsidRPr="00C80675">
        <w:rPr>
          <w:bCs/>
          <w:sz w:val="24"/>
          <w:szCs w:val="24"/>
        </w:rPr>
        <w:t xml:space="preserve">and the two regional newspapers with the widest circulation in the two states (NSW and Queensland) where </w:t>
      </w:r>
      <w:r>
        <w:rPr>
          <w:bCs/>
          <w:sz w:val="24"/>
          <w:szCs w:val="24"/>
        </w:rPr>
        <w:t xml:space="preserve">CSG exploration and/or production is currently underway (CSG is largely regulated by the states in Australia where different states have adopted more or less favourable policy settings towards CSG, including a moratorium in some cases) </w:t>
      </w:r>
      <w:r w:rsidRPr="00C80675">
        <w:rPr>
          <w:bCs/>
          <w:sz w:val="24"/>
          <w:szCs w:val="24"/>
        </w:rPr>
        <w:fldChar w:fldCharType="begin"/>
      </w:r>
      <w:r w:rsidRPr="00C80675">
        <w:rPr>
          <w:bCs/>
          <w:sz w:val="24"/>
          <w:szCs w:val="24"/>
        </w:rPr>
        <w:instrText>ADDIN ZOTERO_ITEM CSL_CITATION {"citationID":"1ufcqd2gi8","properties":{"formattedCitation":"(Roy Morgan Research 2016)","plainCitation":"(Roy Morgan Research 2016)"},"citationItems":[{"id":4813,"uris":["http://zotero.org/users/258937/items/ZEMKRP6D"],"uri":["http://zotero.org/users/258937/items/ZEMKRP6D"],"itemData":{"id":4813,"type":"webpage","title":"Australian Newspaper Readership, 12 months to September 2016","container-title":"Roy Morgan","URL":"http://www.roymorgan.com/industries/media/readership/newspaper-readership","author":[{"literal":"Roy Morgan Research"}],"issued":{"date-parts":[["2016"]]},"accessed":{"date-parts":[["2016",12,19]]}}}],"schema":"https://github.com/citation-style-language/schema/raw/master/csl-citation.json"}</w:instrText>
      </w:r>
      <w:r w:rsidRPr="00C80675">
        <w:rPr>
          <w:bCs/>
          <w:sz w:val="24"/>
          <w:szCs w:val="24"/>
        </w:rPr>
        <w:fldChar w:fldCharType="separate"/>
      </w:r>
      <w:bookmarkStart w:id="2" w:name="_Hlk508125187"/>
      <w:r w:rsidRPr="00C80675">
        <w:rPr>
          <w:bCs/>
          <w:sz w:val="24"/>
          <w:szCs w:val="24"/>
        </w:rPr>
        <w:t>(Roy Morgan Research 2016</w:t>
      </w:r>
      <w:bookmarkEnd w:id="2"/>
      <w:r w:rsidRPr="00C80675">
        <w:rPr>
          <w:bCs/>
          <w:sz w:val="24"/>
          <w:szCs w:val="24"/>
        </w:rPr>
        <w:t>)</w:t>
      </w:r>
      <w:r w:rsidRPr="00C80675">
        <w:rPr>
          <w:bCs/>
          <w:sz w:val="24"/>
          <w:szCs w:val="24"/>
        </w:rPr>
        <w:fldChar w:fldCharType="end"/>
      </w:r>
      <w:r w:rsidRPr="00C80675">
        <w:rPr>
          <w:bCs/>
          <w:sz w:val="24"/>
          <w:szCs w:val="24"/>
        </w:rPr>
        <w:t>. Further, these papers include both a Fairfax and News Corporation newspaper (the two largest commercial news organi</w:t>
      </w:r>
      <w:r>
        <w:rPr>
          <w:bCs/>
          <w:sz w:val="24"/>
          <w:szCs w:val="24"/>
        </w:rPr>
        <w:t>s</w:t>
      </w:r>
      <w:r w:rsidRPr="00C80675">
        <w:rPr>
          <w:bCs/>
          <w:sz w:val="24"/>
          <w:szCs w:val="24"/>
        </w:rPr>
        <w:t xml:space="preserve">ations that have played a significant and competing role in Australia) </w:t>
      </w:r>
      <w:r w:rsidRPr="00C80675">
        <w:rPr>
          <w:bCs/>
          <w:sz w:val="24"/>
          <w:szCs w:val="24"/>
        </w:rPr>
        <w:fldChar w:fldCharType="begin"/>
      </w:r>
      <w:r w:rsidRPr="00C80675">
        <w:rPr>
          <w:bCs/>
          <w:sz w:val="24"/>
          <w:szCs w:val="24"/>
        </w:rPr>
        <w:instrText xml:space="preserve"> ADDIN ZOTERO_ITEM CSL_CITATION {"citationID":"25nteal4f3","properties":{"formattedCitation":"(Griffen-Foley 2002)","plainCitation":"(Griffen-Foley 2002)"},"citationItems":[{"id":1123,"uris":["http://zotero.org/users/258937/items/RPI5V69Q"],"uri":["http://zotero.org/users/258937/items/RPI5V69Q"],"itemData":{"id":1123,"type":"article-journal","title":"The Fairfax, Murdoch and Packer Dynasties in Twentieth-century Australia - 13688800220134536","container-title":"Media History","page":"89-102","volume":"8","issue":"1","author":[{"family":"Griffen-Foley","given":"Bridget"}],"issued":{"date-parts":[["2002"]]}}}],"schema":"https://github.com/citation-style-language/schema/raw/master/csl-citation.json"} </w:instrText>
      </w:r>
      <w:r w:rsidRPr="00C80675">
        <w:rPr>
          <w:bCs/>
          <w:sz w:val="24"/>
          <w:szCs w:val="24"/>
        </w:rPr>
        <w:fldChar w:fldCharType="separate"/>
      </w:r>
      <w:r w:rsidRPr="00C80675">
        <w:rPr>
          <w:bCs/>
          <w:sz w:val="24"/>
          <w:szCs w:val="24"/>
        </w:rPr>
        <w:t>(</w:t>
      </w:r>
      <w:bookmarkStart w:id="3" w:name="_Hlk508125194"/>
      <w:r w:rsidRPr="00C80675">
        <w:rPr>
          <w:bCs/>
          <w:sz w:val="24"/>
          <w:szCs w:val="24"/>
        </w:rPr>
        <w:t>Griffen-Foley 2002</w:t>
      </w:r>
      <w:bookmarkEnd w:id="3"/>
      <w:r w:rsidRPr="00C80675">
        <w:rPr>
          <w:bCs/>
          <w:sz w:val="24"/>
          <w:szCs w:val="24"/>
        </w:rPr>
        <w:t>)</w:t>
      </w:r>
      <w:r w:rsidRPr="00C80675">
        <w:rPr>
          <w:bCs/>
          <w:sz w:val="24"/>
          <w:szCs w:val="24"/>
        </w:rPr>
        <w:fldChar w:fldCharType="end"/>
      </w:r>
      <w:r w:rsidRPr="00C80675">
        <w:rPr>
          <w:bCs/>
          <w:sz w:val="24"/>
          <w:szCs w:val="24"/>
        </w:rPr>
        <w:t xml:space="preserve"> as well as three broadsheets and a tabloid, which </w:t>
      </w:r>
      <w:r>
        <w:rPr>
          <w:bCs/>
          <w:sz w:val="24"/>
          <w:szCs w:val="24"/>
        </w:rPr>
        <w:t xml:space="preserve">helps to capture </w:t>
      </w:r>
      <w:r w:rsidRPr="00C80675">
        <w:rPr>
          <w:bCs/>
          <w:sz w:val="24"/>
          <w:szCs w:val="24"/>
        </w:rPr>
        <w:t xml:space="preserve">meaningful differences in reporting (depth and tone) </w:t>
      </w:r>
      <w:r w:rsidRPr="00C80675">
        <w:rPr>
          <w:bCs/>
          <w:sz w:val="24"/>
          <w:szCs w:val="24"/>
        </w:rPr>
        <w:fldChar w:fldCharType="begin"/>
      </w:r>
      <w:r w:rsidRPr="00C80675">
        <w:rPr>
          <w:bCs/>
          <w:sz w:val="24"/>
          <w:szCs w:val="24"/>
        </w:rPr>
        <w:instrText>ADDIN ZOTERO_ITEM CSL_CITATION {"citationID":"cv2kufoj9","properties":{"formattedCitation":"(Boykoff 2008; Connell 1998)","plainCitation":"(Boykoff 2008; Connell 1998)"},"citationItems":[{"id":4815,"uris":["http://zotero.org/users/258937/items/VZEK5V3T"],"uri":["http://zotero.org/users/258937/items/VZEK5V3T"],"itemData":{"id":4815,"type":"article-journal","title":"The cultural politics of climate change discourse in UK tabloids","container-title":"Political Geography","page":"549-569","volume":"27","issue":"5","source":"ScienceDirect","abstract":"In the United Kingdom (UK), daily circulation figures for tabloid newspapers are as much as ten times higher than broadsheet sources. Nonetheless, studies of media representations of climate change in the UK to date have focused on broadsheet newspapers. Moreover, readership patterns correlate with socio-economic status; the majority of readers of tabloids are in ‘working class’ demographics. With a growing need to engage wider constituencies in awareness and potential behavioral change, it is important to examine how these influential sources represent climate change for a heretofore understudied segment of citizenry. This paper links political geographies with cultural issues of identity and discourse, through claims and frames on climate change in four daily ‘working class’ tabloid newspapers in UK – The Sun (and News of the World), Daily Mail (and Mail on Sunday), the Daily Express (and Sunday Express), and the Mirror (and Sunday Mirror). Through triangulated Critical Discourse Analysis, investigations of framing and semi-structured interviews, this project examines representations of climate change in these newspapers from 2000 through 2006. Data show that news articles on climate change were predominantly framed through weather events, charismatic megafauna and the movements of political actors and rhetoric, while few stories focused on climate justice and risk. In addition, headlines with tones of fear, misery and doom were most prevalent. These analyses then enable discussions of how these representations may influence ongoing climate science and governance interactions as well as political geographies, and (re)shape the contemporary cultural politics of climate change discourse.","DOI":"10.1016/j.polgeo.2008.05.002","ISSN":"0962-6298","journalAbbreviation":"Political Geography","author":[{"family":"Boykoff","given":"Maxwell T."}],"issued":{"date-parts":[["2008",6]]}}},{"id":4818,"uris":["http://zotero.org/users/258937/items/BBEWIZUH"],"uri":["http://zotero.org/users/258937/items/BBEWIZUH"],"itemData":{"id":4818,"type":"article-journal","title":"Mistaken Identities: Tabloid and Broadsheet News Discourse","container-title":"Javnost - The Public","page":"11-31","volume":"5","issue":"3","source":"Taylor and Francis+NEJM","abstract":"The author discusses two important perspectives on “tabloidization” and its supposed impact upon news discourses: the polarisation perspective attributes to the changes in news journalism a sharpening differentiation and polarisation between tabloid and broadsheet newspapers, while according to the homogenising view, sensational journalism which once seemed to be confined to the lowbrow media, now spreads to all media. The article argues that tabloidisation debates often do not compare like with like, which results in mistaken conclusions. A case in point is fabulous reportage as a specific form of journalistic discourse that cannot be considered a trivial form of news discourse, but a discourse sui generis, a distinct genre. Consequently, it does not make sense to compare broadsheet news discourse with fabulous reportage in tabloid newspapers; a valid comparison is between tabloid news discourse with broadsheet news discourse. The article presents such a comparative content analysis of news discourses in five broadsheet and five tabloid newspapers in the UK. The analysis if focused on five features of the supposed homogenisation: the coverage of foreign news, the use of pictorial material, the “softening” of hard news, and changes in topical patterns. It shows that the “classical” news discourse has not been “tabloidised,” and this may also hold good for news discourse in tabloid newspapers.","DOI":"10.1080/13183222.1998.11008680","ISSN":"1318-3222","shortTitle":"Mistaken Identities","author":[{"family":"Connell","given":"Ian"}],"issued":{"date-parts":[["1998",1,1]]}}}],"schema":"https://github.com/citation-style-language/schema/raw/master/csl-citation.json"}</w:instrText>
      </w:r>
      <w:r w:rsidRPr="00C80675">
        <w:rPr>
          <w:bCs/>
          <w:sz w:val="24"/>
          <w:szCs w:val="24"/>
        </w:rPr>
        <w:fldChar w:fldCharType="separate"/>
      </w:r>
      <w:r w:rsidRPr="00C80675">
        <w:rPr>
          <w:bCs/>
          <w:sz w:val="24"/>
          <w:szCs w:val="24"/>
        </w:rPr>
        <w:t>(</w:t>
      </w:r>
      <w:bookmarkStart w:id="4" w:name="_Hlk508125201"/>
      <w:r w:rsidRPr="00C80675">
        <w:rPr>
          <w:bCs/>
          <w:sz w:val="24"/>
          <w:szCs w:val="24"/>
        </w:rPr>
        <w:t>Connell 1998</w:t>
      </w:r>
      <w:r>
        <w:rPr>
          <w:bCs/>
          <w:sz w:val="24"/>
          <w:szCs w:val="24"/>
        </w:rPr>
        <w:t xml:space="preserve">; </w:t>
      </w:r>
      <w:r w:rsidRPr="00C80675">
        <w:rPr>
          <w:bCs/>
          <w:sz w:val="24"/>
          <w:szCs w:val="24"/>
        </w:rPr>
        <w:t>Boykoff 2008</w:t>
      </w:r>
      <w:bookmarkEnd w:id="4"/>
      <w:r w:rsidRPr="00C80675">
        <w:rPr>
          <w:bCs/>
          <w:sz w:val="24"/>
          <w:szCs w:val="24"/>
        </w:rPr>
        <w:t>)</w:t>
      </w:r>
      <w:r w:rsidRPr="00C80675">
        <w:rPr>
          <w:bCs/>
          <w:sz w:val="24"/>
          <w:szCs w:val="24"/>
        </w:rPr>
        <w:fldChar w:fldCharType="end"/>
      </w:r>
      <w:r w:rsidRPr="00C80675">
        <w:rPr>
          <w:bCs/>
          <w:sz w:val="24"/>
          <w:szCs w:val="24"/>
        </w:rPr>
        <w:t>.</w:t>
      </w:r>
      <w:r>
        <w:rPr>
          <w:bCs/>
          <w:sz w:val="24"/>
          <w:szCs w:val="24"/>
        </w:rPr>
        <w:t xml:space="preserve"> </w:t>
      </w:r>
    </w:p>
    <w:p w14:paraId="3E821303" w14:textId="77777777" w:rsidR="00CB067F" w:rsidRPr="00C80675" w:rsidRDefault="00CB067F" w:rsidP="00CB067F">
      <w:pPr>
        <w:jc w:val="both"/>
        <w:rPr>
          <w:bCs/>
          <w:sz w:val="24"/>
          <w:szCs w:val="24"/>
        </w:rPr>
      </w:pPr>
    </w:p>
    <w:p w14:paraId="1F2024A5" w14:textId="77777777" w:rsidR="00CB067F" w:rsidRPr="00C80675" w:rsidRDefault="00CB067F" w:rsidP="00CB067F">
      <w:pPr>
        <w:pStyle w:val="EndnoteText"/>
        <w:jc w:val="both"/>
        <w:rPr>
          <w:sz w:val="24"/>
          <w:szCs w:val="24"/>
          <w:lang w:val="en-AU"/>
        </w:rPr>
      </w:pPr>
      <w:r w:rsidRPr="00C80675">
        <w:rPr>
          <w:bCs/>
          <w:sz w:val="24"/>
          <w:szCs w:val="24"/>
        </w:rPr>
        <w:t>The search term “coal seam gas” was selected because it is a term that has been used by all sides in the Australian debate. Other terms, such as ‘fracking’, are more problematic because they are far more commonly used when reporting on contexts outside Australia and by one particular side in the debate; as such, selecting terms such as these would undermine the contextual coherence of our data.</w:t>
      </w:r>
      <w:r>
        <w:rPr>
          <w:bCs/>
          <w:sz w:val="24"/>
          <w:szCs w:val="24"/>
        </w:rPr>
        <w:t xml:space="preserve"> </w:t>
      </w:r>
      <w:r w:rsidRPr="00BF320A">
        <w:rPr>
          <w:bCs/>
          <w:sz w:val="24"/>
          <w:szCs w:val="24"/>
        </w:rPr>
        <w:t>We also searched a variety of keywords (e.g. CSG, unconventional gas, coal bed methane, fracking, hydraulic fracturing) but found that most alternatives returned a nil result.</w:t>
      </w:r>
      <w:r>
        <w:rPr>
          <w:bCs/>
          <w:sz w:val="24"/>
          <w:szCs w:val="24"/>
        </w:rPr>
        <w:t xml:space="preserve"> We included every news article that matched the search term except Letters to the Editor, which we are able to exclude at source by using a function within the Lexis/Nexis database.</w:t>
      </w:r>
      <w:r w:rsidRPr="00E603D2">
        <w:rPr>
          <w:sz w:val="24"/>
          <w:szCs w:val="24"/>
          <w:lang w:val="en-AU"/>
        </w:rPr>
        <w:t xml:space="preserve"> </w:t>
      </w:r>
      <w:r>
        <w:rPr>
          <w:sz w:val="24"/>
          <w:szCs w:val="24"/>
          <w:lang w:val="en-AU"/>
        </w:rPr>
        <w:t xml:space="preserve">We decided to exclude </w:t>
      </w:r>
      <w:r w:rsidRPr="00C80675">
        <w:rPr>
          <w:sz w:val="24"/>
          <w:szCs w:val="24"/>
          <w:lang w:val="en-AU"/>
        </w:rPr>
        <w:t xml:space="preserve">Letters </w:t>
      </w:r>
      <w:r>
        <w:rPr>
          <w:sz w:val="24"/>
          <w:szCs w:val="24"/>
          <w:lang w:val="en-AU"/>
        </w:rPr>
        <w:t xml:space="preserve">to the Editor </w:t>
      </w:r>
      <w:r w:rsidRPr="00C80675">
        <w:rPr>
          <w:sz w:val="24"/>
          <w:szCs w:val="24"/>
          <w:lang w:val="en-AU"/>
        </w:rPr>
        <w:t>from the search</w:t>
      </w:r>
      <w:r>
        <w:rPr>
          <w:sz w:val="24"/>
          <w:szCs w:val="24"/>
          <w:lang w:val="en-AU"/>
        </w:rPr>
        <w:t xml:space="preserve"> because </w:t>
      </w:r>
      <w:r w:rsidRPr="00C80675">
        <w:rPr>
          <w:sz w:val="24"/>
          <w:szCs w:val="24"/>
          <w:lang w:val="en-AU"/>
        </w:rPr>
        <w:t>they neither represent the position of the paper nor do they conform to the journalistic practices that appear elsewhere in the paper.</w:t>
      </w:r>
    </w:p>
    <w:p w14:paraId="2F2A9D84" w14:textId="77777777" w:rsidR="00CB067F" w:rsidRDefault="00CB067F" w:rsidP="00CB067F">
      <w:pPr>
        <w:jc w:val="both"/>
        <w:rPr>
          <w:bCs/>
          <w:sz w:val="24"/>
          <w:szCs w:val="24"/>
        </w:rPr>
      </w:pPr>
    </w:p>
    <w:p w14:paraId="10E9A70D" w14:textId="77777777" w:rsidR="00CB067F" w:rsidRPr="00E603D2" w:rsidRDefault="00CB067F" w:rsidP="00CB067F">
      <w:pPr>
        <w:jc w:val="both"/>
        <w:rPr>
          <w:bCs/>
          <w:sz w:val="24"/>
          <w:szCs w:val="24"/>
        </w:rPr>
      </w:pPr>
      <w:r w:rsidRPr="00C80675">
        <w:rPr>
          <w:bCs/>
          <w:sz w:val="24"/>
          <w:szCs w:val="24"/>
        </w:rPr>
        <w:t xml:space="preserve">Lexis/Nexis was selected as a database because it excludes newswire reporting </w:t>
      </w:r>
      <w:r w:rsidRPr="00C80675">
        <w:rPr>
          <w:bCs/>
          <w:sz w:val="24"/>
          <w:szCs w:val="24"/>
        </w:rPr>
        <w:fldChar w:fldCharType="begin"/>
      </w:r>
      <w:r w:rsidRPr="00C80675">
        <w:rPr>
          <w:bCs/>
          <w:sz w:val="24"/>
          <w:szCs w:val="24"/>
        </w:rPr>
        <w:instrText xml:space="preserve"> ADDIN ZOTERO_ITEM CSL_CITATION {"citationID":"27ctjcuk1v","properties":{"formattedCitation":"(Weaver and Bimber 2008)","plainCitation":"(Weaver and Bimber 2008)"},"citationItems":[{"id":960,"uris":["http://zotero.org/users/258937/items/MWGB7MAB"],"uri":["http://zotero.org/users/258937/items/MWGB7MAB"],"itemData":{"id":960,"type":"article-journal","title":"Finding news stories: A comparison of searches using LexisNexis and Google News","container-title":"Journalism &amp; Mass Communication Quarterly","page":"515–530","volume":"85","issue":"3","source":"Google Scholar","shortTitle":"Finding news stories","author":[{"family":"Weaver","given":"D. A"},{"family":"Bimber","given":"B."}],"issued":{"date-parts":[["2008"]]}}}],"schema":"https://github.com/citation-style-language/schema/raw/master/csl-citation.json"} </w:instrText>
      </w:r>
      <w:r w:rsidRPr="00C80675">
        <w:rPr>
          <w:bCs/>
          <w:sz w:val="24"/>
          <w:szCs w:val="24"/>
        </w:rPr>
        <w:fldChar w:fldCharType="separate"/>
      </w:r>
      <w:r w:rsidRPr="00C80675">
        <w:rPr>
          <w:bCs/>
          <w:sz w:val="24"/>
          <w:szCs w:val="24"/>
        </w:rPr>
        <w:t>(</w:t>
      </w:r>
      <w:bookmarkStart w:id="5" w:name="_Hlk508125208"/>
      <w:r w:rsidRPr="00C80675">
        <w:rPr>
          <w:bCs/>
          <w:sz w:val="24"/>
          <w:szCs w:val="24"/>
        </w:rPr>
        <w:t>Weaver and Bimber 2008</w:t>
      </w:r>
      <w:bookmarkEnd w:id="5"/>
      <w:r w:rsidRPr="00C80675">
        <w:rPr>
          <w:bCs/>
          <w:sz w:val="24"/>
          <w:szCs w:val="24"/>
        </w:rPr>
        <w:t>)</w:t>
      </w:r>
      <w:r w:rsidRPr="00C80675">
        <w:rPr>
          <w:bCs/>
          <w:sz w:val="24"/>
          <w:szCs w:val="24"/>
        </w:rPr>
        <w:fldChar w:fldCharType="end"/>
      </w:r>
      <w:r w:rsidRPr="00C80675">
        <w:rPr>
          <w:bCs/>
          <w:sz w:val="24"/>
          <w:szCs w:val="24"/>
        </w:rPr>
        <w:t xml:space="preserve"> whose inclusion would pose a greater risk of including reporting outside our geographic area of interest. Additionally, alternative databases, such as Factiva, provide less reproducible results as the university subscriptions are highly varied </w:t>
      </w:r>
      <w:r w:rsidRPr="00C80675">
        <w:rPr>
          <w:bCs/>
          <w:sz w:val="24"/>
          <w:szCs w:val="24"/>
        </w:rPr>
        <w:fldChar w:fldCharType="begin"/>
      </w:r>
      <w:r w:rsidRPr="00C80675">
        <w:rPr>
          <w:bCs/>
          <w:sz w:val="24"/>
          <w:szCs w:val="24"/>
        </w:rPr>
        <w:instrText xml:space="preserve"> ADDIN ZOTERO_ITEM CSL_CITATION {"citationID":"1hcp4vmdhb","properties":{"formattedCitation":"(Driedger and Weimer 2015)","plainCitation":"(Driedger and Weimer 2015)"},"citationItems":[{"id":4241,"uris":["http://zotero.org/users/258937/items/4WZ7SCSP"],"uri":["http://zotero.org/users/258937/items/4WZ7SCSP"],"itemData":{"id":4241,"type":"article-journal","title":"Factiva and Canadian Newsstand Major Dailies: Comparing retrieval reliability between academic institutions","container-title":"Online Information Review","page":"346-359","volume":"39","issue":"3","source":"emeraldinsight.com (Atypon)","DOI":"10.1108/OIR-11-2014-0276","ISSN":"1468-4527","shortTitle":"Factiva and Canadian Newsstand Major Dailies","journalAbbreviation":"Online Information Review","author":[{"family":"Driedger","given":"S. Michelle"},{"family":"Weimer","given":"Jade"}],"issued":{"date-parts":[["2015",6,5]]}}}],"schema":"https://github.com/citation-style-language/schema/raw/master/csl-citation.json"} </w:instrText>
      </w:r>
      <w:r w:rsidRPr="00C80675">
        <w:rPr>
          <w:bCs/>
          <w:sz w:val="24"/>
          <w:szCs w:val="24"/>
        </w:rPr>
        <w:fldChar w:fldCharType="separate"/>
      </w:r>
      <w:bookmarkStart w:id="6" w:name="_Hlk508125214"/>
      <w:r w:rsidRPr="00C80675">
        <w:rPr>
          <w:bCs/>
          <w:sz w:val="24"/>
          <w:szCs w:val="24"/>
        </w:rPr>
        <w:t>(Driedger and Weimer 2015</w:t>
      </w:r>
      <w:bookmarkEnd w:id="6"/>
      <w:r w:rsidRPr="00C80675">
        <w:rPr>
          <w:bCs/>
          <w:sz w:val="24"/>
          <w:szCs w:val="24"/>
        </w:rPr>
        <w:t>)</w:t>
      </w:r>
      <w:r w:rsidRPr="00C80675">
        <w:rPr>
          <w:bCs/>
          <w:sz w:val="24"/>
          <w:szCs w:val="24"/>
        </w:rPr>
        <w:fldChar w:fldCharType="end"/>
      </w:r>
      <w:r w:rsidRPr="00C80675">
        <w:rPr>
          <w:bCs/>
          <w:sz w:val="24"/>
          <w:szCs w:val="24"/>
        </w:rPr>
        <w:t>.</w:t>
      </w:r>
      <w:r>
        <w:rPr>
          <w:bCs/>
          <w:sz w:val="24"/>
          <w:szCs w:val="24"/>
        </w:rPr>
        <w:t xml:space="preserve"> </w:t>
      </w:r>
      <w:r w:rsidRPr="00E603D2">
        <w:rPr>
          <w:bCs/>
          <w:sz w:val="24"/>
          <w:szCs w:val="24"/>
        </w:rPr>
        <w:t xml:space="preserve">We selected the 1 January 2008 as the start date because there was a general rise in the number of media articles that matched the search criteria after this date and a greater interest in the CSG debate more generally. We extended the date range up until the latest date possible (allowing for updates to the Lexis/Nexis database) because the debate was </w:t>
      </w:r>
      <w:r>
        <w:rPr>
          <w:bCs/>
          <w:sz w:val="24"/>
          <w:szCs w:val="24"/>
        </w:rPr>
        <w:t xml:space="preserve">ongoing </w:t>
      </w:r>
      <w:r w:rsidRPr="00E603D2">
        <w:rPr>
          <w:bCs/>
          <w:sz w:val="24"/>
          <w:szCs w:val="24"/>
        </w:rPr>
        <w:t>at the time of data collection.</w:t>
      </w:r>
    </w:p>
    <w:p w14:paraId="6EBA45E2" w14:textId="77777777" w:rsidR="00CB067F" w:rsidRDefault="00CB067F" w:rsidP="00CB067F">
      <w:pPr>
        <w:jc w:val="both"/>
        <w:rPr>
          <w:b/>
          <w:bCs/>
          <w:sz w:val="24"/>
          <w:szCs w:val="24"/>
        </w:rPr>
      </w:pPr>
    </w:p>
    <w:p w14:paraId="7B17D6B9" w14:textId="77777777" w:rsidR="00CB067F" w:rsidRDefault="00CB067F" w:rsidP="00CB067F">
      <w:pPr>
        <w:jc w:val="both"/>
        <w:rPr>
          <w:b/>
          <w:bCs/>
          <w:sz w:val="24"/>
          <w:szCs w:val="24"/>
        </w:rPr>
      </w:pPr>
      <w:r w:rsidRPr="00AA09F2">
        <w:rPr>
          <w:b/>
          <w:bCs/>
          <w:sz w:val="24"/>
          <w:szCs w:val="24"/>
        </w:rPr>
        <w:t>Text Pre-Processing</w:t>
      </w:r>
    </w:p>
    <w:p w14:paraId="5C957F80" w14:textId="77777777" w:rsidR="00CB067F" w:rsidRDefault="00CB067F" w:rsidP="00CB067F">
      <w:pPr>
        <w:jc w:val="both"/>
        <w:rPr>
          <w:b/>
          <w:bCs/>
          <w:sz w:val="24"/>
          <w:szCs w:val="24"/>
        </w:rPr>
      </w:pPr>
    </w:p>
    <w:p w14:paraId="6E493AEC" w14:textId="77777777" w:rsidR="00CB067F" w:rsidRDefault="00CB067F" w:rsidP="00CB067F">
      <w:pPr>
        <w:jc w:val="both"/>
        <w:rPr>
          <w:sz w:val="24"/>
          <w:szCs w:val="24"/>
        </w:rPr>
      </w:pPr>
      <w:r>
        <w:rPr>
          <w:sz w:val="24"/>
          <w:szCs w:val="24"/>
        </w:rPr>
        <w:t xml:space="preserve">The topic models were conducted on 1,789 articles. By using </w:t>
      </w:r>
      <w:r w:rsidRPr="00184CED">
        <w:rPr>
          <w:sz w:val="24"/>
          <w:szCs w:val="24"/>
        </w:rPr>
        <w:t>the utility function prepDocuments</w:t>
      </w:r>
      <w:r>
        <w:rPr>
          <w:sz w:val="24"/>
          <w:szCs w:val="24"/>
        </w:rPr>
        <w:t xml:space="preserve"> in R, English language "stop words"</w:t>
      </w:r>
      <w:r w:rsidRPr="20B74150">
        <w:rPr>
          <w:sz w:val="24"/>
          <w:szCs w:val="24"/>
        </w:rPr>
        <w:t xml:space="preserve"> or very common words such as articles which do not convey significant semantic meaning</w:t>
      </w:r>
      <w:r>
        <w:rPr>
          <w:sz w:val="24"/>
          <w:szCs w:val="24"/>
        </w:rPr>
        <w:t xml:space="preserve"> were removed</w:t>
      </w:r>
      <w:r w:rsidRPr="20B74150">
        <w:rPr>
          <w:sz w:val="24"/>
          <w:szCs w:val="24"/>
        </w:rPr>
        <w:t xml:space="preserve"> (</w:t>
      </w:r>
      <w:r>
        <w:rPr>
          <w:sz w:val="24"/>
          <w:szCs w:val="24"/>
        </w:rPr>
        <w:t>using</w:t>
      </w:r>
      <w:r w:rsidRPr="20B74150">
        <w:rPr>
          <w:sz w:val="24"/>
          <w:szCs w:val="24"/>
        </w:rPr>
        <w:t xml:space="preserve"> the standard TM library stop words dictionary (</w:t>
      </w:r>
      <w:bookmarkStart w:id="7" w:name="_Hlk508125222"/>
      <w:r w:rsidRPr="20B74150">
        <w:rPr>
          <w:sz w:val="24"/>
          <w:szCs w:val="24"/>
        </w:rPr>
        <w:t>Feinerer and Hornik 2017</w:t>
      </w:r>
      <w:bookmarkEnd w:id="7"/>
      <w:r w:rsidRPr="20B74150">
        <w:rPr>
          <w:sz w:val="24"/>
          <w:szCs w:val="24"/>
        </w:rPr>
        <w:t>)</w:t>
      </w:r>
      <w:r>
        <w:rPr>
          <w:sz w:val="24"/>
          <w:szCs w:val="24"/>
        </w:rPr>
        <w:t xml:space="preserve">). A </w:t>
      </w:r>
      <w:r w:rsidRPr="20B74150">
        <w:rPr>
          <w:sz w:val="24"/>
          <w:szCs w:val="24"/>
        </w:rPr>
        <w:t>lower threshold for word inclusion</w:t>
      </w:r>
      <w:r>
        <w:rPr>
          <w:sz w:val="24"/>
          <w:szCs w:val="24"/>
        </w:rPr>
        <w:t xml:space="preserve"> was also set</w:t>
      </w:r>
      <w:r w:rsidRPr="20B74150">
        <w:rPr>
          <w:sz w:val="24"/>
          <w:szCs w:val="24"/>
        </w:rPr>
        <w:t xml:space="preserve"> at 15 documents</w:t>
      </w:r>
      <w:r>
        <w:rPr>
          <w:sz w:val="24"/>
          <w:szCs w:val="24"/>
        </w:rPr>
        <w:t xml:space="preserve"> (</w:t>
      </w:r>
      <w:r w:rsidRPr="008F3A27">
        <w:rPr>
          <w:sz w:val="24"/>
          <w:szCs w:val="24"/>
        </w:rPr>
        <w:t>the minimum number of documents a word needs to appear in order for</w:t>
      </w:r>
      <w:r>
        <w:rPr>
          <w:sz w:val="24"/>
          <w:szCs w:val="24"/>
        </w:rPr>
        <w:t xml:space="preserve"> </w:t>
      </w:r>
      <w:r w:rsidRPr="008F3A27">
        <w:rPr>
          <w:sz w:val="24"/>
          <w:szCs w:val="24"/>
        </w:rPr>
        <w:t>the word to be kept within the</w:t>
      </w:r>
      <w:r>
        <w:rPr>
          <w:sz w:val="24"/>
          <w:szCs w:val="24"/>
        </w:rPr>
        <w:t xml:space="preserve"> model</w:t>
      </w:r>
      <w:r w:rsidRPr="008F3A27">
        <w:rPr>
          <w:sz w:val="24"/>
          <w:szCs w:val="24"/>
        </w:rPr>
        <w:t xml:space="preserve"> vocabulary</w:t>
      </w:r>
      <w:r>
        <w:rPr>
          <w:sz w:val="24"/>
          <w:szCs w:val="24"/>
        </w:rPr>
        <w:t>). The model vocabulary contained 15806 words of which 9438 words were removed due to their low incidence (</w:t>
      </w:r>
      <w:r w:rsidRPr="00EB0D40">
        <w:rPr>
          <w:sz w:val="24"/>
          <w:szCs w:val="24"/>
        </w:rPr>
        <w:t>the</w:t>
      </w:r>
      <w:r>
        <w:rPr>
          <w:sz w:val="24"/>
          <w:szCs w:val="24"/>
        </w:rPr>
        <w:t>se</w:t>
      </w:r>
      <w:r w:rsidRPr="00EB0D40">
        <w:rPr>
          <w:sz w:val="24"/>
          <w:szCs w:val="24"/>
        </w:rPr>
        <w:t xml:space="preserve"> words </w:t>
      </w:r>
      <w:r>
        <w:rPr>
          <w:sz w:val="24"/>
          <w:szCs w:val="24"/>
        </w:rPr>
        <w:t xml:space="preserve">appeared </w:t>
      </w:r>
      <w:r w:rsidRPr="00EB0D40">
        <w:rPr>
          <w:sz w:val="24"/>
          <w:szCs w:val="24"/>
        </w:rPr>
        <w:t>in less than 0.6% of articles</w:t>
      </w:r>
      <w:r>
        <w:rPr>
          <w:sz w:val="24"/>
          <w:szCs w:val="24"/>
        </w:rPr>
        <w:t>). 625 articles were completely removed</w:t>
      </w:r>
      <w:r w:rsidRPr="00DF156B">
        <w:rPr>
          <w:sz w:val="24"/>
          <w:szCs w:val="24"/>
        </w:rPr>
        <w:t xml:space="preserve"> </w:t>
      </w:r>
      <w:r>
        <w:rPr>
          <w:sz w:val="24"/>
          <w:szCs w:val="24"/>
        </w:rPr>
        <w:t xml:space="preserve">during the data preparation because they contained only rare or infrequently used terms. Removing documents that only contain infrequently used terms and rare words avoids the creation of topics that only germane to one particular article. In this particular case, removed articles were typically very short and often conveyed industry press releases rather than policy concerns. </w:t>
      </w:r>
      <w:r w:rsidRPr="20B74150">
        <w:rPr>
          <w:sz w:val="24"/>
          <w:szCs w:val="24"/>
        </w:rPr>
        <w:t xml:space="preserve">The </w:t>
      </w:r>
      <w:r>
        <w:rPr>
          <w:sz w:val="24"/>
          <w:szCs w:val="24"/>
        </w:rPr>
        <w:t xml:space="preserve">LDA </w:t>
      </w:r>
      <w:r w:rsidRPr="20B74150">
        <w:rPr>
          <w:sz w:val="24"/>
          <w:szCs w:val="24"/>
        </w:rPr>
        <w:t>topic model converged after 316 iterations.</w:t>
      </w:r>
    </w:p>
    <w:p w14:paraId="0A665F62" w14:textId="77777777" w:rsidR="00CB067F" w:rsidRPr="00EB0D40" w:rsidRDefault="00CB067F" w:rsidP="00CB067F">
      <w:pPr>
        <w:jc w:val="both"/>
        <w:rPr>
          <w:sz w:val="24"/>
          <w:szCs w:val="24"/>
        </w:rPr>
      </w:pPr>
    </w:p>
    <w:p w14:paraId="1465D898" w14:textId="77777777" w:rsidR="00CB067F" w:rsidRPr="000D15CE" w:rsidRDefault="00CB067F" w:rsidP="00CB067F">
      <w:pPr>
        <w:jc w:val="both"/>
        <w:rPr>
          <w:b/>
          <w:bCs/>
          <w:sz w:val="24"/>
          <w:szCs w:val="24"/>
        </w:rPr>
      </w:pPr>
      <w:r w:rsidRPr="000D15CE">
        <w:rPr>
          <w:b/>
          <w:bCs/>
          <w:sz w:val="24"/>
          <w:szCs w:val="24"/>
        </w:rPr>
        <w:t>Topic Modelling</w:t>
      </w:r>
    </w:p>
    <w:p w14:paraId="2232F638" w14:textId="77777777" w:rsidR="00CB067F" w:rsidRDefault="00CB067F" w:rsidP="00CB067F">
      <w:pPr>
        <w:jc w:val="both"/>
        <w:rPr>
          <w:sz w:val="24"/>
          <w:szCs w:val="24"/>
        </w:rPr>
      </w:pPr>
    </w:p>
    <w:p w14:paraId="181C8243" w14:textId="77777777" w:rsidR="00CB067F" w:rsidRPr="00EB0D40" w:rsidRDefault="00CB067F" w:rsidP="00CB067F">
      <w:pPr>
        <w:jc w:val="both"/>
        <w:rPr>
          <w:sz w:val="24"/>
          <w:szCs w:val="24"/>
        </w:rPr>
      </w:pPr>
      <w:r>
        <w:rPr>
          <w:sz w:val="24"/>
          <w:szCs w:val="24"/>
        </w:rPr>
        <w:t xml:space="preserve">Table 1 presents the </w:t>
      </w:r>
      <w:r w:rsidRPr="00E05AB0">
        <w:rPr>
          <w:sz w:val="24"/>
          <w:szCs w:val="24"/>
        </w:rPr>
        <w:t xml:space="preserve">semantic coherence and exclusivity </w:t>
      </w:r>
      <w:r>
        <w:rPr>
          <w:sz w:val="24"/>
          <w:szCs w:val="24"/>
        </w:rPr>
        <w:t>results</w:t>
      </w:r>
      <w:r w:rsidRPr="20B74150">
        <w:rPr>
          <w:sz w:val="24"/>
          <w:szCs w:val="24"/>
        </w:rPr>
        <w:t>. K denotes the number of topics, semantic coherence indicates the mean level of co-occurrence in the topic words, and exclusivity refers to the level of dif</w:t>
      </w:r>
      <w:r>
        <w:rPr>
          <w:sz w:val="24"/>
          <w:szCs w:val="24"/>
        </w:rPr>
        <w:t>ferentiation between the topics</w:t>
      </w:r>
      <w:r w:rsidRPr="20B74150">
        <w:rPr>
          <w:sz w:val="24"/>
          <w:szCs w:val="24"/>
        </w:rPr>
        <w:t>.</w:t>
      </w:r>
    </w:p>
    <w:p w14:paraId="18BDF57F" w14:textId="77777777" w:rsidR="00CB067F" w:rsidRPr="00EB0D40" w:rsidRDefault="00CB067F" w:rsidP="00CB067F">
      <w:pPr>
        <w:jc w:val="both"/>
        <w:rPr>
          <w:sz w:val="24"/>
          <w:szCs w:val="24"/>
        </w:rPr>
      </w:pPr>
    </w:p>
    <w:p w14:paraId="4A7FC29B" w14:textId="77777777" w:rsidR="00CB067F" w:rsidRPr="004F4307" w:rsidRDefault="00CB067F" w:rsidP="00CB067F">
      <w:pPr>
        <w:jc w:val="both"/>
        <w:outlineLvl w:val="0"/>
        <w:rPr>
          <w:b/>
          <w:sz w:val="24"/>
          <w:szCs w:val="24"/>
        </w:rPr>
      </w:pPr>
      <w:r w:rsidRPr="004F4307">
        <w:rPr>
          <w:b/>
          <w:sz w:val="24"/>
          <w:szCs w:val="24"/>
        </w:rPr>
        <w:t>Table 1: Semantic Coherence and Exclusivity (10-20 topics)</w:t>
      </w:r>
    </w:p>
    <w:p w14:paraId="22599A5D" w14:textId="77777777" w:rsidR="00CB067F" w:rsidRPr="00EB0D40" w:rsidRDefault="00CB067F" w:rsidP="00CB067F">
      <w:pPr>
        <w:rPr>
          <w:sz w:val="24"/>
          <w:szCs w:val="24"/>
        </w:rPr>
      </w:pPr>
    </w:p>
    <w:tbl>
      <w:tblPr>
        <w:tblStyle w:val="TableGrid"/>
        <w:tblW w:w="0" w:type="auto"/>
        <w:jc w:val="center"/>
        <w:tblLook w:val="04A0" w:firstRow="1" w:lastRow="0" w:firstColumn="1" w:lastColumn="0" w:noHBand="0" w:noVBand="1"/>
      </w:tblPr>
      <w:tblGrid>
        <w:gridCol w:w="542"/>
        <w:gridCol w:w="1848"/>
        <w:gridCol w:w="1849"/>
      </w:tblGrid>
      <w:tr w:rsidR="00CB067F" w:rsidRPr="00EB0D40" w14:paraId="53CBC6F1" w14:textId="77777777" w:rsidTr="00C80675">
        <w:trPr>
          <w:jc w:val="center"/>
        </w:trPr>
        <w:tc>
          <w:tcPr>
            <w:tcW w:w="542" w:type="dxa"/>
            <w:vAlign w:val="center"/>
          </w:tcPr>
          <w:p w14:paraId="6283A465" w14:textId="77777777" w:rsidR="00CB067F" w:rsidRPr="00EB0D40" w:rsidRDefault="00CB067F" w:rsidP="00C80675">
            <w:pPr>
              <w:jc w:val="center"/>
              <w:rPr>
                <w:b/>
                <w:bCs/>
              </w:rPr>
            </w:pPr>
            <w:r w:rsidRPr="00EB0D40">
              <w:rPr>
                <w:b/>
                <w:bCs/>
              </w:rPr>
              <w:t>K</w:t>
            </w:r>
          </w:p>
        </w:tc>
        <w:tc>
          <w:tcPr>
            <w:tcW w:w="1848" w:type="dxa"/>
            <w:vAlign w:val="center"/>
          </w:tcPr>
          <w:p w14:paraId="6F46A2E3" w14:textId="77777777" w:rsidR="00CB067F" w:rsidRPr="00EB0D40" w:rsidRDefault="00CB067F" w:rsidP="00C80675">
            <w:pPr>
              <w:rPr>
                <w:b/>
                <w:bCs/>
              </w:rPr>
            </w:pPr>
            <w:r w:rsidRPr="00EB0D40">
              <w:rPr>
                <w:b/>
                <w:bCs/>
              </w:rPr>
              <w:t>Semantic Coherence</w:t>
            </w:r>
          </w:p>
        </w:tc>
        <w:tc>
          <w:tcPr>
            <w:tcW w:w="1849" w:type="dxa"/>
            <w:vAlign w:val="center"/>
          </w:tcPr>
          <w:p w14:paraId="03E3C366" w14:textId="77777777" w:rsidR="00CB067F" w:rsidRPr="00EB0D40" w:rsidRDefault="00CB067F" w:rsidP="00C80675">
            <w:pPr>
              <w:rPr>
                <w:b/>
                <w:bCs/>
              </w:rPr>
            </w:pPr>
            <w:r w:rsidRPr="00EB0D40">
              <w:rPr>
                <w:b/>
                <w:bCs/>
              </w:rPr>
              <w:t>Exclusivity</w:t>
            </w:r>
          </w:p>
        </w:tc>
      </w:tr>
      <w:tr w:rsidR="00CB067F" w:rsidRPr="00EB0D40" w14:paraId="274A62BD" w14:textId="77777777" w:rsidTr="00C80675">
        <w:trPr>
          <w:jc w:val="center"/>
        </w:trPr>
        <w:tc>
          <w:tcPr>
            <w:tcW w:w="542" w:type="dxa"/>
          </w:tcPr>
          <w:p w14:paraId="4B9BEFCE" w14:textId="77777777" w:rsidR="00CB067F" w:rsidRPr="00EB0D40" w:rsidRDefault="00CB067F" w:rsidP="00C80675">
            <w:r w:rsidRPr="00EB0D40">
              <w:t>10</w:t>
            </w:r>
          </w:p>
        </w:tc>
        <w:tc>
          <w:tcPr>
            <w:tcW w:w="1848" w:type="dxa"/>
          </w:tcPr>
          <w:p w14:paraId="384B8D06" w14:textId="77777777" w:rsidR="00CB067F" w:rsidRPr="00EB0D40" w:rsidRDefault="00CB067F" w:rsidP="00C80675">
            <w:r w:rsidRPr="00EB0D40">
              <w:rPr>
                <w:color w:val="000000"/>
              </w:rPr>
              <w:t>-83.94270</w:t>
            </w:r>
          </w:p>
        </w:tc>
        <w:tc>
          <w:tcPr>
            <w:tcW w:w="1849" w:type="dxa"/>
          </w:tcPr>
          <w:p w14:paraId="456DFB31" w14:textId="77777777" w:rsidR="00CB067F" w:rsidRPr="00EB0D40" w:rsidRDefault="00CB067F" w:rsidP="00C80675">
            <w:r w:rsidRPr="00EB0D40">
              <w:rPr>
                <w:color w:val="000000"/>
              </w:rPr>
              <w:t>9.442638</w:t>
            </w:r>
          </w:p>
        </w:tc>
      </w:tr>
      <w:tr w:rsidR="00CB067F" w:rsidRPr="00EB0D40" w14:paraId="21099EDE" w14:textId="77777777" w:rsidTr="00C80675">
        <w:trPr>
          <w:jc w:val="center"/>
        </w:trPr>
        <w:tc>
          <w:tcPr>
            <w:tcW w:w="542" w:type="dxa"/>
          </w:tcPr>
          <w:p w14:paraId="6BBAC1A0" w14:textId="77777777" w:rsidR="00CB067F" w:rsidRPr="00EB0D40" w:rsidRDefault="00CB067F" w:rsidP="00C80675">
            <w:r w:rsidRPr="00EB0D40">
              <w:t>11</w:t>
            </w:r>
          </w:p>
        </w:tc>
        <w:tc>
          <w:tcPr>
            <w:tcW w:w="1848" w:type="dxa"/>
          </w:tcPr>
          <w:p w14:paraId="76A31693" w14:textId="77777777" w:rsidR="00CB067F" w:rsidRPr="00EB0D40" w:rsidRDefault="00CB067F" w:rsidP="00C80675">
            <w:r w:rsidRPr="00EB0D40">
              <w:rPr>
                <w:color w:val="000000"/>
              </w:rPr>
              <w:t>-88.3428</w:t>
            </w:r>
          </w:p>
        </w:tc>
        <w:tc>
          <w:tcPr>
            <w:tcW w:w="1849" w:type="dxa"/>
          </w:tcPr>
          <w:p w14:paraId="69A6048E" w14:textId="77777777" w:rsidR="00CB067F" w:rsidRPr="00EB0D40" w:rsidRDefault="00CB067F" w:rsidP="00C80675">
            <w:r w:rsidRPr="00EB0D40">
              <w:rPr>
                <w:color w:val="000000"/>
              </w:rPr>
              <w:t>9.482298</w:t>
            </w:r>
          </w:p>
        </w:tc>
      </w:tr>
      <w:tr w:rsidR="00CB067F" w:rsidRPr="00EB0D40" w14:paraId="5390282E" w14:textId="77777777" w:rsidTr="00C80675">
        <w:trPr>
          <w:jc w:val="center"/>
        </w:trPr>
        <w:tc>
          <w:tcPr>
            <w:tcW w:w="542" w:type="dxa"/>
          </w:tcPr>
          <w:p w14:paraId="092077FA" w14:textId="77777777" w:rsidR="00CB067F" w:rsidRPr="00EB0D40" w:rsidRDefault="00CB067F" w:rsidP="00C80675">
            <w:r w:rsidRPr="00EB0D40">
              <w:t>12</w:t>
            </w:r>
          </w:p>
        </w:tc>
        <w:tc>
          <w:tcPr>
            <w:tcW w:w="1848" w:type="dxa"/>
          </w:tcPr>
          <w:p w14:paraId="3DA776AE" w14:textId="77777777" w:rsidR="00CB067F" w:rsidRPr="00EB0D40" w:rsidRDefault="00CB067F" w:rsidP="00C80675">
            <w:r w:rsidRPr="00EB0D40">
              <w:rPr>
                <w:color w:val="000000"/>
              </w:rPr>
              <w:t>-86.13686</w:t>
            </w:r>
          </w:p>
        </w:tc>
        <w:tc>
          <w:tcPr>
            <w:tcW w:w="1849" w:type="dxa"/>
          </w:tcPr>
          <w:p w14:paraId="5C80C847" w14:textId="77777777" w:rsidR="00CB067F" w:rsidRPr="00EB0D40" w:rsidRDefault="00CB067F" w:rsidP="00C80675">
            <w:r w:rsidRPr="00EB0D40">
              <w:rPr>
                <w:color w:val="000000"/>
              </w:rPr>
              <w:t>9.555781</w:t>
            </w:r>
          </w:p>
        </w:tc>
      </w:tr>
      <w:tr w:rsidR="00CB067F" w:rsidRPr="00EB0D40" w14:paraId="6EC3D080" w14:textId="77777777" w:rsidTr="00C80675">
        <w:trPr>
          <w:jc w:val="center"/>
        </w:trPr>
        <w:tc>
          <w:tcPr>
            <w:tcW w:w="542" w:type="dxa"/>
          </w:tcPr>
          <w:p w14:paraId="5C624520" w14:textId="77777777" w:rsidR="00CB067F" w:rsidRPr="00EB0D40" w:rsidRDefault="00CB067F" w:rsidP="00C80675">
            <w:r w:rsidRPr="00EB0D40">
              <w:t>13</w:t>
            </w:r>
          </w:p>
        </w:tc>
        <w:tc>
          <w:tcPr>
            <w:tcW w:w="1848" w:type="dxa"/>
          </w:tcPr>
          <w:p w14:paraId="4102C35A" w14:textId="77777777" w:rsidR="00CB067F" w:rsidRPr="00EB0D40" w:rsidRDefault="00CB067F" w:rsidP="00C80675">
            <w:r w:rsidRPr="00EB0D40">
              <w:rPr>
                <w:color w:val="000000"/>
              </w:rPr>
              <w:t>-86.21756</w:t>
            </w:r>
          </w:p>
        </w:tc>
        <w:tc>
          <w:tcPr>
            <w:tcW w:w="1849" w:type="dxa"/>
          </w:tcPr>
          <w:p w14:paraId="220D2EA9" w14:textId="77777777" w:rsidR="00CB067F" w:rsidRPr="00EB0D40" w:rsidRDefault="00CB067F" w:rsidP="00C80675">
            <w:r w:rsidRPr="00EB0D40">
              <w:rPr>
                <w:color w:val="000000"/>
              </w:rPr>
              <w:t>9.534682</w:t>
            </w:r>
          </w:p>
        </w:tc>
      </w:tr>
      <w:tr w:rsidR="00CB067F" w:rsidRPr="00EB0D40" w14:paraId="0B1BA496" w14:textId="77777777" w:rsidTr="00C80675">
        <w:trPr>
          <w:jc w:val="center"/>
        </w:trPr>
        <w:tc>
          <w:tcPr>
            <w:tcW w:w="542" w:type="dxa"/>
          </w:tcPr>
          <w:p w14:paraId="6922A6CC" w14:textId="77777777" w:rsidR="00CB067F" w:rsidRPr="00EB0D40" w:rsidRDefault="00CB067F" w:rsidP="00C80675">
            <w:r w:rsidRPr="00EB0D40">
              <w:t>14</w:t>
            </w:r>
          </w:p>
        </w:tc>
        <w:tc>
          <w:tcPr>
            <w:tcW w:w="1848" w:type="dxa"/>
          </w:tcPr>
          <w:p w14:paraId="7165DA51" w14:textId="77777777" w:rsidR="00CB067F" w:rsidRPr="00EB0D40" w:rsidRDefault="00CB067F" w:rsidP="00C80675">
            <w:r w:rsidRPr="00EB0D40">
              <w:rPr>
                <w:color w:val="000000"/>
              </w:rPr>
              <w:t>-87.25693</w:t>
            </w:r>
          </w:p>
        </w:tc>
        <w:tc>
          <w:tcPr>
            <w:tcW w:w="1849" w:type="dxa"/>
          </w:tcPr>
          <w:p w14:paraId="6B753914" w14:textId="77777777" w:rsidR="00CB067F" w:rsidRPr="00EB0D40" w:rsidRDefault="00CB067F" w:rsidP="00C80675">
            <w:r w:rsidRPr="00EB0D40">
              <w:rPr>
                <w:color w:val="000000"/>
              </w:rPr>
              <w:t>9.596924</w:t>
            </w:r>
          </w:p>
        </w:tc>
      </w:tr>
      <w:tr w:rsidR="00CB067F" w:rsidRPr="00EB0D40" w14:paraId="68A8E2A4" w14:textId="77777777" w:rsidTr="00C80675">
        <w:trPr>
          <w:jc w:val="center"/>
        </w:trPr>
        <w:tc>
          <w:tcPr>
            <w:tcW w:w="542" w:type="dxa"/>
          </w:tcPr>
          <w:p w14:paraId="3E85CCC2" w14:textId="77777777" w:rsidR="00CB067F" w:rsidRPr="00EB0D40" w:rsidRDefault="00CB067F" w:rsidP="00C80675">
            <w:r w:rsidRPr="00EB0D40">
              <w:t>15</w:t>
            </w:r>
          </w:p>
        </w:tc>
        <w:tc>
          <w:tcPr>
            <w:tcW w:w="1848" w:type="dxa"/>
          </w:tcPr>
          <w:p w14:paraId="2E0D0625" w14:textId="77777777" w:rsidR="00CB067F" w:rsidRPr="00EB0D40" w:rsidRDefault="00CB067F" w:rsidP="00C80675">
            <w:r w:rsidRPr="00EB0D40">
              <w:rPr>
                <w:color w:val="000000"/>
              </w:rPr>
              <w:t>-85.10190</w:t>
            </w:r>
          </w:p>
        </w:tc>
        <w:tc>
          <w:tcPr>
            <w:tcW w:w="1849" w:type="dxa"/>
          </w:tcPr>
          <w:p w14:paraId="44B180D9" w14:textId="77777777" w:rsidR="00CB067F" w:rsidRPr="00EB0D40" w:rsidRDefault="00CB067F" w:rsidP="00C80675">
            <w:r w:rsidRPr="00EB0D40">
              <w:rPr>
                <w:color w:val="000000"/>
              </w:rPr>
              <w:t>9.623557</w:t>
            </w:r>
          </w:p>
        </w:tc>
      </w:tr>
      <w:tr w:rsidR="00CB067F" w:rsidRPr="00EB0D40" w14:paraId="2E95E3AE" w14:textId="77777777" w:rsidTr="00C80675">
        <w:trPr>
          <w:jc w:val="center"/>
        </w:trPr>
        <w:tc>
          <w:tcPr>
            <w:tcW w:w="542" w:type="dxa"/>
          </w:tcPr>
          <w:p w14:paraId="320B974E" w14:textId="77777777" w:rsidR="00CB067F" w:rsidRPr="00EB0D40" w:rsidRDefault="00CB067F" w:rsidP="00C80675">
            <w:r w:rsidRPr="00EB0D40">
              <w:t>16</w:t>
            </w:r>
          </w:p>
        </w:tc>
        <w:tc>
          <w:tcPr>
            <w:tcW w:w="1848" w:type="dxa"/>
          </w:tcPr>
          <w:p w14:paraId="01B84A21" w14:textId="77777777" w:rsidR="00CB067F" w:rsidRPr="00EB0D40" w:rsidRDefault="00CB067F" w:rsidP="00C80675">
            <w:r w:rsidRPr="00EB0D40">
              <w:rPr>
                <w:color w:val="000000"/>
              </w:rPr>
              <w:t>-91.18893</w:t>
            </w:r>
          </w:p>
        </w:tc>
        <w:tc>
          <w:tcPr>
            <w:tcW w:w="1849" w:type="dxa"/>
          </w:tcPr>
          <w:p w14:paraId="16008FB6" w14:textId="77777777" w:rsidR="00CB067F" w:rsidRPr="00EB0D40" w:rsidRDefault="00CB067F" w:rsidP="00C80675">
            <w:r w:rsidRPr="00EB0D40">
              <w:rPr>
                <w:color w:val="000000"/>
              </w:rPr>
              <w:t>9.644231</w:t>
            </w:r>
          </w:p>
        </w:tc>
      </w:tr>
      <w:tr w:rsidR="00CB067F" w:rsidRPr="00EB0D40" w14:paraId="79ABB021" w14:textId="77777777" w:rsidTr="00C80675">
        <w:trPr>
          <w:jc w:val="center"/>
        </w:trPr>
        <w:tc>
          <w:tcPr>
            <w:tcW w:w="542" w:type="dxa"/>
          </w:tcPr>
          <w:p w14:paraId="474C5B49" w14:textId="77777777" w:rsidR="00CB067F" w:rsidRPr="00EB0D40" w:rsidRDefault="00CB067F" w:rsidP="00C80675">
            <w:r w:rsidRPr="00EB0D40">
              <w:t>17</w:t>
            </w:r>
          </w:p>
        </w:tc>
        <w:tc>
          <w:tcPr>
            <w:tcW w:w="1848" w:type="dxa"/>
          </w:tcPr>
          <w:p w14:paraId="5756C786" w14:textId="77777777" w:rsidR="00CB067F" w:rsidRPr="00EB0D40" w:rsidRDefault="00CB067F" w:rsidP="00C80675">
            <w:r w:rsidRPr="00EB0D40">
              <w:rPr>
                <w:color w:val="000000"/>
              </w:rPr>
              <w:t>-90.42031</w:t>
            </w:r>
          </w:p>
        </w:tc>
        <w:tc>
          <w:tcPr>
            <w:tcW w:w="1849" w:type="dxa"/>
          </w:tcPr>
          <w:p w14:paraId="37314EE0" w14:textId="77777777" w:rsidR="00CB067F" w:rsidRPr="00EB0D40" w:rsidRDefault="00CB067F" w:rsidP="00C80675">
            <w:r w:rsidRPr="00EB0D40">
              <w:rPr>
                <w:color w:val="000000"/>
              </w:rPr>
              <w:t>9.678385</w:t>
            </w:r>
          </w:p>
        </w:tc>
      </w:tr>
      <w:tr w:rsidR="00CB067F" w:rsidRPr="00EB0D40" w14:paraId="6FF7313F" w14:textId="77777777" w:rsidTr="00C80675">
        <w:trPr>
          <w:jc w:val="center"/>
        </w:trPr>
        <w:tc>
          <w:tcPr>
            <w:tcW w:w="542" w:type="dxa"/>
          </w:tcPr>
          <w:p w14:paraId="4A90CA23" w14:textId="77777777" w:rsidR="00CB067F" w:rsidRPr="00EB0D40" w:rsidRDefault="00CB067F" w:rsidP="00C80675">
            <w:r w:rsidRPr="00EB0D40">
              <w:t>18</w:t>
            </w:r>
          </w:p>
        </w:tc>
        <w:tc>
          <w:tcPr>
            <w:tcW w:w="1848" w:type="dxa"/>
          </w:tcPr>
          <w:p w14:paraId="2FA78D23" w14:textId="77777777" w:rsidR="00CB067F" w:rsidRPr="00EB0D40" w:rsidRDefault="00CB067F" w:rsidP="00C80675">
            <w:r w:rsidRPr="00EB0D40">
              <w:rPr>
                <w:color w:val="000000"/>
              </w:rPr>
              <w:t>-94.41738</w:t>
            </w:r>
          </w:p>
        </w:tc>
        <w:tc>
          <w:tcPr>
            <w:tcW w:w="1849" w:type="dxa"/>
          </w:tcPr>
          <w:p w14:paraId="49DE4B2F" w14:textId="77777777" w:rsidR="00CB067F" w:rsidRPr="00EB0D40" w:rsidRDefault="00CB067F" w:rsidP="00C80675">
            <w:r w:rsidRPr="00EB0D40">
              <w:rPr>
                <w:color w:val="000000"/>
              </w:rPr>
              <w:t>9.694039</w:t>
            </w:r>
          </w:p>
        </w:tc>
      </w:tr>
      <w:tr w:rsidR="00CB067F" w:rsidRPr="00EB0D40" w14:paraId="76A46649" w14:textId="77777777" w:rsidTr="00C80675">
        <w:trPr>
          <w:jc w:val="center"/>
        </w:trPr>
        <w:tc>
          <w:tcPr>
            <w:tcW w:w="542" w:type="dxa"/>
          </w:tcPr>
          <w:p w14:paraId="792942A8" w14:textId="77777777" w:rsidR="00CB067F" w:rsidRPr="00EB0D40" w:rsidRDefault="00CB067F" w:rsidP="00C80675">
            <w:r w:rsidRPr="00EB0D40">
              <w:t>19</w:t>
            </w:r>
          </w:p>
        </w:tc>
        <w:tc>
          <w:tcPr>
            <w:tcW w:w="1848" w:type="dxa"/>
          </w:tcPr>
          <w:p w14:paraId="3EEF2224" w14:textId="77777777" w:rsidR="00CB067F" w:rsidRPr="00EB0D40" w:rsidRDefault="00CB067F" w:rsidP="00C80675">
            <w:r w:rsidRPr="00EB0D40">
              <w:rPr>
                <w:color w:val="000000"/>
              </w:rPr>
              <w:t>-95.05189</w:t>
            </w:r>
          </w:p>
        </w:tc>
        <w:tc>
          <w:tcPr>
            <w:tcW w:w="1849" w:type="dxa"/>
          </w:tcPr>
          <w:p w14:paraId="76FD8356" w14:textId="77777777" w:rsidR="00CB067F" w:rsidRPr="00EB0D40" w:rsidRDefault="00CB067F" w:rsidP="00C80675">
            <w:r w:rsidRPr="00EB0D40">
              <w:rPr>
                <w:color w:val="000000"/>
              </w:rPr>
              <w:t>9.703864</w:t>
            </w:r>
          </w:p>
        </w:tc>
      </w:tr>
      <w:tr w:rsidR="00CB067F" w:rsidRPr="00EB0D40" w14:paraId="5EFCDFCE" w14:textId="77777777" w:rsidTr="00C80675">
        <w:trPr>
          <w:jc w:val="center"/>
        </w:trPr>
        <w:tc>
          <w:tcPr>
            <w:tcW w:w="542" w:type="dxa"/>
          </w:tcPr>
          <w:p w14:paraId="1BF4FC07" w14:textId="77777777" w:rsidR="00CB067F" w:rsidRPr="00EB0D40" w:rsidRDefault="00CB067F" w:rsidP="00C80675">
            <w:r w:rsidRPr="00EB0D40">
              <w:t>20</w:t>
            </w:r>
          </w:p>
        </w:tc>
        <w:tc>
          <w:tcPr>
            <w:tcW w:w="1848" w:type="dxa"/>
          </w:tcPr>
          <w:p w14:paraId="2075559D" w14:textId="77777777" w:rsidR="00CB067F" w:rsidRPr="00EB0D40" w:rsidRDefault="00CB067F" w:rsidP="00C80675">
            <w:r w:rsidRPr="00EB0D40">
              <w:rPr>
                <w:color w:val="000000"/>
              </w:rPr>
              <w:t>-93.77859</w:t>
            </w:r>
          </w:p>
        </w:tc>
        <w:tc>
          <w:tcPr>
            <w:tcW w:w="1849" w:type="dxa"/>
          </w:tcPr>
          <w:p w14:paraId="50621CEF" w14:textId="77777777" w:rsidR="00CB067F" w:rsidRPr="00EB0D40" w:rsidRDefault="00CB067F" w:rsidP="00C80675">
            <w:r w:rsidRPr="00EB0D40">
              <w:rPr>
                <w:color w:val="000000"/>
              </w:rPr>
              <w:t>9.712201</w:t>
            </w:r>
          </w:p>
        </w:tc>
      </w:tr>
    </w:tbl>
    <w:p w14:paraId="2622B9A7" w14:textId="77777777" w:rsidR="00CB067F" w:rsidRDefault="00CB067F" w:rsidP="00CB067F">
      <w:pPr>
        <w:jc w:val="both"/>
        <w:rPr>
          <w:sz w:val="24"/>
          <w:szCs w:val="24"/>
        </w:rPr>
      </w:pPr>
    </w:p>
    <w:p w14:paraId="1D391104" w14:textId="77777777" w:rsidR="00CB067F" w:rsidRDefault="00CB067F" w:rsidP="00CB067F">
      <w:pPr>
        <w:jc w:val="both"/>
        <w:rPr>
          <w:sz w:val="24"/>
          <w:szCs w:val="24"/>
        </w:rPr>
      </w:pPr>
      <w:r>
        <w:rPr>
          <w:sz w:val="24"/>
          <w:szCs w:val="24"/>
        </w:rPr>
        <w:t>Table 2 and Figure 1 present the results from the 15 topic model and the expected topic proportions for this model respectively.</w:t>
      </w:r>
      <w:r w:rsidRPr="00E05AB0">
        <w:rPr>
          <w:sz w:val="24"/>
          <w:szCs w:val="24"/>
        </w:rPr>
        <w:t xml:space="preserve"> </w:t>
      </w:r>
      <w:r>
        <w:rPr>
          <w:sz w:val="24"/>
          <w:szCs w:val="24"/>
        </w:rPr>
        <w:t>The six highest probability terms are listed after the topic number in Figure 1. As discussed in the main article, we used the word lists in Table 1</w:t>
      </w:r>
      <w:r w:rsidRPr="00EB0D40">
        <w:rPr>
          <w:sz w:val="24"/>
          <w:szCs w:val="24"/>
        </w:rPr>
        <w:t xml:space="preserve"> to label each topic</w:t>
      </w:r>
      <w:r>
        <w:rPr>
          <w:sz w:val="24"/>
          <w:szCs w:val="24"/>
        </w:rPr>
        <w:t xml:space="preserve"> and identify </w:t>
      </w:r>
      <w:r w:rsidRPr="00EB0D40">
        <w:rPr>
          <w:sz w:val="24"/>
          <w:szCs w:val="24"/>
        </w:rPr>
        <w:t>those topics that were most likel</w:t>
      </w:r>
      <w:r>
        <w:rPr>
          <w:sz w:val="24"/>
          <w:szCs w:val="24"/>
        </w:rPr>
        <w:t xml:space="preserve">y to cover the ‘policy-related’ </w:t>
      </w:r>
      <w:r w:rsidRPr="00EB0D40">
        <w:rPr>
          <w:sz w:val="24"/>
          <w:szCs w:val="24"/>
        </w:rPr>
        <w:t>issues. Topics 8, 9, 11, and</w:t>
      </w:r>
      <w:r>
        <w:rPr>
          <w:sz w:val="24"/>
          <w:szCs w:val="24"/>
        </w:rPr>
        <w:t xml:space="preserve"> 14 were identified</w:t>
      </w:r>
      <w:r w:rsidRPr="00EB0D40">
        <w:rPr>
          <w:sz w:val="24"/>
          <w:szCs w:val="24"/>
        </w:rPr>
        <w:t xml:space="preserve"> as being “policy-related”.</w:t>
      </w:r>
      <w:r w:rsidRPr="000D15CE">
        <w:rPr>
          <w:sz w:val="24"/>
          <w:szCs w:val="24"/>
        </w:rPr>
        <w:t xml:space="preserve"> </w:t>
      </w:r>
      <w:r>
        <w:rPr>
          <w:sz w:val="24"/>
          <w:szCs w:val="24"/>
        </w:rPr>
        <w:t xml:space="preserve">Topic 9 </w:t>
      </w:r>
      <w:r w:rsidRPr="00EB0D40">
        <w:rPr>
          <w:sz w:val="24"/>
          <w:szCs w:val="24"/>
        </w:rPr>
        <w:t>was</w:t>
      </w:r>
      <w:r>
        <w:rPr>
          <w:sz w:val="24"/>
          <w:szCs w:val="24"/>
        </w:rPr>
        <w:t xml:space="preserve"> selected because it was</w:t>
      </w:r>
      <w:r w:rsidRPr="00EB0D40">
        <w:rPr>
          <w:sz w:val="24"/>
          <w:szCs w:val="24"/>
        </w:rPr>
        <w:t xml:space="preserve"> a policy-related topic</w:t>
      </w:r>
      <w:r>
        <w:rPr>
          <w:sz w:val="24"/>
          <w:szCs w:val="24"/>
        </w:rPr>
        <w:t xml:space="preserve"> that also exhibited</w:t>
      </w:r>
      <w:r w:rsidRPr="00EB0D40">
        <w:rPr>
          <w:sz w:val="24"/>
          <w:szCs w:val="24"/>
        </w:rPr>
        <w:t xml:space="preserve"> the highest expected topic proportions</w:t>
      </w:r>
      <w:r>
        <w:rPr>
          <w:sz w:val="24"/>
          <w:szCs w:val="24"/>
        </w:rPr>
        <w:t xml:space="preserve"> (see Figure 1)</w:t>
      </w:r>
      <w:r w:rsidRPr="00EB0D40">
        <w:rPr>
          <w:sz w:val="24"/>
          <w:szCs w:val="24"/>
        </w:rPr>
        <w:t>.</w:t>
      </w:r>
      <w:r>
        <w:rPr>
          <w:sz w:val="24"/>
          <w:szCs w:val="24"/>
        </w:rPr>
        <w:t xml:space="preserve"> </w:t>
      </w:r>
      <w:r w:rsidRPr="00EB0D40">
        <w:rPr>
          <w:sz w:val="24"/>
          <w:szCs w:val="24"/>
        </w:rPr>
        <w:t xml:space="preserve">Topics 8, 11, and 14 </w:t>
      </w:r>
      <w:r>
        <w:rPr>
          <w:sz w:val="24"/>
          <w:szCs w:val="24"/>
        </w:rPr>
        <w:t xml:space="preserve">all exhibited lower expected topic proportions than Topic 9. Moreover, </w:t>
      </w:r>
      <w:r w:rsidRPr="00EB0D40">
        <w:rPr>
          <w:sz w:val="24"/>
          <w:szCs w:val="24"/>
        </w:rPr>
        <w:t>the mining tax (Topic 14)</w:t>
      </w:r>
      <w:r>
        <w:rPr>
          <w:sz w:val="24"/>
          <w:szCs w:val="24"/>
        </w:rPr>
        <w:t xml:space="preserve">, </w:t>
      </w:r>
      <w:r w:rsidRPr="00EB0D40">
        <w:rPr>
          <w:sz w:val="24"/>
          <w:szCs w:val="24"/>
        </w:rPr>
        <w:t>was repealed in 2014</w:t>
      </w:r>
      <w:r>
        <w:rPr>
          <w:sz w:val="24"/>
          <w:szCs w:val="24"/>
        </w:rPr>
        <w:t>. This would have had the effect of limiting</w:t>
      </w:r>
      <w:r w:rsidRPr="00EB0D40">
        <w:rPr>
          <w:sz w:val="24"/>
          <w:szCs w:val="24"/>
        </w:rPr>
        <w:t xml:space="preserve"> our observation period </w:t>
      </w:r>
      <w:r>
        <w:rPr>
          <w:sz w:val="24"/>
          <w:szCs w:val="24"/>
        </w:rPr>
        <w:t>compared with the selected topic. These factors, plus those identified in the main article, informed our selection of the risk and regulation topic.</w:t>
      </w:r>
    </w:p>
    <w:p w14:paraId="314E75A9" w14:textId="77777777" w:rsidR="00CB067F" w:rsidRPr="00EB0D40" w:rsidRDefault="00CB067F" w:rsidP="00CB067F">
      <w:pPr>
        <w:jc w:val="both"/>
        <w:rPr>
          <w:sz w:val="24"/>
          <w:szCs w:val="24"/>
        </w:rPr>
      </w:pPr>
    </w:p>
    <w:p w14:paraId="2A049882" w14:textId="77777777" w:rsidR="00CB067F" w:rsidRPr="004F4307" w:rsidRDefault="00CB067F" w:rsidP="00CB067F">
      <w:pPr>
        <w:jc w:val="both"/>
        <w:rPr>
          <w:b/>
          <w:sz w:val="24"/>
          <w:szCs w:val="24"/>
        </w:rPr>
      </w:pPr>
      <w:r w:rsidRPr="004F4307">
        <w:rPr>
          <w:b/>
          <w:sz w:val="24"/>
          <w:szCs w:val="24"/>
        </w:rPr>
        <w:t>Table 2: Topic Model Results (15 topic)</w:t>
      </w:r>
    </w:p>
    <w:p w14:paraId="0D5B6AFA" w14:textId="77777777" w:rsidR="00CB067F" w:rsidRPr="00EB0D40" w:rsidRDefault="00CB067F" w:rsidP="00CB067F">
      <w:pPr>
        <w:jc w:val="both"/>
        <w:rPr>
          <w:sz w:val="24"/>
          <w:szCs w:val="24"/>
        </w:rPr>
      </w:pPr>
    </w:p>
    <w:tbl>
      <w:tblPr>
        <w:tblStyle w:val="TableGrid"/>
        <w:tblW w:w="0" w:type="auto"/>
        <w:tblInd w:w="108" w:type="dxa"/>
        <w:tblLook w:val="04A0" w:firstRow="1" w:lastRow="0" w:firstColumn="1" w:lastColumn="0" w:noHBand="0" w:noVBand="1"/>
      </w:tblPr>
      <w:tblGrid>
        <w:gridCol w:w="6258"/>
        <w:gridCol w:w="1930"/>
      </w:tblGrid>
      <w:tr w:rsidR="00CB067F" w:rsidRPr="00EB0D40" w14:paraId="538CB8AC" w14:textId="77777777" w:rsidTr="00C80675">
        <w:tc>
          <w:tcPr>
            <w:tcW w:w="7110" w:type="dxa"/>
          </w:tcPr>
          <w:p w14:paraId="0723B1B2" w14:textId="77777777" w:rsidR="00CB067F" w:rsidRPr="00EB0D40" w:rsidRDefault="00CB067F" w:rsidP="00C80675">
            <w:pPr>
              <w:rPr>
                <w:b/>
                <w:bCs/>
              </w:rPr>
            </w:pPr>
            <w:r w:rsidRPr="00EB0D40">
              <w:rPr>
                <w:b/>
                <w:bCs/>
              </w:rPr>
              <w:t>Topic</w:t>
            </w:r>
          </w:p>
        </w:tc>
        <w:tc>
          <w:tcPr>
            <w:tcW w:w="2024" w:type="dxa"/>
            <w:vAlign w:val="center"/>
          </w:tcPr>
          <w:p w14:paraId="7F64A7F7" w14:textId="77777777" w:rsidR="00CB067F" w:rsidRPr="00EB0D40" w:rsidRDefault="00CB067F" w:rsidP="00C80675">
            <w:pPr>
              <w:jc w:val="center"/>
              <w:rPr>
                <w:b/>
                <w:bCs/>
              </w:rPr>
            </w:pPr>
            <w:r w:rsidRPr="00EB0D40">
              <w:rPr>
                <w:b/>
                <w:bCs/>
              </w:rPr>
              <w:t>Topic Name</w:t>
            </w:r>
          </w:p>
        </w:tc>
      </w:tr>
      <w:tr w:rsidR="00CB067F" w:rsidRPr="00EB0D40" w14:paraId="67151D57" w14:textId="77777777" w:rsidTr="00C80675">
        <w:tc>
          <w:tcPr>
            <w:tcW w:w="7110" w:type="dxa"/>
          </w:tcPr>
          <w:p w14:paraId="589587C2" w14:textId="77777777" w:rsidR="00CB067F" w:rsidRPr="00EB0D40" w:rsidRDefault="00CB067F" w:rsidP="00C80675">
            <w:r w:rsidRPr="00EB0D40">
              <w:t>Topic 1 Top Words:</w:t>
            </w:r>
          </w:p>
          <w:p w14:paraId="7B85FF2E" w14:textId="77777777" w:rsidR="00CB067F" w:rsidRPr="00EB0D40" w:rsidRDefault="00CB067F" w:rsidP="00C80675">
            <w:r w:rsidRPr="00EB0D40">
              <w:t>Highest Prob</w:t>
            </w:r>
            <w:r w:rsidRPr="3C9BCE92">
              <w:t xml:space="preserve">: </w:t>
            </w:r>
            <w:r w:rsidRPr="00EB0D40">
              <w:t xml:space="preserve">lng, project, gas, said, arrow, santo, shell </w:t>
            </w:r>
          </w:p>
          <w:p w14:paraId="5E9B8284" w14:textId="77777777" w:rsidR="00CB067F" w:rsidRPr="00EB0D40" w:rsidRDefault="00CB067F" w:rsidP="00C80675">
            <w:r w:rsidRPr="00EB0D40">
              <w:t>FREX: curti</w:t>
            </w:r>
            <w:r w:rsidRPr="3C9BCE92">
              <w:t xml:space="preserve">, </w:t>
            </w:r>
            <w:r w:rsidRPr="00EB0D40">
              <w:t>lng, shell, petrochina</w:t>
            </w:r>
            <w:r w:rsidRPr="3C9BCE92">
              <w:t xml:space="preserve">, </w:t>
            </w:r>
            <w:r w:rsidRPr="00EB0D40">
              <w:t>knox</w:t>
            </w:r>
            <w:r w:rsidRPr="3C9BCE92">
              <w:t xml:space="preserve">, </w:t>
            </w:r>
            <w:r w:rsidRPr="00EB0D40">
              <w:t>aplng</w:t>
            </w:r>
            <w:r w:rsidRPr="3C9BCE92">
              <w:t xml:space="preserve">, </w:t>
            </w:r>
            <w:r w:rsidRPr="00EB0D40">
              <w:t>gladston</w:t>
            </w:r>
            <w:r w:rsidRPr="3C9BCE92">
              <w:t xml:space="preserve"> </w:t>
            </w:r>
          </w:p>
        </w:tc>
        <w:tc>
          <w:tcPr>
            <w:tcW w:w="2024" w:type="dxa"/>
            <w:vAlign w:val="center"/>
          </w:tcPr>
          <w:p w14:paraId="0EEAF712" w14:textId="77777777" w:rsidR="00CB067F" w:rsidRPr="00EB0D40" w:rsidRDefault="00CB067F" w:rsidP="00C80675">
            <w:pPr>
              <w:jc w:val="center"/>
            </w:pPr>
            <w:r w:rsidRPr="00EB0D40">
              <w:t>CSG Projects</w:t>
            </w:r>
          </w:p>
        </w:tc>
      </w:tr>
      <w:tr w:rsidR="00CB067F" w:rsidRPr="00EB0D40" w14:paraId="69528729" w14:textId="77777777" w:rsidTr="00C80675">
        <w:tc>
          <w:tcPr>
            <w:tcW w:w="7110" w:type="dxa"/>
          </w:tcPr>
          <w:p w14:paraId="30138E77" w14:textId="77777777" w:rsidR="00CB067F" w:rsidRPr="00EB0D40" w:rsidRDefault="00CB067F" w:rsidP="00C80675">
            <w:r w:rsidRPr="00EB0D40">
              <w:t>Topic 2 Top Words:</w:t>
            </w:r>
          </w:p>
          <w:p w14:paraId="794D285E" w14:textId="77777777" w:rsidR="00CB067F" w:rsidRPr="00EB0D40" w:rsidRDefault="00CB067F" w:rsidP="00C80675">
            <w:r w:rsidRPr="00EB0D40">
              <w:t xml:space="preserve">Highest Prob: million, billion, bank, asset, per, cent, interest </w:t>
            </w:r>
          </w:p>
          <w:p w14:paraId="2012A6BF" w14:textId="77777777" w:rsidR="00CB067F" w:rsidRPr="00EB0D40" w:rsidRDefault="00CB067F" w:rsidP="00C80675">
            <w:pPr>
              <w:rPr>
                <w:lang w:val="es-ES"/>
              </w:rPr>
            </w:pPr>
            <w:r w:rsidRPr="00EB0D40">
              <w:rPr>
                <w:lang w:val="es-ES"/>
              </w:rPr>
              <w:t xml:space="preserve">FREX: chinalco, asciano, rio, feb, kirin, debt, martab </w:t>
            </w:r>
          </w:p>
        </w:tc>
        <w:tc>
          <w:tcPr>
            <w:tcW w:w="2024" w:type="dxa"/>
            <w:vAlign w:val="center"/>
          </w:tcPr>
          <w:p w14:paraId="0693A5F6" w14:textId="77777777" w:rsidR="00CB067F" w:rsidRPr="00EB0D40" w:rsidRDefault="00CB067F" w:rsidP="00C80675">
            <w:pPr>
              <w:jc w:val="center"/>
            </w:pPr>
            <w:r w:rsidRPr="00EB0D40">
              <w:t>Investment in CSG</w:t>
            </w:r>
          </w:p>
        </w:tc>
      </w:tr>
      <w:tr w:rsidR="00CB067F" w:rsidRPr="00EB0D40" w14:paraId="23455855" w14:textId="77777777" w:rsidTr="00C80675">
        <w:tc>
          <w:tcPr>
            <w:tcW w:w="7110" w:type="dxa"/>
          </w:tcPr>
          <w:p w14:paraId="1E1823F6" w14:textId="77777777" w:rsidR="00CB067F" w:rsidRPr="00EB0D40" w:rsidRDefault="00CB067F" w:rsidP="00C80675">
            <w:r w:rsidRPr="00EB0D40">
              <w:t>Topic 3 Top Words:</w:t>
            </w:r>
          </w:p>
          <w:p w14:paraId="1F2855B5" w14:textId="77777777" w:rsidR="00CB067F" w:rsidRPr="00EB0D40" w:rsidRDefault="00CB067F" w:rsidP="00C80675">
            <w:r w:rsidRPr="00EB0D40">
              <w:t>Highest Prob</w:t>
            </w:r>
            <w:r w:rsidRPr="3C9BCE92">
              <w:t xml:space="preserve">: </w:t>
            </w:r>
            <w:r w:rsidRPr="00EB0D40">
              <w:t>compani, per, year, cent, share, fund, manag</w:t>
            </w:r>
            <w:r w:rsidRPr="3C9BCE92">
              <w:t xml:space="preserve"> </w:t>
            </w:r>
          </w:p>
          <w:p w14:paraId="696CC337" w14:textId="77777777" w:rsidR="00CB067F" w:rsidRPr="00EB0D40" w:rsidRDefault="00CB067F" w:rsidP="00C80675">
            <w:pPr>
              <w:rPr>
                <w:lang w:val="da-DK"/>
              </w:rPr>
            </w:pPr>
            <w:r w:rsidRPr="00EB0D40">
              <w:rPr>
                <w:lang w:val="da-DK"/>
              </w:rPr>
              <w:t xml:space="preserve">FREX: mig, acorn, fye, damato, dyno, hosk, consmin </w:t>
            </w:r>
          </w:p>
        </w:tc>
        <w:tc>
          <w:tcPr>
            <w:tcW w:w="2024" w:type="dxa"/>
            <w:vAlign w:val="center"/>
          </w:tcPr>
          <w:p w14:paraId="0C89F33E" w14:textId="77777777" w:rsidR="00CB067F" w:rsidRPr="00EB0D40" w:rsidRDefault="00CB067F" w:rsidP="00C80675">
            <w:pPr>
              <w:jc w:val="center"/>
            </w:pPr>
            <w:r w:rsidRPr="00EB0D40">
              <w:t>Industry Financial Situation</w:t>
            </w:r>
          </w:p>
        </w:tc>
      </w:tr>
      <w:tr w:rsidR="00CB067F" w:rsidRPr="00EB0D40" w14:paraId="403843DE" w14:textId="77777777" w:rsidTr="00C80675">
        <w:tc>
          <w:tcPr>
            <w:tcW w:w="7110" w:type="dxa"/>
          </w:tcPr>
          <w:p w14:paraId="365A814F" w14:textId="77777777" w:rsidR="00CB067F" w:rsidRPr="00EB0D40" w:rsidRDefault="00CB067F" w:rsidP="00C80675">
            <w:r w:rsidRPr="00EB0D40">
              <w:t>Topic 4 Top Words:</w:t>
            </w:r>
          </w:p>
          <w:p w14:paraId="491F71AA" w14:textId="77777777" w:rsidR="00CB067F" w:rsidRPr="00EB0D40" w:rsidRDefault="00CB067F" w:rsidP="00C80675">
            <w:r w:rsidRPr="00EB0D40">
              <w:t>Highest Prob</w:t>
            </w:r>
            <w:r w:rsidRPr="3C9BCE92">
              <w:t xml:space="preserve">: </w:t>
            </w:r>
            <w:r w:rsidRPr="00EB0D40">
              <w:t>compani, oil, year, said, sector, develop, manag</w:t>
            </w:r>
            <w:r w:rsidRPr="3C9BCE92">
              <w:t xml:space="preserve"> </w:t>
            </w:r>
          </w:p>
          <w:p w14:paraId="565868EA" w14:textId="77777777" w:rsidR="00CB067F" w:rsidRPr="00EB0D40" w:rsidRDefault="00CB067F" w:rsidP="00C80675">
            <w:r w:rsidRPr="00EB0D40">
              <w:t>FREX: oil, engin, barrel, opportun</w:t>
            </w:r>
            <w:r w:rsidRPr="3C9BCE92">
              <w:t xml:space="preserve">, </w:t>
            </w:r>
            <w:r w:rsidRPr="00EB0D40">
              <w:t xml:space="preserve">servic, space, contractor </w:t>
            </w:r>
          </w:p>
        </w:tc>
        <w:tc>
          <w:tcPr>
            <w:tcW w:w="2024" w:type="dxa"/>
            <w:vAlign w:val="center"/>
          </w:tcPr>
          <w:p w14:paraId="18BDB0E7" w14:textId="77777777" w:rsidR="00CB067F" w:rsidRPr="00EB0D40" w:rsidRDefault="00CB067F" w:rsidP="00C80675">
            <w:pPr>
              <w:jc w:val="center"/>
            </w:pPr>
            <w:r w:rsidRPr="00EB0D40">
              <w:t>Oil</w:t>
            </w:r>
          </w:p>
        </w:tc>
      </w:tr>
      <w:tr w:rsidR="00CB067F" w:rsidRPr="00EB0D40" w14:paraId="0E4B4B6D" w14:textId="77777777" w:rsidTr="00C80675">
        <w:tc>
          <w:tcPr>
            <w:tcW w:w="7110" w:type="dxa"/>
          </w:tcPr>
          <w:p w14:paraId="49906D18" w14:textId="77777777" w:rsidR="00CB067F" w:rsidRPr="00EB0D40" w:rsidRDefault="00CB067F" w:rsidP="00C80675">
            <w:r w:rsidRPr="00EB0D40">
              <w:t>Topic 5 Top Words:</w:t>
            </w:r>
          </w:p>
          <w:p w14:paraId="44B61C91" w14:textId="77777777" w:rsidR="00CB067F" w:rsidRPr="00EB0D40" w:rsidRDefault="00CB067F" w:rsidP="00C80675">
            <w:r w:rsidRPr="00EB0D40">
              <w:t>Highest Prob</w:t>
            </w:r>
            <w:r w:rsidRPr="3C9BCE92">
              <w:t xml:space="preserve">: </w:t>
            </w:r>
            <w:r w:rsidRPr="00EB0D40">
              <w:t xml:space="preserve">queensland, water, coal, basin, said, will, mine </w:t>
            </w:r>
          </w:p>
          <w:p w14:paraId="1972C144" w14:textId="77777777" w:rsidR="00CB067F" w:rsidRPr="00EB0D40" w:rsidRDefault="00CB067F" w:rsidP="00C80675">
            <w:r w:rsidRPr="00EB0D40">
              <w:t>FREX: chinchilla, down, underground, surat</w:t>
            </w:r>
            <w:r w:rsidRPr="3C9BCE92">
              <w:t xml:space="preserve">, </w:t>
            </w:r>
            <w:r w:rsidRPr="00EB0D40">
              <w:t>toowoomba</w:t>
            </w:r>
            <w:r w:rsidRPr="3C9BCE92">
              <w:t xml:space="preserve">, </w:t>
            </w:r>
            <w:r w:rsidRPr="00EB0D40">
              <w:t xml:space="preserve">dalbi, basin </w:t>
            </w:r>
          </w:p>
        </w:tc>
        <w:tc>
          <w:tcPr>
            <w:tcW w:w="2024" w:type="dxa"/>
            <w:vAlign w:val="center"/>
          </w:tcPr>
          <w:p w14:paraId="626D1854" w14:textId="77777777" w:rsidR="00CB067F" w:rsidRPr="00EB0D40" w:rsidRDefault="00CB067F" w:rsidP="00C80675">
            <w:pPr>
              <w:jc w:val="center"/>
            </w:pPr>
            <w:r w:rsidRPr="00EB0D40">
              <w:t>Coal Mining Effects on Water</w:t>
            </w:r>
          </w:p>
        </w:tc>
      </w:tr>
      <w:tr w:rsidR="00CB067F" w:rsidRPr="00EB0D40" w14:paraId="1CA5DF5C" w14:textId="77777777" w:rsidTr="00C80675">
        <w:tc>
          <w:tcPr>
            <w:tcW w:w="7110" w:type="dxa"/>
          </w:tcPr>
          <w:p w14:paraId="79994034" w14:textId="77777777" w:rsidR="00CB067F" w:rsidRPr="00EB0D40" w:rsidRDefault="00CB067F" w:rsidP="00C80675">
            <w:r w:rsidRPr="00EB0D40">
              <w:t>Topic 6 Top Words:</w:t>
            </w:r>
          </w:p>
          <w:p w14:paraId="07410028" w14:textId="77777777" w:rsidR="00CB067F" w:rsidRPr="00EB0D40" w:rsidRDefault="00CB067F" w:rsidP="00C80675">
            <w:r w:rsidRPr="00EB0D40">
              <w:t>Highest Prob: gas, coal, seam, price, queensland</w:t>
            </w:r>
            <w:r w:rsidRPr="3C9BCE92">
              <w:t xml:space="preserve">, </w:t>
            </w:r>
            <w:r w:rsidRPr="00EB0D40">
              <w:t>coalseam</w:t>
            </w:r>
            <w:r w:rsidRPr="3C9BCE92">
              <w:t xml:space="preserve">, </w:t>
            </w:r>
            <w:r w:rsidRPr="00EB0D40">
              <w:t>australia</w:t>
            </w:r>
            <w:r w:rsidRPr="3C9BCE92">
              <w:t xml:space="preserve"> </w:t>
            </w:r>
          </w:p>
          <w:p w14:paraId="63AFBC58" w14:textId="77777777" w:rsidR="00CB067F" w:rsidRPr="00EB0D40" w:rsidRDefault="00CB067F" w:rsidP="00C80675">
            <w:r w:rsidRPr="00EB0D40">
              <w:t>FREX: domest, gas, methan</w:t>
            </w:r>
            <w:r w:rsidRPr="3C9BCE92">
              <w:t xml:space="preserve">, </w:t>
            </w:r>
            <w:r w:rsidRPr="00EB0D40">
              <w:t>coalseam, shale, east, suppli</w:t>
            </w:r>
            <w:r w:rsidRPr="3C9BCE92">
              <w:t xml:space="preserve"> </w:t>
            </w:r>
          </w:p>
        </w:tc>
        <w:tc>
          <w:tcPr>
            <w:tcW w:w="2024" w:type="dxa"/>
            <w:vAlign w:val="center"/>
          </w:tcPr>
          <w:p w14:paraId="67D9768D" w14:textId="77777777" w:rsidR="00CB067F" w:rsidRPr="00EB0D40" w:rsidRDefault="00CB067F" w:rsidP="00C80675">
            <w:pPr>
              <w:jc w:val="center"/>
            </w:pPr>
            <w:r w:rsidRPr="00EB0D40">
              <w:t>Domestic Supply</w:t>
            </w:r>
          </w:p>
        </w:tc>
      </w:tr>
      <w:tr w:rsidR="00CB067F" w:rsidRPr="00EB0D40" w14:paraId="08BB9CF6" w14:textId="77777777" w:rsidTr="00C80675">
        <w:tc>
          <w:tcPr>
            <w:tcW w:w="7110" w:type="dxa"/>
          </w:tcPr>
          <w:p w14:paraId="227681A0" w14:textId="77777777" w:rsidR="00CB067F" w:rsidRPr="00EB0D40" w:rsidRDefault="00CB067F" w:rsidP="00C80675">
            <w:r w:rsidRPr="00EB0D40">
              <w:t>Topic 7 Top Words:</w:t>
            </w:r>
          </w:p>
          <w:p w14:paraId="37578941" w14:textId="77777777" w:rsidR="00CB067F" w:rsidRPr="00EB0D40" w:rsidRDefault="00CB067F" w:rsidP="00C80675">
            <w:r w:rsidRPr="00EB0D40">
              <w:t xml:space="preserve">Highest Prob: per, cent, share, million, market, price, stock </w:t>
            </w:r>
          </w:p>
          <w:p w14:paraId="343949F2" w14:textId="77777777" w:rsidR="00CB067F" w:rsidRPr="00EB0D40" w:rsidRDefault="00CB067F" w:rsidP="00C80675">
            <w:r w:rsidRPr="00EB0D40">
              <w:t>FREX: rose, fullyear</w:t>
            </w:r>
            <w:r w:rsidRPr="3C9BCE92">
              <w:t xml:space="preserve">, </w:t>
            </w:r>
            <w:r w:rsidRPr="00EB0D40">
              <w:t>lihir, index, fell, wds</w:t>
            </w:r>
            <w:r w:rsidRPr="3C9BCE92">
              <w:t xml:space="preserve">, </w:t>
            </w:r>
            <w:r w:rsidRPr="00EB0D40">
              <w:t>inflat</w:t>
            </w:r>
            <w:r w:rsidRPr="3C9BCE92">
              <w:t xml:space="preserve"> </w:t>
            </w:r>
          </w:p>
        </w:tc>
        <w:tc>
          <w:tcPr>
            <w:tcW w:w="2024" w:type="dxa"/>
            <w:vAlign w:val="center"/>
          </w:tcPr>
          <w:p w14:paraId="14D69FC2" w14:textId="77777777" w:rsidR="00CB067F" w:rsidRPr="00EB0D40" w:rsidRDefault="00CB067F" w:rsidP="00C80675">
            <w:pPr>
              <w:jc w:val="center"/>
            </w:pPr>
            <w:r w:rsidRPr="00EB0D40">
              <w:t>Company Stocks</w:t>
            </w:r>
          </w:p>
        </w:tc>
      </w:tr>
      <w:tr w:rsidR="00CB067F" w:rsidRPr="00EB0D40" w14:paraId="380CB6EA" w14:textId="77777777" w:rsidTr="00C80675">
        <w:tc>
          <w:tcPr>
            <w:tcW w:w="7110" w:type="dxa"/>
          </w:tcPr>
          <w:p w14:paraId="208147C9" w14:textId="77777777" w:rsidR="00CB067F" w:rsidRPr="00EB0D40" w:rsidRDefault="00CB067F" w:rsidP="00C80675">
            <w:r w:rsidRPr="00EB0D40">
              <w:t>Topic 8 Top Words:</w:t>
            </w:r>
          </w:p>
          <w:p w14:paraId="1AABA943" w14:textId="77777777" w:rsidR="00CB067F" w:rsidRPr="00EB0D40" w:rsidRDefault="00CB067F" w:rsidP="00C80675">
            <w:r w:rsidRPr="00EB0D40">
              <w:t>Highest Prob</w:t>
            </w:r>
            <w:r w:rsidRPr="3C9BCE92">
              <w:t xml:space="preserve">: </w:t>
            </w:r>
            <w:r w:rsidRPr="00EB0D40">
              <w:t xml:space="preserve">energi, power, emiss, carbon, electr, coal, cent </w:t>
            </w:r>
          </w:p>
          <w:p w14:paraId="46892E81" w14:textId="77777777" w:rsidR="00CB067F" w:rsidRPr="00EB0D40" w:rsidRDefault="00CB067F" w:rsidP="00C80675">
            <w:r w:rsidRPr="00EB0D40">
              <w:t>FREX: greenhous</w:t>
            </w:r>
            <w:r w:rsidRPr="3C9BCE92">
              <w:t xml:space="preserve">, </w:t>
            </w:r>
            <w:r w:rsidRPr="00EB0D40">
              <w:t xml:space="preserve">emiss, solar, electr, carbon, coalfir, fuel </w:t>
            </w:r>
          </w:p>
        </w:tc>
        <w:tc>
          <w:tcPr>
            <w:tcW w:w="2024" w:type="dxa"/>
            <w:vAlign w:val="center"/>
          </w:tcPr>
          <w:p w14:paraId="17C9E96D" w14:textId="77777777" w:rsidR="00CB067F" w:rsidRPr="00EB0D40" w:rsidRDefault="00CB067F" w:rsidP="00C80675">
            <w:pPr>
              <w:jc w:val="center"/>
            </w:pPr>
            <w:r w:rsidRPr="00EB0D40">
              <w:t>Greenhouse Effect</w:t>
            </w:r>
          </w:p>
        </w:tc>
      </w:tr>
      <w:tr w:rsidR="00CB067F" w:rsidRPr="00EB0D40" w14:paraId="13FBE78F" w14:textId="77777777" w:rsidTr="00C80675">
        <w:tc>
          <w:tcPr>
            <w:tcW w:w="7110" w:type="dxa"/>
          </w:tcPr>
          <w:p w14:paraId="5AD21150" w14:textId="77777777" w:rsidR="00CB067F" w:rsidRPr="00EB0D40" w:rsidRDefault="00CB067F" w:rsidP="00C80675">
            <w:r w:rsidRPr="00EB0D40">
              <w:t>Topic 9 Top Words:</w:t>
            </w:r>
          </w:p>
          <w:p w14:paraId="47EF0FE4" w14:textId="77777777" w:rsidR="00CB067F" w:rsidRPr="00EB0D40" w:rsidRDefault="00CB067F" w:rsidP="00C80675">
            <w:r w:rsidRPr="00EB0D40">
              <w:t xml:space="preserve">Highest Prob: said, gas, coal, seam, govern, nsw, water </w:t>
            </w:r>
          </w:p>
          <w:p w14:paraId="394171E6" w14:textId="77777777" w:rsidR="00CB067F" w:rsidRPr="00EB0D40" w:rsidRDefault="00CB067F" w:rsidP="00C80675">
            <w:pPr>
              <w:rPr>
                <w:b/>
                <w:bCs/>
              </w:rPr>
            </w:pPr>
            <w:r w:rsidRPr="00EB0D40">
              <w:t>FREX: frack, pilliga</w:t>
            </w:r>
            <w:r w:rsidRPr="3C9BCE92">
              <w:t xml:space="preserve">, </w:t>
            </w:r>
            <w:r w:rsidRPr="00EB0D40">
              <w:t>buckingham</w:t>
            </w:r>
            <w:r w:rsidRPr="3C9BCE92">
              <w:t xml:space="preserve">, </w:t>
            </w:r>
            <w:r w:rsidRPr="00EB0D40">
              <w:t>hydraul</w:t>
            </w:r>
            <w:r w:rsidRPr="3C9BCE92">
              <w:t xml:space="preserve">, </w:t>
            </w:r>
            <w:r w:rsidRPr="00EB0D40">
              <w:t>okan</w:t>
            </w:r>
            <w:r w:rsidRPr="3C9BCE92">
              <w:t xml:space="preserve">, </w:t>
            </w:r>
            <w:r w:rsidRPr="00EB0D40">
              <w:t xml:space="preserve">epa, protest </w:t>
            </w:r>
          </w:p>
        </w:tc>
        <w:tc>
          <w:tcPr>
            <w:tcW w:w="2024" w:type="dxa"/>
            <w:vAlign w:val="center"/>
          </w:tcPr>
          <w:p w14:paraId="1EBB56C1" w14:textId="77777777" w:rsidR="00CB067F" w:rsidRPr="00EB0D40" w:rsidRDefault="00CB067F" w:rsidP="00C80675">
            <w:pPr>
              <w:jc w:val="center"/>
            </w:pPr>
            <w:r w:rsidRPr="00EB0D40">
              <w:t>Risk/Regulation</w:t>
            </w:r>
          </w:p>
        </w:tc>
      </w:tr>
      <w:tr w:rsidR="00CB067F" w:rsidRPr="00EB0D40" w14:paraId="6505C05A" w14:textId="77777777" w:rsidTr="00C80675">
        <w:tc>
          <w:tcPr>
            <w:tcW w:w="7110" w:type="dxa"/>
          </w:tcPr>
          <w:p w14:paraId="41EF0A54" w14:textId="77777777" w:rsidR="00CB067F" w:rsidRPr="00EB0D40" w:rsidRDefault="00CB067F" w:rsidP="00C80675">
            <w:r w:rsidRPr="00EB0D40">
              <w:t>Topic 10 Top Words:</w:t>
            </w:r>
          </w:p>
          <w:p w14:paraId="0A6C06E5" w14:textId="77777777" w:rsidR="00CB067F" w:rsidRPr="00EB0D40" w:rsidRDefault="00CB067F" w:rsidP="00C80675">
            <w:r w:rsidRPr="00EB0D40">
              <w:t>Highest Prob</w:t>
            </w:r>
            <w:r w:rsidRPr="3C9BCE92">
              <w:t xml:space="preserve">: </w:t>
            </w:r>
            <w:r w:rsidRPr="00EB0D40">
              <w:t>peopl, one, labor</w:t>
            </w:r>
            <w:r w:rsidRPr="3C9BCE92">
              <w:t xml:space="preserve">, </w:t>
            </w:r>
            <w:r w:rsidRPr="00EB0D40">
              <w:t xml:space="preserve">parti, year, say, govern </w:t>
            </w:r>
          </w:p>
          <w:p w14:paraId="6D513284" w14:textId="77777777" w:rsidR="00CB067F" w:rsidRPr="00EB0D40" w:rsidRDefault="00CB067F" w:rsidP="00C80675">
            <w:r w:rsidRPr="00EB0D40">
              <w:t>FREX: pratzki</w:t>
            </w:r>
            <w:r w:rsidRPr="3C9BCE92">
              <w:t xml:space="preserve">, </w:t>
            </w:r>
            <w:r w:rsidRPr="00EB0D40">
              <w:t xml:space="preserve">democraci, letter, daytim, children, email, compendium </w:t>
            </w:r>
          </w:p>
        </w:tc>
        <w:tc>
          <w:tcPr>
            <w:tcW w:w="2024" w:type="dxa"/>
            <w:vAlign w:val="center"/>
          </w:tcPr>
          <w:p w14:paraId="5F0BDC0D" w14:textId="77777777" w:rsidR="00CB067F" w:rsidRPr="00EB0D40" w:rsidRDefault="00CB067F" w:rsidP="00C80675">
            <w:pPr>
              <w:jc w:val="center"/>
            </w:pPr>
            <w:r>
              <w:t>Labor Proposed B</w:t>
            </w:r>
            <w:r w:rsidRPr="00EB0D40">
              <w:t>an</w:t>
            </w:r>
          </w:p>
        </w:tc>
      </w:tr>
      <w:tr w:rsidR="00CB067F" w:rsidRPr="00EB0D40" w14:paraId="029CC0AA" w14:textId="77777777" w:rsidTr="00C80675">
        <w:tc>
          <w:tcPr>
            <w:tcW w:w="7110" w:type="dxa"/>
          </w:tcPr>
          <w:p w14:paraId="28B13089" w14:textId="77777777" w:rsidR="00CB067F" w:rsidRPr="00EB0D40" w:rsidRDefault="00CB067F" w:rsidP="00C80675">
            <w:r w:rsidRPr="00EB0D40">
              <w:t>Topic 11 Top Words:</w:t>
            </w:r>
          </w:p>
          <w:p w14:paraId="309FCA91" w14:textId="77777777" w:rsidR="00CB067F" w:rsidRPr="00EB0D40" w:rsidRDefault="00CB067F" w:rsidP="00C80675">
            <w:r w:rsidRPr="00EB0D40">
              <w:t xml:space="preserve">Highest Prob: will, australia, govern, invest, new, industri, state </w:t>
            </w:r>
          </w:p>
          <w:p w14:paraId="7D2AEB7F" w14:textId="77777777" w:rsidR="00CB067F" w:rsidRPr="00EB0D40" w:rsidRDefault="00CB067F" w:rsidP="00C80675">
            <w:r w:rsidRPr="00EB0D40">
              <w:t>FREX: economi</w:t>
            </w:r>
            <w:r w:rsidRPr="3C9BCE92">
              <w:t xml:space="preserve">, </w:t>
            </w:r>
            <w:r w:rsidRPr="00EB0D40">
              <w:t xml:space="preserve">econom, job, crisi, boom, import, benefit </w:t>
            </w:r>
          </w:p>
        </w:tc>
        <w:tc>
          <w:tcPr>
            <w:tcW w:w="2024" w:type="dxa"/>
            <w:vAlign w:val="center"/>
          </w:tcPr>
          <w:p w14:paraId="72996AA2" w14:textId="77777777" w:rsidR="00CB067F" w:rsidRPr="00EB0D40" w:rsidRDefault="00CB067F" w:rsidP="00C80675">
            <w:pPr>
              <w:jc w:val="center"/>
            </w:pPr>
            <w:r w:rsidRPr="00EB0D40">
              <w:t>Jobs/Economic Benefits</w:t>
            </w:r>
          </w:p>
        </w:tc>
      </w:tr>
      <w:tr w:rsidR="00CB067F" w:rsidRPr="00EB0D40" w14:paraId="3A00ED3F" w14:textId="77777777" w:rsidTr="00C80675">
        <w:tc>
          <w:tcPr>
            <w:tcW w:w="7110" w:type="dxa"/>
          </w:tcPr>
          <w:p w14:paraId="5297FE51" w14:textId="77777777" w:rsidR="00CB067F" w:rsidRPr="00EB0D40" w:rsidRDefault="00CB067F" w:rsidP="00C80675">
            <w:r w:rsidRPr="00EB0D40">
              <w:t>Topic 12 Top Words:</w:t>
            </w:r>
          </w:p>
          <w:p w14:paraId="2C044AFC" w14:textId="77777777" w:rsidR="00CB067F" w:rsidRPr="00EB0D40" w:rsidRDefault="00CB067F" w:rsidP="00C80675">
            <w:r w:rsidRPr="00EB0D40">
              <w:t xml:space="preserve">Highest Prob: yesterday, year, million, group, compani, one, will </w:t>
            </w:r>
          </w:p>
          <w:p w14:paraId="3BBD830F" w14:textId="77777777" w:rsidR="00CB067F" w:rsidRPr="00EB0D40" w:rsidRDefault="00CB067F" w:rsidP="00C80675">
            <w:r w:rsidRPr="00EB0D40">
              <w:t>FREX: diarist, bizzel, criterion, suncorp, reader, gud</w:t>
            </w:r>
            <w:r w:rsidRPr="3C9BCE92">
              <w:t xml:space="preserve">, </w:t>
            </w:r>
            <w:r w:rsidRPr="00EB0D40">
              <w:t>bizzoid</w:t>
            </w:r>
            <w:r w:rsidRPr="3C9BCE92">
              <w:t xml:space="preserve"> </w:t>
            </w:r>
          </w:p>
        </w:tc>
        <w:tc>
          <w:tcPr>
            <w:tcW w:w="2024" w:type="dxa"/>
            <w:vAlign w:val="center"/>
          </w:tcPr>
          <w:p w14:paraId="7059A44C" w14:textId="77777777" w:rsidR="00CB067F" w:rsidRPr="00EB0D40" w:rsidRDefault="00CB067F" w:rsidP="00C80675">
            <w:pPr>
              <w:jc w:val="center"/>
            </w:pPr>
            <w:r w:rsidRPr="00EB0D40">
              <w:t>Company Investments in CSG</w:t>
            </w:r>
          </w:p>
        </w:tc>
      </w:tr>
      <w:tr w:rsidR="00CB067F" w:rsidRPr="00EB0D40" w14:paraId="328CF580" w14:textId="77777777" w:rsidTr="00C80675">
        <w:tc>
          <w:tcPr>
            <w:tcW w:w="7110" w:type="dxa"/>
          </w:tcPr>
          <w:p w14:paraId="509A6A9E" w14:textId="77777777" w:rsidR="00CB067F" w:rsidRPr="00EB0D40" w:rsidRDefault="00CB067F" w:rsidP="00C80675">
            <w:r w:rsidRPr="00EB0D40">
              <w:t>Topic 13 Top Words:</w:t>
            </w:r>
          </w:p>
          <w:p w14:paraId="4EF91C58" w14:textId="77777777" w:rsidR="00CB067F" w:rsidRPr="00EB0D40" w:rsidRDefault="00CB067F" w:rsidP="00C80675">
            <w:r w:rsidRPr="00EB0D40">
              <w:t>Highest Prob</w:t>
            </w:r>
            <w:r w:rsidRPr="3C9BCE92">
              <w:t xml:space="preserve">: </w:t>
            </w:r>
            <w:r w:rsidRPr="00EB0D40">
              <w:t xml:space="preserve">resourc, mine, gold, compani, per, cent, project </w:t>
            </w:r>
          </w:p>
          <w:p w14:paraId="45C139DB" w14:textId="77777777" w:rsidR="00CB067F" w:rsidRPr="00EB0D40" w:rsidRDefault="00CB067F" w:rsidP="00C80675">
            <w:r w:rsidRPr="00EB0D40">
              <w:t>FREX: uranium, macarthur</w:t>
            </w:r>
            <w:r w:rsidRPr="3C9BCE92">
              <w:t xml:space="preserve">, </w:t>
            </w:r>
            <w:r w:rsidRPr="00EB0D40">
              <w:t>african</w:t>
            </w:r>
            <w:r w:rsidRPr="3C9BCE92">
              <w:t xml:space="preserve">, </w:t>
            </w:r>
            <w:r w:rsidRPr="00EB0D40">
              <w:t>brombyrtheaustraliancomau</w:t>
            </w:r>
            <w:r w:rsidRPr="3C9BCE92">
              <w:t xml:space="preserve">, </w:t>
            </w:r>
            <w:r w:rsidRPr="00EB0D40">
              <w:t xml:space="preserve">phosphat, gold, copper </w:t>
            </w:r>
          </w:p>
        </w:tc>
        <w:tc>
          <w:tcPr>
            <w:tcW w:w="2024" w:type="dxa"/>
            <w:vAlign w:val="center"/>
          </w:tcPr>
          <w:p w14:paraId="20D550E4" w14:textId="77777777" w:rsidR="00CB067F" w:rsidRPr="00EB0D40" w:rsidRDefault="00CB067F" w:rsidP="00C80675">
            <w:pPr>
              <w:jc w:val="center"/>
            </w:pPr>
            <w:r w:rsidRPr="00EB0D40">
              <w:t>Other Mining</w:t>
            </w:r>
          </w:p>
        </w:tc>
      </w:tr>
      <w:tr w:rsidR="00CB067F" w:rsidRPr="00EB0D40" w14:paraId="1632F23D" w14:textId="77777777" w:rsidTr="00C80675">
        <w:tc>
          <w:tcPr>
            <w:tcW w:w="7110" w:type="dxa"/>
          </w:tcPr>
          <w:p w14:paraId="64B2EB97" w14:textId="77777777" w:rsidR="00CB067F" w:rsidRPr="00EB0D40" w:rsidRDefault="00CB067F" w:rsidP="00C80675">
            <w:r w:rsidRPr="00EB0D40">
              <w:t>Topic 14 Top Words:</w:t>
            </w:r>
          </w:p>
          <w:p w14:paraId="3F04F39F" w14:textId="77777777" w:rsidR="00CB067F" w:rsidRPr="00EB0D40" w:rsidRDefault="00CB067F" w:rsidP="00C80675">
            <w:r w:rsidRPr="00EB0D40">
              <w:t>Highest Prob: tax, govern, mine, resourc, miner, industri</w:t>
            </w:r>
            <w:r w:rsidRPr="3C9BCE92">
              <w:t xml:space="preserve">, </w:t>
            </w:r>
            <w:r w:rsidRPr="00EB0D40">
              <w:t>compani</w:t>
            </w:r>
            <w:r w:rsidRPr="3C9BCE92">
              <w:t xml:space="preserve"> </w:t>
            </w:r>
          </w:p>
          <w:p w14:paraId="3C02E697" w14:textId="77777777" w:rsidR="00CB067F" w:rsidRPr="00EB0D40" w:rsidRDefault="00CB067F" w:rsidP="00C80675">
            <w:r w:rsidRPr="00EB0D40">
              <w:t>FREX: rspt, tax, super, prrt</w:t>
            </w:r>
            <w:r w:rsidRPr="3C9BCE92">
              <w:t xml:space="preserve">, </w:t>
            </w:r>
            <w:r w:rsidRPr="00EB0D40">
              <w:t>mrrt, swan, rudd</w:t>
            </w:r>
            <w:r w:rsidRPr="3C9BCE92">
              <w:t xml:space="preserve"> </w:t>
            </w:r>
          </w:p>
        </w:tc>
        <w:tc>
          <w:tcPr>
            <w:tcW w:w="2024" w:type="dxa"/>
            <w:vAlign w:val="center"/>
          </w:tcPr>
          <w:p w14:paraId="565501CD" w14:textId="77777777" w:rsidR="00CB067F" w:rsidRPr="00EB0D40" w:rsidRDefault="00CB067F" w:rsidP="00C80675">
            <w:pPr>
              <w:jc w:val="center"/>
            </w:pPr>
            <w:r w:rsidRPr="00EB0D40">
              <w:t>Mining Tax</w:t>
            </w:r>
          </w:p>
        </w:tc>
      </w:tr>
      <w:tr w:rsidR="00CB067F" w:rsidRPr="00EB0D40" w14:paraId="5236736B" w14:textId="77777777" w:rsidTr="00C80675">
        <w:tc>
          <w:tcPr>
            <w:tcW w:w="7110" w:type="dxa"/>
          </w:tcPr>
          <w:p w14:paraId="3B83BCB1" w14:textId="77777777" w:rsidR="00CB067F" w:rsidRPr="00EB0D40" w:rsidRDefault="00CB067F" w:rsidP="00C80675">
            <w:r w:rsidRPr="00EB0D40">
              <w:t>Topic 15 Top Words:</w:t>
            </w:r>
          </w:p>
          <w:p w14:paraId="47EAA46C" w14:textId="77777777" w:rsidR="00CB067F" w:rsidRPr="00EB0D40" w:rsidRDefault="00CB067F" w:rsidP="00C80675">
            <w:r w:rsidRPr="00EB0D40">
              <w:t xml:space="preserve">Highest Prob: origin, share, per, bid, offer, cent, arrow </w:t>
            </w:r>
          </w:p>
          <w:p w14:paraId="0FB2A013" w14:textId="77777777" w:rsidR="00CB067F" w:rsidRPr="00EB0D40" w:rsidRDefault="00CB067F" w:rsidP="00C80675">
            <w:r w:rsidRPr="00EB0D40">
              <w:t>FREX: bid, origin, bgs, chapman, sunshin</w:t>
            </w:r>
            <w:r w:rsidRPr="3C9BCE92">
              <w:t xml:space="preserve">, </w:t>
            </w:r>
            <w:r w:rsidRPr="00EB0D40">
              <w:t xml:space="preserve">qgc, offer </w:t>
            </w:r>
          </w:p>
        </w:tc>
        <w:tc>
          <w:tcPr>
            <w:tcW w:w="2024" w:type="dxa"/>
            <w:vAlign w:val="center"/>
          </w:tcPr>
          <w:p w14:paraId="52B3AE66" w14:textId="77777777" w:rsidR="00CB067F" w:rsidRPr="00EB0D40" w:rsidRDefault="00CB067F" w:rsidP="00C80675">
            <w:pPr>
              <w:jc w:val="center"/>
            </w:pPr>
            <w:r w:rsidRPr="00EB0D40">
              <w:t>Company Merger</w:t>
            </w:r>
          </w:p>
        </w:tc>
      </w:tr>
    </w:tbl>
    <w:p w14:paraId="0DF6AD16" w14:textId="77777777" w:rsidR="00CB067F" w:rsidRPr="00EB0D40" w:rsidRDefault="00CB067F" w:rsidP="00CB067F">
      <w:pPr>
        <w:jc w:val="both"/>
        <w:rPr>
          <w:sz w:val="24"/>
          <w:szCs w:val="24"/>
        </w:rPr>
      </w:pPr>
    </w:p>
    <w:p w14:paraId="4B5AD6F8" w14:textId="77777777" w:rsidR="00CB067F" w:rsidRDefault="00CB067F" w:rsidP="00CB067F">
      <w:pPr>
        <w:suppressAutoHyphens w:val="0"/>
        <w:spacing w:after="200" w:line="276" w:lineRule="auto"/>
        <w:rPr>
          <w:b/>
          <w:sz w:val="24"/>
          <w:szCs w:val="24"/>
        </w:rPr>
      </w:pPr>
      <w:r>
        <w:rPr>
          <w:b/>
          <w:sz w:val="24"/>
          <w:szCs w:val="24"/>
        </w:rPr>
        <w:br w:type="page"/>
      </w:r>
    </w:p>
    <w:p w14:paraId="76F5C7D9" w14:textId="77777777" w:rsidR="00CB067F" w:rsidRPr="004F4307" w:rsidRDefault="00CB067F" w:rsidP="00CB067F">
      <w:pPr>
        <w:jc w:val="both"/>
        <w:outlineLvl w:val="0"/>
        <w:rPr>
          <w:b/>
          <w:sz w:val="24"/>
          <w:szCs w:val="24"/>
        </w:rPr>
      </w:pPr>
      <w:r w:rsidRPr="004F4307">
        <w:rPr>
          <w:b/>
          <w:sz w:val="24"/>
          <w:szCs w:val="24"/>
        </w:rPr>
        <w:t xml:space="preserve">Figure 1: Expected Topic Proportions: Highest Probability Topic Terms </w:t>
      </w:r>
    </w:p>
    <w:p w14:paraId="4E00D547" w14:textId="77777777" w:rsidR="00CB067F" w:rsidRPr="00EB0D40" w:rsidRDefault="00CB067F" w:rsidP="00CB067F">
      <w:pPr>
        <w:rPr>
          <w:sz w:val="24"/>
          <w:szCs w:val="24"/>
        </w:rPr>
      </w:pPr>
      <w:r w:rsidRPr="00F4659D">
        <w:rPr>
          <w:noProof/>
          <w:sz w:val="24"/>
          <w:szCs w:val="24"/>
          <w:lang w:val="en-US"/>
        </w:rPr>
        <w:drawing>
          <wp:inline distT="0" distB="0" distL="0" distR="0" wp14:anchorId="08D07DB3" wp14:editId="4172E337">
            <wp:extent cx="5527312" cy="3431540"/>
            <wp:effectExtent l="0" t="0" r="10160" b="0"/>
            <wp:docPr id="19945543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5660742" cy="3514378"/>
                    </a:xfrm>
                    <a:prstGeom prst="rect">
                      <a:avLst/>
                    </a:prstGeom>
                  </pic:spPr>
                </pic:pic>
              </a:graphicData>
            </a:graphic>
          </wp:inline>
        </w:drawing>
      </w:r>
    </w:p>
    <w:p w14:paraId="1102F1F7" w14:textId="77777777" w:rsidR="00CB067F" w:rsidRPr="00EB0D40" w:rsidRDefault="00CB067F" w:rsidP="00CB067F">
      <w:pPr>
        <w:jc w:val="both"/>
        <w:rPr>
          <w:sz w:val="24"/>
          <w:szCs w:val="24"/>
        </w:rPr>
      </w:pPr>
    </w:p>
    <w:p w14:paraId="39095D28" w14:textId="77777777" w:rsidR="00CB067F" w:rsidRPr="008D599D" w:rsidRDefault="00CB067F" w:rsidP="00CB067F">
      <w:pPr>
        <w:jc w:val="both"/>
        <w:rPr>
          <w:b/>
          <w:bCs/>
          <w:sz w:val="24"/>
          <w:szCs w:val="24"/>
        </w:rPr>
      </w:pPr>
      <w:r w:rsidRPr="008D599D">
        <w:rPr>
          <w:b/>
          <w:bCs/>
          <w:sz w:val="24"/>
          <w:szCs w:val="24"/>
        </w:rPr>
        <w:t>Problem Windows</w:t>
      </w:r>
    </w:p>
    <w:p w14:paraId="3747ABDC" w14:textId="77777777" w:rsidR="00CB067F" w:rsidRPr="00EB0D40" w:rsidRDefault="00CB067F" w:rsidP="00CB067F">
      <w:pPr>
        <w:jc w:val="both"/>
        <w:rPr>
          <w:sz w:val="24"/>
          <w:szCs w:val="24"/>
        </w:rPr>
      </w:pPr>
    </w:p>
    <w:p w14:paraId="5398F914" w14:textId="77777777" w:rsidR="00CB067F" w:rsidRPr="00EB0D40" w:rsidRDefault="00CB067F" w:rsidP="00CB067F">
      <w:pPr>
        <w:jc w:val="both"/>
        <w:rPr>
          <w:sz w:val="24"/>
          <w:szCs w:val="24"/>
        </w:rPr>
      </w:pPr>
      <w:r w:rsidRPr="00EB0D40">
        <w:rPr>
          <w:sz w:val="24"/>
          <w:szCs w:val="24"/>
        </w:rPr>
        <w:t xml:space="preserve">Figures 2a-2d indicate the </w:t>
      </w:r>
      <w:r>
        <w:rPr>
          <w:sz w:val="24"/>
          <w:szCs w:val="24"/>
        </w:rPr>
        <w:t xml:space="preserve">daily </w:t>
      </w:r>
      <w:r w:rsidRPr="00EB0D40">
        <w:rPr>
          <w:sz w:val="24"/>
          <w:szCs w:val="24"/>
        </w:rPr>
        <w:t>topic prevalence</w:t>
      </w:r>
      <w:r>
        <w:rPr>
          <w:sz w:val="24"/>
          <w:szCs w:val="24"/>
        </w:rPr>
        <w:t xml:space="preserve"> within the four selected </w:t>
      </w:r>
      <w:r w:rsidRPr="00EB0D40">
        <w:rPr>
          <w:sz w:val="24"/>
          <w:szCs w:val="24"/>
        </w:rPr>
        <w:t>problem windows. The y-axis denotes the summated topic prevalence acro</w:t>
      </w:r>
      <w:r>
        <w:rPr>
          <w:sz w:val="24"/>
          <w:szCs w:val="24"/>
        </w:rPr>
        <w:t>ss all articles on those dates.</w:t>
      </w:r>
    </w:p>
    <w:p w14:paraId="2E984C28" w14:textId="77777777" w:rsidR="00CB067F" w:rsidRPr="00EB0D40" w:rsidRDefault="00CB067F" w:rsidP="00CB067F">
      <w:pPr>
        <w:jc w:val="both"/>
        <w:rPr>
          <w:sz w:val="24"/>
          <w:szCs w:val="24"/>
        </w:rPr>
      </w:pPr>
    </w:p>
    <w:p w14:paraId="23AE76D8" w14:textId="77777777" w:rsidR="00CB067F" w:rsidRDefault="00CB067F" w:rsidP="00CB067F">
      <w:pPr>
        <w:jc w:val="both"/>
        <w:outlineLvl w:val="0"/>
        <w:rPr>
          <w:b/>
          <w:sz w:val="24"/>
          <w:szCs w:val="24"/>
        </w:rPr>
      </w:pPr>
      <w:r w:rsidRPr="004F4307">
        <w:rPr>
          <w:b/>
          <w:sz w:val="24"/>
          <w:szCs w:val="24"/>
        </w:rPr>
        <w:t>Figure 2a: Expected Topic Prevalence Problem Window 1</w:t>
      </w:r>
    </w:p>
    <w:p w14:paraId="77120DEA" w14:textId="77777777" w:rsidR="00CB067F" w:rsidRPr="004F4307" w:rsidRDefault="00CB067F" w:rsidP="00CB067F">
      <w:pPr>
        <w:jc w:val="both"/>
        <w:outlineLvl w:val="0"/>
        <w:rPr>
          <w:b/>
          <w:sz w:val="24"/>
          <w:szCs w:val="24"/>
        </w:rPr>
      </w:pPr>
    </w:p>
    <w:p w14:paraId="0AACB4DC" w14:textId="77777777" w:rsidR="00CB067F" w:rsidRPr="00EB0D40" w:rsidRDefault="00CB067F" w:rsidP="00CB067F">
      <w:pPr>
        <w:rPr>
          <w:sz w:val="24"/>
          <w:szCs w:val="24"/>
        </w:rPr>
      </w:pPr>
      <w:r w:rsidRPr="00F4659D">
        <w:rPr>
          <w:noProof/>
          <w:sz w:val="24"/>
          <w:szCs w:val="24"/>
          <w:lang w:val="en-US"/>
        </w:rPr>
        <w:drawing>
          <wp:inline distT="0" distB="0" distL="0" distR="0" wp14:anchorId="6F838EBE" wp14:editId="45733CC0">
            <wp:extent cx="2689200" cy="17100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200" cy="1710000"/>
                    </a:xfrm>
                    <a:prstGeom prst="rect">
                      <a:avLst/>
                    </a:prstGeom>
                    <a:noFill/>
                    <a:ln>
                      <a:noFill/>
                    </a:ln>
                  </pic:spPr>
                </pic:pic>
              </a:graphicData>
            </a:graphic>
          </wp:inline>
        </w:drawing>
      </w:r>
    </w:p>
    <w:p w14:paraId="1EA3104D" w14:textId="77777777" w:rsidR="00CB067F" w:rsidRPr="00EB0D40" w:rsidRDefault="00CB067F" w:rsidP="00CB067F">
      <w:pPr>
        <w:rPr>
          <w:sz w:val="24"/>
          <w:szCs w:val="24"/>
        </w:rPr>
      </w:pPr>
    </w:p>
    <w:p w14:paraId="70B50C2C" w14:textId="77777777" w:rsidR="00CB067F" w:rsidRDefault="00CB067F" w:rsidP="00CB067F">
      <w:pPr>
        <w:suppressAutoHyphens w:val="0"/>
        <w:spacing w:after="200" w:line="276" w:lineRule="auto"/>
        <w:rPr>
          <w:b/>
          <w:sz w:val="24"/>
          <w:szCs w:val="24"/>
        </w:rPr>
      </w:pPr>
      <w:r>
        <w:rPr>
          <w:b/>
          <w:sz w:val="24"/>
          <w:szCs w:val="24"/>
        </w:rPr>
        <w:br w:type="page"/>
      </w:r>
    </w:p>
    <w:p w14:paraId="6CA0E8A5" w14:textId="77777777" w:rsidR="00CB067F" w:rsidRPr="004F4307" w:rsidRDefault="00CB067F" w:rsidP="00CB067F">
      <w:pPr>
        <w:outlineLvl w:val="0"/>
        <w:rPr>
          <w:b/>
          <w:sz w:val="24"/>
          <w:szCs w:val="24"/>
        </w:rPr>
      </w:pPr>
      <w:r w:rsidRPr="004F4307">
        <w:rPr>
          <w:b/>
          <w:sz w:val="24"/>
          <w:szCs w:val="24"/>
        </w:rPr>
        <w:t>Figure 2b: Expected Topic Prevalence Problem Window 2</w:t>
      </w:r>
    </w:p>
    <w:p w14:paraId="7409FB19" w14:textId="77777777" w:rsidR="00CB067F" w:rsidRPr="00EB0D40" w:rsidRDefault="00CB067F" w:rsidP="00CB067F">
      <w:pPr>
        <w:rPr>
          <w:sz w:val="24"/>
          <w:szCs w:val="24"/>
        </w:rPr>
      </w:pPr>
    </w:p>
    <w:p w14:paraId="3DF2E358" w14:textId="77777777" w:rsidR="00CB067F" w:rsidRPr="00EB0D40" w:rsidRDefault="00CB067F" w:rsidP="00CB067F">
      <w:pPr>
        <w:rPr>
          <w:sz w:val="24"/>
          <w:szCs w:val="24"/>
        </w:rPr>
      </w:pPr>
      <w:r w:rsidRPr="00F4659D">
        <w:rPr>
          <w:noProof/>
          <w:sz w:val="24"/>
          <w:szCs w:val="24"/>
          <w:lang w:val="en-US"/>
        </w:rPr>
        <w:drawing>
          <wp:inline distT="0" distB="0" distL="0" distR="0" wp14:anchorId="3EF84FF1" wp14:editId="63721A44">
            <wp:extent cx="2746800" cy="17460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6800" cy="1746000"/>
                    </a:xfrm>
                    <a:prstGeom prst="rect">
                      <a:avLst/>
                    </a:prstGeom>
                    <a:noFill/>
                    <a:ln>
                      <a:noFill/>
                    </a:ln>
                  </pic:spPr>
                </pic:pic>
              </a:graphicData>
            </a:graphic>
          </wp:inline>
        </w:drawing>
      </w:r>
    </w:p>
    <w:p w14:paraId="2A088B26" w14:textId="77777777" w:rsidR="00CB067F" w:rsidRPr="00EB0D40" w:rsidRDefault="00CB067F" w:rsidP="00CB067F">
      <w:pPr>
        <w:rPr>
          <w:sz w:val="24"/>
          <w:szCs w:val="24"/>
        </w:rPr>
      </w:pPr>
    </w:p>
    <w:p w14:paraId="24CF0507" w14:textId="77777777" w:rsidR="00CB067F" w:rsidRPr="004F4307" w:rsidRDefault="00CB067F" w:rsidP="00CB067F">
      <w:pPr>
        <w:outlineLvl w:val="0"/>
        <w:rPr>
          <w:b/>
          <w:sz w:val="24"/>
          <w:szCs w:val="24"/>
        </w:rPr>
      </w:pPr>
      <w:r w:rsidRPr="004F4307">
        <w:rPr>
          <w:b/>
          <w:sz w:val="24"/>
          <w:szCs w:val="24"/>
        </w:rPr>
        <w:t>Figure 2c: Expected Topic Prevalence Problem Window 3</w:t>
      </w:r>
    </w:p>
    <w:p w14:paraId="35009750" w14:textId="77777777" w:rsidR="00CB067F" w:rsidRPr="00EB0D40" w:rsidRDefault="00CB067F" w:rsidP="00CB067F">
      <w:pPr>
        <w:rPr>
          <w:sz w:val="24"/>
          <w:szCs w:val="24"/>
        </w:rPr>
      </w:pPr>
    </w:p>
    <w:p w14:paraId="72B9B39F" w14:textId="77777777" w:rsidR="00CB067F" w:rsidRPr="00EB0D40" w:rsidRDefault="00CB067F" w:rsidP="00CB067F">
      <w:pPr>
        <w:rPr>
          <w:sz w:val="24"/>
          <w:szCs w:val="24"/>
        </w:rPr>
      </w:pPr>
      <w:r w:rsidRPr="00F4659D">
        <w:rPr>
          <w:noProof/>
          <w:sz w:val="24"/>
          <w:szCs w:val="24"/>
          <w:lang w:val="en-US"/>
        </w:rPr>
        <w:drawing>
          <wp:inline distT="0" distB="0" distL="0" distR="0" wp14:anchorId="7417F8A9" wp14:editId="7FEA5AAE">
            <wp:extent cx="2746800" cy="17460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6800" cy="1746000"/>
                    </a:xfrm>
                    <a:prstGeom prst="rect">
                      <a:avLst/>
                    </a:prstGeom>
                    <a:noFill/>
                    <a:ln>
                      <a:noFill/>
                    </a:ln>
                  </pic:spPr>
                </pic:pic>
              </a:graphicData>
            </a:graphic>
          </wp:inline>
        </w:drawing>
      </w:r>
    </w:p>
    <w:p w14:paraId="592CD99D" w14:textId="77777777" w:rsidR="00CB067F" w:rsidRPr="00EB0D40" w:rsidRDefault="00CB067F" w:rsidP="00CB067F">
      <w:pPr>
        <w:rPr>
          <w:sz w:val="24"/>
          <w:szCs w:val="24"/>
        </w:rPr>
      </w:pPr>
    </w:p>
    <w:p w14:paraId="680D41A5" w14:textId="77777777" w:rsidR="00CB067F" w:rsidRPr="004F4307" w:rsidRDefault="00CB067F" w:rsidP="00CB067F">
      <w:pPr>
        <w:outlineLvl w:val="0"/>
        <w:rPr>
          <w:b/>
          <w:sz w:val="24"/>
          <w:szCs w:val="24"/>
        </w:rPr>
      </w:pPr>
      <w:r w:rsidRPr="004F4307">
        <w:rPr>
          <w:b/>
          <w:sz w:val="24"/>
          <w:szCs w:val="24"/>
        </w:rPr>
        <w:t>Figure 2d: Expected Topic Prevalence Problem Window 4</w:t>
      </w:r>
    </w:p>
    <w:p w14:paraId="5F9C40AA" w14:textId="77777777" w:rsidR="00CB067F" w:rsidRPr="00EB0D40" w:rsidRDefault="00CB067F" w:rsidP="00CB067F">
      <w:pPr>
        <w:rPr>
          <w:noProof/>
          <w:sz w:val="24"/>
          <w:szCs w:val="24"/>
          <w:lang w:val="en-US"/>
        </w:rPr>
      </w:pPr>
    </w:p>
    <w:p w14:paraId="08699EEA" w14:textId="77777777" w:rsidR="00CB067F" w:rsidRPr="00EB0D40" w:rsidRDefault="00CB067F" w:rsidP="00CB067F">
      <w:pPr>
        <w:rPr>
          <w:sz w:val="24"/>
          <w:szCs w:val="24"/>
        </w:rPr>
      </w:pPr>
      <w:r w:rsidRPr="00F4659D">
        <w:rPr>
          <w:noProof/>
          <w:sz w:val="24"/>
          <w:szCs w:val="24"/>
          <w:lang w:val="en-US"/>
        </w:rPr>
        <w:drawing>
          <wp:inline distT="0" distB="0" distL="0" distR="0" wp14:anchorId="0A5CB21F" wp14:editId="0A2C1CBB">
            <wp:extent cx="2844000" cy="180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0" cy="1807200"/>
                    </a:xfrm>
                    <a:prstGeom prst="rect">
                      <a:avLst/>
                    </a:prstGeom>
                    <a:noFill/>
                    <a:ln>
                      <a:noFill/>
                    </a:ln>
                  </pic:spPr>
                </pic:pic>
              </a:graphicData>
            </a:graphic>
          </wp:inline>
        </w:drawing>
      </w:r>
    </w:p>
    <w:p w14:paraId="570232B9" w14:textId="77777777" w:rsidR="00CB067F" w:rsidRDefault="00CB067F" w:rsidP="00CB067F">
      <w:pPr>
        <w:rPr>
          <w:sz w:val="24"/>
          <w:szCs w:val="24"/>
        </w:rPr>
      </w:pPr>
    </w:p>
    <w:p w14:paraId="0A60DA7F" w14:textId="77777777" w:rsidR="00CB067F" w:rsidRPr="00F4659D" w:rsidRDefault="00CB067F" w:rsidP="00CB067F">
      <w:pPr>
        <w:rPr>
          <w:b/>
          <w:bCs/>
          <w:sz w:val="24"/>
          <w:szCs w:val="24"/>
        </w:rPr>
      </w:pPr>
      <w:r w:rsidRPr="00D23827">
        <w:rPr>
          <w:b/>
          <w:bCs/>
          <w:sz w:val="24"/>
          <w:szCs w:val="24"/>
        </w:rPr>
        <w:t>References</w:t>
      </w:r>
    </w:p>
    <w:p w14:paraId="40AAF435" w14:textId="77777777" w:rsidR="00CB067F" w:rsidRPr="00EB0D40" w:rsidRDefault="00CB067F" w:rsidP="00CB067F">
      <w:pPr>
        <w:jc w:val="both"/>
        <w:rPr>
          <w:sz w:val="24"/>
          <w:szCs w:val="24"/>
        </w:rPr>
      </w:pPr>
    </w:p>
    <w:p w14:paraId="79676653" w14:textId="77777777" w:rsidR="00CB067F" w:rsidRDefault="00CB067F" w:rsidP="00CB067F">
      <w:pPr>
        <w:jc w:val="both"/>
        <w:rPr>
          <w:sz w:val="24"/>
          <w:szCs w:val="24"/>
        </w:rPr>
      </w:pPr>
      <w:bookmarkStart w:id="8" w:name="_Hlk508125545"/>
      <w:r w:rsidRPr="00980D88">
        <w:rPr>
          <w:sz w:val="24"/>
          <w:szCs w:val="24"/>
        </w:rPr>
        <w:t xml:space="preserve">Boykoff M. T. 2008. The Cultural Politics of Climate Change Discourse in UK Tabloids. </w:t>
      </w:r>
      <w:r w:rsidRPr="00980D88">
        <w:rPr>
          <w:i/>
          <w:iCs/>
          <w:sz w:val="24"/>
          <w:szCs w:val="24"/>
        </w:rPr>
        <w:t>Political Geography</w:t>
      </w:r>
      <w:r w:rsidRPr="00980D88">
        <w:rPr>
          <w:sz w:val="24"/>
          <w:szCs w:val="24"/>
        </w:rPr>
        <w:t xml:space="preserve"> 27(5): 549–569.</w:t>
      </w:r>
    </w:p>
    <w:p w14:paraId="0ECD6C86" w14:textId="77777777" w:rsidR="00CB067F" w:rsidRPr="00980D88" w:rsidRDefault="00CB067F" w:rsidP="00CB067F">
      <w:pPr>
        <w:jc w:val="both"/>
        <w:rPr>
          <w:sz w:val="24"/>
          <w:szCs w:val="24"/>
        </w:rPr>
      </w:pPr>
      <w:r w:rsidRPr="00980D88">
        <w:rPr>
          <w:sz w:val="24"/>
          <w:szCs w:val="24"/>
          <w:lang w:val="en-US"/>
        </w:rPr>
        <w:t xml:space="preserve">Connell I. 1998. Mistaken Identities: Tabloid and Broadsheet News Discourse. </w:t>
      </w:r>
      <w:r w:rsidRPr="00980D88">
        <w:rPr>
          <w:i/>
          <w:iCs/>
          <w:sz w:val="24"/>
          <w:szCs w:val="24"/>
          <w:lang w:val="en-US"/>
        </w:rPr>
        <w:t>Javnost - The Public</w:t>
      </w:r>
      <w:r w:rsidRPr="00980D88">
        <w:rPr>
          <w:sz w:val="24"/>
          <w:szCs w:val="24"/>
          <w:lang w:val="en-US"/>
        </w:rPr>
        <w:t xml:space="preserve"> 5, 11–31.</w:t>
      </w:r>
    </w:p>
    <w:p w14:paraId="79C91995" w14:textId="77777777" w:rsidR="00CB067F" w:rsidRPr="00980D88" w:rsidRDefault="00CB067F" w:rsidP="00CB067F">
      <w:pPr>
        <w:rPr>
          <w:bCs/>
          <w:sz w:val="24"/>
          <w:szCs w:val="24"/>
        </w:rPr>
      </w:pPr>
      <w:r w:rsidRPr="00980D88">
        <w:rPr>
          <w:bCs/>
          <w:sz w:val="24"/>
          <w:szCs w:val="24"/>
        </w:rPr>
        <w:t xml:space="preserve">Driedger S. M. and Weimer J. 2015. Factiva and Canadian Newsstand Major Dailies: Comparing Retrieval Reliability between Academic Institutions. </w:t>
      </w:r>
      <w:r w:rsidRPr="00980D88">
        <w:rPr>
          <w:bCs/>
          <w:i/>
          <w:iCs/>
          <w:sz w:val="24"/>
          <w:szCs w:val="24"/>
        </w:rPr>
        <w:t>Online Information Review</w:t>
      </w:r>
      <w:r w:rsidRPr="00980D88">
        <w:rPr>
          <w:bCs/>
          <w:sz w:val="24"/>
          <w:szCs w:val="24"/>
        </w:rPr>
        <w:t xml:space="preserve"> 39(3): 346–359.</w:t>
      </w:r>
    </w:p>
    <w:p w14:paraId="32E75F38" w14:textId="77777777" w:rsidR="00CB067F" w:rsidRDefault="00CB067F" w:rsidP="00CB067F">
      <w:pPr>
        <w:jc w:val="both"/>
        <w:rPr>
          <w:sz w:val="24"/>
          <w:szCs w:val="24"/>
          <w:lang w:val="en-US"/>
        </w:rPr>
      </w:pPr>
      <w:r>
        <w:rPr>
          <w:sz w:val="24"/>
          <w:szCs w:val="24"/>
          <w:lang w:val="en-US"/>
        </w:rPr>
        <w:t>Feinerer I. and Hornik K. 2017.</w:t>
      </w:r>
      <w:r w:rsidRPr="00FD1577">
        <w:rPr>
          <w:sz w:val="24"/>
          <w:szCs w:val="24"/>
          <w:lang w:val="en-US"/>
        </w:rPr>
        <w:t xml:space="preserve"> </w:t>
      </w:r>
      <w:r w:rsidRPr="00D23827">
        <w:rPr>
          <w:i/>
          <w:iCs/>
          <w:sz w:val="24"/>
          <w:szCs w:val="24"/>
          <w:lang w:val="en-US"/>
        </w:rPr>
        <w:t>Tm: Text Mining Package (Version 0.7-3).</w:t>
      </w:r>
      <w:r w:rsidRPr="00FD1577">
        <w:rPr>
          <w:sz w:val="24"/>
          <w:szCs w:val="24"/>
          <w:lang w:val="en-US"/>
        </w:rPr>
        <w:t xml:space="preserve"> https://CRAN.R-project.org/package=tm</w:t>
      </w:r>
      <w:r>
        <w:rPr>
          <w:sz w:val="24"/>
          <w:szCs w:val="24"/>
          <w:lang w:val="en-US"/>
        </w:rPr>
        <w:t xml:space="preserve"> (29 December 2017).</w:t>
      </w:r>
    </w:p>
    <w:p w14:paraId="713CA502" w14:textId="77777777" w:rsidR="00CB067F" w:rsidRPr="00980D88" w:rsidRDefault="00CB067F" w:rsidP="00CB067F">
      <w:pPr>
        <w:rPr>
          <w:bCs/>
          <w:sz w:val="24"/>
          <w:szCs w:val="24"/>
        </w:rPr>
      </w:pPr>
      <w:r w:rsidRPr="00980D88">
        <w:rPr>
          <w:bCs/>
          <w:sz w:val="24"/>
          <w:szCs w:val="24"/>
        </w:rPr>
        <w:t xml:space="preserve">Griffen-Foley B. 2002. The Fairfax, Murdoch and Packer Dynasties in Twentieth-Century Australia. </w:t>
      </w:r>
      <w:r w:rsidRPr="00980D88">
        <w:rPr>
          <w:bCs/>
          <w:i/>
          <w:iCs/>
          <w:sz w:val="24"/>
          <w:szCs w:val="24"/>
        </w:rPr>
        <w:t>Media History</w:t>
      </w:r>
      <w:r w:rsidRPr="00980D88">
        <w:rPr>
          <w:bCs/>
          <w:sz w:val="24"/>
          <w:szCs w:val="24"/>
        </w:rPr>
        <w:t xml:space="preserve"> 8(1): 89–102.</w:t>
      </w:r>
    </w:p>
    <w:p w14:paraId="3E932A5F" w14:textId="77777777" w:rsidR="00CB067F" w:rsidRPr="00980D88" w:rsidRDefault="00CB067F" w:rsidP="00CB067F">
      <w:pPr>
        <w:rPr>
          <w:bCs/>
          <w:sz w:val="24"/>
          <w:szCs w:val="24"/>
        </w:rPr>
      </w:pPr>
      <w:r w:rsidRPr="00980D88">
        <w:rPr>
          <w:bCs/>
          <w:sz w:val="24"/>
          <w:szCs w:val="24"/>
        </w:rPr>
        <w:t xml:space="preserve">Hallin D. C. and Mancini P. 2004. </w:t>
      </w:r>
      <w:r w:rsidRPr="00980D88">
        <w:rPr>
          <w:bCs/>
          <w:i/>
          <w:iCs/>
          <w:sz w:val="24"/>
          <w:szCs w:val="24"/>
        </w:rPr>
        <w:t>Comparing Media Systems: Three Models of Media and Politics</w:t>
      </w:r>
      <w:r w:rsidRPr="00980D88">
        <w:rPr>
          <w:bCs/>
          <w:sz w:val="24"/>
          <w:szCs w:val="24"/>
        </w:rPr>
        <w:t>. New York: Cambridge University Press.</w:t>
      </w:r>
    </w:p>
    <w:p w14:paraId="2ECD670A" w14:textId="77777777" w:rsidR="00CB067F" w:rsidRPr="00980D88" w:rsidRDefault="00CB067F" w:rsidP="00CB067F">
      <w:pPr>
        <w:rPr>
          <w:bCs/>
          <w:sz w:val="24"/>
          <w:szCs w:val="24"/>
        </w:rPr>
      </w:pPr>
      <w:r w:rsidRPr="00980D88">
        <w:rPr>
          <w:bCs/>
          <w:sz w:val="24"/>
          <w:szCs w:val="24"/>
        </w:rPr>
        <w:t xml:space="preserve">Jones P. K. and Pusey M. 2010. Political Communication and ‘media System’: The Australian Canary. </w:t>
      </w:r>
      <w:r w:rsidRPr="00980D88">
        <w:rPr>
          <w:bCs/>
          <w:i/>
          <w:iCs/>
          <w:sz w:val="24"/>
          <w:szCs w:val="24"/>
        </w:rPr>
        <w:t>Media, Culture &amp; Society</w:t>
      </w:r>
      <w:r w:rsidRPr="00980D88">
        <w:rPr>
          <w:bCs/>
          <w:sz w:val="24"/>
          <w:szCs w:val="24"/>
        </w:rPr>
        <w:t xml:space="preserve"> 32(3): 451–471.</w:t>
      </w:r>
    </w:p>
    <w:p w14:paraId="18F6AD06" w14:textId="77777777" w:rsidR="00CB067F" w:rsidRPr="00980D88" w:rsidRDefault="00CB067F" w:rsidP="00CB067F">
      <w:pPr>
        <w:rPr>
          <w:bCs/>
          <w:sz w:val="24"/>
          <w:szCs w:val="24"/>
        </w:rPr>
      </w:pPr>
      <w:r w:rsidRPr="00980D88">
        <w:rPr>
          <w:bCs/>
          <w:sz w:val="24"/>
          <w:szCs w:val="24"/>
        </w:rPr>
        <w:t xml:space="preserve">Roy Morgan Research. 2016. Australian Newspaper Readership, 12 Months to September 2016. </w:t>
      </w:r>
      <w:r w:rsidRPr="00980D88">
        <w:rPr>
          <w:bCs/>
          <w:i/>
          <w:iCs/>
          <w:sz w:val="24"/>
          <w:szCs w:val="24"/>
        </w:rPr>
        <w:t>Roy Morgan</w:t>
      </w:r>
      <w:r w:rsidRPr="00980D88">
        <w:rPr>
          <w:bCs/>
          <w:sz w:val="24"/>
          <w:szCs w:val="24"/>
        </w:rPr>
        <w:t>. http://www.roymorgan.com/industries/media/readership/newspaper-readership (accessed December 19, 2016).</w:t>
      </w:r>
    </w:p>
    <w:p w14:paraId="4A58701C" w14:textId="77777777" w:rsidR="00777A46" w:rsidRPr="00CB067F" w:rsidRDefault="00CB067F" w:rsidP="00CB067F">
      <w:pPr>
        <w:jc w:val="both"/>
        <w:rPr>
          <w:bCs/>
          <w:sz w:val="24"/>
          <w:szCs w:val="24"/>
        </w:rPr>
      </w:pPr>
      <w:r w:rsidRPr="00980D88">
        <w:rPr>
          <w:bCs/>
          <w:sz w:val="24"/>
          <w:szCs w:val="24"/>
        </w:rPr>
        <w:t xml:space="preserve">Weaver D. A. and Bimber B. 2008. Finding News Stories: A Comparison of Searches Using LexisNexis and Google News. </w:t>
      </w:r>
      <w:r w:rsidRPr="00980D88">
        <w:rPr>
          <w:bCs/>
          <w:i/>
          <w:iCs/>
          <w:sz w:val="24"/>
          <w:szCs w:val="24"/>
        </w:rPr>
        <w:t>Journalism &amp; Mass Communication Quarterly</w:t>
      </w:r>
      <w:r w:rsidRPr="00980D88">
        <w:rPr>
          <w:bCs/>
          <w:sz w:val="24"/>
          <w:szCs w:val="24"/>
        </w:rPr>
        <w:t xml:space="preserve"> 85(3): 515–530.</w:t>
      </w:r>
      <w:bookmarkEnd w:id="8"/>
    </w:p>
    <w:sectPr w:rsidR="00777A46" w:rsidRPr="00CB067F" w:rsidSect="00CB067F">
      <w:footerReference w:type="even" r:id="rId9"/>
      <w:footerReference w:type="default" r:id="rId10"/>
      <w:endnotePr>
        <w:numFmt w:val="decimal"/>
      </w:endnotePr>
      <w:pgSz w:w="11906" w:h="16838"/>
      <w:pgMar w:top="1440" w:right="1800" w:bottom="1440" w:left="180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74A1" w14:textId="77777777" w:rsidR="001F4706" w:rsidRDefault="00D70999" w:rsidP="00FC1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A4211" w14:textId="77777777" w:rsidR="001F4706" w:rsidRDefault="00D70999" w:rsidP="00FC1C74">
    <w:pPr>
      <w:pStyle w:val="Footer"/>
      <w:ind w:right="360"/>
    </w:pPr>
  </w:p>
  <w:p w14:paraId="6345707F" w14:textId="77777777" w:rsidR="001F4706" w:rsidRDefault="00D7099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C3D4" w14:textId="77777777" w:rsidR="001F4706" w:rsidRPr="00EB4DDC" w:rsidRDefault="00D70999" w:rsidP="00FC1C74">
    <w:pPr>
      <w:pStyle w:val="Footer"/>
      <w:framePr w:wrap="around" w:vAnchor="text" w:hAnchor="page" w:x="9901" w:y="-47"/>
      <w:rPr>
        <w:rStyle w:val="PageNumber"/>
      </w:rPr>
    </w:pPr>
    <w:r w:rsidRPr="00EB4DDC">
      <w:rPr>
        <w:rStyle w:val="PageNumber"/>
      </w:rPr>
      <w:fldChar w:fldCharType="begin"/>
    </w:r>
    <w:r w:rsidRPr="00EB4DDC">
      <w:rPr>
        <w:rStyle w:val="PageNumber"/>
      </w:rPr>
      <w:instrText xml:space="preserve">PAGE  </w:instrText>
    </w:r>
    <w:r w:rsidRPr="00EB4DDC">
      <w:rPr>
        <w:rStyle w:val="PageNumber"/>
      </w:rPr>
      <w:fldChar w:fldCharType="separate"/>
    </w:r>
    <w:r>
      <w:rPr>
        <w:rStyle w:val="PageNumber"/>
        <w:noProof/>
      </w:rPr>
      <w:t>1</w:t>
    </w:r>
    <w:r w:rsidRPr="00EB4DDC">
      <w:rPr>
        <w:rStyle w:val="PageNumber"/>
      </w:rPr>
      <w:fldChar w:fldCharType="end"/>
    </w:r>
  </w:p>
  <w:p w14:paraId="10B29255" w14:textId="77777777" w:rsidR="001F4706" w:rsidRDefault="00D70999" w:rsidP="00FC1C74">
    <w:pPr>
      <w:pStyle w:val="Footer"/>
      <w:ind w:right="360"/>
    </w:pPr>
  </w:p>
  <w:p w14:paraId="2DA4732A" w14:textId="77777777" w:rsidR="001F4706" w:rsidRDefault="00D7099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7F"/>
    <w:rsid w:val="000C4462"/>
    <w:rsid w:val="002E6523"/>
    <w:rsid w:val="00500A57"/>
    <w:rsid w:val="00940E29"/>
    <w:rsid w:val="00CB067F"/>
    <w:rsid w:val="00D709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7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067F"/>
    <w:pPr>
      <w:suppressAutoHyphens/>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67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CB067F"/>
    <w:rPr>
      <w:lang w:val="en-US"/>
    </w:rPr>
  </w:style>
  <w:style w:type="character" w:customStyle="1" w:styleId="EndnoteTextChar">
    <w:name w:val="Endnote Text Char"/>
    <w:basedOn w:val="DefaultParagraphFont"/>
    <w:link w:val="EndnoteText"/>
    <w:rsid w:val="00CB06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067F"/>
    <w:pPr>
      <w:tabs>
        <w:tab w:val="center" w:pos="4320"/>
        <w:tab w:val="right" w:pos="8640"/>
      </w:tabs>
    </w:pPr>
  </w:style>
  <w:style w:type="character" w:customStyle="1" w:styleId="FooterChar">
    <w:name w:val="Footer Char"/>
    <w:basedOn w:val="DefaultParagraphFont"/>
    <w:link w:val="Footer"/>
    <w:uiPriority w:val="99"/>
    <w:rsid w:val="00CB067F"/>
    <w:rPr>
      <w:rFonts w:ascii="Times New Roman" w:eastAsia="Times New Roman" w:hAnsi="Times New Roman" w:cs="Times New Roman"/>
      <w:sz w:val="20"/>
      <w:szCs w:val="20"/>
      <w:lang w:val="en-AU"/>
    </w:rPr>
  </w:style>
  <w:style w:type="character" w:styleId="PageNumber">
    <w:name w:val="page number"/>
    <w:basedOn w:val="DefaultParagraphFont"/>
    <w:uiPriority w:val="99"/>
    <w:semiHidden/>
    <w:unhideWhenUsed/>
    <w:rsid w:val="00CB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2947</Words>
  <Characters>16798</Characters>
  <Application>Microsoft Macintosh Word</Application>
  <DocSecurity>0</DocSecurity>
  <Lines>139</Lines>
  <Paragraphs>39</Paragraphs>
  <ScaleCrop>false</ScaleCrop>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2018-03-12T22:54:00Z</cp:lastPrinted>
  <dcterms:created xsi:type="dcterms:W3CDTF">2018-03-12T22:50:00Z</dcterms:created>
  <dcterms:modified xsi:type="dcterms:W3CDTF">2018-03-12T22:54:00Z</dcterms:modified>
</cp:coreProperties>
</file>