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both"/>
        <w:rPr/>
      </w:pPr>
      <w:r>
        <w:rPr/>
        <w:t>Appendix 1. List of interviewees: policymakers (PMs) and key informants (Kis)</w:t>
      </w:r>
    </w:p>
    <w:p>
      <w:pPr>
        <w:pStyle w:val="Normal"/>
        <w:suppressAutoHyphens w:val="true"/>
        <w:jc w:val="both"/>
        <w:rPr/>
      </w:pPr>
      <w:r>
        <w:rPr/>
      </w:r>
    </w:p>
    <w:tbl>
      <w:tblPr>
        <w:tblW w:w="9129" w:type="dxa"/>
        <w:jc w:val="left"/>
        <w:tblInd w:w="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1329"/>
        <w:gridCol w:w="6218"/>
        <w:gridCol w:w="1582"/>
      </w:tblGrid>
      <w:tr>
        <w:trPr>
          <w:trHeight w:val="236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/>
              <w:jc w:val="both"/>
              <w:rPr/>
            </w:pPr>
            <w:r>
              <w:rPr>
                <w:b/>
                <w:sz w:val="20"/>
              </w:rPr>
              <w:t>Interview code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/>
              <w:jc w:val="both"/>
              <w:rPr/>
            </w:pPr>
            <w:r>
              <w:rPr>
                <w:b/>
                <w:sz w:val="20"/>
              </w:rPr>
              <w:t>Interviewee institution/role/political affiliation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/>
              <w:rPr/>
            </w:pPr>
            <w:r>
              <w:rPr>
                <w:b/>
                <w:sz w:val="20"/>
              </w:rPr>
              <w:t>Interview date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PM-1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  <w:lang w:val="it-IT"/>
              </w:rPr>
              <w:t>Lombardy, regional Councillor, FI- Forza Italia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21 December 2016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PM-2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Lombardy, municipal Councillor (county capital), Mayor’s list (Catholic background)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21 October 2016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PM-3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Lombardy, municipal Councillor (county capital), External expert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22 July 2016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PM-4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Lombardy, municipal Councillor (county capital), PD-Democratic Party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29 November 2016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PM-5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Lombardy, regional Councillor, AN - National Alliance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19 December 2016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PM-6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Lombardy, Public official, managing position (Health and Social Services)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14 November 2016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PM-7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Liguria, municipal Councillor (county capital), Municipal list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7 October 2016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PM-8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Liguria, municipal Councillor (county capital), Municipal list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6 December 2016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PM-9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Liguria, county Councillor, Left (Socialist)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3 October 2016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PM-10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Liguria, municipal Mayor (small municipality), Municipal list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21 September 2016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PM-11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Apulia, municipal Mayor (medium-size municipality), Municipal list (Centre-left)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9 November 2016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PM-12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Apulia, regional Councillor, Five Star Movement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10 November 2016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KI-13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Caritas (Charity of Italian Episcopal Conference), spokesperson, Catholic Church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28 February 2019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KI-14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Director, Social Cooperative Consortium, Catholic inspired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28 February 2019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KI-15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Activist, SlotMob Movement, Focolare Movement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15 March 2019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KI-16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Journalist, Catholic Press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27 March 2019</w:t>
            </w:r>
          </w:p>
        </w:tc>
      </w:tr>
      <w:tr>
        <w:trPr>
          <w:trHeight w:val="460" w:hRule="atLeast"/>
        </w:trPr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KI-17</w:t>
            </w: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sz w:val="20"/>
              </w:rPr>
              <w:t>President, Non-profit organisation, lay/independent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Paragraph"/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6 April 2019</w:t>
            </w:r>
          </w:p>
        </w:tc>
      </w:tr>
    </w:tbl>
    <w:p>
      <w:pPr>
        <w:pStyle w:val="Normal"/>
        <w:suppressAutoHyphens w:val="true"/>
        <w:jc w:val="both"/>
        <w:rPr>
          <w:sz w:val="22"/>
          <w:szCs w:val="18"/>
        </w:rPr>
      </w:pPr>
      <w:r>
        <w:rPr>
          <w:sz w:val="22"/>
          <w:szCs w:val="18"/>
        </w:rPr>
      </w:r>
    </w:p>
    <w:p>
      <w:pPr>
        <w:pStyle w:val="Normal"/>
        <w:suppressAutoHyphens w:val="true"/>
        <w:spacing w:lineRule="auto" w:line="276" w:before="0" w:after="0"/>
        <w:rPr>
          <w:color w:val="000000"/>
          <w:sz w:val="22"/>
        </w:rPr>
      </w:pPr>
      <w:r>
        <w:rPr>
          <w:color w:val="000000"/>
          <w:sz w:val="22"/>
        </w:rPr>
      </w:r>
      <w:r>
        <w:br w:type="page"/>
      </w:r>
    </w:p>
    <w:p>
      <w:pPr>
        <w:pStyle w:val="Normal"/>
        <w:suppressAutoHyphens w:val="true"/>
        <w:jc w:val="both"/>
        <w:rPr/>
      </w:pPr>
      <w:r>
        <w:rPr>
          <w:color w:val="000000"/>
        </w:rPr>
        <w:t>Appendix 2. Data structure</w:t>
      </w:r>
    </w:p>
    <w:tbl>
      <w:tblPr>
        <w:tblW w:w="9070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20" w:noVBand="1" w:noHBand="0" w:lastColumn="0" w:firstColumn="0" w:lastRow="0" w:firstRow="1"/>
      </w:tblPr>
      <w:tblGrid>
        <w:gridCol w:w="4927"/>
        <w:gridCol w:w="2552"/>
        <w:gridCol w:w="1591"/>
      </w:tblGrid>
      <w:tr>
        <w:trPr/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order codes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z w:val="20"/>
              </w:rPr>
              <w:t xml:space="preserve"> order themes</w:t>
            </w:r>
          </w:p>
        </w:tc>
        <w:tc>
          <w:tcPr>
            <w:tcW w:w="159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Aggregate theoretical dimensions</w:t>
            </w:r>
          </w:p>
        </w:tc>
      </w:tr>
      <w:tr>
        <w:trPr>
          <w:trHeight w:val="571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The need to protect children from the risks of gambling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Protection of minors from specific games (e.g. betting)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20"/>
              </w:rPr>
              <w:t>Educational issues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36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1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20"/>
              </w:rPr>
              <w:t>Morality frame</w:t>
            </w:r>
          </w:p>
        </w:tc>
      </w:tr>
      <w:tr>
        <w:trPr>
          <w:trHeight w:val="1009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"Ethical Discount" (tax incentives) for bars/tobacco shops which do not install gaming machines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Anti-EGM (electronic gambling machines)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campaign as a “just cause”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Gambling as a game not requiring skill (merit vs. luck)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20"/>
              </w:rPr>
              <w:t>Conflict of values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37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Hypocrisy of state institutions that allow gambling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 xml:space="preserve">Persons on subsistence incomes who require financial assistance after gambling losses 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20"/>
              </w:rPr>
              <w:t xml:space="preserve">Ambivalence of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20"/>
              </w:rPr>
              <w:t>the social actors</w:t>
            </w:r>
          </w:p>
        </w:tc>
        <w:tc>
          <w:tcPr>
            <w:tcW w:w="15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3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Gaming as a problematic phenomenon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Gaming as an addiction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Underestimation of the pathological dimensions of gambling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Increase in requests for health services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Gambling as a source of problems for the welfare system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 xml:space="preserve">Gambling as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a medical problem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91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Health and social frame</w:t>
            </w:r>
          </w:p>
        </w:tc>
      </w:tr>
      <w:tr>
        <w:trPr>
          <w:trHeight w:val="452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Problems experienced by the families of gamblers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Fragility and marginalization of the vulnerable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The risks for social cohesion</w:t>
            </w:r>
          </w:p>
        </w:tc>
        <w:tc>
          <w:tcPr>
            <w:tcW w:w="15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Protection of the vulnerable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/>
            </w:pPr>
            <w:r>
              <w:rPr>
                <w:sz w:val="20"/>
              </w:rPr>
              <w:t>Protection of the elderly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Anti-gambling policies which target vulnerable social groups</w:t>
            </w:r>
          </w:p>
        </w:tc>
        <w:tc>
          <w:tcPr>
            <w:tcW w:w="15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051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Concerns about the proliferation of gambling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Gambling creates situations which municipalities find unacceptable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Gambling as a general problem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Gambling as an uncontrollable phenomenon</w:t>
            </w:r>
          </w:p>
        </w:tc>
        <w:tc>
          <w:tcPr>
            <w:tcW w:w="1591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20"/>
              </w:rPr>
              <w:t>Security and public order frame</w:t>
            </w:r>
          </w:p>
        </w:tc>
      </w:tr>
      <w:tr>
        <w:trPr>
          <w:trHeight w:val="519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 xml:space="preserve">The degradation of the vicinity of gambling sites 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Gambling as the source of degradation</w:t>
            </w:r>
          </w:p>
        </w:tc>
        <w:tc>
          <w:tcPr>
            <w:tcW w:w="15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379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 xml:space="preserve">The need for tools to block the proliferation of gambling sites 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The need to suppress the phenomenon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“</w:t>
            </w:r>
            <w:r>
              <w:rPr>
                <w:color w:val="000000"/>
                <w:sz w:val="20"/>
              </w:rPr>
              <w:t xml:space="preserve">Deterrents are needed” 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The role of the local police force.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 xml:space="preserve">The need for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repressive action</w:t>
            </w:r>
          </w:p>
        </w:tc>
        <w:tc>
          <w:tcPr>
            <w:tcW w:w="15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730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 xml:space="preserve">Gambling site managers seen as entrepreneurs 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 xml:space="preserve">The impossibility of banning a legal business (authorized by the State) 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Gambling as a legal economic sector</w:t>
            </w:r>
          </w:p>
        </w:tc>
        <w:tc>
          <w:tcPr>
            <w:tcW w:w="1591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Economic and fiscal frame</w:t>
            </w:r>
          </w:p>
        </w:tc>
      </w:tr>
      <w:tr>
        <w:trPr>
          <w:trHeight w:val="503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The State as the sole recipient of gambling tax revenues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No revenue gain for local authorities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Asymmetry in the State/local authority management of fiscal revenues from gambling</w:t>
            </w:r>
          </w:p>
        </w:tc>
        <w:tc>
          <w:tcPr>
            <w:tcW w:w="15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69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Use of local tax incentives and funding to limit gambling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Use of local tax disincentives and funding to limit gambling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Local fiscal policies</w:t>
            </w:r>
          </w:p>
        </w:tc>
        <w:tc>
          <w:tcPr>
            <w:tcW w:w="15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893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The economic problems of indebted gamblers who require public support (health and social services)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Social costs of gambling addictions borne by the local authorities</w:t>
            </w:r>
          </w:p>
        </w:tc>
        <w:tc>
          <w:tcPr>
            <w:tcW w:w="15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 xml:space="preserve">The problematic relationship between local and central governments 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The State benefits from gambling at a national level but the risks are borne and managed at the local level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Divergence of interests between central and local institutions</w:t>
            </w:r>
          </w:p>
        </w:tc>
        <w:tc>
          <w:tcPr>
            <w:tcW w:w="1591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20"/>
              </w:rPr>
              <w:t>Institutional frame</w:t>
            </w:r>
          </w:p>
        </w:tc>
      </w:tr>
      <w:tr>
        <w:trPr>
          <w:trHeight w:val="536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Conflict between institutions both locally and regionally (e.g. municipalities and the regional police headquarters)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Conflict on legal questions between political and administrative institutions (Regional Administrative Court and national courts)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Alliances between the regions and municipalities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 xml:space="preserve">Alliances between municipalities (e.g. in the drafting and application of hours of operation for gambling sites) 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Variations in regulations between neighbouring municipalities (need for harmonization);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Conflict vs alliances between local institutions</w:t>
            </w:r>
          </w:p>
        </w:tc>
        <w:tc>
          <w:tcPr>
            <w:tcW w:w="15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State as in part responsible for the spread of gambling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Institutions unable to defend citizens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 xml:space="preserve">The hypocrisy of prohibitions that are ineffective 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Declining credibility of institutions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104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The institutions need new tools to curb the phenomenon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Local ad hoc regulations on the basis of local needs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Pressure (only partially effective) of local institutions on operators of gambling sites (public operators)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Regulatory interventions which are blatantly ineffective in controlling the proliferation of gambling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Ineffective legal instruments</w:t>
            </w:r>
          </w:p>
        </w:tc>
        <w:tc>
          <w:tcPr>
            <w:tcW w:w="15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124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Attempts to gain political consensus by campaigning against gambling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Political exploitation of local public anti-gambling views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Anti-gambling policies as a battleground for the creation of political consensus</w:t>
            </w:r>
          </w:p>
        </w:tc>
        <w:tc>
          <w:tcPr>
            <w:tcW w:w="15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E6E6E6" w:val="clear"/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670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 xml:space="preserve">Citizen involvement 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Involvement of anti-gambling associations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Involvement of associations sensitive to the ethical and social problems (e.g. Catholic associations)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 xml:space="preserve">Need to involve citizens unaffected by the problem 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Civil society involvement</w:t>
            </w:r>
          </w:p>
        </w:tc>
        <w:tc>
          <w:tcPr>
            <w:tcW w:w="1591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Citizens’ frame</w:t>
            </w:r>
          </w:p>
        </w:tc>
      </w:tr>
      <w:tr>
        <w:trPr>
          <w:trHeight w:val="1682" w:hRule="atLeast"/>
        </w:trPr>
        <w:tc>
          <w:tcPr>
            <w:tcW w:w="49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Legality as a responsibility shared with citizens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Alliance between the municipality and citizens to report problem cases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The active role of associations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The active role of the Catholic Church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40" w:before="0" w:after="0"/>
              <w:rPr/>
            </w:pPr>
            <w:r>
              <w:rPr>
                <w:color w:val="000000"/>
                <w:sz w:val="20"/>
              </w:rPr>
              <w:t>Allowing the families who are victims of pathological gambling to voice an opinion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</w:rPr>
              <w:t>The third sector and civil society as positive resources</w:t>
            </w:r>
          </w:p>
        </w:tc>
        <w:tc>
          <w:tcPr>
            <w:tcW w:w="1591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Start w:id="1" w:name="_GoBack"/>
            <w:bookmarkEnd w:id="1"/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rPr/>
      </w:pPr>
      <w:r>
        <w:rPr/>
      </w:r>
    </w:p>
    <w:p>
      <w:pPr>
        <w:pStyle w:val="Normal"/>
        <w:suppressAutoHyphens w:val="true"/>
        <w:jc w:val="both"/>
        <w:rPr>
          <w:sz w:val="22"/>
          <w:szCs w:val="18"/>
        </w:rPr>
      </w:pPr>
      <w:r>
        <w:rPr>
          <w:sz w:val="22"/>
          <w:szCs w:val="18"/>
        </w:rPr>
      </w:r>
    </w:p>
    <w:p>
      <w:pPr>
        <w:pStyle w:val="Paragraph"/>
        <w:suppressAutoHyphens w:val="true"/>
        <w:jc w:val="both"/>
        <w:rPr/>
      </w:pPr>
      <w:r>
        <w:rPr/>
      </w:r>
    </w:p>
    <w:p>
      <w:pPr>
        <w:pStyle w:val="Normal"/>
        <w:suppressAutoHyphens w:val="true"/>
        <w:jc w:val="both"/>
        <w:rPr/>
      </w:pPr>
      <w:r>
        <w:rPr/>
      </w:r>
    </w:p>
    <w:p>
      <w:pPr>
        <w:pStyle w:val="Normal"/>
        <w:suppressAutoHyphens w:val="true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ial Unicode MS" w:cs="Arial Unicode MS"/>
      <w:color w:val="auto"/>
      <w:sz w:val="24"/>
      <w:szCs w:val="24"/>
      <w:lang w:val="it-IT" w:eastAsia="zh-CN" w:bidi="hi-IN"/>
    </w:rPr>
  </w:style>
  <w:style w:type="character" w:styleId="ListLabel1211">
    <w:name w:val="ListLabel 1211"/>
    <w:qFormat/>
    <w:rPr>
      <w:rFonts w:cs="Symbol"/>
      <w:sz w:val="20"/>
    </w:rPr>
  </w:style>
  <w:style w:type="character" w:styleId="ListLabel1212">
    <w:name w:val="ListLabel 1212"/>
    <w:qFormat/>
    <w:rPr>
      <w:rFonts w:cs="Courier New"/>
    </w:rPr>
  </w:style>
  <w:style w:type="character" w:styleId="ListLabel1213">
    <w:name w:val="ListLabel 1213"/>
    <w:qFormat/>
    <w:rPr>
      <w:rFonts w:cs="Wingdings"/>
    </w:rPr>
  </w:style>
  <w:style w:type="character" w:styleId="ListLabel1214">
    <w:name w:val="ListLabel 1214"/>
    <w:qFormat/>
    <w:rPr>
      <w:rFonts w:cs="Symbol"/>
    </w:rPr>
  </w:style>
  <w:style w:type="character" w:styleId="ListLabel1215">
    <w:name w:val="ListLabel 1215"/>
    <w:qFormat/>
    <w:rPr>
      <w:rFonts w:cs="Courier New"/>
    </w:rPr>
  </w:style>
  <w:style w:type="character" w:styleId="ListLabel1216">
    <w:name w:val="ListLabel 1216"/>
    <w:qFormat/>
    <w:rPr>
      <w:rFonts w:cs="Wingdings"/>
    </w:rPr>
  </w:style>
  <w:style w:type="character" w:styleId="ListLabel1217">
    <w:name w:val="ListLabel 1217"/>
    <w:qFormat/>
    <w:rPr>
      <w:rFonts w:cs="Symbol"/>
    </w:rPr>
  </w:style>
  <w:style w:type="character" w:styleId="ListLabel1218">
    <w:name w:val="ListLabel 1218"/>
    <w:qFormat/>
    <w:rPr>
      <w:rFonts w:cs="Courier New"/>
    </w:rPr>
  </w:style>
  <w:style w:type="character" w:styleId="ListLabel1219">
    <w:name w:val="ListLabel 1219"/>
    <w:qFormat/>
    <w:rPr>
      <w:rFonts w:cs="Wingdings"/>
    </w:rPr>
  </w:style>
  <w:style w:type="character" w:styleId="ListLabel1256">
    <w:name w:val="ListLabel 1256"/>
    <w:qFormat/>
    <w:rPr>
      <w:rFonts w:cs="Symbol"/>
      <w:sz w:val="20"/>
    </w:rPr>
  </w:style>
  <w:style w:type="character" w:styleId="ListLabel1257">
    <w:name w:val="ListLabel 1257"/>
    <w:qFormat/>
    <w:rPr>
      <w:rFonts w:cs="Courier New"/>
    </w:rPr>
  </w:style>
  <w:style w:type="character" w:styleId="ListLabel1258">
    <w:name w:val="ListLabel 1258"/>
    <w:qFormat/>
    <w:rPr>
      <w:rFonts w:cs="Wingdings"/>
    </w:rPr>
  </w:style>
  <w:style w:type="character" w:styleId="ListLabel1259">
    <w:name w:val="ListLabel 1259"/>
    <w:qFormat/>
    <w:rPr>
      <w:rFonts w:cs="Symbol"/>
    </w:rPr>
  </w:style>
  <w:style w:type="character" w:styleId="ListLabel1260">
    <w:name w:val="ListLabel 1260"/>
    <w:qFormat/>
    <w:rPr>
      <w:rFonts w:cs="Courier New"/>
    </w:rPr>
  </w:style>
  <w:style w:type="character" w:styleId="ListLabel1261">
    <w:name w:val="ListLabel 1261"/>
    <w:qFormat/>
    <w:rPr>
      <w:rFonts w:cs="Wingdings"/>
    </w:rPr>
  </w:style>
  <w:style w:type="character" w:styleId="ListLabel1262">
    <w:name w:val="ListLabel 1262"/>
    <w:qFormat/>
    <w:rPr>
      <w:rFonts w:cs="Symbol"/>
    </w:rPr>
  </w:style>
  <w:style w:type="character" w:styleId="ListLabel1263">
    <w:name w:val="ListLabel 1263"/>
    <w:qFormat/>
    <w:rPr>
      <w:rFonts w:cs="Courier New"/>
    </w:rPr>
  </w:style>
  <w:style w:type="character" w:styleId="ListLabel1264">
    <w:name w:val="ListLabel 1264"/>
    <w:qFormat/>
    <w:rPr>
      <w:rFonts w:cs="Wingdings"/>
    </w:rPr>
  </w:style>
  <w:style w:type="character" w:styleId="ListLabel1265">
    <w:name w:val="ListLabel 1265"/>
    <w:qFormat/>
    <w:rPr>
      <w:rFonts w:cs="Symbol"/>
      <w:sz w:val="20"/>
    </w:rPr>
  </w:style>
  <w:style w:type="character" w:styleId="ListLabel1266">
    <w:name w:val="ListLabel 1266"/>
    <w:qFormat/>
    <w:rPr>
      <w:rFonts w:cs="Courier New"/>
    </w:rPr>
  </w:style>
  <w:style w:type="character" w:styleId="ListLabel1267">
    <w:name w:val="ListLabel 1267"/>
    <w:qFormat/>
    <w:rPr>
      <w:rFonts w:cs="Wingdings"/>
    </w:rPr>
  </w:style>
  <w:style w:type="character" w:styleId="ListLabel1268">
    <w:name w:val="ListLabel 1268"/>
    <w:qFormat/>
    <w:rPr>
      <w:rFonts w:cs="Symbol"/>
    </w:rPr>
  </w:style>
  <w:style w:type="character" w:styleId="ListLabel1269">
    <w:name w:val="ListLabel 1269"/>
    <w:qFormat/>
    <w:rPr>
      <w:rFonts w:cs="Courier New"/>
    </w:rPr>
  </w:style>
  <w:style w:type="character" w:styleId="ListLabel1270">
    <w:name w:val="ListLabel 1270"/>
    <w:qFormat/>
    <w:rPr>
      <w:rFonts w:cs="Wingdings"/>
    </w:rPr>
  </w:style>
  <w:style w:type="character" w:styleId="ListLabel1271">
    <w:name w:val="ListLabel 1271"/>
    <w:qFormat/>
    <w:rPr>
      <w:rFonts w:cs="Symbol"/>
    </w:rPr>
  </w:style>
  <w:style w:type="character" w:styleId="ListLabel1272">
    <w:name w:val="ListLabel 1272"/>
    <w:qFormat/>
    <w:rPr>
      <w:rFonts w:cs="Courier New"/>
    </w:rPr>
  </w:style>
  <w:style w:type="character" w:styleId="ListLabel1273">
    <w:name w:val="ListLabel 1273"/>
    <w:qFormat/>
    <w:rPr>
      <w:rFonts w:cs="Wingdings"/>
    </w:rPr>
  </w:style>
  <w:style w:type="character" w:styleId="ListLabel1247">
    <w:name w:val="ListLabel 1247"/>
    <w:qFormat/>
    <w:rPr>
      <w:rFonts w:cs="Symbol"/>
      <w:sz w:val="20"/>
    </w:rPr>
  </w:style>
  <w:style w:type="character" w:styleId="ListLabel1248">
    <w:name w:val="ListLabel 1248"/>
    <w:qFormat/>
    <w:rPr>
      <w:rFonts w:cs="Courier New"/>
    </w:rPr>
  </w:style>
  <w:style w:type="character" w:styleId="ListLabel1249">
    <w:name w:val="ListLabel 1249"/>
    <w:qFormat/>
    <w:rPr>
      <w:rFonts w:cs="Wingdings"/>
    </w:rPr>
  </w:style>
  <w:style w:type="character" w:styleId="ListLabel1250">
    <w:name w:val="ListLabel 1250"/>
    <w:qFormat/>
    <w:rPr>
      <w:rFonts w:cs="Symbol"/>
    </w:rPr>
  </w:style>
  <w:style w:type="character" w:styleId="ListLabel1251">
    <w:name w:val="ListLabel 1251"/>
    <w:qFormat/>
    <w:rPr>
      <w:rFonts w:cs="Courier New"/>
    </w:rPr>
  </w:style>
  <w:style w:type="character" w:styleId="ListLabel1252">
    <w:name w:val="ListLabel 1252"/>
    <w:qFormat/>
    <w:rPr>
      <w:rFonts w:cs="Wingdings"/>
    </w:rPr>
  </w:style>
  <w:style w:type="character" w:styleId="ListLabel1253">
    <w:name w:val="ListLabel 1253"/>
    <w:qFormat/>
    <w:rPr>
      <w:rFonts w:cs="Symbol"/>
    </w:rPr>
  </w:style>
  <w:style w:type="character" w:styleId="ListLabel1254">
    <w:name w:val="ListLabel 1254"/>
    <w:qFormat/>
    <w:rPr>
      <w:rFonts w:cs="Courier New"/>
    </w:rPr>
  </w:style>
  <w:style w:type="character" w:styleId="ListLabel1255">
    <w:name w:val="ListLabel 1255"/>
    <w:qFormat/>
    <w:rPr>
      <w:rFonts w:cs="Wingdings"/>
    </w:rPr>
  </w:style>
  <w:style w:type="character" w:styleId="ListLabel1238">
    <w:name w:val="ListLabel 1238"/>
    <w:qFormat/>
    <w:rPr>
      <w:rFonts w:cs="Symbol"/>
      <w:sz w:val="20"/>
    </w:rPr>
  </w:style>
  <w:style w:type="character" w:styleId="ListLabel1239">
    <w:name w:val="ListLabel 1239"/>
    <w:qFormat/>
    <w:rPr>
      <w:rFonts w:cs="Courier New"/>
    </w:rPr>
  </w:style>
  <w:style w:type="character" w:styleId="ListLabel1240">
    <w:name w:val="ListLabel 1240"/>
    <w:qFormat/>
    <w:rPr>
      <w:rFonts w:cs="Wingdings"/>
    </w:rPr>
  </w:style>
  <w:style w:type="character" w:styleId="ListLabel1241">
    <w:name w:val="ListLabel 1241"/>
    <w:qFormat/>
    <w:rPr>
      <w:rFonts w:cs="Symbol"/>
    </w:rPr>
  </w:style>
  <w:style w:type="character" w:styleId="ListLabel1242">
    <w:name w:val="ListLabel 1242"/>
    <w:qFormat/>
    <w:rPr>
      <w:rFonts w:cs="Courier New"/>
    </w:rPr>
  </w:style>
  <w:style w:type="character" w:styleId="ListLabel1243">
    <w:name w:val="ListLabel 1243"/>
    <w:qFormat/>
    <w:rPr>
      <w:rFonts w:cs="Wingdings"/>
    </w:rPr>
  </w:style>
  <w:style w:type="character" w:styleId="ListLabel1244">
    <w:name w:val="ListLabel 1244"/>
    <w:qFormat/>
    <w:rPr>
      <w:rFonts w:cs="Symbol"/>
    </w:rPr>
  </w:style>
  <w:style w:type="character" w:styleId="ListLabel1245">
    <w:name w:val="ListLabel 1245"/>
    <w:qFormat/>
    <w:rPr>
      <w:rFonts w:cs="Courier New"/>
    </w:rPr>
  </w:style>
  <w:style w:type="character" w:styleId="ListLabel1246">
    <w:name w:val="ListLabel 1246"/>
    <w:qFormat/>
    <w:rPr>
      <w:rFonts w:cs="Wingdings"/>
    </w:rPr>
  </w:style>
  <w:style w:type="character" w:styleId="ListLabel1229">
    <w:name w:val="ListLabel 1229"/>
    <w:qFormat/>
    <w:rPr>
      <w:rFonts w:cs="Symbol"/>
      <w:sz w:val="20"/>
    </w:rPr>
  </w:style>
  <w:style w:type="character" w:styleId="ListLabel1230">
    <w:name w:val="ListLabel 1230"/>
    <w:qFormat/>
    <w:rPr>
      <w:rFonts w:cs="Courier New"/>
    </w:rPr>
  </w:style>
  <w:style w:type="character" w:styleId="ListLabel1231">
    <w:name w:val="ListLabel 1231"/>
    <w:qFormat/>
    <w:rPr>
      <w:rFonts w:cs="Wingdings"/>
    </w:rPr>
  </w:style>
  <w:style w:type="character" w:styleId="ListLabel1232">
    <w:name w:val="ListLabel 1232"/>
    <w:qFormat/>
    <w:rPr>
      <w:rFonts w:cs="Symbol"/>
    </w:rPr>
  </w:style>
  <w:style w:type="character" w:styleId="ListLabel1233">
    <w:name w:val="ListLabel 1233"/>
    <w:qFormat/>
    <w:rPr>
      <w:rFonts w:cs="Courier New"/>
    </w:rPr>
  </w:style>
  <w:style w:type="character" w:styleId="ListLabel1234">
    <w:name w:val="ListLabel 1234"/>
    <w:qFormat/>
    <w:rPr>
      <w:rFonts w:cs="Wingdings"/>
    </w:rPr>
  </w:style>
  <w:style w:type="character" w:styleId="ListLabel1235">
    <w:name w:val="ListLabel 1235"/>
    <w:qFormat/>
    <w:rPr>
      <w:rFonts w:cs="Symbol"/>
    </w:rPr>
  </w:style>
  <w:style w:type="character" w:styleId="ListLabel1236">
    <w:name w:val="ListLabel 1236"/>
    <w:qFormat/>
    <w:rPr>
      <w:rFonts w:cs="Courier New"/>
    </w:rPr>
  </w:style>
  <w:style w:type="character" w:styleId="ListLabel1237">
    <w:name w:val="ListLabel 1237"/>
    <w:qFormat/>
    <w:rPr>
      <w:rFonts w:cs="Wingdings"/>
    </w:rPr>
  </w:style>
  <w:style w:type="character" w:styleId="ListLabel1220">
    <w:name w:val="ListLabel 1220"/>
    <w:qFormat/>
    <w:rPr>
      <w:rFonts w:cs="Symbol"/>
      <w:sz w:val="20"/>
    </w:rPr>
  </w:style>
  <w:style w:type="character" w:styleId="ListLabel1221">
    <w:name w:val="ListLabel 1221"/>
    <w:qFormat/>
    <w:rPr>
      <w:rFonts w:cs="Courier New"/>
    </w:rPr>
  </w:style>
  <w:style w:type="character" w:styleId="ListLabel1222">
    <w:name w:val="ListLabel 1222"/>
    <w:qFormat/>
    <w:rPr>
      <w:rFonts w:cs="Wingdings"/>
    </w:rPr>
  </w:style>
  <w:style w:type="character" w:styleId="ListLabel1223">
    <w:name w:val="ListLabel 1223"/>
    <w:qFormat/>
    <w:rPr>
      <w:rFonts w:cs="Symbol"/>
    </w:rPr>
  </w:style>
  <w:style w:type="character" w:styleId="ListLabel1224">
    <w:name w:val="ListLabel 1224"/>
    <w:qFormat/>
    <w:rPr>
      <w:rFonts w:cs="Courier New"/>
    </w:rPr>
  </w:style>
  <w:style w:type="character" w:styleId="ListLabel1225">
    <w:name w:val="ListLabel 1225"/>
    <w:qFormat/>
    <w:rPr>
      <w:rFonts w:cs="Wingdings"/>
    </w:rPr>
  </w:style>
  <w:style w:type="character" w:styleId="ListLabel1226">
    <w:name w:val="ListLabel 1226"/>
    <w:qFormat/>
    <w:rPr>
      <w:rFonts w:cs="Symbol"/>
    </w:rPr>
  </w:style>
  <w:style w:type="character" w:styleId="ListLabel1227">
    <w:name w:val="ListLabel 1227"/>
    <w:qFormat/>
    <w:rPr>
      <w:rFonts w:cs="Courier New"/>
    </w:rPr>
  </w:style>
  <w:style w:type="character" w:styleId="ListLabel1228">
    <w:name w:val="ListLabel 1228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ph">
    <w:name w:val="Paragraph"/>
    <w:basedOn w:val="Normal"/>
    <w:qFormat/>
    <w:pPr>
      <w:widowControl w:val="false"/>
      <w:spacing w:before="240" w:after="20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LibreOffice/5.2.6.2$MacOSX_X86_64 LibreOffice_project/a3100ed2409ebf1c212f5048fbe377c281438fdc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2019-12-04T13:14:57Z</dcterms:created>
  <dc:creator>Matteo Bassoli</dc:creator>
  <dc:description/>
  <dc:language>it-IT</dc:language>
  <cp:lastModifiedBy>Matteo Bassoli</cp:lastModifiedBy>
  <dcterms:modified xsi:type="dcterms:W3CDTF">2019-12-04T13:15:44Z</dcterms:modified>
  <cp:revision>1</cp:revision>
  <dc:subject/>
  <dc:title/>
</cp:coreProperties>
</file>