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72" w:rsidRDefault="00316E72" w:rsidP="00316E7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u w:val="single"/>
          <w:lang w:val="en-US"/>
        </w:rPr>
        <w:t>Supplementary material</w:t>
      </w:r>
    </w:p>
    <w:bookmarkEnd w:id="0"/>
    <w:p w:rsidR="00316E72" w:rsidRPr="00316E72" w:rsidRDefault="00316E72" w:rsidP="00316E7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316E72" w:rsidRDefault="00316E72" w:rsidP="00316E7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Table A1. Overview survey items and mean scores (reproduced from Halpin et al. 2018)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932"/>
        <w:gridCol w:w="851"/>
      </w:tblGrid>
      <w:tr w:rsidR="00316E72" w:rsidRPr="00A11D05" w:rsidTr="00313E41">
        <w:trPr>
          <w:trHeight w:val="280"/>
        </w:trPr>
        <w:tc>
          <w:tcPr>
            <w:tcW w:w="1555" w:type="dxa"/>
            <w:shd w:val="clear" w:color="auto" w:fill="EEECE1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val="en-US"/>
              </w:rPr>
            </w:pPr>
          </w:p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b/>
                <w:bCs/>
                <w:color w:val="000000"/>
                <w:lang w:val="en-US"/>
              </w:rPr>
              <w:t>Dimension</w:t>
            </w:r>
          </w:p>
        </w:tc>
        <w:tc>
          <w:tcPr>
            <w:tcW w:w="4932" w:type="dxa"/>
            <w:shd w:val="clear" w:color="auto" w:fill="EEECE1"/>
            <w:noWrap/>
            <w:vAlign w:val="bottom"/>
            <w:hideMark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b/>
                <w:bCs/>
                <w:color w:val="000000"/>
                <w:lang w:val="en-US"/>
              </w:rPr>
              <w:t xml:space="preserve">Item 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(We </w:t>
            </w:r>
            <w:proofErr w:type="spellStart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prioritise</w:t>
            </w:r>
            <w:proofErr w:type="spellEnd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an issue when …)</w:t>
            </w:r>
          </w:p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</w:p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shd w:val="clear" w:color="auto" w:fill="EEECE1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val="en-US"/>
              </w:rPr>
            </w:pPr>
          </w:p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b/>
                <w:bCs/>
                <w:color w:val="000000"/>
                <w:lang w:val="en-US"/>
              </w:rPr>
              <w:t xml:space="preserve">Mean 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Internal responsiveness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a. the issue is in the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 xml:space="preserve">interests 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of the people or institutions this </w:t>
            </w:r>
            <w:proofErr w:type="spellStart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organisation</w:t>
            </w:r>
            <w:proofErr w:type="spellEnd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represents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*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4.4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MS Mincho" w:hAnsi="Garamond" w:cs="Times New Roman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Internal responsiveness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proofErr w:type="spellStart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b.</w:t>
            </w:r>
            <w:proofErr w:type="spellEnd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the issue is explicitly mentioned as a priority in our </w:t>
            </w:r>
            <w:proofErr w:type="spellStart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organisation’s</w:t>
            </w:r>
            <w:proofErr w:type="spellEnd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mission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statement, policy statement, or similar document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4.3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MS Mincho" w:hAnsi="Garamond" w:cs="Times New Roman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Internal responsiveness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c. the issue is among the stated preferences of our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members</w:t>
            </w:r>
          </w:p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4.2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MS Mincho" w:hAnsi="Garamond" w:cs="Times New Roman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Internal responsiveness</w:t>
            </w:r>
          </w:p>
        </w:tc>
        <w:tc>
          <w:tcPr>
            <w:tcW w:w="4932" w:type="dxa"/>
            <w:shd w:val="clear" w:color="auto" w:fill="auto"/>
            <w:noWrap/>
            <w:vAlign w:val="bottom"/>
            <w:hideMark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d. the issue is currently of interest to the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leaders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of this organization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4.0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Internal responsiveness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e. the issue is among the stated preferences of some of our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institutional contributors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(e.g. private foundations)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2.8 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Internal responsiveness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f. the issue is among the stated preferences of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 xml:space="preserve">large donor contributors 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(i.e. members who contribute in excess of membership dues) 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2.7 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Capacity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g. the issue is one that can be effectively addressed given existing in-house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staff experience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.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3.5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Capacity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h. our financial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resources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allow us to adequately address the issue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3.0 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Niche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i. the issue is one that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 xml:space="preserve">other like-minded </w:t>
            </w:r>
            <w:proofErr w:type="spellStart"/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organisations</w:t>
            </w:r>
            <w:proofErr w:type="spellEnd"/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 xml:space="preserve"> are dealing with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, and that this </w:t>
            </w:r>
            <w:proofErr w:type="spellStart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organisation</w:t>
            </w:r>
            <w:proofErr w:type="spellEnd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believes can be addressed more effectively with further attention 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3.7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Niche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j. the issue is one that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 xml:space="preserve">other like-minded </w:t>
            </w:r>
            <w:proofErr w:type="spellStart"/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organisations</w:t>
            </w:r>
            <w:proofErr w:type="spellEnd"/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 xml:space="preserve"> are not dealing with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, and this </w:t>
            </w:r>
            <w:proofErr w:type="spellStart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organisation</w:t>
            </w:r>
            <w:proofErr w:type="spellEnd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believes needs attention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3.5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POS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k. the issue is one that is being addressed by this </w:t>
            </w:r>
            <w:proofErr w:type="spellStart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organisation’s</w:t>
            </w:r>
            <w:proofErr w:type="spellEnd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</w:t>
            </w:r>
            <w:proofErr w:type="spellStart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organisational</w:t>
            </w:r>
            <w:proofErr w:type="spellEnd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opponents, and thus needs to be addressed so its point of view is heard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3.3 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POS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l. we have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allies within government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to help this </w:t>
            </w:r>
            <w:proofErr w:type="spellStart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organisation</w:t>
            </w:r>
            <w:proofErr w:type="spellEnd"/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“win” on the issue</w:t>
            </w:r>
            <w:r w:rsidRPr="00A11D05">
              <w:rPr>
                <w:rFonts w:ascii="Garamond" w:eastAsia="Times New Roman" w:hAnsi="Garamond" w:cs="Times New Roman"/>
                <w:color w:val="000000"/>
                <w:vertAlign w:val="superscript"/>
                <w:lang w:val="en-US"/>
              </w:rPr>
              <w:t>+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3.0 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POS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m. we have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opponents within government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who work against us on the issue 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2.8 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POS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n. the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likelihood of victory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on the issue is high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3.0 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Salience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o. the issue is currently on the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governmental agenda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(i.e. it is being given considerable attention by the government)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3.8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Salience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p. a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recent event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such as a crisis or a disaster highlights the importance of the issue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3.6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Salience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q. the issue is currently on the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public agenda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(i.e. it is being given considerable attention by the public at large)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3.5</w:t>
            </w:r>
          </w:p>
        </w:tc>
      </w:tr>
      <w:tr w:rsidR="00316E72" w:rsidRPr="00A11D05" w:rsidTr="00313E41">
        <w:trPr>
          <w:trHeight w:val="280"/>
        </w:trPr>
        <w:tc>
          <w:tcPr>
            <w:tcW w:w="1555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>Salience</w:t>
            </w:r>
          </w:p>
        </w:tc>
        <w:tc>
          <w:tcPr>
            <w:tcW w:w="4932" w:type="dxa"/>
            <w:shd w:val="clear" w:color="auto" w:fill="auto"/>
            <w:noWrap/>
            <w:vAlign w:val="bottom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r. the issue is currently on the </w:t>
            </w:r>
            <w:r w:rsidRPr="00A11D05">
              <w:rPr>
                <w:rFonts w:ascii="Garamond" w:eastAsia="Times New Roman" w:hAnsi="Garamond" w:cs="Times New Roman"/>
                <w:i/>
                <w:color w:val="000000"/>
                <w:lang w:val="en-US"/>
              </w:rPr>
              <w:t>media agenda</w:t>
            </w: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 (i.e. it is being given considerable attention by the media)</w:t>
            </w:r>
          </w:p>
        </w:tc>
        <w:tc>
          <w:tcPr>
            <w:tcW w:w="851" w:type="dxa"/>
          </w:tcPr>
          <w:p w:rsidR="00316E72" w:rsidRPr="00A11D05" w:rsidRDefault="00316E72" w:rsidP="00313E4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A11D05">
              <w:rPr>
                <w:rFonts w:ascii="Garamond" w:eastAsia="Times New Roman" w:hAnsi="Garamond" w:cs="Times New Roman"/>
                <w:color w:val="000000"/>
                <w:lang w:val="en-US"/>
              </w:rPr>
              <w:t xml:space="preserve">3.4 </w:t>
            </w:r>
          </w:p>
        </w:tc>
      </w:tr>
    </w:tbl>
    <w:p w:rsidR="00316E72" w:rsidRPr="00A11D05" w:rsidRDefault="00316E72" w:rsidP="00316E72">
      <w:pPr>
        <w:spacing w:after="0" w:line="240" w:lineRule="auto"/>
        <w:rPr>
          <w:rFonts w:ascii="Garamond" w:eastAsia="MS Mincho" w:hAnsi="Garamond" w:cs="Times New Roman"/>
          <w:sz w:val="20"/>
          <w:szCs w:val="20"/>
          <w:lang w:val="en-US"/>
        </w:rPr>
      </w:pPr>
      <w:r w:rsidRPr="00A11D05">
        <w:rPr>
          <w:rFonts w:ascii="Garamond" w:eastAsia="MS Mincho" w:hAnsi="Garamond" w:cs="Times New Roman"/>
          <w:sz w:val="20"/>
          <w:szCs w:val="20"/>
          <w:lang w:val="en-US"/>
        </w:rPr>
        <w:t xml:space="preserve">*For brevity this item is labelled ‘constituency’ in the models that follow. </w:t>
      </w:r>
    </w:p>
    <w:p w:rsidR="00316E72" w:rsidRPr="00A11D05" w:rsidRDefault="00316E72" w:rsidP="00316E72">
      <w:pPr>
        <w:spacing w:after="0" w:line="240" w:lineRule="auto"/>
        <w:rPr>
          <w:rFonts w:ascii="Garamond" w:eastAsia="MS Mincho" w:hAnsi="Garamond" w:cs="Times New Roman"/>
          <w:sz w:val="20"/>
          <w:szCs w:val="20"/>
          <w:lang w:val="en-US"/>
        </w:rPr>
      </w:pPr>
      <w:r w:rsidRPr="00A11D05">
        <w:rPr>
          <w:rFonts w:ascii="Garamond" w:eastAsia="MS Mincho" w:hAnsi="Garamond" w:cs="Times New Roman"/>
          <w:sz w:val="20"/>
          <w:szCs w:val="20"/>
          <w:vertAlign w:val="superscript"/>
          <w:lang w:val="en-US"/>
        </w:rPr>
        <w:t>+</w:t>
      </w:r>
      <w:r w:rsidRPr="00A11D05">
        <w:rPr>
          <w:rFonts w:ascii="Garamond" w:eastAsia="MS Mincho" w:hAnsi="Garamond" w:cs="Times New Roman"/>
          <w:sz w:val="20"/>
          <w:szCs w:val="20"/>
          <w:lang w:val="en-US"/>
        </w:rPr>
        <w:t xml:space="preserve"> The term “government” refers to the executive, e.g. in the Australian case the Cabinet.</w:t>
      </w:r>
    </w:p>
    <w:p w:rsidR="00316E72" w:rsidRPr="00A11D05" w:rsidRDefault="00316E72" w:rsidP="00316E72">
      <w:pPr>
        <w:spacing w:after="0" w:line="240" w:lineRule="auto"/>
        <w:rPr>
          <w:rFonts w:ascii="Garamond" w:eastAsia="MS Mincho" w:hAnsi="Garamond" w:cs="Times New Roman"/>
          <w:sz w:val="20"/>
          <w:szCs w:val="20"/>
          <w:lang w:val="en-US"/>
        </w:rPr>
      </w:pPr>
      <w:r w:rsidRPr="00A11D05">
        <w:rPr>
          <w:rFonts w:ascii="Garamond" w:eastAsia="MS Mincho" w:hAnsi="Garamond" w:cs="Times New Roman"/>
          <w:sz w:val="20"/>
          <w:szCs w:val="20"/>
          <w:lang w:val="en-US"/>
        </w:rPr>
        <w:t>Note: The n varies between 350 and 356 for all items, except for questions “e” (institutional contributors; n=173) and “f” (large donor contributors; n=286), as groups were asked to skip these survey items if they were not applicable to them. Subsequent analysis in this paper drops these two items.</w:t>
      </w:r>
    </w:p>
    <w:p w:rsidR="00316E72" w:rsidRPr="00316E72" w:rsidRDefault="00316E72" w:rsidP="00316E72">
      <w:pPr>
        <w:rPr>
          <w:lang w:val="en-US"/>
        </w:rPr>
      </w:pPr>
    </w:p>
    <w:p w:rsidR="00316E72" w:rsidRDefault="00316E72" w:rsidP="00316E72">
      <w:pPr>
        <w:rPr>
          <w:rFonts w:ascii="Cambria" w:hAnsi="Cambria"/>
          <w:b/>
          <w:sz w:val="24"/>
          <w:lang w:val="en-US"/>
        </w:rPr>
      </w:pPr>
      <w:r>
        <w:rPr>
          <w:rFonts w:ascii="Cambria" w:hAnsi="Cambria"/>
          <w:b/>
          <w:sz w:val="24"/>
          <w:lang w:val="en-US"/>
        </w:rPr>
        <w:lastRenderedPageBreak/>
        <w:t>Table A2. Overview interviews</w:t>
      </w:r>
    </w:p>
    <w:p w:rsidR="00316E72" w:rsidRDefault="00316E72" w:rsidP="00316E72">
      <w:pPr>
        <w:pStyle w:val="NoSpacing"/>
        <w:spacing w:line="360" w:lineRule="auto"/>
        <w:jc w:val="both"/>
        <w:rPr>
          <w:rFonts w:ascii="Cambria" w:hAnsi="Cambria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3828"/>
      </w:tblGrid>
      <w:tr w:rsidR="00316E72" w:rsidRPr="00BF0730" w:rsidTr="00313E41">
        <w:trPr>
          <w:trHeight w:val="315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9560CF">
              <w:rPr>
                <w:rFonts w:ascii="Times New Roman" w:hAnsi="Times New Roman" w:cs="Times New Roman"/>
              </w:rPr>
              <w:t>ype</w:t>
            </w:r>
          </w:p>
        </w:tc>
      </w:tr>
      <w:tr w:rsidR="00316E72" w:rsidRPr="00BF0730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 group</w:t>
            </w:r>
          </w:p>
        </w:tc>
      </w:tr>
      <w:tr w:rsidR="00316E72" w:rsidRPr="00BF0730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 group</w:t>
            </w:r>
          </w:p>
        </w:tc>
      </w:tr>
      <w:tr w:rsidR="00316E72" w:rsidRPr="00BF0730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 group</w:t>
            </w:r>
          </w:p>
        </w:tc>
      </w:tr>
      <w:tr w:rsidR="00316E72" w:rsidRPr="00BF0730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group</w:t>
            </w:r>
          </w:p>
        </w:tc>
      </w:tr>
      <w:tr w:rsidR="00316E72" w:rsidRPr="00BF0730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group</w:t>
            </w:r>
          </w:p>
        </w:tc>
      </w:tr>
      <w:tr w:rsidR="00316E72" w:rsidRPr="00BF0730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group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group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 group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association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association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 group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group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association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Trade union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association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Trade union</w:t>
            </w:r>
          </w:p>
        </w:tc>
      </w:tr>
      <w:tr w:rsidR="00316E72" w:rsidRPr="009560CF" w:rsidTr="00313E41">
        <w:trPr>
          <w:trHeight w:val="300"/>
        </w:trPr>
        <w:tc>
          <w:tcPr>
            <w:tcW w:w="940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560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noWrap/>
            <w:hideMark/>
          </w:tcPr>
          <w:p w:rsidR="00316E72" w:rsidRPr="009560CF" w:rsidRDefault="00316E72" w:rsidP="00313E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association</w:t>
            </w:r>
          </w:p>
        </w:tc>
      </w:tr>
    </w:tbl>
    <w:p w:rsidR="00316E72" w:rsidRDefault="00316E72" w:rsidP="00316E72">
      <w:pPr>
        <w:rPr>
          <w:rFonts w:ascii="Cambria" w:hAnsi="Cambria"/>
          <w:b/>
          <w:i/>
          <w:sz w:val="24"/>
          <w:lang w:val="en-AU"/>
        </w:rPr>
      </w:pPr>
    </w:p>
    <w:p w:rsidR="00316E72" w:rsidRPr="001F2716" w:rsidRDefault="00316E72" w:rsidP="00316E72">
      <w:pPr>
        <w:rPr>
          <w:rFonts w:ascii="Cambria" w:hAnsi="Cambria"/>
          <w:b/>
          <w:i/>
          <w:sz w:val="24"/>
          <w:lang w:val="en-AU"/>
        </w:rPr>
      </w:pPr>
    </w:p>
    <w:p w:rsidR="00316E72" w:rsidRDefault="00316E72" w:rsidP="00316E72"/>
    <w:p w:rsidR="00316E72" w:rsidRDefault="00316E72">
      <w:r>
        <w:br w:type="page"/>
      </w:r>
    </w:p>
    <w:p w:rsidR="00316E72" w:rsidRDefault="00316E72" w:rsidP="00316E72">
      <w:pPr>
        <w:rPr>
          <w:rFonts w:ascii="Cambria" w:hAnsi="Cambria"/>
          <w:b/>
          <w:sz w:val="24"/>
          <w:lang w:val="en-US"/>
        </w:rPr>
      </w:pPr>
      <w:r>
        <w:rPr>
          <w:rFonts w:ascii="Cambria" w:hAnsi="Cambria"/>
          <w:b/>
          <w:sz w:val="24"/>
          <w:lang w:val="en-US"/>
        </w:rPr>
        <w:lastRenderedPageBreak/>
        <w:t>Table A3. Seemingly Unrelated Regression with Issue Prioritization Measures as Dependent Variables (categorical variable competition member funding)</w:t>
      </w:r>
    </w:p>
    <w:tbl>
      <w:tblPr>
        <w:tblW w:w="9533" w:type="dxa"/>
        <w:tblInd w:w="93" w:type="dxa"/>
        <w:tblLook w:val="04A0" w:firstRow="1" w:lastRow="0" w:firstColumn="1" w:lastColumn="0" w:noHBand="0" w:noVBand="1"/>
      </w:tblPr>
      <w:tblGrid>
        <w:gridCol w:w="2110"/>
        <w:gridCol w:w="1673"/>
        <w:gridCol w:w="1150"/>
        <w:gridCol w:w="1150"/>
        <w:gridCol w:w="1150"/>
        <w:gridCol w:w="1150"/>
        <w:gridCol w:w="1150"/>
      </w:tblGrid>
      <w:tr w:rsidR="00316E72" w:rsidTr="00316E72">
        <w:trPr>
          <w:trHeight w:val="285"/>
        </w:trPr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Niche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Salience</w:t>
            </w:r>
            <w:proofErr w:type="spellEnd"/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Policy </w:t>
            </w: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Generalist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0.026**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-0.001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0.013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0.023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0.043***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(0.018)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(0.014)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(0.015)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(0.015)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0.156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0.279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0.393***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0.285*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-0.085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(0.117)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(0.172)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(0.140)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(0.149)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(0.148)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Competition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member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competition</w:t>
            </w:r>
            <w:proofErr w:type="spellEnd"/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Little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-0.041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-0.025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0.052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0.070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-0.098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(0.096)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(0.115)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(0.122)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(0.121)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0.076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0.031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0.232**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0.134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-0.018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(0.096)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(0.115)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(0.122)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(0.122)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 lot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-0.017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-0.099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0.312**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0.006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-0.143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(0.110)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(0.162)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(0.132)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(0.140)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(0.139)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Org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 Features</w:t>
            </w: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Mem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involvement</w:t>
            </w:r>
            <w:proofErr w:type="spellEnd"/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0.208***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-0.043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0.033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0.054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-0.070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(0.072)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(0.106)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(0.086)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(0.091)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(0.091)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Staff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0.063**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0.181***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-0.015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0.026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0.147***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(0.031)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(0.046)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(0.038)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(0.040)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(0.040)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Group Type</w:t>
            </w: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Citizen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0.181*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-0.030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0.203*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0.070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0.122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(0.098)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(0.144)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(0.117)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(0.124)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(0.124)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0.073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0.110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0.221**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-0.111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0.049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(0.079)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(0.116)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(0.094)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(0.100)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(0.099)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Service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-0.210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-0.432*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-0.176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-0.013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-0.025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(0.167)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(0.245)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(0.199)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(0.212)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(0.211)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3.859***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3.049***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3.307***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2.865***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3.305***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316E72" w:rsidRDefault="00316E72">
            <w:pPr>
              <w:spacing w:after="0"/>
              <w:rPr>
                <w:sz w:val="20"/>
                <w:szCs w:val="20"/>
                <w:lang w:eastAsia="nl-NL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(0.109)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(0.160)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(0.130)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(0.138)</w:t>
            </w:r>
          </w:p>
        </w:tc>
        <w:tc>
          <w:tcPr>
            <w:tcW w:w="1150" w:type="dxa"/>
            <w:noWrap/>
            <w:vAlign w:val="bottom"/>
            <w:hideMark/>
          </w:tcPr>
          <w:p w:rsidR="00316E72" w:rsidRDefault="00316E72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(0.138)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R-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sqr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0.128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0.107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0.097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0.055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0.094</w:t>
            </w:r>
          </w:p>
        </w:tc>
      </w:tr>
      <w:tr w:rsidR="00316E72" w:rsidTr="00316E72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6E72" w:rsidRDefault="00316E7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</w:tr>
    </w:tbl>
    <w:p w:rsidR="00316E72" w:rsidRDefault="00316E72" w:rsidP="00316E72">
      <w:pPr>
        <w:widowControl w:val="0"/>
        <w:rPr>
          <w:rFonts w:ascii="Garamond" w:hAnsi="Garamond"/>
          <w:lang w:val="en-US"/>
        </w:rPr>
      </w:pPr>
      <w:r>
        <w:rPr>
          <w:rFonts w:ascii="Garamond" w:hAnsi="Garamond"/>
          <w:i/>
          <w:lang w:val="en-US"/>
        </w:rPr>
        <w:t>Notes</w:t>
      </w:r>
      <w:r>
        <w:rPr>
          <w:rFonts w:ascii="Garamond" w:hAnsi="Garamond"/>
          <w:lang w:val="en-US"/>
        </w:rPr>
        <w:t>: Numbers are coefficient estimates, standard errors are in parentheses. ***p&lt;.01 (two-tailed test), **p&lt;.05 (two-tailed test), *.10 (one-tailed test).</w:t>
      </w:r>
    </w:p>
    <w:p w:rsidR="00316E72" w:rsidRPr="009B6C07" w:rsidRDefault="00316E72" w:rsidP="00316E72">
      <w:pPr>
        <w:rPr>
          <w:rFonts w:ascii="Cambria" w:hAnsi="Cambria"/>
          <w:b/>
          <w:sz w:val="24"/>
          <w:lang w:val="en-US"/>
        </w:rPr>
      </w:pPr>
      <w:r w:rsidRPr="008446B5">
        <w:rPr>
          <w:rFonts w:ascii="Cambria" w:hAnsi="Cambria"/>
          <w:b/>
          <w:sz w:val="24"/>
          <w:lang w:val="en-US"/>
        </w:rPr>
        <w:lastRenderedPageBreak/>
        <w:t xml:space="preserve">Table </w:t>
      </w:r>
      <w:r>
        <w:rPr>
          <w:rFonts w:ascii="Cambria" w:hAnsi="Cambria"/>
          <w:b/>
          <w:sz w:val="24"/>
          <w:lang w:val="en-US"/>
        </w:rPr>
        <w:t>A4</w:t>
      </w:r>
      <w:r w:rsidRPr="008446B5">
        <w:rPr>
          <w:rFonts w:ascii="Cambria" w:hAnsi="Cambria"/>
          <w:b/>
          <w:sz w:val="24"/>
          <w:lang w:val="en-US"/>
        </w:rPr>
        <w:t>. Seemingly Unrelated Regression with Issue Prioritization Measures as Dependent Variables</w:t>
      </w:r>
      <w:r>
        <w:rPr>
          <w:rFonts w:ascii="Cambria" w:hAnsi="Cambria"/>
          <w:b/>
          <w:sz w:val="24"/>
          <w:lang w:val="en-US"/>
        </w:rPr>
        <w:t xml:space="preserve"> (categorical variable member involvement)</w:t>
      </w:r>
    </w:p>
    <w:tbl>
      <w:tblPr>
        <w:tblW w:w="9533" w:type="dxa"/>
        <w:tblInd w:w="93" w:type="dxa"/>
        <w:tblLook w:val="04A0" w:firstRow="1" w:lastRow="0" w:firstColumn="1" w:lastColumn="0" w:noHBand="0" w:noVBand="1"/>
      </w:tblPr>
      <w:tblGrid>
        <w:gridCol w:w="2110"/>
        <w:gridCol w:w="1673"/>
        <w:gridCol w:w="1150"/>
        <w:gridCol w:w="1150"/>
        <w:gridCol w:w="1150"/>
        <w:gridCol w:w="1150"/>
        <w:gridCol w:w="1150"/>
      </w:tblGrid>
      <w:tr w:rsidR="00316E72" w:rsidRPr="00A865BF" w:rsidTr="00313E41">
        <w:trPr>
          <w:trHeight w:val="285"/>
        </w:trPr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1E3E2D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US"/>
              </w:rPr>
            </w:pPr>
            <w:r w:rsidRPr="001E3E2D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ED4871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US"/>
              </w:rPr>
            </w:pPr>
            <w:r w:rsidRPr="00ED487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06C1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06C1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06C1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 w:rsidRPr="00606C1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06C1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06C1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Niche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06C1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 w:rsidRPr="00606C1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Salience</w:t>
            </w:r>
            <w:proofErr w:type="spellEnd"/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Policy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Generalist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2E62A7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0.027</w:t>
            </w:r>
            <w:r w:rsidRPr="002E62A7">
              <w:rPr>
                <w:rFonts w:ascii="Garamond" w:hAnsi="Garamond" w:cs="Calibri"/>
                <w:b/>
                <w:sz w:val="20"/>
                <w:szCs w:val="20"/>
              </w:rPr>
              <w:t>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C75F3A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C75F3A">
              <w:rPr>
                <w:rFonts w:ascii="Garamond" w:hAnsi="Garamond" w:cs="Calibri"/>
                <w:sz w:val="20"/>
                <w:szCs w:val="20"/>
              </w:rPr>
              <w:t>0.0</w:t>
            </w:r>
            <w:r>
              <w:rPr>
                <w:rFonts w:ascii="Garamond" w:hAnsi="Garamond" w:cs="Calibri"/>
                <w:sz w:val="20"/>
                <w:szCs w:val="20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0.045</w:t>
            </w:r>
            <w:r w:rsidRPr="00675746">
              <w:rPr>
                <w:rFonts w:ascii="Garamond" w:hAnsi="Garamond" w:cs="Calibri"/>
                <w:b/>
                <w:sz w:val="20"/>
                <w:szCs w:val="20"/>
              </w:rPr>
              <w:t>***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(0.012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(0.018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(0.014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(0.015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(0.015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0.141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15959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0.266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0.408</w:t>
            </w:r>
            <w:r w:rsidRPr="00675746">
              <w:rPr>
                <w:rFonts w:ascii="Garamond" w:hAnsi="Garamond" w:cs="Calibri"/>
                <w:b/>
                <w:sz w:val="20"/>
                <w:szCs w:val="20"/>
              </w:rPr>
              <w:t>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C75F3A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0.288**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-0.112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(0.116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(0.170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(0.138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(0.147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(0.146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Competition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member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Competition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0.063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-0.007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0.234</w:t>
            </w:r>
            <w:r w:rsidRPr="00675746">
              <w:rPr>
                <w:rFonts w:ascii="Garamond" w:hAnsi="Garamond" w:cs="Calibri"/>
                <w:b/>
                <w:sz w:val="20"/>
                <w:szCs w:val="20"/>
              </w:rPr>
              <w:t>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0.051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-0.013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(0.068)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(0.101)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(0.082)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(0.087)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(0.087)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Mem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involvement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Not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too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involved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Somewhat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involved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-0.055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-0.201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0.124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0.166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-0.182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(0.136)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(0.199)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(0.1629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(0.172)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(0.171)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Very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involved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0.148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-0.238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0.153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0.185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-0.247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(0.140)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(0.205)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(0.167)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(0.177)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Default="00316E72" w:rsidP="00313E4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(0.176)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Staff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Staff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0.062*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0.180</w:t>
            </w:r>
            <w:r w:rsidRPr="00675746">
              <w:rPr>
                <w:rFonts w:ascii="Garamond" w:hAnsi="Garamond" w:cs="Calibri"/>
                <w:b/>
                <w:sz w:val="20"/>
                <w:szCs w:val="20"/>
              </w:rPr>
              <w:t>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0.147</w:t>
            </w:r>
            <w:r w:rsidRPr="00675746">
              <w:rPr>
                <w:rFonts w:ascii="Garamond" w:hAnsi="Garamond" w:cs="Calibri"/>
                <w:b/>
                <w:sz w:val="20"/>
                <w:szCs w:val="20"/>
              </w:rPr>
              <w:t>***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(0.031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(0.046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(0.038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(0.040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(0.040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Group Type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</w:t>
            </w: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roup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(.)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proofErr w:type="spellStart"/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Citizen</w:t>
            </w:r>
            <w:proofErr w:type="spellEnd"/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</w:t>
            </w: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roup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2E62A7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0.175</w:t>
            </w:r>
            <w:r w:rsidRPr="002E62A7">
              <w:rPr>
                <w:rFonts w:ascii="Garamond" w:hAnsi="Garamond" w:cs="Calibri"/>
                <w:b/>
                <w:sz w:val="20"/>
                <w:szCs w:val="20"/>
              </w:rPr>
              <w:t>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0.211</w:t>
            </w:r>
            <w:r w:rsidRPr="00675746">
              <w:rPr>
                <w:rFonts w:ascii="Garamond" w:hAnsi="Garamond" w:cs="Calibri"/>
                <w:b/>
                <w:sz w:val="20"/>
                <w:szCs w:val="20"/>
              </w:rPr>
              <w:t>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0.072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0.111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(0.098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(0.144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(0.117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75746">
              <w:rPr>
                <w:rFonts w:ascii="Garamond" w:hAnsi="Garamond" w:cs="Calibri"/>
                <w:sz w:val="20"/>
                <w:szCs w:val="20"/>
              </w:rPr>
              <w:t>(0.124)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(0.124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Prof.</w:t>
            </w: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</w:t>
            </w: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roup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0.071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0.102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0.227</w:t>
            </w:r>
            <w:r w:rsidRPr="00675746">
              <w:rPr>
                <w:rFonts w:ascii="Garamond" w:hAnsi="Garamond" w:cs="Calibri"/>
                <w:b/>
                <w:sz w:val="20"/>
                <w:szCs w:val="20"/>
              </w:rPr>
              <w:t>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-0.101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0.041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(0.079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(0.116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(0.094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(0.100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(0.100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Service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g</w:t>
            </w: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roup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-0.229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7468D" w:rsidRDefault="00316E72" w:rsidP="00313E41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-0.469</w:t>
            </w:r>
            <w:r w:rsidRPr="00A7468D">
              <w:rPr>
                <w:rFonts w:ascii="Garamond" w:hAnsi="Garamond" w:cs="Calibri"/>
                <w:b/>
                <w:sz w:val="20"/>
                <w:szCs w:val="20"/>
              </w:rPr>
              <w:t>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-0.156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-0.007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-0.053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(0.166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(0.243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(0.198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(0.210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(0.209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3.894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**</w:t>
            </w:r>
            <w:r>
              <w:rPr>
                <w:rFonts w:ascii="Garamond" w:hAnsi="Garamond" w:cs="Calibri"/>
                <w:sz w:val="20"/>
                <w:szCs w:val="20"/>
              </w:rPr>
              <w:t>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3.227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3.219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2.773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3.422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***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(0.152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(0.223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(0.181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(0.192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(0.191</w:t>
            </w:r>
            <w:r w:rsidRPr="00675746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75746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R-</w:t>
            </w:r>
            <w:proofErr w:type="spellStart"/>
            <w:r w:rsidRPr="00675746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sqr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0.108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0.097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0.054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675746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0.092</w:t>
            </w:r>
          </w:p>
        </w:tc>
      </w:tr>
      <w:tr w:rsidR="00316E72" w:rsidRPr="00A865BF" w:rsidTr="00313E41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A865B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E72" w:rsidRPr="00A865BF" w:rsidRDefault="00316E72" w:rsidP="00313E41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263</w:t>
            </w:r>
          </w:p>
        </w:tc>
      </w:tr>
    </w:tbl>
    <w:p w:rsidR="00316E72" w:rsidRDefault="00316E72" w:rsidP="00316E72">
      <w:pPr>
        <w:widowControl w:val="0"/>
        <w:rPr>
          <w:rFonts w:ascii="Garamond" w:hAnsi="Garamond"/>
          <w:lang w:val="en-US"/>
        </w:rPr>
      </w:pPr>
      <w:r w:rsidRPr="001E3E2D">
        <w:rPr>
          <w:rFonts w:ascii="Garamond" w:hAnsi="Garamond"/>
          <w:i/>
          <w:lang w:val="en-US"/>
        </w:rPr>
        <w:t>Notes</w:t>
      </w:r>
      <w:r w:rsidRPr="001E3E2D">
        <w:rPr>
          <w:rFonts w:ascii="Garamond" w:hAnsi="Garamond"/>
          <w:lang w:val="en-US"/>
        </w:rPr>
        <w:t>: Numbers are coefficient estimates, standard errors are in parentheses. ***p&lt;.01 (two-tailed test), **p&lt;.05 (two-tailed test), *.10 (one-tailed test).</w:t>
      </w:r>
    </w:p>
    <w:p w:rsidR="00316E72" w:rsidRPr="001E3E2D" w:rsidRDefault="00316E72" w:rsidP="00316E72">
      <w:pPr>
        <w:widowControl w:val="0"/>
        <w:rPr>
          <w:rFonts w:ascii="Garamond" w:hAnsi="Garamond"/>
          <w:lang w:val="en-US"/>
        </w:rPr>
      </w:pPr>
    </w:p>
    <w:p w:rsidR="002A4749" w:rsidRPr="00316E72" w:rsidRDefault="002A4749">
      <w:pPr>
        <w:rPr>
          <w:lang w:val="en-US"/>
        </w:rPr>
      </w:pPr>
    </w:p>
    <w:sectPr w:rsidR="002A4749" w:rsidRPr="0031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72"/>
    <w:rsid w:val="002A4749"/>
    <w:rsid w:val="0031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3C91"/>
  <w15:chartTrackingRefBased/>
  <w15:docId w15:val="{2FD317FE-A192-4F6C-851E-467B8279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6E7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16E72"/>
  </w:style>
  <w:style w:type="table" w:styleId="TableGrid">
    <w:name w:val="Table Grid"/>
    <w:basedOn w:val="TableNormal"/>
    <w:uiPriority w:val="39"/>
    <w:rsid w:val="00316E72"/>
    <w:pPr>
      <w:spacing w:after="0" w:line="240" w:lineRule="auto"/>
    </w:pPr>
    <w:rPr>
      <w:rFonts w:eastAsiaTheme="minorEastAsia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ISSC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Fraussen, B.</dc:creator>
  <cp:keywords/>
  <dc:description/>
  <cp:lastModifiedBy>Fraussen, B.</cp:lastModifiedBy>
  <cp:revision>1</cp:revision>
  <dcterms:created xsi:type="dcterms:W3CDTF">2020-06-30T10:05:00Z</dcterms:created>
  <dcterms:modified xsi:type="dcterms:W3CDTF">2020-06-30T10:07:00Z</dcterms:modified>
</cp:coreProperties>
</file>