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BFE451" w14:textId="2F68A501" w:rsidR="00CE4645" w:rsidRDefault="00CE4645" w:rsidP="00CE4645">
      <w:pPr>
        <w:widowControl w:val="0"/>
        <w:autoSpaceDE w:val="0"/>
        <w:autoSpaceDN w:val="0"/>
        <w:adjustRightInd w:val="0"/>
        <w:spacing w:line="480" w:lineRule="auto"/>
        <w:jc w:val="both"/>
        <w:rPr>
          <w:b/>
          <w:bCs/>
          <w:color w:val="000000" w:themeColor="text1"/>
          <w:lang w:val="en-GB"/>
        </w:rPr>
      </w:pPr>
      <w:bookmarkStart w:id="0" w:name="_GoBack"/>
      <w:bookmarkEnd w:id="0"/>
      <w:r w:rsidRPr="00BB04D0">
        <w:rPr>
          <w:b/>
          <w:bCs/>
          <w:color w:val="000000" w:themeColor="text1"/>
          <w:lang w:val="en-GB"/>
        </w:rPr>
        <w:t xml:space="preserve">Supplementary Materials </w:t>
      </w:r>
      <w:r w:rsidR="00535991">
        <w:rPr>
          <w:b/>
          <w:bCs/>
          <w:color w:val="000000" w:themeColor="text1"/>
          <w:lang w:val="en-GB"/>
        </w:rPr>
        <w:t xml:space="preserve">- </w:t>
      </w:r>
      <w:r w:rsidR="00535991" w:rsidRPr="00535991">
        <w:rPr>
          <w:b/>
          <w:bCs/>
          <w:color w:val="000000" w:themeColor="text1"/>
          <w:lang w:val="en-GB"/>
        </w:rPr>
        <w:t>From Clubs to Hubs: Analysing Lobbying Networks in EU Financial Regulation After Crisis</w:t>
      </w:r>
    </w:p>
    <w:p w14:paraId="5C8EE417" w14:textId="70D12031" w:rsidR="00535991" w:rsidRDefault="00535991" w:rsidP="00CE4645">
      <w:pPr>
        <w:widowControl w:val="0"/>
        <w:autoSpaceDE w:val="0"/>
        <w:autoSpaceDN w:val="0"/>
        <w:adjustRightInd w:val="0"/>
        <w:spacing w:line="480" w:lineRule="auto"/>
        <w:jc w:val="both"/>
        <w:rPr>
          <w:b/>
          <w:bCs/>
          <w:color w:val="000000" w:themeColor="text1"/>
          <w:lang w:val="en-GB"/>
        </w:rPr>
      </w:pPr>
    </w:p>
    <w:p w14:paraId="21CCEFD7" w14:textId="10F09F5F" w:rsidR="00535991" w:rsidRPr="00535991" w:rsidRDefault="00535991" w:rsidP="00CE4645">
      <w:pPr>
        <w:widowControl w:val="0"/>
        <w:autoSpaceDE w:val="0"/>
        <w:autoSpaceDN w:val="0"/>
        <w:adjustRightInd w:val="0"/>
        <w:spacing w:line="480" w:lineRule="auto"/>
        <w:jc w:val="both"/>
        <w:rPr>
          <w:color w:val="000000" w:themeColor="text1"/>
          <w:lang w:val="en-GB"/>
        </w:rPr>
      </w:pPr>
      <w:r>
        <w:rPr>
          <w:b/>
          <w:bCs/>
          <w:color w:val="000000" w:themeColor="text1"/>
          <w:lang w:val="en-GB"/>
        </w:rPr>
        <w:t>Bastiaan Redert</w:t>
      </w:r>
    </w:p>
    <w:p w14:paraId="20A6C62D" w14:textId="77777777" w:rsidR="00CE4645" w:rsidRPr="00BB04D0" w:rsidRDefault="00CE4645" w:rsidP="00CE4645">
      <w:pPr>
        <w:widowControl w:val="0"/>
        <w:autoSpaceDE w:val="0"/>
        <w:autoSpaceDN w:val="0"/>
        <w:adjustRightInd w:val="0"/>
        <w:spacing w:line="480" w:lineRule="auto"/>
        <w:jc w:val="both"/>
        <w:rPr>
          <w:color w:val="000000" w:themeColor="text1"/>
          <w:lang w:val="en-US"/>
        </w:rPr>
      </w:pPr>
    </w:p>
    <w:p w14:paraId="390D8284" w14:textId="77777777" w:rsidR="00CE4645" w:rsidRPr="00BB04D0" w:rsidRDefault="00CE4645" w:rsidP="00CE4645">
      <w:pPr>
        <w:widowControl w:val="0"/>
        <w:autoSpaceDE w:val="0"/>
        <w:autoSpaceDN w:val="0"/>
        <w:adjustRightInd w:val="0"/>
        <w:spacing w:line="480" w:lineRule="auto"/>
        <w:jc w:val="both"/>
        <w:rPr>
          <w:b/>
          <w:bCs/>
          <w:color w:val="000000" w:themeColor="text1"/>
          <w:lang w:val="en-US"/>
        </w:rPr>
      </w:pPr>
      <w:r w:rsidRPr="00BB04D0">
        <w:rPr>
          <w:b/>
          <w:bCs/>
          <w:color w:val="000000" w:themeColor="text1"/>
          <w:lang w:val="en-US"/>
        </w:rPr>
        <w:t>Appendix A: Organized Public Consultations over Time</w:t>
      </w:r>
    </w:p>
    <w:p w14:paraId="5654D772" w14:textId="77777777" w:rsidR="00CE4645" w:rsidRPr="00BB04D0" w:rsidRDefault="00CE4645" w:rsidP="00CE4645">
      <w:pPr>
        <w:spacing w:line="480" w:lineRule="auto"/>
        <w:jc w:val="both"/>
        <w:rPr>
          <w:color w:val="000000" w:themeColor="text1"/>
          <w:lang w:val="en-GB"/>
        </w:rPr>
      </w:pPr>
      <w:r w:rsidRPr="00BB04D0">
        <w:rPr>
          <w:color w:val="000000" w:themeColor="text1"/>
          <w:lang w:val="en-US"/>
        </w:rPr>
        <w:t>To construct the lobbying networks, I collected a</w:t>
      </w:r>
      <w:proofErr w:type="spellStart"/>
      <w:r w:rsidRPr="00BB04D0">
        <w:rPr>
          <w:color w:val="000000" w:themeColor="text1"/>
          <w:lang w:val="en-GB"/>
        </w:rPr>
        <w:t>ll</w:t>
      </w:r>
      <w:proofErr w:type="spellEnd"/>
      <w:r w:rsidRPr="00BB04D0">
        <w:rPr>
          <w:color w:val="000000" w:themeColor="text1"/>
          <w:lang w:val="en-GB"/>
        </w:rPr>
        <w:t xml:space="preserve"> responses of interest groups to public consultations organised by the ESAs and their predecessors from 2004 to 2014. During this period, the agencies organised 445 consultations. In total, 11,217 responses from 1,735 unique interest groups have been collected. The dataset includes every response of interest groups to ESA </w:t>
      </w:r>
      <w:proofErr w:type="gramStart"/>
      <w:r w:rsidRPr="00BB04D0">
        <w:rPr>
          <w:color w:val="000000" w:themeColor="text1"/>
          <w:lang w:val="en-GB"/>
        </w:rPr>
        <w:t>consultations, and</w:t>
      </w:r>
      <w:proofErr w:type="gramEnd"/>
      <w:r w:rsidRPr="00BB04D0">
        <w:rPr>
          <w:color w:val="000000" w:themeColor="text1"/>
          <w:lang w:val="en-GB"/>
        </w:rPr>
        <w:t xml:space="preserve"> is thus as comprehensive as it can be. The number of consultations, responses and unique groups presented here concern the complete dataset. Figure A1.1 shows the distribution of the organised consultations per agency per period. Additionally, Figure A1.2 shows the number of attending interest groups per consultation. Logically, both the number of consultations and the number of attending groups affects the structure of the networks. For example, during the pre-crisis period the institutional predecessor of EIOPA, CEIOPS, organized only 18 consultations (see Figure A1.1). Also, the number of attending groups is rather low as shown in Figure A1.2. This results in a small network of a few groups (see also Figure A2.4). </w:t>
      </w:r>
    </w:p>
    <w:p w14:paraId="0FDA13EC" w14:textId="77777777" w:rsidR="00CE4645" w:rsidRPr="00BB04D0" w:rsidRDefault="00CE4645" w:rsidP="00CE4645">
      <w:pPr>
        <w:widowControl w:val="0"/>
        <w:autoSpaceDE w:val="0"/>
        <w:autoSpaceDN w:val="0"/>
        <w:adjustRightInd w:val="0"/>
        <w:spacing w:line="480" w:lineRule="auto"/>
        <w:jc w:val="both"/>
        <w:rPr>
          <w:b/>
          <w:bCs/>
          <w:color w:val="000000" w:themeColor="text1"/>
          <w:lang w:val="en-GB"/>
        </w:rPr>
      </w:pPr>
    </w:p>
    <w:p w14:paraId="3C3B009A" w14:textId="77777777" w:rsidR="00CE4645" w:rsidRPr="00BB04D0" w:rsidRDefault="00CE4645" w:rsidP="00CE4645">
      <w:pPr>
        <w:pStyle w:val="Kop4"/>
        <w:jc w:val="both"/>
        <w:rPr>
          <w:i w:val="0"/>
          <w:iCs w:val="0"/>
          <w:color w:val="000000" w:themeColor="text1"/>
          <w:sz w:val="24"/>
          <w:szCs w:val="24"/>
        </w:rPr>
      </w:pPr>
      <w:bookmarkStart w:id="1" w:name="_Toc63946479"/>
      <w:bookmarkStart w:id="2" w:name="_Toc63947206"/>
      <w:r w:rsidRPr="00BB04D0">
        <w:rPr>
          <w:i w:val="0"/>
          <w:iCs w:val="0"/>
          <w:color w:val="000000" w:themeColor="text1"/>
          <w:sz w:val="24"/>
          <w:szCs w:val="24"/>
        </w:rPr>
        <w:lastRenderedPageBreak/>
        <w:t>Figure A1.1: Distribution of organised consultations</w:t>
      </w:r>
      <w:bookmarkEnd w:id="1"/>
      <w:bookmarkEnd w:id="2"/>
      <w:r w:rsidRPr="00BB04D0">
        <w:rPr>
          <w:i w:val="0"/>
          <w:iCs w:val="0"/>
          <w:color w:val="000000" w:themeColor="text1"/>
          <w:sz w:val="24"/>
          <w:szCs w:val="24"/>
        </w:rPr>
        <w:t xml:space="preserve"> per agency per period</w:t>
      </w:r>
      <w:r w:rsidRPr="00BB04D0">
        <w:rPr>
          <w:noProof/>
          <w:color w:val="000000" w:themeColor="text1"/>
        </w:rPr>
        <w:drawing>
          <wp:inline distT="0" distB="0" distL="0" distR="0" wp14:anchorId="2DBAAD62" wp14:editId="6D9A4A03">
            <wp:extent cx="3781425" cy="2325370"/>
            <wp:effectExtent l="0" t="0" r="317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
                    <pic:cNvPicPr>
                      <a:picLocks noChangeAspect="1" noChangeArrowheads="1"/>
                    </pic:cNvPicPr>
                  </pic:nvPicPr>
                  <pic:blipFill rotWithShape="1">
                    <a:blip r:embed="rId4">
                      <a:extLst>
                        <a:ext uri="{28A0092B-C50C-407E-A947-70E740481C1C}">
                          <a14:useLocalDpi xmlns:a14="http://schemas.microsoft.com/office/drawing/2010/main" val="0"/>
                        </a:ext>
                      </a:extLst>
                    </a:blip>
                    <a:srcRect b="6730"/>
                    <a:stretch/>
                  </pic:blipFill>
                  <pic:spPr bwMode="auto">
                    <a:xfrm>
                      <a:off x="0" y="0"/>
                      <a:ext cx="3781425" cy="2325370"/>
                    </a:xfrm>
                    <a:prstGeom prst="rect">
                      <a:avLst/>
                    </a:prstGeom>
                    <a:noFill/>
                    <a:ln>
                      <a:noFill/>
                    </a:ln>
                    <a:extLst>
                      <a:ext uri="{53640926-AAD7-44D8-BBD7-CCE9431645EC}">
                        <a14:shadowObscured xmlns:a14="http://schemas.microsoft.com/office/drawing/2010/main"/>
                      </a:ext>
                    </a:extLst>
                  </pic:spPr>
                </pic:pic>
              </a:graphicData>
            </a:graphic>
          </wp:inline>
        </w:drawing>
      </w:r>
    </w:p>
    <w:p w14:paraId="3E92F2CE" w14:textId="77777777" w:rsidR="00CE4645" w:rsidRPr="00BB04D0" w:rsidRDefault="00CE4645" w:rsidP="00CE4645">
      <w:pPr>
        <w:spacing w:line="480" w:lineRule="auto"/>
        <w:ind w:firstLine="708"/>
        <w:jc w:val="both"/>
        <w:rPr>
          <w:color w:val="000000" w:themeColor="text1"/>
          <w:lang w:val="en-GB"/>
        </w:rPr>
      </w:pPr>
      <w:r w:rsidRPr="00BB04D0">
        <w:rPr>
          <w:color w:val="000000" w:themeColor="text1"/>
          <w:lang w:val="en-GB"/>
        </w:rPr>
        <w:fldChar w:fldCharType="begin"/>
      </w:r>
      <w:r w:rsidRPr="00BB04D0">
        <w:rPr>
          <w:color w:val="000000" w:themeColor="text1"/>
          <w:lang w:val="en-GB"/>
        </w:rPr>
        <w:instrText xml:space="preserve"> INCLUDEPICTURE "/var/folders/gc/fpv9jdts5v1dsqfjygj_45vc0000gn/T/com.microsoft.Word/WebArchiveCopyPasteTempFiles/plot_zoom_png?width=713&amp;height=464" \* MERGEFORMATINET </w:instrText>
      </w:r>
      <w:r w:rsidRPr="00BB04D0">
        <w:rPr>
          <w:color w:val="000000" w:themeColor="text1"/>
          <w:lang w:val="en-GB"/>
        </w:rPr>
        <w:fldChar w:fldCharType="end"/>
      </w:r>
    </w:p>
    <w:p w14:paraId="2679A107" w14:textId="77777777" w:rsidR="00CE4645" w:rsidRPr="00BB04D0" w:rsidRDefault="00CE4645" w:rsidP="00CE4645">
      <w:pPr>
        <w:widowControl w:val="0"/>
        <w:autoSpaceDE w:val="0"/>
        <w:autoSpaceDN w:val="0"/>
        <w:adjustRightInd w:val="0"/>
        <w:spacing w:line="480" w:lineRule="auto"/>
        <w:jc w:val="both"/>
        <w:rPr>
          <w:b/>
          <w:bCs/>
          <w:color w:val="000000" w:themeColor="text1"/>
          <w:lang w:val="en-US"/>
        </w:rPr>
      </w:pPr>
    </w:p>
    <w:p w14:paraId="23235B5E" w14:textId="77777777" w:rsidR="00CE4645" w:rsidRPr="00BB04D0" w:rsidRDefault="00CE4645" w:rsidP="00CE4645">
      <w:pPr>
        <w:widowControl w:val="0"/>
        <w:autoSpaceDE w:val="0"/>
        <w:autoSpaceDN w:val="0"/>
        <w:adjustRightInd w:val="0"/>
        <w:spacing w:line="480" w:lineRule="auto"/>
        <w:jc w:val="both"/>
        <w:rPr>
          <w:b/>
          <w:bCs/>
          <w:color w:val="000000" w:themeColor="text1"/>
          <w:lang w:val="en-US"/>
        </w:rPr>
      </w:pPr>
      <w:r w:rsidRPr="00BB04D0">
        <w:rPr>
          <w:b/>
          <w:bCs/>
          <w:color w:val="000000" w:themeColor="text1"/>
          <w:lang w:val="en-US"/>
        </w:rPr>
        <w:t>Figure A1.2: Number of Attending Groups per Consultation, ordered across three agencies and three periods.</w:t>
      </w:r>
    </w:p>
    <w:p w14:paraId="1E74E61D" w14:textId="77777777" w:rsidR="00CE4645" w:rsidRPr="00BB04D0" w:rsidRDefault="00CE4645" w:rsidP="00CE4645">
      <w:pPr>
        <w:widowControl w:val="0"/>
        <w:autoSpaceDE w:val="0"/>
        <w:autoSpaceDN w:val="0"/>
        <w:adjustRightInd w:val="0"/>
        <w:spacing w:line="480" w:lineRule="auto"/>
        <w:jc w:val="both"/>
        <w:rPr>
          <w:b/>
          <w:bCs/>
          <w:color w:val="000000" w:themeColor="text1"/>
          <w:lang w:val="en-US"/>
        </w:rPr>
      </w:pPr>
      <w:r w:rsidRPr="00BB04D0">
        <w:rPr>
          <w:b/>
          <w:bCs/>
          <w:noProof/>
          <w:color w:val="000000" w:themeColor="text1"/>
        </w:rPr>
        <w:drawing>
          <wp:inline distT="0" distB="0" distL="0" distR="0" wp14:anchorId="531644E2" wp14:editId="185D6C3E">
            <wp:extent cx="5838585" cy="3074275"/>
            <wp:effectExtent l="0" t="0" r="381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r="4245"/>
                    <a:stretch/>
                  </pic:blipFill>
                  <pic:spPr bwMode="auto">
                    <a:xfrm>
                      <a:off x="0" y="0"/>
                      <a:ext cx="5856158" cy="3083528"/>
                    </a:xfrm>
                    <a:prstGeom prst="rect">
                      <a:avLst/>
                    </a:prstGeom>
                    <a:ln>
                      <a:noFill/>
                    </a:ln>
                    <a:extLst>
                      <a:ext uri="{53640926-AAD7-44D8-BBD7-CCE9431645EC}">
                        <a14:shadowObscured xmlns:a14="http://schemas.microsoft.com/office/drawing/2010/main"/>
                      </a:ext>
                    </a:extLst>
                  </pic:spPr>
                </pic:pic>
              </a:graphicData>
            </a:graphic>
          </wp:inline>
        </w:drawing>
      </w:r>
    </w:p>
    <w:p w14:paraId="05ACAC86" w14:textId="77777777" w:rsidR="00CE4645" w:rsidRPr="00BB04D0" w:rsidRDefault="00CE4645" w:rsidP="00CE4645">
      <w:pPr>
        <w:spacing w:line="480" w:lineRule="auto"/>
        <w:jc w:val="both"/>
        <w:rPr>
          <w:color w:val="000000" w:themeColor="text1"/>
          <w:lang w:val="en-GB"/>
        </w:rPr>
      </w:pPr>
    </w:p>
    <w:p w14:paraId="4C6336D1" w14:textId="77777777" w:rsidR="00CE4645" w:rsidRPr="00BB04D0" w:rsidRDefault="00CE4645" w:rsidP="00CE4645">
      <w:pPr>
        <w:rPr>
          <w:color w:val="000000" w:themeColor="text1"/>
          <w:lang w:val="en-GB"/>
        </w:rPr>
      </w:pPr>
      <w:r w:rsidRPr="00BB04D0">
        <w:rPr>
          <w:color w:val="000000" w:themeColor="text1"/>
          <w:lang w:val="en-GB"/>
        </w:rPr>
        <w:br w:type="page"/>
      </w:r>
    </w:p>
    <w:p w14:paraId="153ADB3A" w14:textId="77777777" w:rsidR="00CE4645" w:rsidRPr="00BB04D0" w:rsidRDefault="00CE4645" w:rsidP="00CE4645">
      <w:pPr>
        <w:spacing w:line="480" w:lineRule="auto"/>
        <w:jc w:val="both"/>
        <w:rPr>
          <w:b/>
          <w:bCs/>
          <w:color w:val="000000" w:themeColor="text1"/>
          <w:lang w:val="en-GB"/>
        </w:rPr>
      </w:pPr>
      <w:r w:rsidRPr="00BB04D0">
        <w:rPr>
          <w:b/>
          <w:bCs/>
          <w:color w:val="000000" w:themeColor="text1"/>
          <w:lang w:val="en-GB"/>
        </w:rPr>
        <w:lastRenderedPageBreak/>
        <w:t>Appendix B: Constructing networks from consultation data</w:t>
      </w:r>
    </w:p>
    <w:p w14:paraId="0DF8F7BF" w14:textId="77777777" w:rsidR="00CE4645" w:rsidRPr="00BB04D0" w:rsidRDefault="00CE4645" w:rsidP="00CE4645">
      <w:pPr>
        <w:spacing w:line="480" w:lineRule="auto"/>
        <w:jc w:val="both"/>
        <w:rPr>
          <w:color w:val="000000" w:themeColor="text1"/>
          <w:lang w:val="en-GB"/>
        </w:rPr>
      </w:pPr>
      <w:r w:rsidRPr="00BB04D0">
        <w:rPr>
          <w:color w:val="000000" w:themeColor="text1"/>
          <w:lang w:val="en-GB"/>
        </w:rPr>
        <w:t xml:space="preserve">The starting point is the group-consultation network. In this two-mode network, the nodes are both groups and consultations, where a connection or edge is formed when group </w:t>
      </w:r>
      <w:proofErr w:type="spellStart"/>
      <w:r w:rsidRPr="00BB04D0">
        <w:rPr>
          <w:i/>
          <w:iCs/>
          <w:color w:val="000000" w:themeColor="text1"/>
          <w:lang w:val="en-GB"/>
        </w:rPr>
        <w:t>i</w:t>
      </w:r>
      <w:proofErr w:type="spellEnd"/>
      <w:r w:rsidRPr="00BB04D0">
        <w:rPr>
          <w:color w:val="000000" w:themeColor="text1"/>
          <w:lang w:val="en-GB"/>
        </w:rPr>
        <w:t xml:space="preserve"> participated in consultation </w:t>
      </w:r>
      <w:r w:rsidRPr="00BB04D0">
        <w:rPr>
          <w:i/>
          <w:iCs/>
          <w:color w:val="000000" w:themeColor="text1"/>
          <w:lang w:val="en-GB"/>
        </w:rPr>
        <w:t>j</w:t>
      </w:r>
      <w:r w:rsidRPr="00BB04D0">
        <w:rPr>
          <w:color w:val="000000" w:themeColor="text1"/>
          <w:lang w:val="en-GB"/>
        </w:rPr>
        <w:t xml:space="preserve">. To illustrate such a network, Figure 2.1 shows a subnetwork extracted from the overall two-mode network. </w:t>
      </w:r>
    </w:p>
    <w:p w14:paraId="23450C4B" w14:textId="77777777" w:rsidR="00CE4645" w:rsidRPr="00BB04D0" w:rsidRDefault="00CE4645" w:rsidP="00CE4645">
      <w:pPr>
        <w:spacing w:line="480" w:lineRule="auto"/>
        <w:ind w:firstLine="708"/>
        <w:jc w:val="both"/>
        <w:rPr>
          <w:color w:val="000000" w:themeColor="text1"/>
          <w:lang w:val="en-GB"/>
        </w:rPr>
      </w:pPr>
    </w:p>
    <w:p w14:paraId="2AF54BAD" w14:textId="77777777" w:rsidR="00CE4645" w:rsidRPr="00BB04D0" w:rsidRDefault="00CE4645" w:rsidP="00CE4645">
      <w:pPr>
        <w:jc w:val="both"/>
        <w:rPr>
          <w:b/>
          <w:bCs/>
          <w:color w:val="000000" w:themeColor="text1"/>
          <w:lang w:val="en-GB"/>
        </w:rPr>
      </w:pPr>
      <w:r w:rsidRPr="00BB04D0">
        <w:rPr>
          <w:b/>
          <w:bCs/>
          <w:color w:val="000000" w:themeColor="text1"/>
          <w:lang w:val="en-GB"/>
        </w:rPr>
        <w:t>Figure A2.</w:t>
      </w:r>
      <w:r w:rsidRPr="00BB04D0">
        <w:rPr>
          <w:b/>
          <w:bCs/>
          <w:color w:val="000000" w:themeColor="text1"/>
          <w:lang w:val="en-GB"/>
        </w:rPr>
        <w:fldChar w:fldCharType="begin"/>
      </w:r>
      <w:r w:rsidRPr="00BB04D0">
        <w:rPr>
          <w:b/>
          <w:bCs/>
          <w:color w:val="000000" w:themeColor="text1"/>
          <w:lang w:val="en-GB"/>
        </w:rPr>
        <w:instrText xml:space="preserve"> SEQ Figure \* ARABIC </w:instrText>
      </w:r>
      <w:r w:rsidRPr="00BB04D0">
        <w:rPr>
          <w:b/>
          <w:bCs/>
          <w:color w:val="000000" w:themeColor="text1"/>
          <w:lang w:val="en-GB"/>
        </w:rPr>
        <w:fldChar w:fldCharType="separate"/>
      </w:r>
      <w:r w:rsidRPr="00BB04D0">
        <w:rPr>
          <w:b/>
          <w:bCs/>
          <w:noProof/>
          <w:color w:val="000000" w:themeColor="text1"/>
          <w:lang w:val="en-GB"/>
        </w:rPr>
        <w:t>1</w:t>
      </w:r>
      <w:r w:rsidRPr="00BB04D0">
        <w:rPr>
          <w:b/>
          <w:bCs/>
          <w:color w:val="000000" w:themeColor="text1"/>
          <w:lang w:val="en-GB"/>
        </w:rPr>
        <w:fldChar w:fldCharType="end"/>
      </w:r>
      <w:r w:rsidRPr="00BB04D0">
        <w:rPr>
          <w:b/>
          <w:bCs/>
          <w:color w:val="000000" w:themeColor="text1"/>
          <w:lang w:val="en-GB"/>
        </w:rPr>
        <w:t>. Extracted subnetwork of group-consultation network EBA (2004-2007)</w:t>
      </w:r>
    </w:p>
    <w:p w14:paraId="1F64E8B1" w14:textId="77777777" w:rsidR="00CE4645" w:rsidRPr="00BB04D0" w:rsidRDefault="00CE4645" w:rsidP="00CE4645">
      <w:pPr>
        <w:spacing w:line="480" w:lineRule="auto"/>
        <w:ind w:firstLine="708"/>
        <w:jc w:val="both"/>
        <w:rPr>
          <w:color w:val="000000" w:themeColor="text1"/>
          <w:lang w:val="en-GB"/>
        </w:rPr>
      </w:pPr>
    </w:p>
    <w:p w14:paraId="7D3F94A8" w14:textId="77777777" w:rsidR="00CE4645" w:rsidRPr="00BB04D0" w:rsidRDefault="00CE4645" w:rsidP="00CE4645">
      <w:pPr>
        <w:keepNext/>
        <w:jc w:val="center"/>
        <w:rPr>
          <w:color w:val="000000" w:themeColor="text1"/>
          <w:lang w:val="en-GB"/>
        </w:rPr>
      </w:pPr>
      <w:r w:rsidRPr="00BB04D0">
        <w:rPr>
          <w:noProof/>
          <w:color w:val="000000" w:themeColor="text1"/>
          <w:lang w:val="en-US" w:eastAsia="en-US"/>
        </w:rPr>
        <w:drawing>
          <wp:inline distT="0" distB="0" distL="0" distR="0" wp14:anchorId="530E4DB4" wp14:editId="66C7E1A8">
            <wp:extent cx="3635096" cy="3379894"/>
            <wp:effectExtent l="0" t="0" r="0" b="0"/>
            <wp:docPr id="4" name="Afbeelding 4" descr="/var/folders/gc/fpv9jdts5v1dsqfjygj_45vc0000gn/T/com.microsoft.Word/WebArchiveCopyPasteTempFiles/plot_zoom_png?width=1600&amp;height=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 descr="/var/folders/gc/fpv9jdts5v1dsqfjygj_45vc0000gn/T/com.microsoft.Word/WebArchiveCopyPasteTempFiles/plot_zoom_png?width=1600&amp;height=882"/>
                    <pic:cNvPicPr>
                      <a:picLocks noChangeAspect="1" noChangeArrowheads="1"/>
                    </pic:cNvPicPr>
                  </pic:nvPicPr>
                  <pic:blipFill rotWithShape="1">
                    <a:blip r:embed="rId6">
                      <a:extLst>
                        <a:ext uri="{28A0092B-C50C-407E-A947-70E740481C1C}">
                          <a14:useLocalDpi xmlns:a14="http://schemas.microsoft.com/office/drawing/2010/main" val="0"/>
                        </a:ext>
                      </a:extLst>
                    </a:blip>
                    <a:srcRect l="29247" t="8370" r="25084" b="11536"/>
                    <a:stretch/>
                  </pic:blipFill>
                  <pic:spPr bwMode="auto">
                    <a:xfrm>
                      <a:off x="0" y="0"/>
                      <a:ext cx="3669344" cy="3411738"/>
                    </a:xfrm>
                    <a:prstGeom prst="rect">
                      <a:avLst/>
                    </a:prstGeom>
                    <a:noFill/>
                    <a:ln>
                      <a:noFill/>
                    </a:ln>
                    <a:extLst>
                      <a:ext uri="{53640926-AAD7-44D8-BBD7-CCE9431645EC}">
                        <a14:shadowObscured xmlns:a14="http://schemas.microsoft.com/office/drawing/2010/main"/>
                      </a:ext>
                    </a:extLst>
                  </pic:spPr>
                </pic:pic>
              </a:graphicData>
            </a:graphic>
          </wp:inline>
        </w:drawing>
      </w:r>
    </w:p>
    <w:p w14:paraId="0B36E061" w14:textId="77777777" w:rsidR="00CE4645" w:rsidRPr="00BB04D0" w:rsidRDefault="00CE4645" w:rsidP="00CE4645">
      <w:pPr>
        <w:spacing w:line="480" w:lineRule="auto"/>
        <w:jc w:val="both"/>
        <w:rPr>
          <w:color w:val="000000" w:themeColor="text1"/>
          <w:lang w:val="en-GB"/>
        </w:rPr>
      </w:pPr>
    </w:p>
    <w:p w14:paraId="534A99B7" w14:textId="77777777" w:rsidR="00CE4645" w:rsidRPr="00BB04D0" w:rsidRDefault="00CE4645" w:rsidP="00CE4645">
      <w:pPr>
        <w:spacing w:line="480" w:lineRule="auto"/>
        <w:jc w:val="both"/>
        <w:rPr>
          <w:color w:val="000000" w:themeColor="text1"/>
          <w:lang w:val="en-GB"/>
        </w:rPr>
      </w:pPr>
      <w:r w:rsidRPr="00BB04D0">
        <w:rPr>
          <w:color w:val="000000" w:themeColor="text1"/>
          <w:lang w:val="en-GB"/>
        </w:rPr>
        <w:t xml:space="preserve">In Figure 2.1, the three black nodes represent three </w:t>
      </w:r>
      <w:proofErr w:type="gramStart"/>
      <w:r w:rsidRPr="00BB04D0">
        <w:rPr>
          <w:color w:val="000000" w:themeColor="text1"/>
          <w:lang w:val="en-GB"/>
        </w:rPr>
        <w:t>consultations</w:t>
      </w:r>
      <w:proofErr w:type="gramEnd"/>
      <w:r w:rsidRPr="00BB04D0">
        <w:rPr>
          <w:color w:val="000000" w:themeColor="text1"/>
          <w:lang w:val="en-GB"/>
        </w:rPr>
        <w:t xml:space="preserve"> and the grey nodes represent interest groups that participated in those consultations. For the sake of visualization, three distinct consultations have been selected: one on Credit Assessment of financial institutions such as banks, one on Financial Reporting, and one on Commodities. We clearly see that several groups mobilize on one of the consultations, which creates three distinct clusters. However, the clusters are not fully separated from one another. Nodes </w:t>
      </w:r>
      <w:r w:rsidRPr="00BB04D0">
        <w:rPr>
          <w:i/>
          <w:iCs/>
          <w:color w:val="000000" w:themeColor="text1"/>
          <w:lang w:val="en-GB"/>
        </w:rPr>
        <w:t>a10316</w:t>
      </w:r>
      <w:r w:rsidRPr="00BB04D0">
        <w:rPr>
          <w:color w:val="000000" w:themeColor="text1"/>
          <w:lang w:val="en-GB"/>
        </w:rPr>
        <w:t xml:space="preserve"> (British Bankers Association) and </w:t>
      </w:r>
      <w:r w:rsidRPr="00BB04D0">
        <w:rPr>
          <w:i/>
          <w:iCs/>
          <w:color w:val="000000" w:themeColor="text1"/>
          <w:lang w:val="en-GB"/>
        </w:rPr>
        <w:t>a10698</w:t>
      </w:r>
      <w:r w:rsidRPr="00BB04D0">
        <w:rPr>
          <w:color w:val="000000" w:themeColor="text1"/>
          <w:lang w:val="en-GB"/>
        </w:rPr>
        <w:t xml:space="preserve"> (European Banking Federation) participated in two consultations. This means that </w:t>
      </w:r>
      <w:r w:rsidRPr="00BB04D0">
        <w:rPr>
          <w:color w:val="000000" w:themeColor="text1"/>
          <w:lang w:val="en-GB"/>
        </w:rPr>
        <w:lastRenderedPageBreak/>
        <w:t>these two interest groups will have a stake in both consultations. We also see that one consultation (</w:t>
      </w:r>
      <w:r w:rsidRPr="00BB04D0">
        <w:rPr>
          <w:i/>
          <w:iCs/>
          <w:color w:val="000000" w:themeColor="text1"/>
          <w:lang w:val="en-GB"/>
        </w:rPr>
        <w:t>03_018_20070615b</w:t>
      </w:r>
      <w:r w:rsidRPr="00BB04D0">
        <w:rPr>
          <w:color w:val="000000" w:themeColor="text1"/>
          <w:lang w:val="en-GB"/>
        </w:rPr>
        <w:t xml:space="preserve">) is isolated from the other two. This is not a coincidence: the isolated consultation concerns commodities. The groups participating in this consultation are mainly (associations of) electricity producers (such as RWE Group, </w:t>
      </w:r>
      <w:proofErr w:type="spellStart"/>
      <w:r w:rsidRPr="00BB04D0">
        <w:rPr>
          <w:color w:val="000000" w:themeColor="text1"/>
          <w:lang w:val="en-GB"/>
        </w:rPr>
        <w:t>Eurelectric</w:t>
      </w:r>
      <w:proofErr w:type="spellEnd"/>
      <w:r w:rsidRPr="00BB04D0">
        <w:rPr>
          <w:color w:val="000000" w:themeColor="text1"/>
          <w:lang w:val="en-GB"/>
        </w:rPr>
        <w:t xml:space="preserve">, and the </w:t>
      </w:r>
      <w:proofErr w:type="spellStart"/>
      <w:r w:rsidRPr="00BB04D0">
        <w:rPr>
          <w:color w:val="000000" w:themeColor="text1"/>
          <w:lang w:val="en-GB"/>
        </w:rPr>
        <w:t>Zentralverband</w:t>
      </w:r>
      <w:proofErr w:type="spellEnd"/>
      <w:r w:rsidRPr="00BB04D0">
        <w:rPr>
          <w:color w:val="000000" w:themeColor="text1"/>
          <w:lang w:val="en-GB"/>
        </w:rPr>
        <w:t xml:space="preserve"> </w:t>
      </w:r>
      <w:proofErr w:type="spellStart"/>
      <w:r w:rsidRPr="00BB04D0">
        <w:rPr>
          <w:color w:val="000000" w:themeColor="text1"/>
          <w:lang w:val="en-GB"/>
        </w:rPr>
        <w:t>Elektrotechnik</w:t>
      </w:r>
      <w:proofErr w:type="spellEnd"/>
      <w:r w:rsidRPr="00BB04D0">
        <w:rPr>
          <w:color w:val="000000" w:themeColor="text1"/>
          <w:lang w:val="en-GB"/>
        </w:rPr>
        <w:t xml:space="preserve">- und </w:t>
      </w:r>
      <w:proofErr w:type="spellStart"/>
      <w:r w:rsidRPr="00BB04D0">
        <w:rPr>
          <w:color w:val="000000" w:themeColor="text1"/>
          <w:lang w:val="en-GB"/>
        </w:rPr>
        <w:t>Elektronikindustrie</w:t>
      </w:r>
      <w:proofErr w:type="spellEnd"/>
      <w:r w:rsidRPr="00BB04D0">
        <w:rPr>
          <w:color w:val="000000" w:themeColor="text1"/>
          <w:lang w:val="en-GB"/>
        </w:rPr>
        <w:t xml:space="preserve">). Logically, these groups are less likely to participate in consultations concerning other financial regulations, and thus remain isolated. In other words, these interest groups are more specialized, whereas the British Bankers Association and the European Banking Federation are more likely to be generalists with interests in multiple issues. </w:t>
      </w:r>
    </w:p>
    <w:p w14:paraId="6FF7EF53" w14:textId="77777777" w:rsidR="00CE4645" w:rsidRPr="00BB04D0" w:rsidRDefault="00CE4645" w:rsidP="00CE4645">
      <w:pPr>
        <w:spacing w:line="480" w:lineRule="auto"/>
        <w:ind w:firstLine="708"/>
        <w:jc w:val="both"/>
        <w:rPr>
          <w:color w:val="000000" w:themeColor="text1"/>
          <w:lang w:val="en-GB"/>
        </w:rPr>
      </w:pPr>
      <w:r w:rsidRPr="00BB04D0">
        <w:rPr>
          <w:color w:val="000000" w:themeColor="text1"/>
          <w:lang w:val="en-GB"/>
        </w:rPr>
        <w:t xml:space="preserve">If one seeks to analyse how groups are connected (i.e. participate in the same consultation), one can transform the two-mode network into a one-mode network. In such a network, the nodes are individual interest </w:t>
      </w:r>
      <w:proofErr w:type="gramStart"/>
      <w:r w:rsidRPr="00BB04D0">
        <w:rPr>
          <w:color w:val="000000" w:themeColor="text1"/>
          <w:lang w:val="en-GB"/>
        </w:rPr>
        <w:t>groups</w:t>
      </w:r>
      <w:proofErr w:type="gramEnd"/>
      <w:r w:rsidRPr="00BB04D0">
        <w:rPr>
          <w:color w:val="000000" w:themeColor="text1"/>
          <w:lang w:val="en-GB"/>
        </w:rPr>
        <w:t xml:space="preserve"> and the edges are consultations. Figure 2.2 illustrates the one-mode projection of the two-mode network presented above. In this network, one again sees that those groups participating in the same consultation are connected. Again, the groups participating in the consultation on electricity trading are isolated from the other groups. Also, one sees that nodes </w:t>
      </w:r>
      <w:r w:rsidRPr="00BB04D0">
        <w:rPr>
          <w:i/>
          <w:iCs/>
          <w:color w:val="000000" w:themeColor="text1"/>
          <w:lang w:val="en-GB"/>
        </w:rPr>
        <w:t>a10316</w:t>
      </w:r>
      <w:r w:rsidRPr="00BB04D0">
        <w:rPr>
          <w:color w:val="000000" w:themeColor="text1"/>
          <w:lang w:val="en-GB"/>
        </w:rPr>
        <w:t xml:space="preserve"> and </w:t>
      </w:r>
      <w:r w:rsidRPr="00BB04D0">
        <w:rPr>
          <w:i/>
          <w:iCs/>
          <w:color w:val="000000" w:themeColor="text1"/>
          <w:lang w:val="en-GB"/>
        </w:rPr>
        <w:t>a10698</w:t>
      </w:r>
      <w:r w:rsidRPr="00BB04D0">
        <w:rPr>
          <w:color w:val="000000" w:themeColor="text1"/>
          <w:lang w:val="en-GB"/>
        </w:rPr>
        <w:t xml:space="preserve"> are connecting two clusters of interest groups as these nodes participated in two consultations. For example, the European Banking Federation (a10698) connects the Investment Association (a11059) to the European Association of Public Banks (a10692). As such, these interconnecting nodes are important actors in the network.   </w:t>
      </w:r>
    </w:p>
    <w:p w14:paraId="15A527EF" w14:textId="77777777" w:rsidR="00CE4645" w:rsidRPr="00BB04D0" w:rsidRDefault="00CE4645" w:rsidP="00CE4645">
      <w:pPr>
        <w:jc w:val="both"/>
        <w:rPr>
          <w:color w:val="000000" w:themeColor="text1"/>
          <w:lang w:val="en-GB"/>
        </w:rPr>
      </w:pPr>
    </w:p>
    <w:p w14:paraId="7BF9BB23" w14:textId="77777777" w:rsidR="00CE4645" w:rsidRPr="00BB04D0" w:rsidRDefault="00CE4645" w:rsidP="00CE4645">
      <w:pPr>
        <w:jc w:val="both"/>
        <w:rPr>
          <w:color w:val="000000" w:themeColor="text1"/>
          <w:lang w:val="en-GB"/>
        </w:rPr>
      </w:pPr>
    </w:p>
    <w:p w14:paraId="368D1A36" w14:textId="77777777" w:rsidR="00CE4645" w:rsidRPr="00BB04D0" w:rsidRDefault="00CE4645" w:rsidP="00CE4645">
      <w:pPr>
        <w:jc w:val="both"/>
        <w:rPr>
          <w:color w:val="000000" w:themeColor="text1"/>
          <w:lang w:val="en-GB"/>
        </w:rPr>
      </w:pPr>
    </w:p>
    <w:p w14:paraId="5E33640E" w14:textId="77777777" w:rsidR="00CE4645" w:rsidRPr="00BB04D0" w:rsidRDefault="00CE4645" w:rsidP="00CE4645">
      <w:pPr>
        <w:jc w:val="both"/>
        <w:rPr>
          <w:color w:val="000000" w:themeColor="text1"/>
          <w:lang w:val="en-GB"/>
        </w:rPr>
      </w:pPr>
    </w:p>
    <w:p w14:paraId="74925023" w14:textId="77777777" w:rsidR="00CE4645" w:rsidRPr="00BB04D0" w:rsidRDefault="00CE4645" w:rsidP="00CE4645">
      <w:pPr>
        <w:jc w:val="both"/>
        <w:rPr>
          <w:color w:val="000000" w:themeColor="text1"/>
          <w:lang w:val="en-GB"/>
        </w:rPr>
      </w:pPr>
    </w:p>
    <w:p w14:paraId="2C1953DD" w14:textId="77777777" w:rsidR="00CE4645" w:rsidRPr="00BB04D0" w:rsidRDefault="00CE4645" w:rsidP="00CE4645">
      <w:pPr>
        <w:jc w:val="both"/>
        <w:rPr>
          <w:color w:val="000000" w:themeColor="text1"/>
          <w:lang w:val="en-GB"/>
        </w:rPr>
      </w:pPr>
    </w:p>
    <w:p w14:paraId="62B31695" w14:textId="77777777" w:rsidR="00CE4645" w:rsidRPr="00BB04D0" w:rsidRDefault="00CE4645" w:rsidP="00CE4645">
      <w:pPr>
        <w:jc w:val="both"/>
        <w:rPr>
          <w:color w:val="000000" w:themeColor="text1"/>
          <w:lang w:val="en-GB"/>
        </w:rPr>
      </w:pPr>
    </w:p>
    <w:p w14:paraId="0B762F0B" w14:textId="77777777" w:rsidR="00CE4645" w:rsidRPr="00BB04D0" w:rsidRDefault="00CE4645" w:rsidP="00CE4645">
      <w:pPr>
        <w:jc w:val="both"/>
        <w:rPr>
          <w:color w:val="000000" w:themeColor="text1"/>
          <w:lang w:val="en-GB"/>
        </w:rPr>
      </w:pPr>
    </w:p>
    <w:p w14:paraId="4FF77576" w14:textId="77777777" w:rsidR="00CE4645" w:rsidRPr="00BB04D0" w:rsidRDefault="00CE4645" w:rsidP="00CE4645">
      <w:pPr>
        <w:jc w:val="both"/>
        <w:rPr>
          <w:color w:val="000000" w:themeColor="text1"/>
          <w:lang w:val="en-GB"/>
        </w:rPr>
      </w:pPr>
    </w:p>
    <w:p w14:paraId="6362201C" w14:textId="77777777" w:rsidR="00CE4645" w:rsidRPr="00BB04D0" w:rsidRDefault="00CE4645" w:rsidP="00CE4645">
      <w:pPr>
        <w:jc w:val="both"/>
        <w:rPr>
          <w:color w:val="000000" w:themeColor="text1"/>
          <w:lang w:val="en-GB"/>
        </w:rPr>
      </w:pPr>
    </w:p>
    <w:p w14:paraId="4676AFC2" w14:textId="77777777" w:rsidR="00CE4645" w:rsidRPr="00BB04D0" w:rsidRDefault="00CE4645" w:rsidP="00CE4645">
      <w:pPr>
        <w:jc w:val="both"/>
        <w:rPr>
          <w:b/>
          <w:bCs/>
          <w:color w:val="000000" w:themeColor="text1"/>
          <w:lang w:val="en-GB"/>
        </w:rPr>
      </w:pPr>
      <w:r w:rsidRPr="00BB04D0">
        <w:rPr>
          <w:b/>
          <w:bCs/>
          <w:color w:val="000000" w:themeColor="text1"/>
          <w:lang w:val="en-GB"/>
        </w:rPr>
        <w:lastRenderedPageBreak/>
        <w:t>Figure 2.2. Extracted subnetwork of interest group network EBA (2004-2007)</w:t>
      </w:r>
    </w:p>
    <w:p w14:paraId="52417A4B" w14:textId="77777777" w:rsidR="00CE4645" w:rsidRPr="00BB04D0" w:rsidRDefault="00CE4645" w:rsidP="00CE4645">
      <w:pPr>
        <w:jc w:val="center"/>
        <w:rPr>
          <w:color w:val="000000" w:themeColor="text1"/>
          <w:lang w:val="en-US"/>
        </w:rPr>
      </w:pPr>
      <w:r w:rsidRPr="00BB04D0">
        <w:rPr>
          <w:noProof/>
          <w:color w:val="000000" w:themeColor="text1"/>
          <w:lang w:val="en-US" w:eastAsia="en-US"/>
        </w:rPr>
        <w:drawing>
          <wp:inline distT="0" distB="0" distL="0" distR="0" wp14:anchorId="1D28E01F" wp14:editId="442AC2EE">
            <wp:extent cx="3698240" cy="3462304"/>
            <wp:effectExtent l="0" t="0" r="0" b="5080"/>
            <wp:docPr id="3" name="Afbeelding 3" descr="/var/folders/gc/fpv9jdts5v1dsqfjygj_45vc0000gn/T/com.microsoft.Word/WebArchiveCopyPasteTempFiles/plot_zoom_png?width=1600&amp;height=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 descr="/var/folders/gc/fpv9jdts5v1dsqfjygj_45vc0000gn/T/com.microsoft.Word/WebArchiveCopyPasteTempFiles/plot_zoom_png?width=1600&amp;height=882"/>
                    <pic:cNvPicPr>
                      <a:picLocks noChangeAspect="1" noChangeArrowheads="1"/>
                    </pic:cNvPicPr>
                  </pic:nvPicPr>
                  <pic:blipFill rotWithShape="1">
                    <a:blip r:embed="rId7">
                      <a:extLst>
                        <a:ext uri="{28A0092B-C50C-407E-A947-70E740481C1C}">
                          <a14:useLocalDpi xmlns:a14="http://schemas.microsoft.com/office/drawing/2010/main" val="0"/>
                        </a:ext>
                      </a:extLst>
                    </a:blip>
                    <a:srcRect l="29084" t="7517" r="24823" b="12030"/>
                    <a:stretch/>
                  </pic:blipFill>
                  <pic:spPr bwMode="auto">
                    <a:xfrm>
                      <a:off x="0" y="0"/>
                      <a:ext cx="3746649" cy="3507625"/>
                    </a:xfrm>
                    <a:prstGeom prst="rect">
                      <a:avLst/>
                    </a:prstGeom>
                    <a:noFill/>
                    <a:ln>
                      <a:noFill/>
                    </a:ln>
                    <a:extLst>
                      <a:ext uri="{53640926-AAD7-44D8-BBD7-CCE9431645EC}">
                        <a14:shadowObscured xmlns:a14="http://schemas.microsoft.com/office/drawing/2010/main"/>
                      </a:ext>
                    </a:extLst>
                  </pic:spPr>
                </pic:pic>
              </a:graphicData>
            </a:graphic>
          </wp:inline>
        </w:drawing>
      </w:r>
    </w:p>
    <w:p w14:paraId="34FD80C3" w14:textId="77777777" w:rsidR="00CE4645" w:rsidRPr="00BB04D0" w:rsidRDefault="00CE4645" w:rsidP="00CE4645">
      <w:pPr>
        <w:jc w:val="center"/>
        <w:rPr>
          <w:color w:val="000000" w:themeColor="text1"/>
          <w:lang w:val="en-US"/>
        </w:rPr>
      </w:pPr>
    </w:p>
    <w:p w14:paraId="7C4199CB" w14:textId="77777777" w:rsidR="00CE4645" w:rsidRPr="00BB04D0" w:rsidRDefault="00CE4645" w:rsidP="00CE4645">
      <w:pPr>
        <w:jc w:val="center"/>
        <w:rPr>
          <w:color w:val="000000" w:themeColor="text1"/>
          <w:lang w:val="en-US"/>
        </w:rPr>
      </w:pPr>
    </w:p>
    <w:p w14:paraId="7BB60298" w14:textId="77777777" w:rsidR="00CE4645" w:rsidRPr="00BB04D0" w:rsidRDefault="00CE4645" w:rsidP="00CE4645">
      <w:pPr>
        <w:rPr>
          <w:b/>
          <w:bCs/>
          <w:color w:val="000000" w:themeColor="text1"/>
          <w:lang w:val="en-US"/>
        </w:rPr>
      </w:pPr>
      <w:r w:rsidRPr="00BB04D0">
        <w:rPr>
          <w:b/>
          <w:bCs/>
          <w:color w:val="000000" w:themeColor="text1"/>
          <w:lang w:val="en-US"/>
        </w:rPr>
        <w:t>Appendix C: Network Graphs per Agency per Time Period</w:t>
      </w:r>
    </w:p>
    <w:p w14:paraId="108E792F" w14:textId="77777777" w:rsidR="00CE4645" w:rsidRPr="00BB04D0" w:rsidRDefault="00CE4645" w:rsidP="00CE4645">
      <w:pPr>
        <w:rPr>
          <w:color w:val="000000" w:themeColor="text1"/>
          <w:lang w:val="en-GB"/>
        </w:rPr>
      </w:pPr>
    </w:p>
    <w:p w14:paraId="44CBAC35" w14:textId="77777777" w:rsidR="00CE4645" w:rsidRPr="00BB04D0" w:rsidRDefault="00CE4645" w:rsidP="00CE4645">
      <w:pPr>
        <w:spacing w:line="480" w:lineRule="auto"/>
        <w:jc w:val="both"/>
        <w:rPr>
          <w:color w:val="000000" w:themeColor="text1"/>
          <w:lang w:val="en-US"/>
        </w:rPr>
      </w:pPr>
      <w:r w:rsidRPr="00BB04D0">
        <w:rPr>
          <w:color w:val="000000" w:themeColor="text1"/>
          <w:lang w:val="en-US"/>
        </w:rPr>
        <w:t xml:space="preserve">In the figures below, the visualizations of the networks are presented. To construct intelligible graphs, the author utilized the </w:t>
      </w:r>
      <w:proofErr w:type="spellStart"/>
      <w:r w:rsidRPr="00BB04D0">
        <w:rPr>
          <w:i/>
          <w:iCs/>
          <w:color w:val="000000" w:themeColor="text1"/>
          <w:lang w:val="en-US"/>
        </w:rPr>
        <w:t>NetBioV</w:t>
      </w:r>
      <w:proofErr w:type="spellEnd"/>
      <w:r w:rsidRPr="00BB04D0">
        <w:rPr>
          <w:i/>
          <w:iCs/>
          <w:color w:val="000000" w:themeColor="text1"/>
          <w:lang w:val="en-US"/>
        </w:rPr>
        <w:t>-package</w:t>
      </w:r>
      <w:r w:rsidRPr="00BB04D0">
        <w:rPr>
          <w:color w:val="000000" w:themeColor="text1"/>
          <w:lang w:val="en-US"/>
        </w:rPr>
        <w:t xml:space="preserve"> in R (</w:t>
      </w:r>
      <w:r w:rsidRPr="00BB04D0">
        <w:rPr>
          <w:color w:val="000000" w:themeColor="text1"/>
          <w:lang w:val="en-US"/>
        </w:rPr>
        <w:fldChar w:fldCharType="begin" w:fldLock="1"/>
      </w:r>
      <w:r w:rsidRPr="00BB04D0">
        <w:rPr>
          <w:color w:val="000000" w:themeColor="text1"/>
          <w:lang w:val="en-US"/>
        </w:rPr>
        <w:instrText>ADDIN CSL_CITATION {"citationItems":[{"id":"ITEM-1","itemData":{"DOI":"10.1093/bioinformatics/btu384","ISSN":"1367-4803","abstract":"Summary: NetBioV (Network Biology Visualization) is an R package that allows the visualization of large network data in biology and medicine. The purpose of NetBioV is to enable an organized and reproducible visualization of networks by emphasizing or highlighting specific structural properties that are of biological relevance. Availability and implementation: NetBioV is freely available for academic use. The package has been tested for R 2.14.2 under Linux, Windows and Mac OS X. It is available from Bioconductor. Contact:v@bio-complexity.comSupplementary information:Supplementary data are available at Bioinformatics online. ","author":[{"dropping-particle":"","family":"Tripathi","given":"Shailesh","non-dropping-particle":"","parse-names":false,"suffix":""},{"dropping-particle":"","family":"Dehmer","given":"Matthias","non-dropping-particle":"","parse-names":false,"suffix":""},{"dropping-particle":"","family":"Emmert-Streib","given":"Frank","non-dropping-particle":"","parse-names":false,"suffix":""}],"container-title":"Bioinformatics","id":"ITEM-1","issue":"19","issued":{"date-parts":[["2014","10","1"]]},"page":"2834-2836","title":"NetBioV: an R package for visualizing large network data in biology and medicine","type":"article-journal","volume":"30"},"uris":["http://www.mendeley.com/documents/?uuid=d73c15a3-15ff-4fc0-a6ec-1a4ffe209983"]}],"mendeley":{"formattedCitation":"(Tripathi, Dehmer, &amp; Emmert-Streib, 2014)","manualFormatting":"Tripathi, Dehmer, &amp; Emmert-Streib, 2014)","plainTextFormattedCitation":"(Tripathi, Dehmer, &amp; Emmert-Streib, 2014)","previouslyFormattedCitation":"(Tripathi, Dehmer, &amp; Emmert-Streib, 2014)"},"properties":{"noteIndex":0},"schema":"https://github.com/citation-style-language/schema/raw/master/csl-citation.json"}</w:instrText>
      </w:r>
      <w:r w:rsidRPr="00BB04D0">
        <w:rPr>
          <w:color w:val="000000" w:themeColor="text1"/>
          <w:lang w:val="en-US"/>
        </w:rPr>
        <w:fldChar w:fldCharType="separate"/>
      </w:r>
      <w:r w:rsidRPr="00BB04D0">
        <w:rPr>
          <w:noProof/>
          <w:color w:val="000000" w:themeColor="text1"/>
          <w:lang w:val="en-US"/>
        </w:rPr>
        <w:t>Tripathi, Dehmer, &amp; Emmert-Streib, 2014)</w:t>
      </w:r>
      <w:r w:rsidRPr="00BB04D0">
        <w:rPr>
          <w:color w:val="000000" w:themeColor="text1"/>
          <w:lang w:val="en-US"/>
        </w:rPr>
        <w:fldChar w:fldCharType="end"/>
      </w:r>
      <w:r w:rsidRPr="00BB04D0">
        <w:rPr>
          <w:color w:val="000000" w:themeColor="text1"/>
          <w:lang w:val="en-US"/>
        </w:rPr>
        <w:t xml:space="preserve">. Although the package has its roots in biology and medicines, it provides several useful tools to visualize large networks, as is the case in this research. More specifically, this package allows to disentangle the various identified clusters (also see Table 2), and visualize the connections between those clusters (also see </w:t>
      </w:r>
      <w:r w:rsidRPr="00BB04D0">
        <w:rPr>
          <w:color w:val="000000" w:themeColor="text1"/>
          <w:lang w:val="en-US"/>
        </w:rPr>
        <w:fldChar w:fldCharType="begin" w:fldLock="1"/>
      </w:r>
      <w:r w:rsidRPr="00BB04D0">
        <w:rPr>
          <w:color w:val="000000" w:themeColor="text1"/>
          <w:lang w:val="en-US"/>
        </w:rPr>
        <w:instrText>ADDIN CSL_CITATION {"citationItems":[{"id":"ITEM-1","itemData":{"DOI":"10.1093/bioinformatics/btu384","ISSN":"1367-4803","abstract":"Summary: NetBioV (Network Biology Visualization) is an R package that allows the visualization of large network data in biology and medicine. The purpose of NetBioV is to enable an organized and reproducible visualization of networks by emphasizing or highlighting specific structural properties that are of biological relevance. Availability and implementation: NetBioV is freely available for academic use. The package has been tested for R 2.14.2 under Linux, Windows and Mac OS X. It is available from Bioconductor. Contact:v@bio-complexity.comSupplementary information:Supplementary data are available at Bioinformatics online. ","author":[{"dropping-particle":"","family":"Tripathi","given":"Shailesh","non-dropping-particle":"","parse-names":false,"suffix":""},{"dropping-particle":"","family":"Dehmer","given":"Matthias","non-dropping-particle":"","parse-names":false,"suffix":""},{"dropping-particle":"","family":"Emmert-Streib","given":"Frank","non-dropping-particle":"","parse-names":false,"suffix":""}],"container-title":"Bioinformatics","id":"ITEM-1","issue":"19","issued":{"date-parts":[["2014","10","1"]]},"page":"2834-2836","title":"NetBioV: an R package for visualizing large network data in biology and medicine","type":"article-journal","volume":"30"},"uris":["http://www.mendeley.com/documents/?uuid=d73c15a3-15ff-4fc0-a6ec-1a4ffe209983"]}],"mendeley":{"formattedCitation":"(Tripathi et al., 2014)","manualFormatting":"Tripathi, Dehmer, &amp; Emmert-Streib, 2014)","plainTextFormattedCitation":"(Tripathi et al., 2014)","previouslyFormattedCitation":"(Tripathi et al., 2014)"},"properties":{"noteIndex":0},"schema":"https://github.com/citation-style-language/schema/raw/master/csl-citation.json"}</w:instrText>
      </w:r>
      <w:r w:rsidRPr="00BB04D0">
        <w:rPr>
          <w:color w:val="000000" w:themeColor="text1"/>
          <w:lang w:val="en-US"/>
        </w:rPr>
        <w:fldChar w:fldCharType="separate"/>
      </w:r>
      <w:r w:rsidRPr="00BB04D0">
        <w:rPr>
          <w:noProof/>
          <w:color w:val="000000" w:themeColor="text1"/>
          <w:lang w:val="en-US"/>
        </w:rPr>
        <w:t>Tripathi, Dehmer, &amp; Emmert-Streib, 2014)</w:t>
      </w:r>
      <w:r w:rsidRPr="00BB04D0">
        <w:rPr>
          <w:color w:val="000000" w:themeColor="text1"/>
          <w:lang w:val="en-US"/>
        </w:rPr>
        <w:fldChar w:fldCharType="end"/>
      </w:r>
      <w:r w:rsidRPr="00BB04D0">
        <w:rPr>
          <w:color w:val="000000" w:themeColor="text1"/>
          <w:lang w:val="en-US"/>
        </w:rPr>
        <w:t xml:space="preserve">. Figures A3.1-A3.10 present the constructed networks per agency per period. The nodes in the network represent the interest groups and the edges represent consultations. Thus, two nodes </w:t>
      </w:r>
      <w:proofErr w:type="gramStart"/>
      <w:r w:rsidRPr="00BB04D0">
        <w:rPr>
          <w:color w:val="000000" w:themeColor="text1"/>
          <w:lang w:val="en-US"/>
        </w:rPr>
        <w:t>are connected with</w:t>
      </w:r>
      <w:proofErr w:type="gramEnd"/>
      <w:r w:rsidRPr="00BB04D0">
        <w:rPr>
          <w:color w:val="000000" w:themeColor="text1"/>
          <w:lang w:val="en-US"/>
        </w:rPr>
        <w:t xml:space="preserve"> one another when they have participated in the same consultation. The clusters of nodes reflect the communities as detected by the </w:t>
      </w:r>
      <w:proofErr w:type="spellStart"/>
      <w:r w:rsidRPr="00BB04D0">
        <w:rPr>
          <w:color w:val="000000" w:themeColor="text1"/>
          <w:lang w:val="en-US"/>
        </w:rPr>
        <w:t>Walktrap</w:t>
      </w:r>
      <w:proofErr w:type="spellEnd"/>
      <w:r w:rsidRPr="00BB04D0">
        <w:rPr>
          <w:color w:val="000000" w:themeColor="text1"/>
          <w:lang w:val="en-US"/>
        </w:rPr>
        <w:t xml:space="preserve">-algorithm. The color of the nodes represents its eigen value: the darker the color, the lower the eigen value; and the lighter the color, the higher the eigen value. As such, the visualizations also indicate which nodes are the most central in the network. </w:t>
      </w:r>
    </w:p>
    <w:p w14:paraId="549A4691" w14:textId="77777777" w:rsidR="00CE4645" w:rsidRPr="00BB04D0" w:rsidRDefault="00CE4645" w:rsidP="00CE4645">
      <w:pPr>
        <w:spacing w:line="480" w:lineRule="auto"/>
        <w:jc w:val="both"/>
        <w:rPr>
          <w:color w:val="000000" w:themeColor="text1"/>
          <w:lang w:val="en-US"/>
        </w:rPr>
      </w:pPr>
    </w:p>
    <w:p w14:paraId="3D92164C"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t>Figure A3.1: EBA pre-crisis</w:t>
      </w:r>
    </w:p>
    <w:p w14:paraId="286E317C" w14:textId="77777777" w:rsidR="00CE4645" w:rsidRPr="00BB04D0" w:rsidRDefault="00CE4645" w:rsidP="00CE4645">
      <w:pPr>
        <w:rPr>
          <w:color w:val="000000" w:themeColor="text1"/>
        </w:rPr>
      </w:pPr>
      <w:r w:rsidRPr="00BB04D0">
        <w:rPr>
          <w:color w:val="000000" w:themeColor="text1"/>
        </w:rPr>
        <w:fldChar w:fldCharType="begin"/>
      </w:r>
      <w:r w:rsidRPr="00BB04D0">
        <w:rPr>
          <w:color w:val="000000" w:themeColor="text1"/>
        </w:rPr>
        <w:instrText xml:space="preserve"> INCLUDEPICTURE "/var/folders/gc/fpv9jdts5v1dsqfjygj_45vc0000gn/T/com.microsoft.Word/WebArchiveCopyPasteTempFiles/plot_zoom_png?width=600&amp;height=526" \* MERGEFORMATINET </w:instrText>
      </w:r>
      <w:r w:rsidRPr="00BB04D0">
        <w:rPr>
          <w:color w:val="000000" w:themeColor="text1"/>
        </w:rPr>
        <w:fldChar w:fldCharType="separate"/>
      </w:r>
      <w:r w:rsidRPr="00BB04D0">
        <w:rPr>
          <w:noProof/>
          <w:color w:val="000000" w:themeColor="text1"/>
        </w:rPr>
        <w:drawing>
          <wp:inline distT="0" distB="0" distL="0" distR="0" wp14:anchorId="3784EABF" wp14:editId="012E6367">
            <wp:extent cx="4892400" cy="3669568"/>
            <wp:effectExtent l="0" t="0" r="0" b="127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92400" cy="3669568"/>
                    </a:xfrm>
                    <a:prstGeom prst="rect">
                      <a:avLst/>
                    </a:prstGeom>
                    <a:noFill/>
                    <a:ln>
                      <a:noFill/>
                    </a:ln>
                  </pic:spPr>
                </pic:pic>
              </a:graphicData>
            </a:graphic>
          </wp:inline>
        </w:drawing>
      </w:r>
      <w:r w:rsidRPr="00BB04D0">
        <w:rPr>
          <w:color w:val="000000" w:themeColor="text1"/>
        </w:rPr>
        <w:fldChar w:fldCharType="end"/>
      </w:r>
    </w:p>
    <w:p w14:paraId="266D2DA7" w14:textId="77777777" w:rsidR="00CE4645" w:rsidRPr="00BB04D0" w:rsidRDefault="00CE4645" w:rsidP="00CE4645">
      <w:pPr>
        <w:rPr>
          <w:color w:val="000000" w:themeColor="text1"/>
        </w:rPr>
      </w:pPr>
    </w:p>
    <w:p w14:paraId="457D1DB5"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t>Figure A3.2: EBA post-crisis</w:t>
      </w:r>
    </w:p>
    <w:p w14:paraId="6BE991E0" w14:textId="77777777" w:rsidR="00CE4645" w:rsidRPr="00BB04D0" w:rsidRDefault="00CE4645" w:rsidP="00CE4645">
      <w:pPr>
        <w:rPr>
          <w:color w:val="000000" w:themeColor="text1"/>
        </w:rPr>
      </w:pPr>
      <w:r w:rsidRPr="00BB04D0">
        <w:rPr>
          <w:noProof/>
          <w:color w:val="000000" w:themeColor="text1"/>
        </w:rPr>
        <w:drawing>
          <wp:inline distT="0" distB="0" distL="0" distR="0" wp14:anchorId="6BA81ADE" wp14:editId="2B1B962F">
            <wp:extent cx="4183200" cy="3667337"/>
            <wp:effectExtent l="0" t="0" r="0" b="317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83200" cy="3667337"/>
                    </a:xfrm>
                    <a:prstGeom prst="rect">
                      <a:avLst/>
                    </a:prstGeom>
                  </pic:spPr>
                </pic:pic>
              </a:graphicData>
            </a:graphic>
          </wp:inline>
        </w:drawing>
      </w:r>
    </w:p>
    <w:p w14:paraId="7A8E3881" w14:textId="77777777" w:rsidR="00CE4645" w:rsidRPr="00BB04D0" w:rsidRDefault="00CE4645" w:rsidP="00CE4645">
      <w:pPr>
        <w:spacing w:line="480" w:lineRule="auto"/>
        <w:jc w:val="both"/>
        <w:rPr>
          <w:b/>
          <w:bCs/>
          <w:color w:val="000000" w:themeColor="text1"/>
          <w:lang w:val="en-US"/>
        </w:rPr>
      </w:pPr>
    </w:p>
    <w:p w14:paraId="3D1AB010"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lastRenderedPageBreak/>
        <w:t>Figure A3.3: EBA post-reforms</w:t>
      </w:r>
    </w:p>
    <w:p w14:paraId="43E131C0" w14:textId="77777777" w:rsidR="00CE4645" w:rsidRPr="00BB04D0" w:rsidRDefault="00CE4645" w:rsidP="00CE4645">
      <w:pPr>
        <w:rPr>
          <w:color w:val="000000" w:themeColor="text1"/>
        </w:rPr>
      </w:pPr>
      <w:r w:rsidRPr="00BB04D0">
        <w:rPr>
          <w:color w:val="000000" w:themeColor="text1"/>
        </w:rPr>
        <w:fldChar w:fldCharType="begin"/>
      </w:r>
      <w:r w:rsidRPr="00BB04D0">
        <w:rPr>
          <w:color w:val="000000" w:themeColor="text1"/>
        </w:rPr>
        <w:instrText xml:space="preserve"> INCLUDEPICTURE "/var/folders/gc/fpv9jdts5v1dsqfjygj_45vc0000gn/T/com.microsoft.Word/WebArchiveCopyPasteTempFiles/plot_zoom_png?width=600&amp;height=526" \* MERGEFORMATINET </w:instrText>
      </w:r>
      <w:r w:rsidRPr="00BB04D0">
        <w:rPr>
          <w:color w:val="000000" w:themeColor="text1"/>
        </w:rPr>
        <w:fldChar w:fldCharType="separate"/>
      </w:r>
      <w:r w:rsidRPr="00BB04D0">
        <w:rPr>
          <w:noProof/>
          <w:color w:val="000000" w:themeColor="text1"/>
        </w:rPr>
        <w:drawing>
          <wp:inline distT="0" distB="0" distL="0" distR="0" wp14:anchorId="5C5D5EDE" wp14:editId="050D43AB">
            <wp:extent cx="4892400" cy="3669571"/>
            <wp:effectExtent l="0" t="0" r="0" b="127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92400" cy="3669571"/>
                    </a:xfrm>
                    <a:prstGeom prst="rect">
                      <a:avLst/>
                    </a:prstGeom>
                    <a:noFill/>
                    <a:ln>
                      <a:noFill/>
                    </a:ln>
                  </pic:spPr>
                </pic:pic>
              </a:graphicData>
            </a:graphic>
          </wp:inline>
        </w:drawing>
      </w:r>
      <w:r w:rsidRPr="00BB04D0">
        <w:rPr>
          <w:color w:val="000000" w:themeColor="text1"/>
        </w:rPr>
        <w:fldChar w:fldCharType="end"/>
      </w:r>
    </w:p>
    <w:p w14:paraId="313E67B8"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t>Figure A3.4: EIOPA pre-crisis</w:t>
      </w:r>
    </w:p>
    <w:p w14:paraId="421DD6EF" w14:textId="77777777" w:rsidR="00CE4645" w:rsidRPr="00BB04D0" w:rsidRDefault="00CE4645" w:rsidP="00CE4645">
      <w:pPr>
        <w:rPr>
          <w:color w:val="000000" w:themeColor="text1"/>
        </w:rPr>
      </w:pPr>
      <w:r w:rsidRPr="00BB04D0">
        <w:rPr>
          <w:noProof/>
          <w:color w:val="000000" w:themeColor="text1"/>
        </w:rPr>
        <w:drawing>
          <wp:inline distT="0" distB="0" distL="0" distR="0" wp14:anchorId="68E9A281" wp14:editId="660C0F38">
            <wp:extent cx="4183200" cy="3667337"/>
            <wp:effectExtent l="0" t="0" r="0" b="317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83200" cy="3667337"/>
                    </a:xfrm>
                    <a:prstGeom prst="rect">
                      <a:avLst/>
                    </a:prstGeom>
                  </pic:spPr>
                </pic:pic>
              </a:graphicData>
            </a:graphic>
          </wp:inline>
        </w:drawing>
      </w:r>
    </w:p>
    <w:p w14:paraId="0DCB678B" w14:textId="77777777" w:rsidR="00CE4645" w:rsidRPr="00BB04D0" w:rsidRDefault="00CE4645" w:rsidP="00CE4645">
      <w:pPr>
        <w:rPr>
          <w:color w:val="000000" w:themeColor="text1"/>
        </w:rPr>
      </w:pPr>
    </w:p>
    <w:p w14:paraId="4F4FF55E" w14:textId="77777777" w:rsidR="00CE4645" w:rsidRPr="00BB04D0" w:rsidRDefault="00CE4645" w:rsidP="00CE4645">
      <w:pPr>
        <w:spacing w:line="480" w:lineRule="auto"/>
        <w:jc w:val="both"/>
        <w:rPr>
          <w:b/>
          <w:bCs/>
          <w:color w:val="000000" w:themeColor="text1"/>
          <w:lang w:val="en-US"/>
        </w:rPr>
      </w:pPr>
    </w:p>
    <w:p w14:paraId="498507FD" w14:textId="77777777" w:rsidR="00CE4645" w:rsidRPr="00BB04D0" w:rsidRDefault="00CE4645" w:rsidP="00CE4645">
      <w:pPr>
        <w:spacing w:line="480" w:lineRule="auto"/>
        <w:jc w:val="both"/>
        <w:rPr>
          <w:b/>
          <w:bCs/>
          <w:color w:val="000000" w:themeColor="text1"/>
          <w:lang w:val="en-US"/>
        </w:rPr>
      </w:pPr>
    </w:p>
    <w:p w14:paraId="0F9063E2" w14:textId="77777777" w:rsidR="00CE4645" w:rsidRPr="00BB04D0" w:rsidRDefault="00CE4645" w:rsidP="00CE4645">
      <w:pPr>
        <w:spacing w:line="480" w:lineRule="auto"/>
        <w:jc w:val="both"/>
        <w:rPr>
          <w:b/>
          <w:bCs/>
          <w:color w:val="000000" w:themeColor="text1"/>
          <w:lang w:val="en-US"/>
        </w:rPr>
      </w:pPr>
    </w:p>
    <w:p w14:paraId="315488F4"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t>Figure A3.5: EIOPA post-crisis</w:t>
      </w:r>
    </w:p>
    <w:p w14:paraId="1316C6CB" w14:textId="77777777" w:rsidR="00CE4645" w:rsidRPr="00BB04D0" w:rsidRDefault="00CE4645" w:rsidP="00CE4645">
      <w:pPr>
        <w:spacing w:line="480" w:lineRule="auto"/>
        <w:jc w:val="both"/>
        <w:rPr>
          <w:b/>
          <w:bCs/>
          <w:color w:val="000000" w:themeColor="text1"/>
          <w:lang w:val="en-US"/>
        </w:rPr>
      </w:pPr>
      <w:r w:rsidRPr="00BB04D0">
        <w:rPr>
          <w:b/>
          <w:bCs/>
          <w:noProof/>
          <w:color w:val="000000" w:themeColor="text1"/>
          <w:lang w:val="en-US"/>
        </w:rPr>
        <w:drawing>
          <wp:inline distT="0" distB="0" distL="0" distR="0" wp14:anchorId="77B0C7CF" wp14:editId="53EE42B0">
            <wp:extent cx="4183200" cy="3667337"/>
            <wp:effectExtent l="0" t="0" r="0" b="317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83200" cy="3667337"/>
                    </a:xfrm>
                    <a:prstGeom prst="rect">
                      <a:avLst/>
                    </a:prstGeom>
                  </pic:spPr>
                </pic:pic>
              </a:graphicData>
            </a:graphic>
          </wp:inline>
        </w:drawing>
      </w:r>
    </w:p>
    <w:p w14:paraId="6BD51E87"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t>Figure A3.6: EIOPA post-reforms</w:t>
      </w:r>
    </w:p>
    <w:p w14:paraId="6A011781" w14:textId="77777777" w:rsidR="00CE4645" w:rsidRPr="00BB04D0" w:rsidRDefault="00CE4645" w:rsidP="00CE4645">
      <w:pPr>
        <w:rPr>
          <w:color w:val="000000" w:themeColor="text1"/>
        </w:rPr>
      </w:pPr>
      <w:r w:rsidRPr="00BB04D0">
        <w:rPr>
          <w:noProof/>
          <w:color w:val="000000" w:themeColor="text1"/>
        </w:rPr>
        <w:drawing>
          <wp:inline distT="0" distB="0" distL="0" distR="0" wp14:anchorId="768148C1" wp14:editId="58D106C1">
            <wp:extent cx="4183200" cy="3667337"/>
            <wp:effectExtent l="0" t="0" r="0" b="3175"/>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a:blip r:embed="rId13"/>
                    <a:stretch>
                      <a:fillRect/>
                    </a:stretch>
                  </pic:blipFill>
                  <pic:spPr>
                    <a:xfrm>
                      <a:off x="0" y="0"/>
                      <a:ext cx="4183200" cy="3667337"/>
                    </a:xfrm>
                    <a:prstGeom prst="rect">
                      <a:avLst/>
                    </a:prstGeom>
                  </pic:spPr>
                </pic:pic>
              </a:graphicData>
            </a:graphic>
          </wp:inline>
        </w:drawing>
      </w:r>
    </w:p>
    <w:p w14:paraId="46EF9072" w14:textId="77777777" w:rsidR="00CE4645" w:rsidRPr="00BB04D0" w:rsidRDefault="00CE4645" w:rsidP="00CE4645">
      <w:pPr>
        <w:spacing w:line="480" w:lineRule="auto"/>
        <w:jc w:val="both"/>
        <w:rPr>
          <w:color w:val="000000" w:themeColor="text1"/>
          <w:lang w:val="en-US"/>
        </w:rPr>
      </w:pPr>
    </w:p>
    <w:p w14:paraId="6F85446C"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lastRenderedPageBreak/>
        <w:t>Figure A3.7: ESMA pre-crisis</w:t>
      </w:r>
    </w:p>
    <w:p w14:paraId="669EC95C" w14:textId="77777777" w:rsidR="00CE4645" w:rsidRPr="00BB04D0" w:rsidRDefault="00CE4645" w:rsidP="00CE4645">
      <w:pPr>
        <w:rPr>
          <w:color w:val="000000" w:themeColor="text1"/>
        </w:rPr>
      </w:pPr>
      <w:r w:rsidRPr="00BB04D0">
        <w:rPr>
          <w:noProof/>
          <w:color w:val="000000" w:themeColor="text1"/>
        </w:rPr>
        <w:drawing>
          <wp:inline distT="0" distB="0" distL="0" distR="0" wp14:anchorId="65FCF0A7" wp14:editId="33A92F01">
            <wp:extent cx="4183200" cy="3667337"/>
            <wp:effectExtent l="0" t="0" r="0" b="317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83200" cy="3667337"/>
                    </a:xfrm>
                    <a:prstGeom prst="rect">
                      <a:avLst/>
                    </a:prstGeom>
                  </pic:spPr>
                </pic:pic>
              </a:graphicData>
            </a:graphic>
          </wp:inline>
        </w:drawing>
      </w:r>
    </w:p>
    <w:p w14:paraId="749FBE70" w14:textId="77777777" w:rsidR="00CE4645" w:rsidRPr="00BB04D0" w:rsidRDefault="00CE4645" w:rsidP="00CE4645">
      <w:pPr>
        <w:rPr>
          <w:color w:val="000000" w:themeColor="text1"/>
        </w:rPr>
      </w:pPr>
    </w:p>
    <w:p w14:paraId="2F59BDBC"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t>Figure A3.8: ESMA post-crisis</w:t>
      </w:r>
    </w:p>
    <w:p w14:paraId="20D09045" w14:textId="77777777" w:rsidR="00CE4645" w:rsidRPr="00BB04D0" w:rsidRDefault="00CE4645" w:rsidP="00CE4645">
      <w:pPr>
        <w:spacing w:line="480" w:lineRule="auto"/>
        <w:jc w:val="both"/>
        <w:rPr>
          <w:b/>
          <w:bCs/>
          <w:color w:val="000000" w:themeColor="text1"/>
          <w:lang w:val="en-US"/>
        </w:rPr>
      </w:pPr>
      <w:r w:rsidRPr="00BB04D0">
        <w:rPr>
          <w:b/>
          <w:bCs/>
          <w:noProof/>
          <w:color w:val="000000" w:themeColor="text1"/>
          <w:lang w:val="en-US"/>
        </w:rPr>
        <w:drawing>
          <wp:inline distT="0" distB="0" distL="0" distR="0" wp14:anchorId="7C7D0842" wp14:editId="63B2D671">
            <wp:extent cx="4183200" cy="3667337"/>
            <wp:effectExtent l="0" t="0" r="0" b="317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83200" cy="3667337"/>
                    </a:xfrm>
                    <a:prstGeom prst="rect">
                      <a:avLst/>
                    </a:prstGeom>
                  </pic:spPr>
                </pic:pic>
              </a:graphicData>
            </a:graphic>
          </wp:inline>
        </w:drawing>
      </w:r>
    </w:p>
    <w:p w14:paraId="7C3B58AA" w14:textId="77777777" w:rsidR="00CE4645" w:rsidRPr="00BB04D0" w:rsidRDefault="00CE4645" w:rsidP="00CE4645">
      <w:pPr>
        <w:spacing w:line="480" w:lineRule="auto"/>
        <w:jc w:val="both"/>
        <w:rPr>
          <w:b/>
          <w:bCs/>
          <w:color w:val="000000" w:themeColor="text1"/>
          <w:lang w:val="en-US"/>
        </w:rPr>
      </w:pPr>
    </w:p>
    <w:p w14:paraId="0BC57B68"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lastRenderedPageBreak/>
        <w:t>Figure A3.9: ESMA post-reforms</w:t>
      </w:r>
    </w:p>
    <w:p w14:paraId="321BEBD2" w14:textId="77777777" w:rsidR="00CE4645" w:rsidRPr="00BB04D0" w:rsidRDefault="00CE4645" w:rsidP="00CE4645">
      <w:pPr>
        <w:spacing w:line="480" w:lineRule="auto"/>
        <w:jc w:val="both"/>
        <w:rPr>
          <w:color w:val="000000" w:themeColor="text1"/>
          <w:lang w:val="en-US"/>
        </w:rPr>
      </w:pPr>
      <w:r w:rsidRPr="00BB04D0">
        <w:rPr>
          <w:noProof/>
          <w:color w:val="000000" w:themeColor="text1"/>
          <w:lang w:val="en-US"/>
        </w:rPr>
        <w:drawing>
          <wp:inline distT="0" distB="0" distL="0" distR="0" wp14:anchorId="5ED9A0AA" wp14:editId="5DF57E03">
            <wp:extent cx="4183200" cy="3667337"/>
            <wp:effectExtent l="0" t="0" r="0" b="317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83200" cy="3667337"/>
                    </a:xfrm>
                    <a:prstGeom prst="rect">
                      <a:avLst/>
                    </a:prstGeom>
                  </pic:spPr>
                </pic:pic>
              </a:graphicData>
            </a:graphic>
          </wp:inline>
        </w:drawing>
      </w:r>
    </w:p>
    <w:p w14:paraId="7432A31D" w14:textId="77777777" w:rsidR="00CE4645" w:rsidRPr="00BB04D0" w:rsidRDefault="00CE4645" w:rsidP="00CE4645">
      <w:pPr>
        <w:jc w:val="both"/>
        <w:rPr>
          <w:color w:val="000000" w:themeColor="text1"/>
        </w:rPr>
      </w:pPr>
    </w:p>
    <w:p w14:paraId="55A888D8" w14:textId="77777777" w:rsidR="00CE4645" w:rsidRPr="00BB04D0" w:rsidRDefault="00CE4645" w:rsidP="00CE4645">
      <w:pPr>
        <w:rPr>
          <w:color w:val="000000" w:themeColor="text1"/>
        </w:rPr>
      </w:pPr>
      <w:r w:rsidRPr="00BB04D0">
        <w:rPr>
          <w:color w:val="000000" w:themeColor="text1"/>
        </w:rPr>
        <w:br w:type="page"/>
      </w:r>
    </w:p>
    <w:p w14:paraId="3D96A34E"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lastRenderedPageBreak/>
        <w:t>Appendix D: Conditional Uniform Graph Tests</w:t>
      </w:r>
    </w:p>
    <w:p w14:paraId="5703C332" w14:textId="77777777" w:rsidR="00CE4645" w:rsidRPr="00BB04D0" w:rsidRDefault="00CE4645" w:rsidP="00CE4645">
      <w:pPr>
        <w:spacing w:line="480" w:lineRule="auto"/>
        <w:jc w:val="both"/>
        <w:rPr>
          <w:color w:val="000000" w:themeColor="text1"/>
          <w:lang w:val="en-US"/>
        </w:rPr>
      </w:pPr>
      <w:r w:rsidRPr="00BB04D0">
        <w:rPr>
          <w:color w:val="000000" w:themeColor="text1"/>
          <w:lang w:val="en-US"/>
        </w:rPr>
        <w:t xml:space="preserve">To compare the density of the different networks over time, one should control for the difference in size of these respective networks. Density is computed by dividing the realized number of edges (or ties) between the different nodes (or actors) by the number of theoretically possible edges in a certain network. In other words, density is a function of the size of the network. Thus, if one wants to compare the density of networks with varying edges and nodes, one needs to control for differences in size. </w:t>
      </w:r>
    </w:p>
    <w:p w14:paraId="46644987" w14:textId="77777777" w:rsidR="00CE4645" w:rsidRPr="00BB04D0" w:rsidRDefault="00CE4645" w:rsidP="00CE4645">
      <w:pPr>
        <w:spacing w:line="480" w:lineRule="auto"/>
        <w:jc w:val="both"/>
        <w:rPr>
          <w:color w:val="000000" w:themeColor="text1"/>
          <w:lang w:val="en-US"/>
        </w:rPr>
      </w:pPr>
      <w:r w:rsidRPr="00BB04D0">
        <w:rPr>
          <w:color w:val="000000" w:themeColor="text1"/>
          <w:lang w:val="en-US"/>
        </w:rPr>
        <w:tab/>
        <w:t xml:space="preserve">Using a Conditional Uniform Graph (CUG) test, one can (albeit partially) control for that. The CUG-tests presented below take the density (or any other network metric) of the realized network and statistically compares that to a high number of randomly generated networks with the same size (n = 5000). More specifically, it measures the likelihood that the empirically observed density score is the result of a random data generating process. </w:t>
      </w:r>
    </w:p>
    <w:p w14:paraId="10659D42" w14:textId="77777777" w:rsidR="00CE4645" w:rsidRPr="00BB04D0" w:rsidRDefault="00CE4645" w:rsidP="00CE4645">
      <w:pPr>
        <w:spacing w:line="480" w:lineRule="auto"/>
        <w:jc w:val="both"/>
        <w:rPr>
          <w:color w:val="000000" w:themeColor="text1"/>
          <w:lang w:val="en-US"/>
        </w:rPr>
      </w:pPr>
      <w:r w:rsidRPr="00BB04D0">
        <w:rPr>
          <w:color w:val="000000" w:themeColor="text1"/>
          <w:lang w:val="en-US"/>
        </w:rPr>
        <w:tab/>
        <w:t xml:space="preserve">Figures A4.1-9 show the results of the CUG-tests. For all the networks (expect for EIOPAs network before the crisis), the observed density measures (as also presented in Table 3) are significantly lower than the density scores of the randomly generated networks when conditioned for the network’s size. For EIOPA, the observed density of the pre-crisis network is significantly bigger than those from the random networks. The networks’ density scores decrease after the crisis and reforms, and – when conditioned for the networks’ size – are lower than those of the random networks. </w:t>
      </w:r>
    </w:p>
    <w:p w14:paraId="254E9EF5" w14:textId="77777777" w:rsidR="00CE4645" w:rsidRPr="00BB04D0" w:rsidRDefault="00CE4645" w:rsidP="00CE4645">
      <w:pPr>
        <w:spacing w:line="480" w:lineRule="auto"/>
        <w:ind w:firstLine="708"/>
        <w:jc w:val="both"/>
        <w:rPr>
          <w:color w:val="000000" w:themeColor="text1"/>
          <w:lang w:val="en-US"/>
        </w:rPr>
      </w:pPr>
      <w:r w:rsidRPr="00BB04D0">
        <w:rPr>
          <w:color w:val="000000" w:themeColor="text1"/>
          <w:lang w:val="en-US"/>
        </w:rPr>
        <w:t>The CUG-tests thus demonstrate that the observed density measures are unlikely to be the result of random processes. This means that the density scores as presented in Table 3 can be compared with one another. This robustness check thus indicates that the observed decrease in density might, in fact, be the result of groups’ changing participation.</w:t>
      </w:r>
    </w:p>
    <w:p w14:paraId="5434D666" w14:textId="77777777" w:rsidR="00CE4645" w:rsidRPr="00BB04D0" w:rsidRDefault="00CE4645" w:rsidP="00CE4645">
      <w:pPr>
        <w:spacing w:line="480" w:lineRule="auto"/>
        <w:ind w:firstLine="708"/>
        <w:jc w:val="both"/>
        <w:rPr>
          <w:color w:val="000000" w:themeColor="text1"/>
          <w:lang w:val="en-US"/>
        </w:rPr>
      </w:pPr>
    </w:p>
    <w:p w14:paraId="0A11E624" w14:textId="77777777" w:rsidR="00CE4645" w:rsidRPr="00BB04D0" w:rsidRDefault="00CE4645" w:rsidP="00CE4645">
      <w:pPr>
        <w:spacing w:line="480" w:lineRule="auto"/>
        <w:ind w:firstLine="708"/>
        <w:jc w:val="both"/>
        <w:rPr>
          <w:color w:val="000000" w:themeColor="text1"/>
          <w:lang w:val="en-US"/>
        </w:rPr>
      </w:pPr>
    </w:p>
    <w:p w14:paraId="6BB6B9CF" w14:textId="77777777" w:rsidR="00CE4645" w:rsidRPr="00BB04D0" w:rsidRDefault="00CE4645" w:rsidP="00CE4645">
      <w:pPr>
        <w:spacing w:line="480" w:lineRule="auto"/>
        <w:jc w:val="both"/>
        <w:rPr>
          <w:b/>
          <w:bCs/>
          <w:color w:val="000000" w:themeColor="text1"/>
          <w:lang w:val="en-US"/>
        </w:rPr>
      </w:pPr>
      <w:r w:rsidRPr="00BB04D0">
        <w:rPr>
          <w:b/>
          <w:bCs/>
          <w:color w:val="000000" w:themeColor="text1"/>
          <w:lang w:val="en-US"/>
        </w:rPr>
        <w:lastRenderedPageBreak/>
        <w:t>Figures A4.1-9: Univariate Conditional Uniform Graph Tests per Agency per Period</w:t>
      </w:r>
    </w:p>
    <w:p w14:paraId="5C032605" w14:textId="77777777" w:rsidR="00CE4645" w:rsidRPr="00BB04D0" w:rsidRDefault="00CE4645" w:rsidP="00CE4645">
      <w:pPr>
        <w:rPr>
          <w:color w:val="000000" w:themeColor="text1"/>
        </w:rPr>
      </w:pPr>
      <w:r w:rsidRPr="00BB04D0">
        <w:rPr>
          <w:noProof/>
          <w:color w:val="000000" w:themeColor="text1"/>
        </w:rPr>
        <w:drawing>
          <wp:inline distT="0" distB="0" distL="0" distR="0" wp14:anchorId="2DF01447" wp14:editId="6E46C3CD">
            <wp:extent cx="2830930" cy="1591200"/>
            <wp:effectExtent l="0" t="0" r="127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30930" cy="1591200"/>
                    </a:xfrm>
                    <a:prstGeom prst="rect">
                      <a:avLst/>
                    </a:prstGeom>
                  </pic:spPr>
                </pic:pic>
              </a:graphicData>
            </a:graphic>
          </wp:inline>
        </w:drawing>
      </w:r>
      <w:r w:rsidRPr="00BB04D0">
        <w:rPr>
          <w:noProof/>
          <w:color w:val="000000" w:themeColor="text1"/>
        </w:rPr>
        <w:drawing>
          <wp:inline distT="0" distB="0" distL="0" distR="0" wp14:anchorId="2BD291C6" wp14:editId="482F2DF9">
            <wp:extent cx="2830927" cy="1591200"/>
            <wp:effectExtent l="0" t="0" r="127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30927" cy="1591200"/>
                    </a:xfrm>
                    <a:prstGeom prst="rect">
                      <a:avLst/>
                    </a:prstGeom>
                  </pic:spPr>
                </pic:pic>
              </a:graphicData>
            </a:graphic>
          </wp:inline>
        </w:drawing>
      </w:r>
    </w:p>
    <w:p w14:paraId="7FD67656" w14:textId="77777777" w:rsidR="00CE4645" w:rsidRPr="00BB04D0" w:rsidRDefault="00CE4645" w:rsidP="00CE4645">
      <w:pPr>
        <w:spacing w:line="480" w:lineRule="auto"/>
        <w:jc w:val="both"/>
        <w:rPr>
          <w:b/>
          <w:bCs/>
          <w:color w:val="000000" w:themeColor="text1"/>
          <w:lang w:val="en-US"/>
        </w:rPr>
      </w:pPr>
      <w:r w:rsidRPr="00BB04D0">
        <w:rPr>
          <w:noProof/>
          <w:color w:val="000000" w:themeColor="text1"/>
        </w:rPr>
        <w:drawing>
          <wp:inline distT="0" distB="0" distL="0" distR="0" wp14:anchorId="55038984" wp14:editId="03BF618D">
            <wp:extent cx="2830931" cy="1591200"/>
            <wp:effectExtent l="0" t="0" r="127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30931" cy="1591200"/>
                    </a:xfrm>
                    <a:prstGeom prst="rect">
                      <a:avLst/>
                    </a:prstGeom>
                  </pic:spPr>
                </pic:pic>
              </a:graphicData>
            </a:graphic>
          </wp:inline>
        </w:drawing>
      </w:r>
      <w:r w:rsidRPr="00BB04D0">
        <w:rPr>
          <w:b/>
          <w:bCs/>
          <w:noProof/>
          <w:color w:val="000000" w:themeColor="text1"/>
          <w:lang w:val="en-US"/>
        </w:rPr>
        <w:drawing>
          <wp:inline distT="0" distB="0" distL="0" distR="0" wp14:anchorId="600E1478" wp14:editId="17342CEB">
            <wp:extent cx="2830930" cy="1591200"/>
            <wp:effectExtent l="0" t="0" r="127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30930" cy="1591200"/>
                    </a:xfrm>
                    <a:prstGeom prst="rect">
                      <a:avLst/>
                    </a:prstGeom>
                  </pic:spPr>
                </pic:pic>
              </a:graphicData>
            </a:graphic>
          </wp:inline>
        </w:drawing>
      </w:r>
    </w:p>
    <w:p w14:paraId="6186D05A" w14:textId="77777777" w:rsidR="00CE4645" w:rsidRPr="00BB04D0" w:rsidRDefault="00CE4645" w:rsidP="00CE4645">
      <w:pPr>
        <w:rPr>
          <w:color w:val="000000" w:themeColor="text1"/>
        </w:rPr>
      </w:pPr>
      <w:r w:rsidRPr="00BB04D0">
        <w:rPr>
          <w:noProof/>
          <w:color w:val="000000" w:themeColor="text1"/>
        </w:rPr>
        <w:drawing>
          <wp:inline distT="0" distB="0" distL="0" distR="0" wp14:anchorId="47ABE75F" wp14:editId="28D8039A">
            <wp:extent cx="2830930" cy="1591200"/>
            <wp:effectExtent l="0" t="0" r="127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30930" cy="1591200"/>
                    </a:xfrm>
                    <a:prstGeom prst="rect">
                      <a:avLst/>
                    </a:prstGeom>
                  </pic:spPr>
                </pic:pic>
              </a:graphicData>
            </a:graphic>
          </wp:inline>
        </w:drawing>
      </w:r>
      <w:r w:rsidRPr="00BB04D0">
        <w:rPr>
          <w:b/>
          <w:bCs/>
          <w:noProof/>
          <w:color w:val="000000" w:themeColor="text1"/>
          <w:lang w:val="en-US"/>
        </w:rPr>
        <w:drawing>
          <wp:inline distT="0" distB="0" distL="0" distR="0" wp14:anchorId="020EE77E" wp14:editId="10D37743">
            <wp:extent cx="2830929" cy="1591200"/>
            <wp:effectExtent l="0" t="0" r="127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30929" cy="1591200"/>
                    </a:xfrm>
                    <a:prstGeom prst="rect">
                      <a:avLst/>
                    </a:prstGeom>
                  </pic:spPr>
                </pic:pic>
              </a:graphicData>
            </a:graphic>
          </wp:inline>
        </w:drawing>
      </w:r>
    </w:p>
    <w:p w14:paraId="0BF40A81" w14:textId="77777777" w:rsidR="00CE4645" w:rsidRPr="00BB04D0" w:rsidRDefault="00CE4645" w:rsidP="00CE4645">
      <w:pPr>
        <w:spacing w:line="480" w:lineRule="auto"/>
        <w:jc w:val="both"/>
        <w:rPr>
          <w:b/>
          <w:bCs/>
          <w:color w:val="000000" w:themeColor="text1"/>
          <w:lang w:val="en-US"/>
        </w:rPr>
      </w:pPr>
      <w:r w:rsidRPr="00BB04D0">
        <w:rPr>
          <w:noProof/>
          <w:color w:val="000000" w:themeColor="text1"/>
        </w:rPr>
        <w:drawing>
          <wp:inline distT="0" distB="0" distL="0" distR="0" wp14:anchorId="1B92F872" wp14:editId="7051F33F">
            <wp:extent cx="2830933" cy="1591200"/>
            <wp:effectExtent l="0" t="0" r="127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30933" cy="1591200"/>
                    </a:xfrm>
                    <a:prstGeom prst="rect">
                      <a:avLst/>
                    </a:prstGeom>
                  </pic:spPr>
                </pic:pic>
              </a:graphicData>
            </a:graphic>
          </wp:inline>
        </w:drawing>
      </w:r>
      <w:r w:rsidRPr="00BB04D0">
        <w:rPr>
          <w:noProof/>
          <w:color w:val="000000" w:themeColor="text1"/>
        </w:rPr>
        <w:drawing>
          <wp:inline distT="0" distB="0" distL="0" distR="0" wp14:anchorId="12ED9CD1" wp14:editId="40A5CB2D">
            <wp:extent cx="2830930" cy="1591200"/>
            <wp:effectExtent l="0" t="0" r="127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30930" cy="1591200"/>
                    </a:xfrm>
                    <a:prstGeom prst="rect">
                      <a:avLst/>
                    </a:prstGeom>
                  </pic:spPr>
                </pic:pic>
              </a:graphicData>
            </a:graphic>
          </wp:inline>
        </w:drawing>
      </w:r>
    </w:p>
    <w:p w14:paraId="2C43A95E" w14:textId="77777777" w:rsidR="00CE4645" w:rsidRPr="00BB04D0" w:rsidRDefault="00CE4645" w:rsidP="00CE4645">
      <w:pPr>
        <w:spacing w:line="480" w:lineRule="auto"/>
        <w:jc w:val="both"/>
        <w:rPr>
          <w:b/>
          <w:bCs/>
          <w:color w:val="000000" w:themeColor="text1"/>
          <w:lang w:val="en-US"/>
        </w:rPr>
      </w:pPr>
      <w:r w:rsidRPr="00BB04D0">
        <w:rPr>
          <w:b/>
          <w:bCs/>
          <w:noProof/>
          <w:color w:val="000000" w:themeColor="text1"/>
          <w:lang w:val="en-US"/>
        </w:rPr>
        <w:drawing>
          <wp:inline distT="0" distB="0" distL="0" distR="0" wp14:anchorId="3370619A" wp14:editId="795D2C21">
            <wp:extent cx="2830930" cy="1591200"/>
            <wp:effectExtent l="0" t="0" r="127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30930" cy="1591200"/>
                    </a:xfrm>
                    <a:prstGeom prst="rect">
                      <a:avLst/>
                    </a:prstGeom>
                  </pic:spPr>
                </pic:pic>
              </a:graphicData>
            </a:graphic>
          </wp:inline>
        </w:drawing>
      </w:r>
    </w:p>
    <w:p w14:paraId="3AC53EF6" w14:textId="77777777" w:rsidR="00CE4645" w:rsidRPr="00BB04D0" w:rsidRDefault="00CE4645" w:rsidP="00CE4645">
      <w:pPr>
        <w:spacing w:line="480" w:lineRule="auto"/>
        <w:jc w:val="both"/>
        <w:rPr>
          <w:b/>
          <w:bCs/>
          <w:color w:val="000000" w:themeColor="text1"/>
          <w:lang w:val="en-US"/>
        </w:rPr>
      </w:pPr>
    </w:p>
    <w:p w14:paraId="3C0D259B" w14:textId="77777777" w:rsidR="00CE4645" w:rsidRPr="00BB04D0" w:rsidRDefault="00CE4645" w:rsidP="00CE4645">
      <w:pPr>
        <w:spacing w:line="480" w:lineRule="auto"/>
        <w:jc w:val="both"/>
        <w:rPr>
          <w:b/>
          <w:bCs/>
          <w:color w:val="000000" w:themeColor="text1"/>
          <w:lang w:val="en-US"/>
        </w:rPr>
      </w:pPr>
    </w:p>
    <w:p w14:paraId="5F6874A9" w14:textId="77777777" w:rsidR="00CE4645" w:rsidRPr="00BB04D0" w:rsidRDefault="00CE4645" w:rsidP="00CE4645">
      <w:pPr>
        <w:jc w:val="both"/>
        <w:rPr>
          <w:b/>
          <w:bCs/>
          <w:color w:val="000000" w:themeColor="text1"/>
          <w:lang w:val="en-US"/>
        </w:rPr>
      </w:pPr>
      <w:r w:rsidRPr="00BB04D0">
        <w:rPr>
          <w:b/>
          <w:bCs/>
          <w:color w:val="000000" w:themeColor="text1"/>
          <w:lang w:val="en-US"/>
        </w:rPr>
        <w:t xml:space="preserve">Appendix E: Visualizations Lorenz Curve </w:t>
      </w:r>
      <w:proofErr w:type="spellStart"/>
      <w:r w:rsidRPr="00BB04D0">
        <w:rPr>
          <w:b/>
          <w:bCs/>
          <w:color w:val="000000" w:themeColor="text1"/>
          <w:lang w:val="en-US"/>
        </w:rPr>
        <w:t>Eigencentrality</w:t>
      </w:r>
      <w:proofErr w:type="spellEnd"/>
    </w:p>
    <w:p w14:paraId="455070EE" w14:textId="77777777" w:rsidR="00CE4645" w:rsidRPr="00BB04D0" w:rsidRDefault="00CE4645" w:rsidP="00CE4645">
      <w:pPr>
        <w:jc w:val="both"/>
        <w:rPr>
          <w:b/>
          <w:bCs/>
          <w:color w:val="000000" w:themeColor="text1"/>
          <w:lang w:val="en-US"/>
        </w:rPr>
      </w:pPr>
    </w:p>
    <w:p w14:paraId="3A0925C4" w14:textId="77777777" w:rsidR="00CE4645" w:rsidRPr="00BB04D0" w:rsidRDefault="00CE4645" w:rsidP="00CE4645">
      <w:pPr>
        <w:jc w:val="both"/>
        <w:rPr>
          <w:b/>
          <w:bCs/>
          <w:color w:val="000000" w:themeColor="text1"/>
          <w:lang w:val="en-US"/>
        </w:rPr>
      </w:pPr>
    </w:p>
    <w:p w14:paraId="0BFA98BD" w14:textId="77777777" w:rsidR="00CE4645" w:rsidRPr="00BB04D0" w:rsidRDefault="00CE4645" w:rsidP="00CE4645">
      <w:pPr>
        <w:jc w:val="both"/>
        <w:rPr>
          <w:b/>
          <w:bCs/>
          <w:color w:val="000000" w:themeColor="text1"/>
          <w:lang w:val="en-US"/>
        </w:rPr>
      </w:pPr>
      <w:r w:rsidRPr="00BB04D0">
        <w:rPr>
          <w:b/>
          <w:bCs/>
          <w:color w:val="000000" w:themeColor="text1"/>
          <w:lang w:val="en-US"/>
        </w:rPr>
        <w:t xml:space="preserve">Figure A5.1: Lorenz-curve </w:t>
      </w:r>
      <w:proofErr w:type="spellStart"/>
      <w:r w:rsidRPr="00BB04D0">
        <w:rPr>
          <w:b/>
          <w:bCs/>
          <w:color w:val="000000" w:themeColor="text1"/>
          <w:lang w:val="en-US"/>
        </w:rPr>
        <w:t>Eigencentrality</w:t>
      </w:r>
      <w:proofErr w:type="spellEnd"/>
      <w:r w:rsidRPr="00BB04D0">
        <w:rPr>
          <w:b/>
          <w:bCs/>
          <w:color w:val="000000" w:themeColor="text1"/>
          <w:lang w:val="en-US"/>
        </w:rPr>
        <w:t xml:space="preserve"> EBA </w:t>
      </w:r>
    </w:p>
    <w:p w14:paraId="27C2378B" w14:textId="77777777" w:rsidR="00CE4645" w:rsidRPr="00BB04D0" w:rsidRDefault="00CE4645" w:rsidP="00CE4645">
      <w:pPr>
        <w:jc w:val="both"/>
        <w:rPr>
          <w:color w:val="000000" w:themeColor="text1"/>
          <w:lang w:val="en-US"/>
        </w:rPr>
      </w:pPr>
    </w:p>
    <w:p w14:paraId="60D9A1C4" w14:textId="77777777" w:rsidR="00CE4645" w:rsidRPr="00BB04D0" w:rsidRDefault="00CE4645" w:rsidP="00CE4645">
      <w:pPr>
        <w:jc w:val="both"/>
        <w:rPr>
          <w:color w:val="000000" w:themeColor="text1"/>
        </w:rPr>
      </w:pPr>
      <w:r w:rsidRPr="00BB04D0">
        <w:rPr>
          <w:noProof/>
          <w:color w:val="000000" w:themeColor="text1"/>
        </w:rPr>
        <w:drawing>
          <wp:inline distT="0" distB="0" distL="0" distR="0" wp14:anchorId="0672F05E" wp14:editId="027BFBBA">
            <wp:extent cx="2785612" cy="2095200"/>
            <wp:effectExtent l="0" t="0" r="0" b="63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785612" cy="2095200"/>
                    </a:xfrm>
                    <a:prstGeom prst="rect">
                      <a:avLst/>
                    </a:prstGeom>
                  </pic:spPr>
                </pic:pic>
              </a:graphicData>
            </a:graphic>
          </wp:inline>
        </w:drawing>
      </w:r>
    </w:p>
    <w:p w14:paraId="181FC6FB" w14:textId="77777777" w:rsidR="00CE4645" w:rsidRPr="00BB04D0" w:rsidRDefault="00CE4645" w:rsidP="00CE4645">
      <w:pPr>
        <w:jc w:val="both"/>
        <w:rPr>
          <w:color w:val="000000" w:themeColor="text1"/>
        </w:rPr>
      </w:pPr>
    </w:p>
    <w:p w14:paraId="16213871" w14:textId="77777777" w:rsidR="00CE4645" w:rsidRPr="00BB04D0" w:rsidRDefault="00CE4645" w:rsidP="00CE4645">
      <w:pPr>
        <w:jc w:val="both"/>
        <w:rPr>
          <w:color w:val="000000" w:themeColor="text1"/>
        </w:rPr>
      </w:pPr>
    </w:p>
    <w:p w14:paraId="137F15CE" w14:textId="77777777" w:rsidR="00CE4645" w:rsidRPr="00BB04D0" w:rsidRDefault="00CE4645" w:rsidP="00CE4645">
      <w:pPr>
        <w:jc w:val="both"/>
        <w:rPr>
          <w:b/>
          <w:bCs/>
          <w:color w:val="000000" w:themeColor="text1"/>
          <w:lang w:val="en-US"/>
        </w:rPr>
      </w:pPr>
      <w:r w:rsidRPr="00BB04D0">
        <w:rPr>
          <w:b/>
          <w:bCs/>
          <w:color w:val="000000" w:themeColor="text1"/>
          <w:lang w:val="en-US"/>
        </w:rPr>
        <w:t xml:space="preserve">Figure A5.2: Lorenz-curve </w:t>
      </w:r>
      <w:proofErr w:type="spellStart"/>
      <w:r w:rsidRPr="00BB04D0">
        <w:rPr>
          <w:b/>
          <w:bCs/>
          <w:color w:val="000000" w:themeColor="text1"/>
          <w:lang w:val="en-US"/>
        </w:rPr>
        <w:t>Eigencentrality</w:t>
      </w:r>
      <w:proofErr w:type="spellEnd"/>
      <w:r w:rsidRPr="00BB04D0">
        <w:rPr>
          <w:b/>
          <w:bCs/>
          <w:color w:val="000000" w:themeColor="text1"/>
          <w:lang w:val="en-US"/>
        </w:rPr>
        <w:t xml:space="preserve"> EOIPA </w:t>
      </w:r>
    </w:p>
    <w:p w14:paraId="0D742FA5" w14:textId="77777777" w:rsidR="00CE4645" w:rsidRPr="00BB04D0" w:rsidRDefault="00CE4645" w:rsidP="00CE4645">
      <w:pPr>
        <w:jc w:val="both"/>
        <w:rPr>
          <w:color w:val="000000" w:themeColor="text1"/>
          <w:lang w:val="en-US"/>
        </w:rPr>
      </w:pPr>
    </w:p>
    <w:p w14:paraId="3D547C12" w14:textId="77777777" w:rsidR="00CE4645" w:rsidRPr="00BB04D0" w:rsidRDefault="00CE4645" w:rsidP="00CE4645">
      <w:pPr>
        <w:jc w:val="both"/>
        <w:rPr>
          <w:color w:val="000000" w:themeColor="text1"/>
        </w:rPr>
      </w:pPr>
      <w:r w:rsidRPr="00BB04D0">
        <w:rPr>
          <w:noProof/>
          <w:color w:val="000000" w:themeColor="text1"/>
        </w:rPr>
        <w:drawing>
          <wp:inline distT="0" distB="0" distL="0" distR="0" wp14:anchorId="6974BD2C" wp14:editId="3E8A4071">
            <wp:extent cx="2785612" cy="2095200"/>
            <wp:effectExtent l="0" t="0" r="0" b="63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785612" cy="2095200"/>
                    </a:xfrm>
                    <a:prstGeom prst="rect">
                      <a:avLst/>
                    </a:prstGeom>
                  </pic:spPr>
                </pic:pic>
              </a:graphicData>
            </a:graphic>
          </wp:inline>
        </w:drawing>
      </w:r>
    </w:p>
    <w:p w14:paraId="6D28A20B" w14:textId="77777777" w:rsidR="00CE4645" w:rsidRPr="00BB04D0" w:rsidRDefault="00CE4645" w:rsidP="00CE4645">
      <w:pPr>
        <w:jc w:val="both"/>
        <w:rPr>
          <w:b/>
          <w:bCs/>
          <w:color w:val="000000" w:themeColor="text1"/>
          <w:lang w:val="en-US"/>
        </w:rPr>
      </w:pPr>
    </w:p>
    <w:p w14:paraId="4ADD623A" w14:textId="77777777" w:rsidR="00CE4645" w:rsidRPr="00BB04D0" w:rsidRDefault="00CE4645" w:rsidP="00CE4645">
      <w:pPr>
        <w:jc w:val="both"/>
        <w:rPr>
          <w:b/>
          <w:bCs/>
          <w:color w:val="000000" w:themeColor="text1"/>
          <w:lang w:val="en-US"/>
        </w:rPr>
      </w:pPr>
    </w:p>
    <w:p w14:paraId="2A0E2A02" w14:textId="77777777" w:rsidR="00CE4645" w:rsidRPr="00BB04D0" w:rsidRDefault="00CE4645" w:rsidP="00CE4645">
      <w:pPr>
        <w:jc w:val="both"/>
        <w:rPr>
          <w:b/>
          <w:bCs/>
          <w:color w:val="000000" w:themeColor="text1"/>
          <w:lang w:val="en-US"/>
        </w:rPr>
      </w:pPr>
      <w:r w:rsidRPr="00BB04D0">
        <w:rPr>
          <w:b/>
          <w:bCs/>
          <w:color w:val="000000" w:themeColor="text1"/>
          <w:lang w:val="en-US"/>
        </w:rPr>
        <w:t xml:space="preserve">Figure A5.3: Lorenz-curve </w:t>
      </w:r>
      <w:proofErr w:type="spellStart"/>
      <w:r w:rsidRPr="00BB04D0">
        <w:rPr>
          <w:b/>
          <w:bCs/>
          <w:color w:val="000000" w:themeColor="text1"/>
          <w:lang w:val="en-US"/>
        </w:rPr>
        <w:t>Eigencentrality</w:t>
      </w:r>
      <w:proofErr w:type="spellEnd"/>
      <w:r w:rsidRPr="00BB04D0">
        <w:rPr>
          <w:b/>
          <w:bCs/>
          <w:color w:val="000000" w:themeColor="text1"/>
          <w:lang w:val="en-US"/>
        </w:rPr>
        <w:t xml:space="preserve"> ESMA</w:t>
      </w:r>
    </w:p>
    <w:p w14:paraId="7C6E4785" w14:textId="77777777" w:rsidR="00CE4645" w:rsidRPr="00BB04D0" w:rsidRDefault="00CE4645" w:rsidP="00CE4645">
      <w:pPr>
        <w:spacing w:line="480" w:lineRule="auto"/>
        <w:jc w:val="both"/>
        <w:rPr>
          <w:b/>
          <w:bCs/>
          <w:color w:val="000000" w:themeColor="text1"/>
          <w:lang w:val="en-US"/>
        </w:rPr>
      </w:pPr>
      <w:r w:rsidRPr="00BB04D0">
        <w:rPr>
          <w:b/>
          <w:bCs/>
          <w:noProof/>
          <w:color w:val="000000" w:themeColor="text1"/>
        </w:rPr>
        <w:lastRenderedPageBreak/>
        <w:drawing>
          <wp:inline distT="0" distB="0" distL="0" distR="0" wp14:anchorId="58D6F868" wp14:editId="4A0480F4">
            <wp:extent cx="2785611" cy="2095200"/>
            <wp:effectExtent l="0" t="0" r="0" b="635"/>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785611" cy="2095200"/>
                    </a:xfrm>
                    <a:prstGeom prst="rect">
                      <a:avLst/>
                    </a:prstGeom>
                  </pic:spPr>
                </pic:pic>
              </a:graphicData>
            </a:graphic>
          </wp:inline>
        </w:drawing>
      </w:r>
    </w:p>
    <w:p w14:paraId="163877CE" w14:textId="77777777" w:rsidR="009532A5" w:rsidRDefault="00535991"/>
    <w:sectPr w:rsidR="009532A5" w:rsidSect="006E3207">
      <w:footerReference w:type="default" r:id="rId32"/>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6017370"/>
      <w:docPartObj>
        <w:docPartGallery w:val="Page Numbers (Bottom of Page)"/>
        <w:docPartUnique/>
      </w:docPartObj>
    </w:sdtPr>
    <w:sdtEndPr/>
    <w:sdtContent>
      <w:p w14:paraId="29D3DBF2" w14:textId="77777777" w:rsidR="001934C7" w:rsidRDefault="00535991">
        <w:pPr>
          <w:pStyle w:val="Voettekst"/>
          <w:jc w:val="center"/>
        </w:pPr>
        <w:r>
          <w:fldChar w:fldCharType="begin"/>
        </w:r>
        <w:r>
          <w:instrText>PAGE   \* MERGEFORMAT</w:instrText>
        </w:r>
        <w:r>
          <w:fldChar w:fldCharType="separate"/>
        </w:r>
        <w:r>
          <w:t>2</w:t>
        </w:r>
        <w:r>
          <w:fldChar w:fldCharType="end"/>
        </w:r>
      </w:p>
    </w:sdtContent>
  </w:sdt>
  <w:p w14:paraId="3FA99B72" w14:textId="77777777" w:rsidR="001934C7" w:rsidRDefault="00535991">
    <w:pPr>
      <w:pStyle w:val="Voettekst"/>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4645"/>
    <w:rsid w:val="00002B1B"/>
    <w:rsid w:val="00020518"/>
    <w:rsid w:val="0002633F"/>
    <w:rsid w:val="00051941"/>
    <w:rsid w:val="000675CD"/>
    <w:rsid w:val="00082FF8"/>
    <w:rsid w:val="00084677"/>
    <w:rsid w:val="0009238B"/>
    <w:rsid w:val="001048F0"/>
    <w:rsid w:val="00181383"/>
    <w:rsid w:val="0018193C"/>
    <w:rsid w:val="00191261"/>
    <w:rsid w:val="001B0F77"/>
    <w:rsid w:val="001C4C1E"/>
    <w:rsid w:val="001F1F0F"/>
    <w:rsid w:val="00203475"/>
    <w:rsid w:val="00207C19"/>
    <w:rsid w:val="00212EEF"/>
    <w:rsid w:val="00235633"/>
    <w:rsid w:val="00252C58"/>
    <w:rsid w:val="00261465"/>
    <w:rsid w:val="00284FFC"/>
    <w:rsid w:val="002859E9"/>
    <w:rsid w:val="002923DB"/>
    <w:rsid w:val="002D10A6"/>
    <w:rsid w:val="002E1BC1"/>
    <w:rsid w:val="002E4C2F"/>
    <w:rsid w:val="002F0215"/>
    <w:rsid w:val="00324D3F"/>
    <w:rsid w:val="00333BC3"/>
    <w:rsid w:val="00374FA3"/>
    <w:rsid w:val="00380A79"/>
    <w:rsid w:val="00381AA8"/>
    <w:rsid w:val="003A3597"/>
    <w:rsid w:val="003C3122"/>
    <w:rsid w:val="003C4AC2"/>
    <w:rsid w:val="003D09BC"/>
    <w:rsid w:val="003D3CC9"/>
    <w:rsid w:val="003E63BA"/>
    <w:rsid w:val="003E76B0"/>
    <w:rsid w:val="003F5B41"/>
    <w:rsid w:val="00454AEB"/>
    <w:rsid w:val="004809DF"/>
    <w:rsid w:val="004A0314"/>
    <w:rsid w:val="00502B42"/>
    <w:rsid w:val="005305D7"/>
    <w:rsid w:val="00535991"/>
    <w:rsid w:val="00543DD0"/>
    <w:rsid w:val="005462DE"/>
    <w:rsid w:val="005618FE"/>
    <w:rsid w:val="00595FA5"/>
    <w:rsid w:val="005C4549"/>
    <w:rsid w:val="005E231B"/>
    <w:rsid w:val="005F0DC9"/>
    <w:rsid w:val="00644EA2"/>
    <w:rsid w:val="006679D9"/>
    <w:rsid w:val="0068722F"/>
    <w:rsid w:val="006D7C46"/>
    <w:rsid w:val="006E3207"/>
    <w:rsid w:val="006F2067"/>
    <w:rsid w:val="007078E8"/>
    <w:rsid w:val="00714EB2"/>
    <w:rsid w:val="00715E53"/>
    <w:rsid w:val="007266E8"/>
    <w:rsid w:val="00737E47"/>
    <w:rsid w:val="0075409C"/>
    <w:rsid w:val="007843DF"/>
    <w:rsid w:val="007E0925"/>
    <w:rsid w:val="00811640"/>
    <w:rsid w:val="0081429B"/>
    <w:rsid w:val="00844C30"/>
    <w:rsid w:val="008469A1"/>
    <w:rsid w:val="00863027"/>
    <w:rsid w:val="00871553"/>
    <w:rsid w:val="00875787"/>
    <w:rsid w:val="00884C9C"/>
    <w:rsid w:val="00885807"/>
    <w:rsid w:val="0089224B"/>
    <w:rsid w:val="008A7E99"/>
    <w:rsid w:val="008C2494"/>
    <w:rsid w:val="008D2437"/>
    <w:rsid w:val="008E39C7"/>
    <w:rsid w:val="008E4EE4"/>
    <w:rsid w:val="008F5BAD"/>
    <w:rsid w:val="00901F4C"/>
    <w:rsid w:val="00930007"/>
    <w:rsid w:val="00942E76"/>
    <w:rsid w:val="009442AE"/>
    <w:rsid w:val="00945FFA"/>
    <w:rsid w:val="00953A3F"/>
    <w:rsid w:val="00957E86"/>
    <w:rsid w:val="00970D5D"/>
    <w:rsid w:val="00986498"/>
    <w:rsid w:val="009979B7"/>
    <w:rsid w:val="009C6D8D"/>
    <w:rsid w:val="009E280E"/>
    <w:rsid w:val="009E668B"/>
    <w:rsid w:val="009F3C27"/>
    <w:rsid w:val="00A00F93"/>
    <w:rsid w:val="00A12AED"/>
    <w:rsid w:val="00A23508"/>
    <w:rsid w:val="00A4051E"/>
    <w:rsid w:val="00A814C3"/>
    <w:rsid w:val="00A9322B"/>
    <w:rsid w:val="00A972BC"/>
    <w:rsid w:val="00AA101C"/>
    <w:rsid w:val="00AB6887"/>
    <w:rsid w:val="00AC5A5F"/>
    <w:rsid w:val="00AD2337"/>
    <w:rsid w:val="00AE1B52"/>
    <w:rsid w:val="00AE6DB6"/>
    <w:rsid w:val="00AF4CFA"/>
    <w:rsid w:val="00B02260"/>
    <w:rsid w:val="00B029A4"/>
    <w:rsid w:val="00B27239"/>
    <w:rsid w:val="00B4553B"/>
    <w:rsid w:val="00BB4A28"/>
    <w:rsid w:val="00BD272C"/>
    <w:rsid w:val="00C160BA"/>
    <w:rsid w:val="00C6335E"/>
    <w:rsid w:val="00CE4645"/>
    <w:rsid w:val="00CE4B84"/>
    <w:rsid w:val="00D033F8"/>
    <w:rsid w:val="00D2568B"/>
    <w:rsid w:val="00D32EDA"/>
    <w:rsid w:val="00D34D56"/>
    <w:rsid w:val="00D43B14"/>
    <w:rsid w:val="00D971ED"/>
    <w:rsid w:val="00DA2B64"/>
    <w:rsid w:val="00DB3F2D"/>
    <w:rsid w:val="00DD3C61"/>
    <w:rsid w:val="00DE2230"/>
    <w:rsid w:val="00DE5088"/>
    <w:rsid w:val="00DF7A7B"/>
    <w:rsid w:val="00E25850"/>
    <w:rsid w:val="00E41DB3"/>
    <w:rsid w:val="00E52A82"/>
    <w:rsid w:val="00E67B6E"/>
    <w:rsid w:val="00E956CA"/>
    <w:rsid w:val="00EB6924"/>
    <w:rsid w:val="00EC60F4"/>
    <w:rsid w:val="00ED2A23"/>
    <w:rsid w:val="00ED7BDE"/>
    <w:rsid w:val="00EE0590"/>
    <w:rsid w:val="00EE6ADD"/>
    <w:rsid w:val="00EE76B7"/>
    <w:rsid w:val="00EF025D"/>
    <w:rsid w:val="00EF08F3"/>
    <w:rsid w:val="00F01260"/>
    <w:rsid w:val="00F129C7"/>
    <w:rsid w:val="00F307B9"/>
    <w:rsid w:val="00F573BD"/>
    <w:rsid w:val="00FB3795"/>
    <w:rsid w:val="00FC05E8"/>
    <w:rsid w:val="00FF413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4:docId w14:val="605B5E9B"/>
  <w14:defaultImageDpi w14:val="32767"/>
  <w15:chartTrackingRefBased/>
  <w15:docId w15:val="{8A25A274-CAB9-B945-8B8D-8106C54FE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rsid w:val="00CE4645"/>
    <w:rPr>
      <w:rFonts w:ascii="Times New Roman" w:eastAsia="Times New Roman" w:hAnsi="Times New Roman" w:cs="Times New Roman"/>
      <w:lang w:eastAsia="nl-NL"/>
    </w:rPr>
  </w:style>
  <w:style w:type="paragraph" w:styleId="Kop4">
    <w:name w:val="heading 4"/>
    <w:basedOn w:val="Standaard"/>
    <w:next w:val="Standaard"/>
    <w:link w:val="Kop4Char"/>
    <w:uiPriority w:val="9"/>
    <w:unhideWhenUsed/>
    <w:qFormat/>
    <w:rsid w:val="00CE4645"/>
    <w:pPr>
      <w:spacing w:line="480" w:lineRule="auto"/>
      <w:outlineLvl w:val="3"/>
    </w:pPr>
    <w:rPr>
      <w:b/>
      <w:bCs/>
      <w:i/>
      <w:iCs/>
      <w:sz w:val="22"/>
      <w:szCs w:val="22"/>
      <w:lang w:val="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4Char">
    <w:name w:val="Kop 4 Char"/>
    <w:basedOn w:val="Standaardalinea-lettertype"/>
    <w:link w:val="Kop4"/>
    <w:uiPriority w:val="9"/>
    <w:rsid w:val="00CE4645"/>
    <w:rPr>
      <w:rFonts w:ascii="Times New Roman" w:eastAsia="Times New Roman" w:hAnsi="Times New Roman" w:cs="Times New Roman"/>
      <w:b/>
      <w:bCs/>
      <w:i/>
      <w:iCs/>
      <w:sz w:val="22"/>
      <w:szCs w:val="22"/>
      <w:lang w:val="en-GB" w:eastAsia="nl-NL"/>
    </w:rPr>
  </w:style>
  <w:style w:type="paragraph" w:styleId="Voettekst">
    <w:name w:val="footer"/>
    <w:basedOn w:val="Standaard"/>
    <w:link w:val="VoettekstChar"/>
    <w:uiPriority w:val="99"/>
    <w:unhideWhenUsed/>
    <w:rsid w:val="00CE4645"/>
    <w:pPr>
      <w:tabs>
        <w:tab w:val="center" w:pos="4536"/>
        <w:tab w:val="right" w:pos="9072"/>
      </w:tabs>
    </w:pPr>
  </w:style>
  <w:style w:type="character" w:customStyle="1" w:styleId="VoettekstChar">
    <w:name w:val="Voettekst Char"/>
    <w:basedOn w:val="Standaardalinea-lettertype"/>
    <w:link w:val="Voettekst"/>
    <w:uiPriority w:val="99"/>
    <w:rsid w:val="00CE4645"/>
    <w:rPr>
      <w:rFonts w:ascii="Times New Roman" w:eastAsia="Times New Roman" w:hAnsi="Times New Roman"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tiff"/><Relationship Id="rId18" Type="http://schemas.openxmlformats.org/officeDocument/2006/relationships/image" Target="media/image15.tiff"/><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tiff"/><Relationship Id="rId34"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tiff"/><Relationship Id="rId17" Type="http://schemas.openxmlformats.org/officeDocument/2006/relationships/image" Target="media/image14.tiff"/><Relationship Id="rId25" Type="http://schemas.openxmlformats.org/officeDocument/2006/relationships/image" Target="media/image22.tiff"/><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tiff"/><Relationship Id="rId20" Type="http://schemas.openxmlformats.org/officeDocument/2006/relationships/image" Target="media/image17.tiff"/><Relationship Id="rId29" Type="http://schemas.openxmlformats.org/officeDocument/2006/relationships/image" Target="media/image26.sv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tiff"/><Relationship Id="rId24" Type="http://schemas.openxmlformats.org/officeDocument/2006/relationships/image" Target="media/image21.tiff"/><Relationship Id="rId32" Type="http://schemas.openxmlformats.org/officeDocument/2006/relationships/footer" Target="footer1.xml"/><Relationship Id="rId5" Type="http://schemas.openxmlformats.org/officeDocument/2006/relationships/image" Target="media/image2.jpeg"/><Relationship Id="rId15" Type="http://schemas.openxmlformats.org/officeDocument/2006/relationships/image" Target="media/image12.tiff"/><Relationship Id="rId23" Type="http://schemas.openxmlformats.org/officeDocument/2006/relationships/image" Target="media/image20.tiff"/><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tiff"/><Relationship Id="rId31" Type="http://schemas.openxmlformats.org/officeDocument/2006/relationships/image" Target="media/image28.svg"/><Relationship Id="rId4" Type="http://schemas.openxmlformats.org/officeDocument/2006/relationships/image" Target="media/image1.png"/><Relationship Id="rId9" Type="http://schemas.openxmlformats.org/officeDocument/2006/relationships/image" Target="media/image6.tiff"/><Relationship Id="rId14" Type="http://schemas.openxmlformats.org/officeDocument/2006/relationships/image" Target="media/image11.tiff"/><Relationship Id="rId22" Type="http://schemas.openxmlformats.org/officeDocument/2006/relationships/image" Target="media/image19.tiff"/><Relationship Id="rId27" Type="http://schemas.openxmlformats.org/officeDocument/2006/relationships/image" Target="media/image24.svg"/><Relationship Id="rId30" Type="http://schemas.openxmlformats.org/officeDocument/2006/relationships/image" Target="media/image27.png"/><Relationship Id="rId8" Type="http://schemas.openxmlformats.org/officeDocument/2006/relationships/image" Target="media/image5.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1916</Words>
  <Characters>10539</Characters>
  <Application>Microsoft Office Word</Application>
  <DocSecurity>0</DocSecurity>
  <Lines>87</Lines>
  <Paragraphs>24</Paragraphs>
  <ScaleCrop>false</ScaleCrop>
  <Company/>
  <LinksUpToDate>false</LinksUpToDate>
  <CharactersWithSpaces>12431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Redert Bastiaan</dc:creator>
  <cp:keywords/>
  <dc:description/>
  <cp:lastModifiedBy>Redert Bastiaan</cp:lastModifiedBy>
  <cp:revision>2</cp:revision>
  <dcterms:created xsi:type="dcterms:W3CDTF">2022-01-10T15:27:00Z</dcterms:created>
  <dcterms:modified xsi:type="dcterms:W3CDTF">2022-01-10T15:28:00Z</dcterms:modified>
</cp:coreProperties>
</file>