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BC892" w14:textId="0533BD4D" w:rsidR="007C2DBB" w:rsidRDefault="00AB55A6">
      <w:pPr>
        <w:rPr>
          <w:rFonts w:ascii="Times New Roman" w:hAnsi="Times New Roman" w:cs="Times New Roman"/>
          <w:b/>
          <w:bCs/>
          <w:sz w:val="24"/>
          <w:szCs w:val="24"/>
          <w:lang w:val="en-US"/>
        </w:rPr>
      </w:pPr>
      <w:r w:rsidRPr="00AB55A6">
        <w:rPr>
          <w:rFonts w:ascii="Times New Roman" w:hAnsi="Times New Roman" w:cs="Times New Roman"/>
          <w:b/>
          <w:bCs/>
          <w:sz w:val="24"/>
          <w:szCs w:val="24"/>
          <w:lang w:val="en-US"/>
        </w:rPr>
        <w:t>Supplementary file</w:t>
      </w:r>
    </w:p>
    <w:p w14:paraId="3A992D45" w14:textId="77777777" w:rsidR="00AB55A6" w:rsidRDefault="00AB55A6">
      <w:pPr>
        <w:rPr>
          <w:rFonts w:ascii="Times New Roman" w:hAnsi="Times New Roman" w:cs="Times New Roman"/>
          <w:b/>
          <w:bCs/>
          <w:sz w:val="24"/>
          <w:szCs w:val="24"/>
          <w:lang w:val="en-US"/>
        </w:rPr>
      </w:pPr>
    </w:p>
    <w:p w14:paraId="0C707B08" w14:textId="723ED978" w:rsidR="00AB55A6" w:rsidRPr="00AB55A6" w:rsidRDefault="00AB55A6">
      <w:pPr>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Appenix</w:t>
      </w:r>
      <w:proofErr w:type="spellEnd"/>
      <w:r>
        <w:rPr>
          <w:rFonts w:ascii="Times New Roman" w:hAnsi="Times New Roman" w:cs="Times New Roman"/>
          <w:b/>
          <w:bCs/>
          <w:sz w:val="24"/>
          <w:szCs w:val="24"/>
          <w:lang w:val="en-US"/>
        </w:rPr>
        <w:t xml:space="preserve"> 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5"/>
        <w:gridCol w:w="1569"/>
      </w:tblGrid>
      <w:tr w:rsidR="00AB55A6" w:rsidRPr="00AB55A6" w14:paraId="7BBDB891" w14:textId="77777777" w:rsidTr="002B600F">
        <w:tc>
          <w:tcPr>
            <w:tcW w:w="8494" w:type="dxa"/>
            <w:gridSpan w:val="2"/>
          </w:tcPr>
          <w:p w14:paraId="46D886F1" w14:textId="77777777" w:rsidR="00AB55A6" w:rsidRPr="00AB55A6" w:rsidRDefault="00AB55A6" w:rsidP="002B600F">
            <w:pPr>
              <w:spacing w:line="276" w:lineRule="auto"/>
              <w:rPr>
                <w:rFonts w:ascii="Times New Roman" w:hAnsi="Times New Roman" w:cs="Times New Roman"/>
                <w:b/>
                <w:bCs/>
                <w:sz w:val="24"/>
                <w:szCs w:val="24"/>
              </w:rPr>
            </w:pPr>
            <w:r w:rsidRPr="00AB55A6">
              <w:rPr>
                <w:rFonts w:ascii="Times New Roman" w:hAnsi="Times New Roman" w:cs="Times New Roman"/>
                <w:b/>
                <w:bCs/>
                <w:sz w:val="24"/>
                <w:szCs w:val="24"/>
              </w:rPr>
              <w:t>Table A1(a). Descriptive overview of variables (N (%))</w:t>
            </w:r>
          </w:p>
        </w:tc>
      </w:tr>
      <w:tr w:rsidR="00AB55A6" w:rsidRPr="00AB55A6" w14:paraId="37D98A34" w14:textId="77777777" w:rsidTr="002B600F">
        <w:tc>
          <w:tcPr>
            <w:tcW w:w="6925" w:type="dxa"/>
            <w:tcBorders>
              <w:top w:val="double" w:sz="4" w:space="0" w:color="auto"/>
            </w:tcBorders>
          </w:tcPr>
          <w:p w14:paraId="385E9DE5" w14:textId="77777777" w:rsidR="00AB55A6" w:rsidRPr="00AB55A6" w:rsidRDefault="00AB55A6" w:rsidP="002B600F">
            <w:pPr>
              <w:spacing w:line="276" w:lineRule="auto"/>
              <w:rPr>
                <w:rFonts w:ascii="Times New Roman" w:hAnsi="Times New Roman" w:cs="Times New Roman"/>
                <w:sz w:val="24"/>
                <w:szCs w:val="24"/>
              </w:rPr>
            </w:pPr>
            <w:r w:rsidRPr="00AB55A6">
              <w:rPr>
                <w:rFonts w:ascii="Times New Roman" w:hAnsi="Times New Roman" w:cs="Times New Roman"/>
                <w:sz w:val="24"/>
                <w:szCs w:val="24"/>
              </w:rPr>
              <w:t>Business groups</w:t>
            </w:r>
          </w:p>
        </w:tc>
        <w:tc>
          <w:tcPr>
            <w:tcW w:w="1569" w:type="dxa"/>
            <w:tcBorders>
              <w:top w:val="double" w:sz="4" w:space="0" w:color="auto"/>
            </w:tcBorders>
          </w:tcPr>
          <w:p w14:paraId="20DC208D" w14:textId="77777777" w:rsidR="00AB55A6" w:rsidRPr="00AB55A6" w:rsidRDefault="00AB55A6" w:rsidP="002B600F">
            <w:pPr>
              <w:spacing w:line="276" w:lineRule="auto"/>
              <w:rPr>
                <w:rFonts w:ascii="Times New Roman" w:hAnsi="Times New Roman" w:cs="Times New Roman"/>
                <w:sz w:val="24"/>
                <w:szCs w:val="24"/>
              </w:rPr>
            </w:pPr>
            <w:r w:rsidRPr="00AB55A6">
              <w:rPr>
                <w:rFonts w:ascii="Times New Roman" w:hAnsi="Times New Roman" w:cs="Times New Roman"/>
                <w:sz w:val="24"/>
                <w:szCs w:val="24"/>
              </w:rPr>
              <w:t>23 (72%)</w:t>
            </w:r>
          </w:p>
        </w:tc>
      </w:tr>
      <w:tr w:rsidR="00AB55A6" w:rsidRPr="00AB55A6" w14:paraId="16AF454B" w14:textId="77777777" w:rsidTr="002B600F">
        <w:tc>
          <w:tcPr>
            <w:tcW w:w="6925" w:type="dxa"/>
            <w:tcBorders>
              <w:bottom w:val="dashSmallGap" w:sz="4" w:space="0" w:color="auto"/>
            </w:tcBorders>
          </w:tcPr>
          <w:p w14:paraId="2F97C396" w14:textId="77777777" w:rsidR="00AB55A6" w:rsidRPr="00AB55A6" w:rsidRDefault="00AB55A6" w:rsidP="002B600F">
            <w:pPr>
              <w:spacing w:line="276" w:lineRule="auto"/>
              <w:rPr>
                <w:rFonts w:ascii="Times New Roman" w:hAnsi="Times New Roman" w:cs="Times New Roman"/>
                <w:sz w:val="24"/>
                <w:szCs w:val="24"/>
              </w:rPr>
            </w:pPr>
            <w:r w:rsidRPr="00AB55A6">
              <w:rPr>
                <w:rFonts w:ascii="Times New Roman" w:hAnsi="Times New Roman" w:cs="Times New Roman"/>
                <w:sz w:val="24"/>
                <w:szCs w:val="24"/>
              </w:rPr>
              <w:t>Citizen groups</w:t>
            </w:r>
          </w:p>
        </w:tc>
        <w:tc>
          <w:tcPr>
            <w:tcW w:w="1569" w:type="dxa"/>
            <w:tcBorders>
              <w:bottom w:val="dashSmallGap" w:sz="4" w:space="0" w:color="auto"/>
            </w:tcBorders>
          </w:tcPr>
          <w:p w14:paraId="6C370B09" w14:textId="77777777" w:rsidR="00AB55A6" w:rsidRPr="00AB55A6" w:rsidRDefault="00AB55A6" w:rsidP="002B600F">
            <w:pPr>
              <w:spacing w:line="276" w:lineRule="auto"/>
              <w:rPr>
                <w:rFonts w:ascii="Times New Roman" w:hAnsi="Times New Roman" w:cs="Times New Roman"/>
                <w:sz w:val="24"/>
                <w:szCs w:val="24"/>
              </w:rPr>
            </w:pPr>
            <w:r w:rsidRPr="00AB55A6">
              <w:rPr>
                <w:rFonts w:ascii="Times New Roman" w:hAnsi="Times New Roman" w:cs="Times New Roman"/>
                <w:sz w:val="24"/>
                <w:szCs w:val="24"/>
              </w:rPr>
              <w:t>9 (28%)</w:t>
            </w:r>
          </w:p>
        </w:tc>
      </w:tr>
      <w:tr w:rsidR="00AB55A6" w:rsidRPr="00AB55A6" w14:paraId="7E69B3F1" w14:textId="77777777" w:rsidTr="002B600F">
        <w:tc>
          <w:tcPr>
            <w:tcW w:w="6925" w:type="dxa"/>
            <w:tcBorders>
              <w:top w:val="dashSmallGap" w:sz="4" w:space="0" w:color="auto"/>
            </w:tcBorders>
          </w:tcPr>
          <w:p w14:paraId="5D020CCF" w14:textId="77777777" w:rsidR="00AB55A6" w:rsidRPr="00AB55A6" w:rsidRDefault="00AB55A6" w:rsidP="002B600F">
            <w:pPr>
              <w:spacing w:line="276" w:lineRule="auto"/>
              <w:rPr>
                <w:rFonts w:ascii="Times New Roman" w:hAnsi="Times New Roman" w:cs="Times New Roman"/>
                <w:sz w:val="24"/>
                <w:szCs w:val="24"/>
              </w:rPr>
            </w:pPr>
            <w:r w:rsidRPr="00AB55A6">
              <w:rPr>
                <w:rFonts w:ascii="Times New Roman" w:hAnsi="Times New Roman" w:cs="Times New Roman"/>
                <w:sz w:val="24"/>
                <w:szCs w:val="24"/>
              </w:rPr>
              <w:t>Funding: 100% of funding comes from members</w:t>
            </w:r>
          </w:p>
        </w:tc>
        <w:tc>
          <w:tcPr>
            <w:tcW w:w="1569" w:type="dxa"/>
            <w:tcBorders>
              <w:top w:val="dashSmallGap" w:sz="4" w:space="0" w:color="auto"/>
            </w:tcBorders>
          </w:tcPr>
          <w:p w14:paraId="32B254BD" w14:textId="77777777" w:rsidR="00AB55A6" w:rsidRPr="00AB55A6" w:rsidRDefault="00AB55A6" w:rsidP="002B600F">
            <w:pPr>
              <w:spacing w:line="276" w:lineRule="auto"/>
              <w:rPr>
                <w:rFonts w:ascii="Times New Roman" w:hAnsi="Times New Roman" w:cs="Times New Roman"/>
                <w:sz w:val="24"/>
                <w:szCs w:val="24"/>
              </w:rPr>
            </w:pPr>
            <w:r w:rsidRPr="00AB55A6">
              <w:rPr>
                <w:rFonts w:ascii="Times New Roman" w:hAnsi="Times New Roman" w:cs="Times New Roman"/>
                <w:sz w:val="24"/>
                <w:szCs w:val="24"/>
              </w:rPr>
              <w:t>13 (41%)</w:t>
            </w:r>
          </w:p>
        </w:tc>
      </w:tr>
      <w:tr w:rsidR="00AB55A6" w:rsidRPr="00AB55A6" w14:paraId="7158176D" w14:textId="77777777" w:rsidTr="002B600F">
        <w:tc>
          <w:tcPr>
            <w:tcW w:w="6925" w:type="dxa"/>
          </w:tcPr>
          <w:p w14:paraId="38292A39" w14:textId="77777777" w:rsidR="00AB55A6" w:rsidRPr="00AB55A6" w:rsidRDefault="00AB55A6" w:rsidP="002B600F">
            <w:pPr>
              <w:spacing w:line="276" w:lineRule="auto"/>
              <w:rPr>
                <w:rFonts w:ascii="Times New Roman" w:hAnsi="Times New Roman" w:cs="Times New Roman"/>
                <w:sz w:val="24"/>
                <w:szCs w:val="24"/>
              </w:rPr>
            </w:pPr>
            <w:r w:rsidRPr="00AB55A6">
              <w:rPr>
                <w:rFonts w:ascii="Times New Roman" w:hAnsi="Times New Roman" w:cs="Times New Roman"/>
                <w:sz w:val="24"/>
                <w:szCs w:val="24"/>
              </w:rPr>
              <w:t>Funding: 75-99% of funding comes from members</w:t>
            </w:r>
          </w:p>
        </w:tc>
        <w:tc>
          <w:tcPr>
            <w:tcW w:w="1569" w:type="dxa"/>
          </w:tcPr>
          <w:p w14:paraId="1E45A859" w14:textId="77777777" w:rsidR="00AB55A6" w:rsidRPr="00AB55A6" w:rsidRDefault="00AB55A6" w:rsidP="002B600F">
            <w:pPr>
              <w:spacing w:line="276" w:lineRule="auto"/>
              <w:rPr>
                <w:rFonts w:ascii="Times New Roman" w:hAnsi="Times New Roman" w:cs="Times New Roman"/>
                <w:sz w:val="24"/>
                <w:szCs w:val="24"/>
              </w:rPr>
            </w:pPr>
            <w:r w:rsidRPr="00AB55A6">
              <w:rPr>
                <w:rFonts w:ascii="Times New Roman" w:hAnsi="Times New Roman" w:cs="Times New Roman"/>
                <w:sz w:val="24"/>
                <w:szCs w:val="24"/>
              </w:rPr>
              <w:t>5 (16%)</w:t>
            </w:r>
          </w:p>
        </w:tc>
      </w:tr>
      <w:tr w:rsidR="00AB55A6" w:rsidRPr="00AB55A6" w14:paraId="33CAABB9" w14:textId="77777777" w:rsidTr="002B600F">
        <w:tc>
          <w:tcPr>
            <w:tcW w:w="6925" w:type="dxa"/>
            <w:shd w:val="clear" w:color="auto" w:fill="auto"/>
          </w:tcPr>
          <w:p w14:paraId="5B879A2C" w14:textId="77777777" w:rsidR="00AB55A6" w:rsidRPr="00AB55A6" w:rsidRDefault="00AB55A6" w:rsidP="002B600F">
            <w:pPr>
              <w:spacing w:line="276" w:lineRule="auto"/>
              <w:rPr>
                <w:rFonts w:ascii="Times New Roman" w:hAnsi="Times New Roman" w:cs="Times New Roman"/>
                <w:sz w:val="24"/>
                <w:szCs w:val="24"/>
              </w:rPr>
            </w:pPr>
            <w:r w:rsidRPr="00AB55A6">
              <w:rPr>
                <w:rFonts w:ascii="Times New Roman" w:hAnsi="Times New Roman" w:cs="Times New Roman"/>
                <w:sz w:val="24"/>
                <w:szCs w:val="24"/>
              </w:rPr>
              <w:t>Funding: 25-74% of funding comes from members</w:t>
            </w:r>
          </w:p>
        </w:tc>
        <w:tc>
          <w:tcPr>
            <w:tcW w:w="1569" w:type="dxa"/>
            <w:shd w:val="clear" w:color="auto" w:fill="auto"/>
          </w:tcPr>
          <w:p w14:paraId="7C326146" w14:textId="77777777" w:rsidR="00AB55A6" w:rsidRPr="00AB55A6" w:rsidRDefault="00AB55A6" w:rsidP="002B600F">
            <w:pPr>
              <w:spacing w:line="276" w:lineRule="auto"/>
              <w:rPr>
                <w:rFonts w:ascii="Times New Roman" w:hAnsi="Times New Roman" w:cs="Times New Roman"/>
                <w:sz w:val="24"/>
                <w:szCs w:val="24"/>
              </w:rPr>
            </w:pPr>
            <w:r w:rsidRPr="00AB55A6">
              <w:rPr>
                <w:rFonts w:ascii="Times New Roman" w:hAnsi="Times New Roman" w:cs="Times New Roman"/>
                <w:sz w:val="24"/>
                <w:szCs w:val="24"/>
              </w:rPr>
              <w:t>3 (9%)</w:t>
            </w:r>
          </w:p>
        </w:tc>
      </w:tr>
      <w:tr w:rsidR="00AB55A6" w:rsidRPr="00AB55A6" w14:paraId="1625186B" w14:textId="77777777" w:rsidTr="002B600F">
        <w:tc>
          <w:tcPr>
            <w:tcW w:w="6925" w:type="dxa"/>
            <w:tcBorders>
              <w:bottom w:val="dashSmallGap" w:sz="4" w:space="0" w:color="auto"/>
            </w:tcBorders>
            <w:shd w:val="clear" w:color="auto" w:fill="auto"/>
          </w:tcPr>
          <w:p w14:paraId="012AA443" w14:textId="77777777" w:rsidR="00AB55A6" w:rsidRPr="00AB55A6" w:rsidRDefault="00AB55A6" w:rsidP="002B600F">
            <w:pPr>
              <w:spacing w:line="276" w:lineRule="auto"/>
              <w:rPr>
                <w:rFonts w:ascii="Times New Roman" w:hAnsi="Times New Roman" w:cs="Times New Roman"/>
                <w:sz w:val="24"/>
                <w:szCs w:val="24"/>
              </w:rPr>
            </w:pPr>
            <w:r w:rsidRPr="00AB55A6">
              <w:rPr>
                <w:rFonts w:ascii="Times New Roman" w:hAnsi="Times New Roman" w:cs="Times New Roman"/>
                <w:sz w:val="24"/>
                <w:szCs w:val="24"/>
              </w:rPr>
              <w:t>Funding: 0-25% of funding comes from members</w:t>
            </w:r>
          </w:p>
        </w:tc>
        <w:tc>
          <w:tcPr>
            <w:tcW w:w="1569" w:type="dxa"/>
            <w:tcBorders>
              <w:bottom w:val="dashSmallGap" w:sz="4" w:space="0" w:color="auto"/>
            </w:tcBorders>
            <w:shd w:val="clear" w:color="auto" w:fill="auto"/>
          </w:tcPr>
          <w:p w14:paraId="5BEC5FD3" w14:textId="77777777" w:rsidR="00AB55A6" w:rsidRPr="00AB55A6" w:rsidRDefault="00AB55A6" w:rsidP="002B600F">
            <w:pPr>
              <w:spacing w:line="276" w:lineRule="auto"/>
              <w:rPr>
                <w:rFonts w:ascii="Times New Roman" w:hAnsi="Times New Roman" w:cs="Times New Roman"/>
                <w:sz w:val="24"/>
                <w:szCs w:val="24"/>
              </w:rPr>
            </w:pPr>
            <w:r w:rsidRPr="00AB55A6">
              <w:rPr>
                <w:rFonts w:ascii="Times New Roman" w:hAnsi="Times New Roman" w:cs="Times New Roman"/>
                <w:sz w:val="24"/>
                <w:szCs w:val="24"/>
              </w:rPr>
              <w:t>10 (31%)</w:t>
            </w:r>
          </w:p>
        </w:tc>
      </w:tr>
      <w:tr w:rsidR="00AB55A6" w:rsidRPr="00AB55A6" w14:paraId="3B60CC9A" w14:textId="77777777" w:rsidTr="002B600F">
        <w:tc>
          <w:tcPr>
            <w:tcW w:w="6925" w:type="dxa"/>
            <w:tcBorders>
              <w:top w:val="dashSmallGap" w:sz="4" w:space="0" w:color="auto"/>
            </w:tcBorders>
            <w:shd w:val="clear" w:color="auto" w:fill="auto"/>
          </w:tcPr>
          <w:p w14:paraId="28267BFE" w14:textId="77777777" w:rsidR="00AB55A6" w:rsidRPr="00AB55A6" w:rsidRDefault="00AB55A6" w:rsidP="002B600F">
            <w:pPr>
              <w:spacing w:line="276" w:lineRule="auto"/>
              <w:rPr>
                <w:rFonts w:ascii="Times New Roman" w:hAnsi="Times New Roman" w:cs="Times New Roman"/>
                <w:sz w:val="24"/>
                <w:szCs w:val="24"/>
              </w:rPr>
            </w:pPr>
            <w:r w:rsidRPr="00AB55A6">
              <w:rPr>
                <w:rFonts w:ascii="Times New Roman" w:hAnsi="Times New Roman" w:cs="Times New Roman"/>
                <w:sz w:val="24"/>
                <w:szCs w:val="24"/>
              </w:rPr>
              <w:t>Type of members: Individual organizations</w:t>
            </w:r>
          </w:p>
        </w:tc>
        <w:tc>
          <w:tcPr>
            <w:tcW w:w="1569" w:type="dxa"/>
            <w:tcBorders>
              <w:top w:val="dashSmallGap" w:sz="4" w:space="0" w:color="auto"/>
            </w:tcBorders>
            <w:shd w:val="clear" w:color="auto" w:fill="auto"/>
          </w:tcPr>
          <w:p w14:paraId="676F7ED0" w14:textId="77777777" w:rsidR="00AB55A6" w:rsidRPr="00AB55A6" w:rsidRDefault="00AB55A6" w:rsidP="002B600F">
            <w:pPr>
              <w:spacing w:line="276" w:lineRule="auto"/>
              <w:rPr>
                <w:rFonts w:ascii="Times New Roman" w:hAnsi="Times New Roman" w:cs="Times New Roman"/>
                <w:sz w:val="24"/>
                <w:szCs w:val="24"/>
              </w:rPr>
            </w:pPr>
            <w:r w:rsidRPr="00AB55A6">
              <w:rPr>
                <w:rFonts w:ascii="Times New Roman" w:hAnsi="Times New Roman" w:cs="Times New Roman"/>
                <w:sz w:val="24"/>
                <w:szCs w:val="24"/>
              </w:rPr>
              <w:t>12 (37%)</w:t>
            </w:r>
          </w:p>
        </w:tc>
      </w:tr>
      <w:tr w:rsidR="00AB55A6" w:rsidRPr="00AB55A6" w14:paraId="4CA3AFDB" w14:textId="77777777" w:rsidTr="002B600F">
        <w:tc>
          <w:tcPr>
            <w:tcW w:w="6925" w:type="dxa"/>
            <w:shd w:val="clear" w:color="auto" w:fill="auto"/>
          </w:tcPr>
          <w:p w14:paraId="0B95FE06" w14:textId="77777777" w:rsidR="00AB55A6" w:rsidRPr="00AB55A6" w:rsidRDefault="00AB55A6" w:rsidP="002B600F">
            <w:pPr>
              <w:spacing w:line="276" w:lineRule="auto"/>
              <w:rPr>
                <w:rFonts w:ascii="Times New Roman" w:hAnsi="Times New Roman" w:cs="Times New Roman"/>
                <w:sz w:val="24"/>
                <w:szCs w:val="24"/>
              </w:rPr>
            </w:pPr>
            <w:r w:rsidRPr="00AB55A6">
              <w:rPr>
                <w:rFonts w:ascii="Times New Roman" w:hAnsi="Times New Roman" w:cs="Times New Roman"/>
                <w:sz w:val="24"/>
                <w:szCs w:val="24"/>
              </w:rPr>
              <w:t>Type of members: National associations</w:t>
            </w:r>
          </w:p>
        </w:tc>
        <w:tc>
          <w:tcPr>
            <w:tcW w:w="1569" w:type="dxa"/>
            <w:shd w:val="clear" w:color="auto" w:fill="auto"/>
          </w:tcPr>
          <w:p w14:paraId="143EEA00" w14:textId="77777777" w:rsidR="00AB55A6" w:rsidRPr="00AB55A6" w:rsidRDefault="00AB55A6" w:rsidP="002B600F">
            <w:pPr>
              <w:spacing w:line="276" w:lineRule="auto"/>
              <w:rPr>
                <w:rFonts w:ascii="Times New Roman" w:hAnsi="Times New Roman" w:cs="Times New Roman"/>
                <w:sz w:val="24"/>
                <w:szCs w:val="24"/>
              </w:rPr>
            </w:pPr>
            <w:r w:rsidRPr="00AB55A6">
              <w:rPr>
                <w:rFonts w:ascii="Times New Roman" w:hAnsi="Times New Roman" w:cs="Times New Roman"/>
                <w:sz w:val="24"/>
                <w:szCs w:val="24"/>
              </w:rPr>
              <w:t>15 (47%)</w:t>
            </w:r>
          </w:p>
        </w:tc>
      </w:tr>
      <w:tr w:rsidR="00AB55A6" w:rsidRPr="00AB55A6" w14:paraId="0F5997C7" w14:textId="77777777" w:rsidTr="002B600F">
        <w:tc>
          <w:tcPr>
            <w:tcW w:w="6925" w:type="dxa"/>
            <w:tcBorders>
              <w:bottom w:val="dashSmallGap" w:sz="4" w:space="0" w:color="auto"/>
            </w:tcBorders>
            <w:shd w:val="clear" w:color="auto" w:fill="auto"/>
          </w:tcPr>
          <w:p w14:paraId="3E9E44B1" w14:textId="77777777" w:rsidR="00AB55A6" w:rsidRPr="00AB55A6" w:rsidRDefault="00AB55A6" w:rsidP="002B600F">
            <w:pPr>
              <w:spacing w:line="276" w:lineRule="auto"/>
              <w:rPr>
                <w:rFonts w:ascii="Times New Roman" w:hAnsi="Times New Roman" w:cs="Times New Roman"/>
                <w:sz w:val="24"/>
                <w:szCs w:val="24"/>
              </w:rPr>
            </w:pPr>
            <w:r w:rsidRPr="00AB55A6">
              <w:rPr>
                <w:rFonts w:ascii="Times New Roman" w:hAnsi="Times New Roman" w:cs="Times New Roman"/>
                <w:sz w:val="24"/>
                <w:szCs w:val="24"/>
              </w:rPr>
              <w:t>Type of members: Individual organizations &amp; National associations</w:t>
            </w:r>
          </w:p>
        </w:tc>
        <w:tc>
          <w:tcPr>
            <w:tcW w:w="1569" w:type="dxa"/>
            <w:tcBorders>
              <w:bottom w:val="dashSmallGap" w:sz="4" w:space="0" w:color="auto"/>
            </w:tcBorders>
            <w:shd w:val="clear" w:color="auto" w:fill="auto"/>
          </w:tcPr>
          <w:p w14:paraId="58BE15DD" w14:textId="77777777" w:rsidR="00AB55A6" w:rsidRPr="00AB55A6" w:rsidRDefault="00AB55A6" w:rsidP="002B600F">
            <w:pPr>
              <w:spacing w:line="276" w:lineRule="auto"/>
              <w:rPr>
                <w:rFonts w:ascii="Times New Roman" w:hAnsi="Times New Roman" w:cs="Times New Roman"/>
                <w:sz w:val="24"/>
                <w:szCs w:val="24"/>
              </w:rPr>
            </w:pPr>
            <w:r w:rsidRPr="00AB55A6">
              <w:rPr>
                <w:rFonts w:ascii="Times New Roman" w:hAnsi="Times New Roman" w:cs="Times New Roman"/>
                <w:sz w:val="24"/>
                <w:szCs w:val="24"/>
              </w:rPr>
              <w:t>5 (16%)</w:t>
            </w:r>
          </w:p>
        </w:tc>
      </w:tr>
      <w:tr w:rsidR="00AB55A6" w:rsidRPr="00AB55A6" w14:paraId="1C9095A7" w14:textId="77777777" w:rsidTr="002B600F">
        <w:tc>
          <w:tcPr>
            <w:tcW w:w="6925" w:type="dxa"/>
            <w:tcBorders>
              <w:top w:val="dashSmallGap" w:sz="4" w:space="0" w:color="auto"/>
              <w:bottom w:val="dashSmallGap" w:sz="4" w:space="0" w:color="auto"/>
            </w:tcBorders>
            <w:shd w:val="clear" w:color="auto" w:fill="auto"/>
          </w:tcPr>
          <w:p w14:paraId="7B20749F" w14:textId="77777777" w:rsidR="00AB55A6" w:rsidRPr="00AB55A6" w:rsidRDefault="00AB55A6" w:rsidP="002B600F">
            <w:pPr>
              <w:spacing w:line="276" w:lineRule="auto"/>
              <w:rPr>
                <w:rFonts w:ascii="Times New Roman" w:hAnsi="Times New Roman" w:cs="Times New Roman"/>
                <w:sz w:val="24"/>
                <w:szCs w:val="24"/>
              </w:rPr>
            </w:pPr>
            <w:r w:rsidRPr="00AB55A6">
              <w:rPr>
                <w:rFonts w:ascii="Times New Roman" w:hAnsi="Times New Roman" w:cs="Times New Roman"/>
                <w:sz w:val="24"/>
                <w:szCs w:val="24"/>
              </w:rPr>
              <w:t>Headquarters in Belgium</w:t>
            </w:r>
          </w:p>
        </w:tc>
        <w:tc>
          <w:tcPr>
            <w:tcW w:w="1569" w:type="dxa"/>
            <w:tcBorders>
              <w:top w:val="dashSmallGap" w:sz="4" w:space="0" w:color="auto"/>
              <w:bottom w:val="dashSmallGap" w:sz="4" w:space="0" w:color="auto"/>
            </w:tcBorders>
            <w:shd w:val="clear" w:color="auto" w:fill="auto"/>
          </w:tcPr>
          <w:p w14:paraId="2726F4F8" w14:textId="77777777" w:rsidR="00AB55A6" w:rsidRPr="00AB55A6" w:rsidRDefault="00AB55A6" w:rsidP="002B600F">
            <w:pPr>
              <w:spacing w:line="276" w:lineRule="auto"/>
              <w:rPr>
                <w:rFonts w:ascii="Times New Roman" w:hAnsi="Times New Roman" w:cs="Times New Roman"/>
                <w:sz w:val="24"/>
                <w:szCs w:val="24"/>
              </w:rPr>
            </w:pPr>
            <w:r w:rsidRPr="00AB55A6">
              <w:rPr>
                <w:rFonts w:ascii="Times New Roman" w:hAnsi="Times New Roman" w:cs="Times New Roman"/>
                <w:sz w:val="24"/>
                <w:szCs w:val="24"/>
              </w:rPr>
              <w:t>27 (84%)</w:t>
            </w:r>
          </w:p>
        </w:tc>
      </w:tr>
      <w:tr w:rsidR="00AB55A6" w:rsidRPr="00AB55A6" w14:paraId="6173C9DE" w14:textId="77777777" w:rsidTr="002B600F">
        <w:tc>
          <w:tcPr>
            <w:tcW w:w="6925" w:type="dxa"/>
            <w:tcBorders>
              <w:top w:val="dashSmallGap" w:sz="4" w:space="0" w:color="auto"/>
            </w:tcBorders>
            <w:shd w:val="clear" w:color="auto" w:fill="auto"/>
          </w:tcPr>
          <w:p w14:paraId="71C9ED0D" w14:textId="77777777" w:rsidR="00AB55A6" w:rsidRPr="00AB55A6" w:rsidRDefault="00AB55A6" w:rsidP="002B600F">
            <w:pPr>
              <w:spacing w:line="276" w:lineRule="auto"/>
              <w:rPr>
                <w:rFonts w:ascii="Times New Roman" w:hAnsi="Times New Roman" w:cs="Times New Roman"/>
                <w:sz w:val="24"/>
                <w:szCs w:val="24"/>
              </w:rPr>
            </w:pPr>
            <w:r w:rsidRPr="00AB55A6">
              <w:rPr>
                <w:rFonts w:ascii="Times New Roman" w:hAnsi="Times New Roman" w:cs="Times New Roman"/>
                <w:sz w:val="24"/>
                <w:szCs w:val="24"/>
              </w:rPr>
              <w:t>Policy domain: Agriculture &amp; Fisheries</w:t>
            </w:r>
          </w:p>
        </w:tc>
        <w:tc>
          <w:tcPr>
            <w:tcW w:w="1569" w:type="dxa"/>
            <w:tcBorders>
              <w:top w:val="dashSmallGap" w:sz="4" w:space="0" w:color="auto"/>
            </w:tcBorders>
            <w:shd w:val="clear" w:color="auto" w:fill="auto"/>
          </w:tcPr>
          <w:p w14:paraId="6A97ED34" w14:textId="77777777" w:rsidR="00AB55A6" w:rsidRPr="00AB55A6" w:rsidRDefault="00AB55A6" w:rsidP="002B600F">
            <w:pPr>
              <w:spacing w:line="276" w:lineRule="auto"/>
              <w:rPr>
                <w:rFonts w:ascii="Times New Roman" w:hAnsi="Times New Roman" w:cs="Times New Roman"/>
                <w:sz w:val="24"/>
                <w:szCs w:val="24"/>
              </w:rPr>
            </w:pPr>
            <w:r w:rsidRPr="00AB55A6">
              <w:rPr>
                <w:rFonts w:ascii="Times New Roman" w:hAnsi="Times New Roman" w:cs="Times New Roman"/>
                <w:sz w:val="24"/>
                <w:szCs w:val="24"/>
              </w:rPr>
              <w:t>5 (16%)</w:t>
            </w:r>
          </w:p>
        </w:tc>
      </w:tr>
      <w:tr w:rsidR="00AB55A6" w:rsidRPr="00AB55A6" w14:paraId="6515C919" w14:textId="77777777" w:rsidTr="002B600F">
        <w:tc>
          <w:tcPr>
            <w:tcW w:w="6925" w:type="dxa"/>
            <w:shd w:val="clear" w:color="auto" w:fill="auto"/>
          </w:tcPr>
          <w:p w14:paraId="32142BA8" w14:textId="77777777" w:rsidR="00AB55A6" w:rsidRPr="00AB55A6" w:rsidRDefault="00AB55A6" w:rsidP="002B600F">
            <w:pPr>
              <w:spacing w:line="276" w:lineRule="auto"/>
              <w:rPr>
                <w:rFonts w:ascii="Times New Roman" w:hAnsi="Times New Roman" w:cs="Times New Roman"/>
                <w:sz w:val="24"/>
                <w:szCs w:val="24"/>
              </w:rPr>
            </w:pPr>
            <w:r w:rsidRPr="00AB55A6">
              <w:rPr>
                <w:rFonts w:ascii="Times New Roman" w:hAnsi="Times New Roman" w:cs="Times New Roman"/>
                <w:sz w:val="24"/>
                <w:szCs w:val="24"/>
              </w:rPr>
              <w:t>Policy domain: Trade</w:t>
            </w:r>
          </w:p>
        </w:tc>
        <w:tc>
          <w:tcPr>
            <w:tcW w:w="1569" w:type="dxa"/>
            <w:shd w:val="clear" w:color="auto" w:fill="auto"/>
          </w:tcPr>
          <w:p w14:paraId="4ADB95FC" w14:textId="77777777" w:rsidR="00AB55A6" w:rsidRPr="00AB55A6" w:rsidRDefault="00AB55A6" w:rsidP="002B600F">
            <w:pPr>
              <w:spacing w:line="276" w:lineRule="auto"/>
              <w:rPr>
                <w:rFonts w:ascii="Times New Roman" w:hAnsi="Times New Roman" w:cs="Times New Roman"/>
                <w:sz w:val="24"/>
                <w:szCs w:val="24"/>
              </w:rPr>
            </w:pPr>
            <w:r w:rsidRPr="00AB55A6">
              <w:rPr>
                <w:rFonts w:ascii="Times New Roman" w:hAnsi="Times New Roman" w:cs="Times New Roman"/>
                <w:sz w:val="24"/>
                <w:szCs w:val="24"/>
              </w:rPr>
              <w:t>3 (9%)</w:t>
            </w:r>
          </w:p>
        </w:tc>
      </w:tr>
      <w:tr w:rsidR="00AB55A6" w:rsidRPr="00AB55A6" w14:paraId="33911888" w14:textId="77777777" w:rsidTr="002B600F">
        <w:tc>
          <w:tcPr>
            <w:tcW w:w="6925" w:type="dxa"/>
            <w:shd w:val="clear" w:color="auto" w:fill="auto"/>
          </w:tcPr>
          <w:p w14:paraId="0FD0BB25" w14:textId="77777777" w:rsidR="00AB55A6" w:rsidRPr="00AB55A6" w:rsidRDefault="00AB55A6" w:rsidP="002B600F">
            <w:pPr>
              <w:spacing w:line="276" w:lineRule="auto"/>
              <w:rPr>
                <w:rFonts w:ascii="Times New Roman" w:hAnsi="Times New Roman" w:cs="Times New Roman"/>
                <w:sz w:val="24"/>
                <w:szCs w:val="24"/>
              </w:rPr>
            </w:pPr>
            <w:r w:rsidRPr="00AB55A6">
              <w:rPr>
                <w:rFonts w:ascii="Times New Roman" w:hAnsi="Times New Roman" w:cs="Times New Roman"/>
                <w:sz w:val="24"/>
                <w:szCs w:val="24"/>
              </w:rPr>
              <w:t>Policy domain: Environment &amp; Social affairs</w:t>
            </w:r>
          </w:p>
        </w:tc>
        <w:tc>
          <w:tcPr>
            <w:tcW w:w="1569" w:type="dxa"/>
            <w:shd w:val="clear" w:color="auto" w:fill="auto"/>
          </w:tcPr>
          <w:p w14:paraId="55A845F8" w14:textId="77777777" w:rsidR="00AB55A6" w:rsidRPr="00AB55A6" w:rsidRDefault="00AB55A6" w:rsidP="002B600F">
            <w:pPr>
              <w:spacing w:line="276" w:lineRule="auto"/>
              <w:rPr>
                <w:rFonts w:ascii="Times New Roman" w:hAnsi="Times New Roman" w:cs="Times New Roman"/>
                <w:sz w:val="24"/>
                <w:szCs w:val="24"/>
              </w:rPr>
            </w:pPr>
            <w:r w:rsidRPr="00AB55A6">
              <w:rPr>
                <w:rFonts w:ascii="Times New Roman" w:hAnsi="Times New Roman" w:cs="Times New Roman"/>
                <w:sz w:val="24"/>
                <w:szCs w:val="24"/>
              </w:rPr>
              <w:t>4 (13%)</w:t>
            </w:r>
          </w:p>
        </w:tc>
      </w:tr>
      <w:tr w:rsidR="00AB55A6" w:rsidRPr="00AB55A6" w14:paraId="43A96600" w14:textId="77777777" w:rsidTr="002B600F">
        <w:tc>
          <w:tcPr>
            <w:tcW w:w="6925" w:type="dxa"/>
            <w:shd w:val="clear" w:color="auto" w:fill="auto"/>
          </w:tcPr>
          <w:p w14:paraId="6066E049" w14:textId="77777777" w:rsidR="00AB55A6" w:rsidRPr="00AB55A6" w:rsidRDefault="00AB55A6" w:rsidP="002B600F">
            <w:pPr>
              <w:spacing w:line="276" w:lineRule="auto"/>
              <w:rPr>
                <w:rFonts w:ascii="Times New Roman" w:hAnsi="Times New Roman" w:cs="Times New Roman"/>
                <w:sz w:val="24"/>
                <w:szCs w:val="24"/>
              </w:rPr>
            </w:pPr>
            <w:r w:rsidRPr="00AB55A6">
              <w:rPr>
                <w:rFonts w:ascii="Times New Roman" w:hAnsi="Times New Roman" w:cs="Times New Roman"/>
                <w:sz w:val="24"/>
                <w:szCs w:val="24"/>
              </w:rPr>
              <w:t>Policy domain: Finance</w:t>
            </w:r>
          </w:p>
        </w:tc>
        <w:tc>
          <w:tcPr>
            <w:tcW w:w="1569" w:type="dxa"/>
            <w:shd w:val="clear" w:color="auto" w:fill="auto"/>
          </w:tcPr>
          <w:p w14:paraId="65B74A47" w14:textId="77777777" w:rsidR="00AB55A6" w:rsidRPr="00AB55A6" w:rsidRDefault="00AB55A6" w:rsidP="002B600F">
            <w:pPr>
              <w:spacing w:line="276" w:lineRule="auto"/>
              <w:rPr>
                <w:rFonts w:ascii="Times New Roman" w:hAnsi="Times New Roman" w:cs="Times New Roman"/>
                <w:sz w:val="24"/>
                <w:szCs w:val="24"/>
              </w:rPr>
            </w:pPr>
            <w:r w:rsidRPr="00AB55A6">
              <w:rPr>
                <w:rFonts w:ascii="Times New Roman" w:hAnsi="Times New Roman" w:cs="Times New Roman"/>
                <w:sz w:val="24"/>
                <w:szCs w:val="24"/>
              </w:rPr>
              <w:t>4 (13%)</w:t>
            </w:r>
          </w:p>
        </w:tc>
      </w:tr>
      <w:tr w:rsidR="00AB55A6" w:rsidRPr="00AB55A6" w14:paraId="7E0F4AFF" w14:textId="77777777" w:rsidTr="002B600F">
        <w:tc>
          <w:tcPr>
            <w:tcW w:w="6925" w:type="dxa"/>
            <w:shd w:val="clear" w:color="auto" w:fill="auto"/>
          </w:tcPr>
          <w:p w14:paraId="54BAF088" w14:textId="77777777" w:rsidR="00AB55A6" w:rsidRPr="00AB55A6" w:rsidRDefault="00AB55A6" w:rsidP="002B600F">
            <w:pPr>
              <w:spacing w:line="276" w:lineRule="auto"/>
              <w:rPr>
                <w:rFonts w:ascii="Times New Roman" w:hAnsi="Times New Roman" w:cs="Times New Roman"/>
                <w:sz w:val="24"/>
                <w:szCs w:val="24"/>
              </w:rPr>
            </w:pPr>
            <w:r w:rsidRPr="00AB55A6">
              <w:rPr>
                <w:rFonts w:ascii="Times New Roman" w:hAnsi="Times New Roman" w:cs="Times New Roman"/>
                <w:sz w:val="24"/>
                <w:szCs w:val="24"/>
              </w:rPr>
              <w:t>Policy domain: Health</w:t>
            </w:r>
          </w:p>
        </w:tc>
        <w:tc>
          <w:tcPr>
            <w:tcW w:w="1569" w:type="dxa"/>
            <w:shd w:val="clear" w:color="auto" w:fill="auto"/>
          </w:tcPr>
          <w:p w14:paraId="22AA65C7" w14:textId="77777777" w:rsidR="00AB55A6" w:rsidRPr="00AB55A6" w:rsidRDefault="00AB55A6" w:rsidP="002B600F">
            <w:pPr>
              <w:spacing w:line="276" w:lineRule="auto"/>
              <w:rPr>
                <w:rFonts w:ascii="Times New Roman" w:hAnsi="Times New Roman" w:cs="Times New Roman"/>
                <w:sz w:val="24"/>
                <w:szCs w:val="24"/>
              </w:rPr>
            </w:pPr>
            <w:r w:rsidRPr="00AB55A6">
              <w:rPr>
                <w:rFonts w:ascii="Times New Roman" w:hAnsi="Times New Roman" w:cs="Times New Roman"/>
                <w:sz w:val="24"/>
                <w:szCs w:val="24"/>
              </w:rPr>
              <w:t>3 (9%)</w:t>
            </w:r>
          </w:p>
        </w:tc>
      </w:tr>
      <w:tr w:rsidR="00AB55A6" w:rsidRPr="00AB55A6" w14:paraId="0A1ECC33" w14:textId="77777777" w:rsidTr="002B600F">
        <w:tc>
          <w:tcPr>
            <w:tcW w:w="6925" w:type="dxa"/>
            <w:shd w:val="clear" w:color="auto" w:fill="auto"/>
          </w:tcPr>
          <w:p w14:paraId="2BBD1252" w14:textId="77777777" w:rsidR="00AB55A6" w:rsidRPr="00AB55A6" w:rsidRDefault="00AB55A6" w:rsidP="002B600F">
            <w:pPr>
              <w:spacing w:line="276" w:lineRule="auto"/>
              <w:rPr>
                <w:rFonts w:ascii="Times New Roman" w:hAnsi="Times New Roman" w:cs="Times New Roman"/>
                <w:sz w:val="24"/>
                <w:szCs w:val="24"/>
              </w:rPr>
            </w:pPr>
            <w:r w:rsidRPr="00AB55A6">
              <w:rPr>
                <w:rFonts w:ascii="Times New Roman" w:hAnsi="Times New Roman" w:cs="Times New Roman"/>
                <w:sz w:val="24"/>
                <w:szCs w:val="24"/>
              </w:rPr>
              <w:t>Policy domain: Transport</w:t>
            </w:r>
          </w:p>
        </w:tc>
        <w:tc>
          <w:tcPr>
            <w:tcW w:w="1569" w:type="dxa"/>
            <w:shd w:val="clear" w:color="auto" w:fill="auto"/>
          </w:tcPr>
          <w:p w14:paraId="0F74AD08" w14:textId="77777777" w:rsidR="00AB55A6" w:rsidRPr="00AB55A6" w:rsidRDefault="00AB55A6" w:rsidP="002B600F">
            <w:pPr>
              <w:spacing w:line="276" w:lineRule="auto"/>
              <w:rPr>
                <w:rFonts w:ascii="Times New Roman" w:hAnsi="Times New Roman" w:cs="Times New Roman"/>
                <w:sz w:val="24"/>
                <w:szCs w:val="24"/>
              </w:rPr>
            </w:pPr>
            <w:r w:rsidRPr="00AB55A6">
              <w:rPr>
                <w:rFonts w:ascii="Times New Roman" w:hAnsi="Times New Roman" w:cs="Times New Roman"/>
                <w:sz w:val="24"/>
                <w:szCs w:val="24"/>
              </w:rPr>
              <w:t>8 (25%)</w:t>
            </w:r>
          </w:p>
        </w:tc>
      </w:tr>
      <w:tr w:rsidR="00AB55A6" w:rsidRPr="00AB55A6" w14:paraId="180B1B31" w14:textId="77777777" w:rsidTr="002B600F">
        <w:tc>
          <w:tcPr>
            <w:tcW w:w="6925" w:type="dxa"/>
            <w:tcBorders>
              <w:bottom w:val="dashSmallGap" w:sz="4" w:space="0" w:color="auto"/>
            </w:tcBorders>
            <w:shd w:val="clear" w:color="auto" w:fill="auto"/>
          </w:tcPr>
          <w:p w14:paraId="5A8C6E28" w14:textId="77777777" w:rsidR="00AB55A6" w:rsidRPr="00AB55A6" w:rsidRDefault="00AB55A6" w:rsidP="002B600F">
            <w:pPr>
              <w:spacing w:line="276" w:lineRule="auto"/>
              <w:rPr>
                <w:rFonts w:ascii="Times New Roman" w:hAnsi="Times New Roman" w:cs="Times New Roman"/>
                <w:sz w:val="24"/>
                <w:szCs w:val="24"/>
              </w:rPr>
            </w:pPr>
            <w:r w:rsidRPr="00AB55A6">
              <w:rPr>
                <w:rFonts w:ascii="Times New Roman" w:hAnsi="Times New Roman" w:cs="Times New Roman"/>
                <w:sz w:val="24"/>
                <w:szCs w:val="24"/>
              </w:rPr>
              <w:t>Policy domain: Utilities</w:t>
            </w:r>
          </w:p>
        </w:tc>
        <w:tc>
          <w:tcPr>
            <w:tcW w:w="1569" w:type="dxa"/>
            <w:tcBorders>
              <w:bottom w:val="dashSmallGap" w:sz="4" w:space="0" w:color="auto"/>
            </w:tcBorders>
            <w:shd w:val="clear" w:color="auto" w:fill="auto"/>
          </w:tcPr>
          <w:p w14:paraId="586AE61F" w14:textId="77777777" w:rsidR="00AB55A6" w:rsidRPr="00AB55A6" w:rsidRDefault="00AB55A6" w:rsidP="002B600F">
            <w:pPr>
              <w:spacing w:line="276" w:lineRule="auto"/>
              <w:rPr>
                <w:rFonts w:ascii="Times New Roman" w:hAnsi="Times New Roman" w:cs="Times New Roman"/>
                <w:sz w:val="24"/>
                <w:szCs w:val="24"/>
              </w:rPr>
            </w:pPr>
            <w:r w:rsidRPr="00AB55A6">
              <w:rPr>
                <w:rFonts w:ascii="Times New Roman" w:hAnsi="Times New Roman" w:cs="Times New Roman"/>
                <w:sz w:val="24"/>
                <w:szCs w:val="24"/>
              </w:rPr>
              <w:t>5 (16%)</w:t>
            </w:r>
          </w:p>
        </w:tc>
      </w:tr>
      <w:tr w:rsidR="00AB55A6" w:rsidRPr="00AB55A6" w14:paraId="6119B34D" w14:textId="77777777" w:rsidTr="002B600F">
        <w:tc>
          <w:tcPr>
            <w:tcW w:w="6925" w:type="dxa"/>
            <w:tcBorders>
              <w:top w:val="dashSmallGap" w:sz="4" w:space="0" w:color="auto"/>
            </w:tcBorders>
            <w:shd w:val="clear" w:color="auto" w:fill="auto"/>
          </w:tcPr>
          <w:p w14:paraId="7D1ED7CD" w14:textId="77777777" w:rsidR="00AB55A6" w:rsidRPr="00AB55A6" w:rsidRDefault="00AB55A6" w:rsidP="002B600F">
            <w:pPr>
              <w:spacing w:line="276" w:lineRule="auto"/>
              <w:rPr>
                <w:rFonts w:ascii="Times New Roman" w:hAnsi="Times New Roman" w:cs="Times New Roman"/>
                <w:sz w:val="24"/>
                <w:szCs w:val="24"/>
              </w:rPr>
            </w:pPr>
            <w:r w:rsidRPr="00AB55A6">
              <w:rPr>
                <w:rFonts w:ascii="Times New Roman" w:hAnsi="Times New Roman" w:cs="Times New Roman"/>
                <w:sz w:val="24"/>
                <w:szCs w:val="24"/>
              </w:rPr>
              <w:t>Scope: Europe</w:t>
            </w:r>
          </w:p>
        </w:tc>
        <w:tc>
          <w:tcPr>
            <w:tcW w:w="1569" w:type="dxa"/>
            <w:tcBorders>
              <w:top w:val="dashSmallGap" w:sz="4" w:space="0" w:color="auto"/>
            </w:tcBorders>
            <w:shd w:val="clear" w:color="auto" w:fill="auto"/>
          </w:tcPr>
          <w:p w14:paraId="2349CBBC" w14:textId="77777777" w:rsidR="00AB55A6" w:rsidRPr="00AB55A6" w:rsidRDefault="00AB55A6" w:rsidP="002B600F">
            <w:pPr>
              <w:spacing w:line="276" w:lineRule="auto"/>
              <w:rPr>
                <w:rFonts w:ascii="Times New Roman" w:hAnsi="Times New Roman" w:cs="Times New Roman"/>
                <w:sz w:val="24"/>
                <w:szCs w:val="24"/>
              </w:rPr>
            </w:pPr>
            <w:r w:rsidRPr="00AB55A6">
              <w:rPr>
                <w:rFonts w:ascii="Times New Roman" w:hAnsi="Times New Roman" w:cs="Times New Roman"/>
                <w:sz w:val="24"/>
                <w:szCs w:val="24"/>
              </w:rPr>
              <w:t>29 (87%)</w:t>
            </w:r>
          </w:p>
        </w:tc>
      </w:tr>
      <w:tr w:rsidR="00AB55A6" w:rsidRPr="00AB55A6" w14:paraId="6C97DD06" w14:textId="77777777" w:rsidTr="002B600F">
        <w:tc>
          <w:tcPr>
            <w:tcW w:w="6925" w:type="dxa"/>
            <w:tcBorders>
              <w:bottom w:val="dashSmallGap" w:sz="4" w:space="0" w:color="auto"/>
            </w:tcBorders>
            <w:shd w:val="clear" w:color="auto" w:fill="auto"/>
          </w:tcPr>
          <w:p w14:paraId="3200802B" w14:textId="77777777" w:rsidR="00AB55A6" w:rsidRPr="00AB55A6" w:rsidRDefault="00AB55A6" w:rsidP="002B600F">
            <w:pPr>
              <w:spacing w:line="276" w:lineRule="auto"/>
              <w:rPr>
                <w:rFonts w:ascii="Times New Roman" w:hAnsi="Times New Roman" w:cs="Times New Roman"/>
                <w:sz w:val="24"/>
                <w:szCs w:val="24"/>
              </w:rPr>
            </w:pPr>
            <w:r w:rsidRPr="00AB55A6">
              <w:rPr>
                <w:rFonts w:ascii="Times New Roman" w:hAnsi="Times New Roman" w:cs="Times New Roman"/>
                <w:sz w:val="24"/>
                <w:szCs w:val="24"/>
              </w:rPr>
              <w:t>Scope: International</w:t>
            </w:r>
          </w:p>
        </w:tc>
        <w:tc>
          <w:tcPr>
            <w:tcW w:w="1569" w:type="dxa"/>
            <w:tcBorders>
              <w:bottom w:val="dashSmallGap" w:sz="4" w:space="0" w:color="auto"/>
            </w:tcBorders>
            <w:shd w:val="clear" w:color="auto" w:fill="auto"/>
          </w:tcPr>
          <w:p w14:paraId="5841BA60" w14:textId="77777777" w:rsidR="00AB55A6" w:rsidRPr="00AB55A6" w:rsidRDefault="00AB55A6" w:rsidP="002B600F">
            <w:pPr>
              <w:spacing w:line="276" w:lineRule="auto"/>
              <w:rPr>
                <w:rFonts w:ascii="Times New Roman" w:hAnsi="Times New Roman" w:cs="Times New Roman"/>
                <w:sz w:val="24"/>
                <w:szCs w:val="24"/>
              </w:rPr>
            </w:pPr>
            <w:r w:rsidRPr="00AB55A6">
              <w:rPr>
                <w:rFonts w:ascii="Times New Roman" w:hAnsi="Times New Roman" w:cs="Times New Roman"/>
                <w:sz w:val="24"/>
                <w:szCs w:val="24"/>
              </w:rPr>
              <w:t>3 (13%)</w:t>
            </w:r>
          </w:p>
        </w:tc>
      </w:tr>
      <w:tr w:rsidR="00AB55A6" w:rsidRPr="00AB55A6" w14:paraId="0655E809" w14:textId="77777777" w:rsidTr="002B600F">
        <w:tc>
          <w:tcPr>
            <w:tcW w:w="6925" w:type="dxa"/>
            <w:tcBorders>
              <w:top w:val="dashSmallGap" w:sz="4" w:space="0" w:color="auto"/>
              <w:bottom w:val="single" w:sz="4" w:space="0" w:color="auto"/>
            </w:tcBorders>
            <w:shd w:val="clear" w:color="auto" w:fill="auto"/>
          </w:tcPr>
          <w:p w14:paraId="19071B74" w14:textId="77777777" w:rsidR="00AB55A6" w:rsidRPr="00AB55A6" w:rsidRDefault="00AB55A6" w:rsidP="002B600F">
            <w:pPr>
              <w:spacing w:line="276" w:lineRule="auto"/>
              <w:rPr>
                <w:rFonts w:ascii="Times New Roman" w:hAnsi="Times New Roman" w:cs="Times New Roman"/>
                <w:sz w:val="24"/>
                <w:szCs w:val="24"/>
              </w:rPr>
            </w:pPr>
            <w:r w:rsidRPr="00AB55A6">
              <w:rPr>
                <w:rFonts w:ascii="Times New Roman" w:hAnsi="Times New Roman" w:cs="Times New Roman"/>
                <w:sz w:val="24"/>
                <w:szCs w:val="24"/>
              </w:rPr>
              <w:t>To what extent do members have similar resources</w:t>
            </w:r>
          </w:p>
          <w:p w14:paraId="40B4F6C0" w14:textId="77777777" w:rsidR="00AB55A6" w:rsidRPr="00AB55A6" w:rsidRDefault="00AB55A6" w:rsidP="002B600F">
            <w:pPr>
              <w:spacing w:line="276" w:lineRule="auto"/>
              <w:ind w:left="720"/>
              <w:rPr>
                <w:rFonts w:ascii="Times New Roman" w:hAnsi="Times New Roman" w:cs="Times New Roman"/>
                <w:i/>
                <w:iCs/>
                <w:sz w:val="24"/>
                <w:szCs w:val="24"/>
              </w:rPr>
            </w:pPr>
            <w:r w:rsidRPr="00AB55A6">
              <w:rPr>
                <w:rFonts w:ascii="Times New Roman" w:hAnsi="Times New Roman" w:cs="Times New Roman"/>
                <w:i/>
                <w:iCs/>
                <w:sz w:val="24"/>
                <w:szCs w:val="24"/>
              </w:rPr>
              <w:t xml:space="preserve">Very different </w:t>
            </w:r>
          </w:p>
          <w:p w14:paraId="796AF3C5" w14:textId="77777777" w:rsidR="00AB55A6" w:rsidRPr="00AB55A6" w:rsidRDefault="00AB55A6" w:rsidP="002B600F">
            <w:pPr>
              <w:spacing w:line="276" w:lineRule="auto"/>
              <w:ind w:left="720"/>
              <w:rPr>
                <w:rFonts w:ascii="Times New Roman" w:hAnsi="Times New Roman" w:cs="Times New Roman"/>
                <w:i/>
                <w:iCs/>
                <w:sz w:val="24"/>
                <w:szCs w:val="24"/>
              </w:rPr>
            </w:pPr>
            <w:r w:rsidRPr="00AB55A6">
              <w:rPr>
                <w:rFonts w:ascii="Times New Roman" w:hAnsi="Times New Roman" w:cs="Times New Roman"/>
                <w:i/>
                <w:iCs/>
                <w:sz w:val="24"/>
                <w:szCs w:val="24"/>
              </w:rPr>
              <w:t xml:space="preserve">Different </w:t>
            </w:r>
          </w:p>
          <w:p w14:paraId="1716CC79" w14:textId="77777777" w:rsidR="00AB55A6" w:rsidRPr="00AB55A6" w:rsidRDefault="00AB55A6" w:rsidP="002B600F">
            <w:pPr>
              <w:spacing w:line="276" w:lineRule="auto"/>
              <w:ind w:left="720"/>
              <w:rPr>
                <w:rFonts w:ascii="Times New Roman" w:hAnsi="Times New Roman" w:cs="Times New Roman"/>
                <w:i/>
                <w:iCs/>
                <w:sz w:val="24"/>
                <w:szCs w:val="24"/>
              </w:rPr>
            </w:pPr>
            <w:r w:rsidRPr="00AB55A6">
              <w:rPr>
                <w:rFonts w:ascii="Times New Roman" w:hAnsi="Times New Roman" w:cs="Times New Roman"/>
                <w:i/>
                <w:iCs/>
                <w:sz w:val="24"/>
                <w:szCs w:val="24"/>
              </w:rPr>
              <w:t xml:space="preserve">Similar </w:t>
            </w:r>
          </w:p>
          <w:p w14:paraId="60AEF3D4" w14:textId="77777777" w:rsidR="00AB55A6" w:rsidRPr="00AB55A6" w:rsidRDefault="00AB55A6" w:rsidP="002B600F">
            <w:pPr>
              <w:spacing w:line="276" w:lineRule="auto"/>
              <w:ind w:left="720"/>
              <w:rPr>
                <w:rFonts w:ascii="Times New Roman" w:hAnsi="Times New Roman" w:cs="Times New Roman"/>
                <w:i/>
                <w:iCs/>
                <w:sz w:val="24"/>
                <w:szCs w:val="24"/>
              </w:rPr>
            </w:pPr>
            <w:r w:rsidRPr="00AB55A6">
              <w:rPr>
                <w:rFonts w:ascii="Times New Roman" w:hAnsi="Times New Roman" w:cs="Times New Roman"/>
                <w:i/>
                <w:iCs/>
                <w:sz w:val="24"/>
                <w:szCs w:val="24"/>
              </w:rPr>
              <w:t>Very similar</w:t>
            </w:r>
          </w:p>
        </w:tc>
        <w:tc>
          <w:tcPr>
            <w:tcW w:w="1569" w:type="dxa"/>
            <w:tcBorders>
              <w:top w:val="dashSmallGap" w:sz="4" w:space="0" w:color="auto"/>
              <w:bottom w:val="single" w:sz="4" w:space="0" w:color="auto"/>
            </w:tcBorders>
            <w:shd w:val="clear" w:color="auto" w:fill="auto"/>
          </w:tcPr>
          <w:p w14:paraId="32CCFCDC" w14:textId="77777777" w:rsidR="00AB55A6" w:rsidRPr="00AB55A6" w:rsidRDefault="00AB55A6" w:rsidP="002B600F">
            <w:pPr>
              <w:spacing w:line="276" w:lineRule="auto"/>
              <w:rPr>
                <w:rFonts w:ascii="Times New Roman" w:hAnsi="Times New Roman" w:cs="Times New Roman"/>
                <w:sz w:val="24"/>
                <w:szCs w:val="24"/>
              </w:rPr>
            </w:pPr>
          </w:p>
          <w:p w14:paraId="7D0D4C86" w14:textId="77777777" w:rsidR="00AB55A6" w:rsidRPr="00AB55A6" w:rsidRDefault="00AB55A6" w:rsidP="002B600F">
            <w:pPr>
              <w:spacing w:line="276" w:lineRule="auto"/>
              <w:rPr>
                <w:rFonts w:ascii="Times New Roman" w:hAnsi="Times New Roman" w:cs="Times New Roman"/>
                <w:sz w:val="24"/>
                <w:szCs w:val="24"/>
              </w:rPr>
            </w:pPr>
            <w:r w:rsidRPr="00AB55A6">
              <w:rPr>
                <w:rFonts w:ascii="Times New Roman" w:hAnsi="Times New Roman" w:cs="Times New Roman"/>
                <w:sz w:val="24"/>
                <w:szCs w:val="24"/>
              </w:rPr>
              <w:t>21 (65.6%)</w:t>
            </w:r>
          </w:p>
          <w:p w14:paraId="023DB143" w14:textId="77777777" w:rsidR="00AB55A6" w:rsidRPr="00AB55A6" w:rsidRDefault="00AB55A6" w:rsidP="002B600F">
            <w:pPr>
              <w:spacing w:line="276" w:lineRule="auto"/>
              <w:rPr>
                <w:rFonts w:ascii="Times New Roman" w:hAnsi="Times New Roman" w:cs="Times New Roman"/>
                <w:sz w:val="24"/>
                <w:szCs w:val="24"/>
              </w:rPr>
            </w:pPr>
            <w:r w:rsidRPr="00AB55A6">
              <w:rPr>
                <w:rFonts w:ascii="Times New Roman" w:hAnsi="Times New Roman" w:cs="Times New Roman"/>
                <w:sz w:val="24"/>
                <w:szCs w:val="24"/>
              </w:rPr>
              <w:t>4 (12.5%)</w:t>
            </w:r>
          </w:p>
          <w:p w14:paraId="13C5FF21" w14:textId="77777777" w:rsidR="00AB55A6" w:rsidRPr="00AB55A6" w:rsidRDefault="00AB55A6" w:rsidP="002B600F">
            <w:pPr>
              <w:spacing w:line="276" w:lineRule="auto"/>
              <w:rPr>
                <w:rFonts w:ascii="Times New Roman" w:hAnsi="Times New Roman" w:cs="Times New Roman"/>
                <w:sz w:val="24"/>
                <w:szCs w:val="24"/>
              </w:rPr>
            </w:pPr>
            <w:r w:rsidRPr="00AB55A6">
              <w:rPr>
                <w:rFonts w:ascii="Times New Roman" w:hAnsi="Times New Roman" w:cs="Times New Roman"/>
                <w:sz w:val="24"/>
                <w:szCs w:val="24"/>
              </w:rPr>
              <w:t>4 (12.5%)</w:t>
            </w:r>
          </w:p>
          <w:p w14:paraId="2DD959C7" w14:textId="77777777" w:rsidR="00AB55A6" w:rsidRPr="00AB55A6" w:rsidRDefault="00AB55A6" w:rsidP="002B600F">
            <w:pPr>
              <w:spacing w:line="276" w:lineRule="auto"/>
              <w:rPr>
                <w:rFonts w:ascii="Times New Roman" w:hAnsi="Times New Roman" w:cs="Times New Roman"/>
                <w:sz w:val="24"/>
                <w:szCs w:val="24"/>
              </w:rPr>
            </w:pPr>
            <w:r w:rsidRPr="00AB55A6">
              <w:rPr>
                <w:rFonts w:ascii="Times New Roman" w:hAnsi="Times New Roman" w:cs="Times New Roman"/>
                <w:sz w:val="24"/>
                <w:szCs w:val="24"/>
              </w:rPr>
              <w:t>3 (9.5%)</w:t>
            </w:r>
          </w:p>
        </w:tc>
      </w:tr>
      <w:tr w:rsidR="00AB55A6" w:rsidRPr="00AB55A6" w14:paraId="026AF933" w14:textId="77777777" w:rsidTr="002B600F">
        <w:tc>
          <w:tcPr>
            <w:tcW w:w="8494" w:type="dxa"/>
            <w:gridSpan w:val="2"/>
          </w:tcPr>
          <w:p w14:paraId="28B35259" w14:textId="77777777" w:rsidR="00AB55A6" w:rsidRPr="00AB55A6" w:rsidRDefault="00AB55A6" w:rsidP="002B600F">
            <w:pPr>
              <w:spacing w:line="276" w:lineRule="auto"/>
              <w:rPr>
                <w:rFonts w:ascii="Times New Roman" w:hAnsi="Times New Roman" w:cs="Times New Roman"/>
                <w:b/>
                <w:bCs/>
                <w:sz w:val="24"/>
                <w:szCs w:val="24"/>
              </w:rPr>
            </w:pPr>
            <w:r w:rsidRPr="00AB55A6">
              <w:rPr>
                <w:rFonts w:ascii="Times New Roman" w:hAnsi="Times New Roman" w:cs="Times New Roman"/>
                <w:b/>
                <w:bCs/>
                <w:sz w:val="24"/>
                <w:szCs w:val="24"/>
              </w:rPr>
              <w:t>Table A1(b). Descriptive overview of numerical variables (Mean (S.D.))</w:t>
            </w:r>
          </w:p>
        </w:tc>
      </w:tr>
      <w:tr w:rsidR="00AB55A6" w:rsidRPr="00AB55A6" w14:paraId="0D1A82D4" w14:textId="77777777" w:rsidTr="002B600F">
        <w:tc>
          <w:tcPr>
            <w:tcW w:w="6925" w:type="dxa"/>
            <w:tcBorders>
              <w:top w:val="double" w:sz="4" w:space="0" w:color="auto"/>
              <w:bottom w:val="dashSmallGap" w:sz="4" w:space="0" w:color="auto"/>
            </w:tcBorders>
            <w:shd w:val="clear" w:color="auto" w:fill="auto"/>
          </w:tcPr>
          <w:p w14:paraId="5CE6DD56" w14:textId="77777777" w:rsidR="00AB55A6" w:rsidRPr="00AB55A6" w:rsidRDefault="00AB55A6" w:rsidP="002B600F">
            <w:pPr>
              <w:spacing w:line="276" w:lineRule="auto"/>
              <w:rPr>
                <w:rFonts w:ascii="Times New Roman" w:hAnsi="Times New Roman" w:cs="Times New Roman"/>
                <w:sz w:val="24"/>
                <w:szCs w:val="24"/>
              </w:rPr>
            </w:pPr>
            <w:r w:rsidRPr="00AB55A6">
              <w:rPr>
                <w:rFonts w:ascii="Times New Roman" w:hAnsi="Times New Roman" w:cs="Times New Roman"/>
                <w:sz w:val="24"/>
                <w:szCs w:val="24"/>
              </w:rPr>
              <w:t>Age (years)</w:t>
            </w:r>
          </w:p>
        </w:tc>
        <w:tc>
          <w:tcPr>
            <w:tcW w:w="1569" w:type="dxa"/>
            <w:tcBorders>
              <w:top w:val="double" w:sz="4" w:space="0" w:color="auto"/>
              <w:bottom w:val="dashSmallGap" w:sz="4" w:space="0" w:color="auto"/>
            </w:tcBorders>
            <w:shd w:val="clear" w:color="auto" w:fill="auto"/>
          </w:tcPr>
          <w:p w14:paraId="1FC614D9" w14:textId="77777777" w:rsidR="00AB55A6" w:rsidRPr="00AB55A6" w:rsidRDefault="00AB55A6" w:rsidP="002B600F">
            <w:pPr>
              <w:spacing w:line="276" w:lineRule="auto"/>
              <w:rPr>
                <w:rFonts w:ascii="Times New Roman" w:hAnsi="Times New Roman" w:cs="Times New Roman"/>
                <w:sz w:val="24"/>
                <w:szCs w:val="24"/>
              </w:rPr>
            </w:pPr>
            <w:r w:rsidRPr="00AB55A6">
              <w:rPr>
                <w:rFonts w:ascii="Times New Roman" w:hAnsi="Times New Roman" w:cs="Times New Roman"/>
                <w:sz w:val="24"/>
                <w:szCs w:val="24"/>
              </w:rPr>
              <w:t>35.94 (20.22)</w:t>
            </w:r>
          </w:p>
        </w:tc>
      </w:tr>
      <w:tr w:rsidR="00AB55A6" w:rsidRPr="00AB55A6" w14:paraId="10DBA2C9" w14:textId="77777777" w:rsidTr="002B600F">
        <w:tc>
          <w:tcPr>
            <w:tcW w:w="6925" w:type="dxa"/>
            <w:tcBorders>
              <w:top w:val="dashSmallGap" w:sz="4" w:space="0" w:color="auto"/>
              <w:bottom w:val="dashSmallGap" w:sz="4" w:space="0" w:color="auto"/>
            </w:tcBorders>
            <w:shd w:val="clear" w:color="auto" w:fill="auto"/>
          </w:tcPr>
          <w:p w14:paraId="4D19C91F" w14:textId="77777777" w:rsidR="00AB55A6" w:rsidRPr="00AB55A6" w:rsidRDefault="00AB55A6" w:rsidP="002B600F">
            <w:pPr>
              <w:spacing w:line="276" w:lineRule="auto"/>
              <w:rPr>
                <w:rFonts w:ascii="Times New Roman" w:hAnsi="Times New Roman" w:cs="Times New Roman"/>
                <w:sz w:val="24"/>
                <w:szCs w:val="24"/>
              </w:rPr>
            </w:pPr>
            <w:r w:rsidRPr="00AB55A6">
              <w:rPr>
                <w:rFonts w:ascii="Times New Roman" w:hAnsi="Times New Roman" w:cs="Times New Roman"/>
                <w:sz w:val="24"/>
                <w:szCs w:val="24"/>
              </w:rPr>
              <w:t>Resources (FTE lobbying according to Transparency Register)</w:t>
            </w:r>
          </w:p>
        </w:tc>
        <w:tc>
          <w:tcPr>
            <w:tcW w:w="1569" w:type="dxa"/>
            <w:tcBorders>
              <w:top w:val="dashSmallGap" w:sz="4" w:space="0" w:color="auto"/>
              <w:bottom w:val="dashSmallGap" w:sz="4" w:space="0" w:color="auto"/>
            </w:tcBorders>
            <w:shd w:val="clear" w:color="auto" w:fill="auto"/>
          </w:tcPr>
          <w:p w14:paraId="71457663" w14:textId="77777777" w:rsidR="00AB55A6" w:rsidRPr="00AB55A6" w:rsidRDefault="00AB55A6" w:rsidP="002B600F">
            <w:pPr>
              <w:spacing w:line="276" w:lineRule="auto"/>
              <w:rPr>
                <w:rFonts w:ascii="Times New Roman" w:hAnsi="Times New Roman" w:cs="Times New Roman"/>
                <w:sz w:val="24"/>
                <w:szCs w:val="24"/>
              </w:rPr>
            </w:pPr>
            <w:r w:rsidRPr="00AB55A6">
              <w:rPr>
                <w:rFonts w:ascii="Times New Roman" w:hAnsi="Times New Roman" w:cs="Times New Roman"/>
                <w:sz w:val="24"/>
                <w:szCs w:val="24"/>
              </w:rPr>
              <w:t>6.3 (5.97)</w:t>
            </w:r>
          </w:p>
        </w:tc>
      </w:tr>
      <w:tr w:rsidR="00AB55A6" w:rsidRPr="00AB55A6" w14:paraId="43C8134A" w14:textId="77777777" w:rsidTr="002B600F">
        <w:tc>
          <w:tcPr>
            <w:tcW w:w="6925" w:type="dxa"/>
            <w:tcBorders>
              <w:top w:val="dashSmallGap" w:sz="4" w:space="0" w:color="auto"/>
              <w:bottom w:val="single" w:sz="4" w:space="0" w:color="auto"/>
            </w:tcBorders>
            <w:shd w:val="clear" w:color="auto" w:fill="auto"/>
          </w:tcPr>
          <w:p w14:paraId="5500C55F" w14:textId="77777777" w:rsidR="00AB55A6" w:rsidRPr="00AB55A6" w:rsidRDefault="00AB55A6" w:rsidP="002B600F">
            <w:pPr>
              <w:spacing w:line="276" w:lineRule="auto"/>
              <w:rPr>
                <w:rFonts w:ascii="Times New Roman" w:hAnsi="Times New Roman" w:cs="Times New Roman"/>
                <w:sz w:val="24"/>
                <w:szCs w:val="24"/>
              </w:rPr>
            </w:pPr>
            <w:r w:rsidRPr="00AB55A6">
              <w:rPr>
                <w:rFonts w:ascii="Times New Roman" w:hAnsi="Times New Roman" w:cs="Times New Roman"/>
                <w:sz w:val="24"/>
                <w:szCs w:val="24"/>
              </w:rPr>
              <w:t>Number of members (i.e., individual organizations and associations)</w:t>
            </w:r>
          </w:p>
        </w:tc>
        <w:tc>
          <w:tcPr>
            <w:tcW w:w="1569" w:type="dxa"/>
            <w:tcBorders>
              <w:top w:val="dashSmallGap" w:sz="4" w:space="0" w:color="auto"/>
              <w:bottom w:val="single" w:sz="4" w:space="0" w:color="auto"/>
            </w:tcBorders>
            <w:shd w:val="clear" w:color="auto" w:fill="auto"/>
          </w:tcPr>
          <w:p w14:paraId="19A0AAE0" w14:textId="77777777" w:rsidR="00AB55A6" w:rsidRPr="00AB55A6" w:rsidRDefault="00AB55A6" w:rsidP="002B600F">
            <w:pPr>
              <w:spacing w:line="276" w:lineRule="auto"/>
              <w:rPr>
                <w:rFonts w:ascii="Times New Roman" w:hAnsi="Times New Roman" w:cs="Times New Roman"/>
                <w:sz w:val="24"/>
                <w:szCs w:val="24"/>
              </w:rPr>
            </w:pPr>
            <w:r w:rsidRPr="00AB55A6">
              <w:rPr>
                <w:rFonts w:ascii="Times New Roman" w:hAnsi="Times New Roman" w:cs="Times New Roman"/>
                <w:sz w:val="24"/>
                <w:szCs w:val="24"/>
              </w:rPr>
              <w:t>35.54 (23.94)</w:t>
            </w:r>
          </w:p>
        </w:tc>
      </w:tr>
    </w:tbl>
    <w:p w14:paraId="6D98D566" w14:textId="77777777" w:rsidR="00AB55A6" w:rsidRPr="00AB55A6" w:rsidRDefault="00AB55A6" w:rsidP="00AB55A6">
      <w:pPr>
        <w:rPr>
          <w:rFonts w:ascii="Times New Roman" w:hAnsi="Times New Roman" w:cs="Times New Roman"/>
          <w:sz w:val="24"/>
          <w:szCs w:val="24"/>
          <w:lang w:val="en-US"/>
        </w:rPr>
      </w:pPr>
    </w:p>
    <w:p w14:paraId="79F19067" w14:textId="77777777" w:rsidR="00AB55A6" w:rsidRDefault="00AB55A6">
      <w:pPr>
        <w:rPr>
          <w:rFonts w:ascii="Times New Roman" w:eastAsiaTheme="majorEastAsia" w:hAnsi="Times New Roman" w:cs="Times New Roman"/>
          <w:b/>
          <w:kern w:val="0"/>
          <w:sz w:val="24"/>
          <w:szCs w:val="24"/>
          <w:lang w:val="en-US"/>
          <w14:ligatures w14:val="none"/>
        </w:rPr>
      </w:pPr>
      <w:r>
        <w:rPr>
          <w:rFonts w:cs="Times New Roman"/>
          <w:szCs w:val="24"/>
        </w:rPr>
        <w:br w:type="page"/>
      </w:r>
    </w:p>
    <w:p w14:paraId="6F99AF97" w14:textId="14E03F85" w:rsidR="00AB55A6" w:rsidRPr="00AB55A6" w:rsidRDefault="00AB55A6" w:rsidP="00AB55A6">
      <w:pPr>
        <w:pStyle w:val="Heading1"/>
        <w:rPr>
          <w:rFonts w:cs="Times New Roman"/>
          <w:szCs w:val="24"/>
        </w:rPr>
      </w:pPr>
      <w:r w:rsidRPr="00AB55A6">
        <w:rPr>
          <w:rFonts w:cs="Times New Roman"/>
          <w:szCs w:val="24"/>
        </w:rPr>
        <w:lastRenderedPageBreak/>
        <w:t>Appendix B</w:t>
      </w:r>
    </w:p>
    <w:p w14:paraId="75F223CC" w14:textId="77777777" w:rsidR="00AB55A6" w:rsidRPr="00AB55A6" w:rsidRDefault="00AB55A6" w:rsidP="00AB55A6">
      <w:pPr>
        <w:rPr>
          <w:rFonts w:ascii="Times New Roman" w:hAnsi="Times New Roman" w:cs="Times New Roman"/>
          <w:sz w:val="24"/>
          <w:szCs w:val="24"/>
          <w:lang w:val="en-US"/>
        </w:rPr>
      </w:pPr>
      <w:r w:rsidRPr="00AB55A6">
        <w:rPr>
          <w:rFonts w:ascii="Times New Roman" w:hAnsi="Times New Roman" w:cs="Times New Roman"/>
          <w:sz w:val="24"/>
          <w:szCs w:val="24"/>
          <w:lang w:val="en-US"/>
        </w:rPr>
        <w:t xml:space="preserve">While we expect issue features and membership inequalities to play an important role in how members are involved in position taking processes, we control here for group type (business or citizen groups) (see De Bruycker et al. 2019) and governmental funding (see Fraussen 2014). Importantly, we argue that the relevance of these control variables is less prominent among interest groups with organizations and/or associations as members because these groups have a limited number of potential members, who have material incentives to engage even when they represent a cause or are highly funded by governmental organizations (see </w:t>
      </w:r>
      <w:proofErr w:type="spellStart"/>
      <w:r w:rsidRPr="00AB55A6">
        <w:rPr>
          <w:rFonts w:ascii="Times New Roman" w:hAnsi="Times New Roman" w:cs="Times New Roman"/>
          <w:sz w:val="24"/>
          <w:szCs w:val="24"/>
          <w:lang w:val="en-US"/>
        </w:rPr>
        <w:t>Rodekamp</w:t>
      </w:r>
      <w:proofErr w:type="spellEnd"/>
      <w:r w:rsidRPr="00AB55A6">
        <w:rPr>
          <w:rFonts w:ascii="Times New Roman" w:hAnsi="Times New Roman" w:cs="Times New Roman"/>
          <w:sz w:val="24"/>
          <w:szCs w:val="24"/>
          <w:lang w:val="en-US"/>
        </w:rPr>
        <w:t xml:space="preserve"> 2014 for an empirical confirmation of this argument). To further explore this expectation, we present here a quantitative exploration of the two control variables: group type and governmental funding. </w:t>
      </w:r>
    </w:p>
    <w:p w14:paraId="65543155" w14:textId="77777777" w:rsidR="00AB55A6" w:rsidRPr="00AB55A6" w:rsidRDefault="00AB55A6" w:rsidP="00AB55A6">
      <w:pPr>
        <w:rPr>
          <w:rFonts w:ascii="Times New Roman" w:hAnsi="Times New Roman" w:cs="Times New Roman"/>
          <w:sz w:val="24"/>
          <w:szCs w:val="24"/>
          <w:lang w:val="en-US"/>
        </w:rPr>
      </w:pPr>
      <w:r w:rsidRPr="00AB55A6">
        <w:rPr>
          <w:rFonts w:ascii="Times New Roman" w:hAnsi="Times New Roman" w:cs="Times New Roman"/>
          <w:sz w:val="24"/>
          <w:szCs w:val="24"/>
          <w:lang w:val="en-US"/>
        </w:rPr>
        <w:t>Firstly, 26 out of the 32 group leaders interviewed (i.e., 81%) indicated that their members are actively involved in establishing policy positions. Equally important is the fact that none of the interviewees indicated that their members were “not at all involved” in setting policy positions. As expected, the degree of member involvement is not significantly different across business (M=4.1, SD=0.97) and citizen groups (M=3.8, SD=0.44); t(21)=(-1.175), p=0.254.</w:t>
      </w:r>
    </w:p>
    <w:p w14:paraId="69F57D31" w14:textId="77777777" w:rsidR="00AB55A6" w:rsidRPr="00AB55A6" w:rsidRDefault="00AB55A6" w:rsidP="00AB55A6">
      <w:pPr>
        <w:rPr>
          <w:rFonts w:ascii="Times New Roman" w:hAnsi="Times New Roman" w:cs="Times New Roman"/>
          <w:sz w:val="24"/>
          <w:szCs w:val="24"/>
          <w:lang w:val="en-US"/>
        </w:rPr>
      </w:pPr>
      <w:r w:rsidRPr="00AB55A6">
        <w:rPr>
          <w:rFonts w:ascii="Times New Roman" w:hAnsi="Times New Roman" w:cs="Times New Roman"/>
          <w:sz w:val="24"/>
          <w:szCs w:val="24"/>
          <w:lang w:val="en-US"/>
        </w:rPr>
        <w:t xml:space="preserve">Secondly, no significant differences are found between interest groups that heavily rely on either membership fees or governmental funding. To conduct this analysis, we distinguish interest groups that heavily rely on membership fees (i.e., &gt;75% of their budget, N=18) from those that heavily rely on governmental funding (i.e., &gt;75% their budget, N=11). There are no significant difference in the level of members involvement between interest groups relying on membership fees (M=4.17, SD=1.09) and interest groups relying on governmental funding (M=3.73, SD=0.42); t(27)=(1.400), p=0.173. </w:t>
      </w:r>
    </w:p>
    <w:p w14:paraId="3296CC64" w14:textId="77777777" w:rsidR="00AB55A6" w:rsidRDefault="00AB55A6">
      <w:pPr>
        <w:rPr>
          <w:rFonts w:ascii="Times New Roman" w:eastAsiaTheme="majorEastAsia" w:hAnsi="Times New Roman" w:cs="Times New Roman"/>
          <w:b/>
          <w:kern w:val="0"/>
          <w:sz w:val="24"/>
          <w:szCs w:val="24"/>
          <w:lang w:val="en-US"/>
          <w14:ligatures w14:val="none"/>
        </w:rPr>
      </w:pPr>
      <w:r>
        <w:rPr>
          <w:rFonts w:cs="Times New Roman"/>
          <w:szCs w:val="24"/>
        </w:rPr>
        <w:br w:type="page"/>
      </w:r>
    </w:p>
    <w:p w14:paraId="09D0AF8C" w14:textId="433DBD5F" w:rsidR="00AB55A6" w:rsidRPr="00AB55A6" w:rsidRDefault="00AB55A6" w:rsidP="00AB55A6">
      <w:pPr>
        <w:pStyle w:val="Heading1"/>
        <w:rPr>
          <w:rFonts w:cs="Times New Roman"/>
          <w:szCs w:val="24"/>
        </w:rPr>
      </w:pPr>
      <w:r w:rsidRPr="00AB55A6">
        <w:rPr>
          <w:rFonts w:cs="Times New Roman"/>
          <w:szCs w:val="24"/>
        </w:rPr>
        <w:lastRenderedPageBreak/>
        <w:t>Appendix C</w:t>
      </w:r>
    </w:p>
    <w:p w14:paraId="25EB532C" w14:textId="77777777" w:rsidR="00AB55A6" w:rsidRPr="00AB55A6" w:rsidRDefault="00AB55A6" w:rsidP="00AB55A6">
      <w:pPr>
        <w:rPr>
          <w:rFonts w:ascii="Times New Roman" w:hAnsi="Times New Roman" w:cs="Times New Roman"/>
          <w:sz w:val="24"/>
          <w:szCs w:val="24"/>
          <w:lang w:val="en-US"/>
        </w:rPr>
      </w:pPr>
      <w:r w:rsidRPr="00AB55A6">
        <w:rPr>
          <w:rFonts w:ascii="Times New Roman" w:hAnsi="Times New Roman" w:cs="Times New Roman"/>
          <w:sz w:val="24"/>
          <w:szCs w:val="24"/>
          <w:lang w:val="en-US"/>
        </w:rPr>
        <w:t xml:space="preserve">Interview protocol: The 32 interviews were conducted as a part of a larger project funded by a national research agency. The interviews opened with an explanation of the project and of how the data collected would be treated, granting anonymity of the respondent and the organization they represent. The interviews opened with a set of questions about the role of interest groups in a specific set of EU legislative proposals. Subsequently, the interview moved to the questions of interest for the present study. The interview combined closed and open questions to gather both quantitative and qualitative data while making sure that interviewees could more extensively reflect on their responses. More specifically, the topic list of the interview section related to this paper was: </w:t>
      </w:r>
    </w:p>
    <w:p w14:paraId="4FE27322" w14:textId="77777777" w:rsidR="00AB55A6" w:rsidRPr="00AB55A6" w:rsidRDefault="00AB55A6" w:rsidP="00AB55A6">
      <w:pPr>
        <w:pStyle w:val="ListParagraph"/>
        <w:numPr>
          <w:ilvl w:val="0"/>
          <w:numId w:val="1"/>
        </w:numPr>
        <w:rPr>
          <w:rFonts w:cs="Times New Roman"/>
          <w:szCs w:val="24"/>
        </w:rPr>
      </w:pPr>
      <w:r w:rsidRPr="00AB55A6">
        <w:rPr>
          <w:rFonts w:cs="Times New Roman"/>
          <w:szCs w:val="24"/>
        </w:rPr>
        <w:t xml:space="preserve">Interest group constituency and membership (nature and definition of the group). </w:t>
      </w:r>
    </w:p>
    <w:p w14:paraId="3D67C960" w14:textId="77777777" w:rsidR="00AB55A6" w:rsidRPr="00AB55A6" w:rsidRDefault="00AB55A6" w:rsidP="00AB55A6">
      <w:pPr>
        <w:pStyle w:val="ListParagraph"/>
        <w:numPr>
          <w:ilvl w:val="0"/>
          <w:numId w:val="1"/>
        </w:numPr>
        <w:rPr>
          <w:rFonts w:cs="Times New Roman"/>
          <w:szCs w:val="24"/>
        </w:rPr>
      </w:pPr>
      <w:r w:rsidRPr="00AB55A6">
        <w:rPr>
          <w:rFonts w:cs="Times New Roman"/>
          <w:szCs w:val="24"/>
        </w:rPr>
        <w:t>Type of members (similarity / heterogeneity among members).</w:t>
      </w:r>
    </w:p>
    <w:p w14:paraId="51A5428A" w14:textId="77777777" w:rsidR="00AB55A6" w:rsidRPr="00AB55A6" w:rsidRDefault="00AB55A6" w:rsidP="00AB55A6">
      <w:pPr>
        <w:pStyle w:val="ListParagraph"/>
        <w:numPr>
          <w:ilvl w:val="0"/>
          <w:numId w:val="1"/>
        </w:numPr>
        <w:rPr>
          <w:rFonts w:cs="Times New Roman"/>
          <w:szCs w:val="24"/>
        </w:rPr>
      </w:pPr>
      <w:r w:rsidRPr="00AB55A6">
        <w:rPr>
          <w:rFonts w:cs="Times New Roman"/>
          <w:szCs w:val="24"/>
        </w:rPr>
        <w:t xml:space="preserve">Internal organization and structure of the group. </w:t>
      </w:r>
    </w:p>
    <w:p w14:paraId="4BF679BB" w14:textId="77777777" w:rsidR="00AB55A6" w:rsidRPr="00AB55A6" w:rsidRDefault="00AB55A6" w:rsidP="00AB55A6">
      <w:pPr>
        <w:pStyle w:val="ListParagraph"/>
        <w:numPr>
          <w:ilvl w:val="0"/>
          <w:numId w:val="1"/>
        </w:numPr>
        <w:rPr>
          <w:rFonts w:cs="Times New Roman"/>
          <w:szCs w:val="24"/>
        </w:rPr>
      </w:pPr>
      <w:r w:rsidRPr="00AB55A6">
        <w:rPr>
          <w:rFonts w:cs="Times New Roman"/>
          <w:szCs w:val="24"/>
        </w:rPr>
        <w:t>Decision-making process in policy position-taking.</w:t>
      </w:r>
    </w:p>
    <w:p w14:paraId="49A8CD5B" w14:textId="77777777" w:rsidR="00AB55A6" w:rsidRPr="00AB55A6" w:rsidRDefault="00AB55A6" w:rsidP="00AB55A6">
      <w:pPr>
        <w:pStyle w:val="ListParagraph"/>
        <w:numPr>
          <w:ilvl w:val="0"/>
          <w:numId w:val="1"/>
        </w:numPr>
        <w:rPr>
          <w:rFonts w:cs="Times New Roman"/>
          <w:szCs w:val="24"/>
        </w:rPr>
      </w:pPr>
      <w:r w:rsidRPr="00AB55A6">
        <w:rPr>
          <w:rFonts w:cs="Times New Roman"/>
          <w:szCs w:val="24"/>
        </w:rPr>
        <w:t>Member involvement in decision-making processes.</w:t>
      </w:r>
    </w:p>
    <w:p w14:paraId="6BDAEE67" w14:textId="77777777" w:rsidR="00AB55A6" w:rsidRPr="00AB55A6" w:rsidRDefault="00AB55A6" w:rsidP="00AB55A6">
      <w:pPr>
        <w:pStyle w:val="ListParagraph"/>
        <w:numPr>
          <w:ilvl w:val="0"/>
          <w:numId w:val="1"/>
        </w:numPr>
        <w:rPr>
          <w:rFonts w:cs="Times New Roman"/>
          <w:szCs w:val="24"/>
        </w:rPr>
      </w:pPr>
      <w:r w:rsidRPr="00AB55A6">
        <w:rPr>
          <w:rFonts w:cs="Times New Roman"/>
          <w:szCs w:val="24"/>
        </w:rPr>
        <w:t>Member involvement through formal and informal mechanism.</w:t>
      </w:r>
    </w:p>
    <w:p w14:paraId="48F8D729" w14:textId="77777777" w:rsidR="00AB55A6" w:rsidRPr="00AB55A6" w:rsidRDefault="00AB55A6" w:rsidP="00AB55A6">
      <w:pPr>
        <w:pStyle w:val="ListParagraph"/>
        <w:numPr>
          <w:ilvl w:val="0"/>
          <w:numId w:val="1"/>
        </w:numPr>
        <w:rPr>
          <w:rFonts w:cs="Times New Roman"/>
          <w:szCs w:val="24"/>
        </w:rPr>
      </w:pPr>
      <w:r w:rsidRPr="00AB55A6">
        <w:rPr>
          <w:rFonts w:cs="Times New Roman"/>
          <w:szCs w:val="24"/>
        </w:rPr>
        <w:t>Intensity of involvement across members.</w:t>
      </w:r>
    </w:p>
    <w:p w14:paraId="0D630F8C" w14:textId="77777777" w:rsidR="00AB55A6" w:rsidRPr="00AB55A6" w:rsidRDefault="00AB55A6" w:rsidP="00AB55A6">
      <w:pPr>
        <w:pStyle w:val="ListParagraph"/>
        <w:numPr>
          <w:ilvl w:val="0"/>
          <w:numId w:val="1"/>
        </w:numPr>
        <w:rPr>
          <w:rFonts w:cs="Times New Roman"/>
          <w:szCs w:val="24"/>
        </w:rPr>
      </w:pPr>
      <w:r w:rsidRPr="00AB55A6">
        <w:rPr>
          <w:rFonts w:cs="Times New Roman"/>
          <w:szCs w:val="24"/>
        </w:rPr>
        <w:t>Challenges to involve members.</w:t>
      </w:r>
    </w:p>
    <w:p w14:paraId="2C58248F" w14:textId="77777777" w:rsidR="00AB55A6" w:rsidRPr="00AB55A6" w:rsidRDefault="00AB55A6" w:rsidP="00AB55A6">
      <w:pPr>
        <w:pStyle w:val="ListParagraph"/>
        <w:numPr>
          <w:ilvl w:val="0"/>
          <w:numId w:val="1"/>
        </w:numPr>
        <w:rPr>
          <w:rFonts w:cs="Times New Roman"/>
          <w:szCs w:val="24"/>
        </w:rPr>
      </w:pPr>
      <w:r w:rsidRPr="00AB55A6">
        <w:rPr>
          <w:rFonts w:cs="Times New Roman"/>
          <w:szCs w:val="24"/>
        </w:rPr>
        <w:t>Circumstances under which member involvement is more/less feasible.</w:t>
      </w:r>
    </w:p>
    <w:p w14:paraId="4C7F4C5A" w14:textId="77777777" w:rsidR="00AB55A6" w:rsidRPr="00AB55A6" w:rsidRDefault="00AB55A6" w:rsidP="00AB55A6">
      <w:pPr>
        <w:pStyle w:val="ListParagraph"/>
        <w:numPr>
          <w:ilvl w:val="0"/>
          <w:numId w:val="1"/>
        </w:numPr>
        <w:rPr>
          <w:rFonts w:cs="Times New Roman"/>
          <w:szCs w:val="24"/>
        </w:rPr>
      </w:pPr>
      <w:r w:rsidRPr="00AB55A6">
        <w:rPr>
          <w:rFonts w:cs="Times New Roman"/>
          <w:szCs w:val="24"/>
        </w:rPr>
        <w:t>Background information about the organization.</w:t>
      </w:r>
    </w:p>
    <w:p w14:paraId="53783583" w14:textId="77777777" w:rsidR="00AB55A6" w:rsidRDefault="00AB55A6">
      <w:pPr>
        <w:rPr>
          <w:rFonts w:ascii="Times New Roman" w:eastAsiaTheme="majorEastAsia" w:hAnsi="Times New Roman" w:cs="Times New Roman"/>
          <w:b/>
          <w:kern w:val="0"/>
          <w:sz w:val="24"/>
          <w:szCs w:val="24"/>
          <w:lang w:val="en-US"/>
          <w14:ligatures w14:val="none"/>
        </w:rPr>
      </w:pPr>
      <w:r>
        <w:rPr>
          <w:rFonts w:cs="Times New Roman"/>
          <w:szCs w:val="24"/>
        </w:rPr>
        <w:br w:type="page"/>
      </w:r>
    </w:p>
    <w:p w14:paraId="1DA48B00" w14:textId="5E2BDADD" w:rsidR="00AB55A6" w:rsidRPr="00AB55A6" w:rsidRDefault="00AB55A6" w:rsidP="00AB55A6">
      <w:pPr>
        <w:pStyle w:val="Heading1"/>
        <w:rPr>
          <w:rFonts w:cs="Times New Roman"/>
          <w:szCs w:val="24"/>
        </w:rPr>
      </w:pPr>
      <w:r w:rsidRPr="00AB55A6">
        <w:rPr>
          <w:rFonts w:cs="Times New Roman"/>
          <w:szCs w:val="24"/>
        </w:rPr>
        <w:lastRenderedPageBreak/>
        <w:t>Appendix D</w:t>
      </w:r>
    </w:p>
    <w:p w14:paraId="4C754CC6" w14:textId="77777777" w:rsidR="00AB55A6" w:rsidRPr="00AB55A6" w:rsidRDefault="00AB55A6" w:rsidP="00AB55A6">
      <w:pPr>
        <w:rPr>
          <w:rFonts w:ascii="Times New Roman" w:hAnsi="Times New Roman" w:cs="Times New Roman"/>
          <w:sz w:val="24"/>
          <w:szCs w:val="24"/>
          <w:lang w:val="en-US"/>
        </w:rPr>
      </w:pPr>
      <w:r w:rsidRPr="00AB55A6">
        <w:rPr>
          <w:rFonts w:ascii="Times New Roman" w:hAnsi="Times New Roman" w:cs="Times New Roman"/>
          <w:sz w:val="24"/>
          <w:szCs w:val="24"/>
          <w:lang w:val="en-US"/>
        </w:rPr>
        <w:t>The coding process focused on three sensitizing concepts: member involvement in position-taking, issue features and membership inequalities. The first one is an umbrella concept which includes codes about the process (i.e., formal vs. informal), about the actual process of decision-making (i.e., whether it was easy to reach consensus, if it required majoritarian positions or if it was not possible to reach a decision), and about the actions or non-actions of the leadership during the decision-making process.</w:t>
      </w:r>
    </w:p>
    <w:p w14:paraId="4B0F3699" w14:textId="77777777" w:rsidR="00AB55A6" w:rsidRPr="00AB55A6" w:rsidRDefault="00AB55A6" w:rsidP="00AB55A6">
      <w:pPr>
        <w:rPr>
          <w:rFonts w:ascii="Times New Roman" w:hAnsi="Times New Roman" w:cs="Times New Roman"/>
          <w:sz w:val="24"/>
          <w:szCs w:val="24"/>
          <w:lang w:val="en-US"/>
        </w:rPr>
      </w:pPr>
      <w:r w:rsidRPr="00AB55A6">
        <w:rPr>
          <w:rFonts w:ascii="Times New Roman" w:hAnsi="Times New Roman" w:cs="Times New Roman"/>
          <w:sz w:val="24"/>
          <w:szCs w:val="24"/>
          <w:lang w:val="en-US"/>
        </w:rPr>
        <w:t xml:space="preserve">The second concept, issue features, is focused on any mention to how the nature of the policy issue affected the membership of the group and thus their likelihood to participate. Following Smith’s (2000) categorization, we distinguish between particularistic, controversial and unifying policy issues.. The third sensitizing concept, membership inequalities, includes quotes that specifically refer to how the capacities of members (in terms of resources, staff, knowledge or expertise) affect their degree of involvement in policy position-taking. This sensitizing concept was further examined by distinguishing between groups that reported an heterogenous membership-base (in terms of resources) and those with a membership-based with similar resources (i.e., homogeneous membership-base). </w:t>
      </w:r>
    </w:p>
    <w:p w14:paraId="4618E4D1" w14:textId="0ACC86DE" w:rsidR="00AB55A6" w:rsidRDefault="00AB55A6" w:rsidP="00AB55A6">
      <w:pPr>
        <w:rPr>
          <w:rFonts w:ascii="Times New Roman" w:hAnsi="Times New Roman" w:cs="Times New Roman"/>
          <w:sz w:val="24"/>
          <w:szCs w:val="24"/>
          <w:lang w:val="en-US"/>
        </w:rPr>
      </w:pPr>
      <w:r w:rsidRPr="00AB55A6">
        <w:rPr>
          <w:rFonts w:ascii="Times New Roman" w:hAnsi="Times New Roman" w:cs="Times New Roman"/>
          <w:sz w:val="24"/>
          <w:szCs w:val="24"/>
          <w:lang w:val="en-US"/>
        </w:rPr>
        <w:t xml:space="preserve">Table A2 below summarizes the coding process: </w:t>
      </w:r>
    </w:p>
    <w:p w14:paraId="1DF61F62" w14:textId="77777777" w:rsidR="00AB55A6" w:rsidRPr="00AB55A6" w:rsidRDefault="00AB55A6" w:rsidP="00AB55A6">
      <w:pPr>
        <w:rPr>
          <w:rFonts w:ascii="Times New Roman" w:hAnsi="Times New Roman" w:cs="Times New Roman"/>
          <w:sz w:val="24"/>
          <w:szCs w:val="24"/>
          <w:lang w:val="en-US"/>
        </w:rPr>
      </w:pPr>
    </w:p>
    <w:tbl>
      <w:tblPr>
        <w:tblStyle w:val="TableGrid"/>
        <w:tblW w:w="8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665"/>
      </w:tblGrid>
      <w:tr w:rsidR="00AB55A6" w:rsidRPr="00AB55A6" w14:paraId="0F1D8C61" w14:textId="77777777" w:rsidTr="002B600F">
        <w:tc>
          <w:tcPr>
            <w:tcW w:w="8500" w:type="dxa"/>
            <w:gridSpan w:val="2"/>
            <w:tcBorders>
              <w:bottom w:val="double" w:sz="4" w:space="0" w:color="auto"/>
            </w:tcBorders>
          </w:tcPr>
          <w:p w14:paraId="440F041C" w14:textId="77777777" w:rsidR="00AB55A6" w:rsidRPr="00AB55A6" w:rsidRDefault="00AB55A6" w:rsidP="002B600F">
            <w:pPr>
              <w:rPr>
                <w:rFonts w:ascii="Times New Roman" w:hAnsi="Times New Roman" w:cs="Times New Roman"/>
                <w:b/>
                <w:bCs/>
                <w:sz w:val="24"/>
                <w:szCs w:val="24"/>
              </w:rPr>
            </w:pPr>
            <w:r w:rsidRPr="00AB55A6">
              <w:rPr>
                <w:rFonts w:ascii="Times New Roman" w:hAnsi="Times New Roman" w:cs="Times New Roman"/>
                <w:b/>
                <w:bCs/>
                <w:sz w:val="24"/>
                <w:szCs w:val="24"/>
              </w:rPr>
              <w:t>Table A2. Coding process</w:t>
            </w:r>
          </w:p>
        </w:tc>
      </w:tr>
      <w:tr w:rsidR="00AB55A6" w:rsidRPr="00AB55A6" w14:paraId="746BC543" w14:textId="77777777" w:rsidTr="002B600F">
        <w:tc>
          <w:tcPr>
            <w:tcW w:w="2835" w:type="dxa"/>
            <w:tcBorders>
              <w:top w:val="double" w:sz="4" w:space="0" w:color="auto"/>
              <w:bottom w:val="single" w:sz="4" w:space="0" w:color="auto"/>
            </w:tcBorders>
          </w:tcPr>
          <w:p w14:paraId="7B9F0F6B" w14:textId="77777777" w:rsidR="00AB55A6" w:rsidRPr="00AB55A6" w:rsidRDefault="00AB55A6" w:rsidP="002B600F">
            <w:pPr>
              <w:rPr>
                <w:rFonts w:ascii="Times New Roman" w:hAnsi="Times New Roman" w:cs="Times New Roman"/>
                <w:b/>
                <w:bCs/>
                <w:sz w:val="24"/>
                <w:szCs w:val="24"/>
              </w:rPr>
            </w:pPr>
            <w:r w:rsidRPr="00AB55A6">
              <w:rPr>
                <w:rFonts w:ascii="Times New Roman" w:hAnsi="Times New Roman" w:cs="Times New Roman"/>
                <w:b/>
                <w:bCs/>
                <w:sz w:val="24"/>
                <w:szCs w:val="24"/>
              </w:rPr>
              <w:t>Sensitizing concepts</w:t>
            </w:r>
          </w:p>
        </w:tc>
        <w:tc>
          <w:tcPr>
            <w:tcW w:w="5665" w:type="dxa"/>
            <w:tcBorders>
              <w:top w:val="double" w:sz="4" w:space="0" w:color="auto"/>
              <w:bottom w:val="single" w:sz="4" w:space="0" w:color="auto"/>
            </w:tcBorders>
          </w:tcPr>
          <w:p w14:paraId="201F8631" w14:textId="77777777" w:rsidR="00AB55A6" w:rsidRPr="00AB55A6" w:rsidRDefault="00AB55A6" w:rsidP="002B600F">
            <w:pPr>
              <w:rPr>
                <w:rFonts w:ascii="Times New Roman" w:hAnsi="Times New Roman" w:cs="Times New Roman"/>
                <w:b/>
                <w:bCs/>
                <w:sz w:val="24"/>
                <w:szCs w:val="24"/>
              </w:rPr>
            </w:pPr>
            <w:r w:rsidRPr="00AB55A6">
              <w:rPr>
                <w:rFonts w:ascii="Times New Roman" w:hAnsi="Times New Roman" w:cs="Times New Roman"/>
                <w:b/>
                <w:bCs/>
                <w:sz w:val="24"/>
                <w:szCs w:val="24"/>
              </w:rPr>
              <w:t>Codes</w:t>
            </w:r>
          </w:p>
        </w:tc>
      </w:tr>
      <w:tr w:rsidR="00AB55A6" w:rsidRPr="00AB55A6" w14:paraId="5E44322B" w14:textId="77777777" w:rsidTr="002B600F">
        <w:tc>
          <w:tcPr>
            <w:tcW w:w="2835" w:type="dxa"/>
            <w:vMerge w:val="restart"/>
            <w:tcBorders>
              <w:top w:val="single" w:sz="4" w:space="0" w:color="auto"/>
            </w:tcBorders>
            <w:vAlign w:val="center"/>
          </w:tcPr>
          <w:p w14:paraId="657B95C5" w14:textId="77777777" w:rsidR="00AB55A6" w:rsidRPr="00AB55A6" w:rsidRDefault="00AB55A6" w:rsidP="002B600F">
            <w:pPr>
              <w:rPr>
                <w:rFonts w:ascii="Times New Roman" w:hAnsi="Times New Roman" w:cs="Times New Roman"/>
                <w:sz w:val="24"/>
                <w:szCs w:val="24"/>
              </w:rPr>
            </w:pPr>
            <w:r w:rsidRPr="00AB55A6">
              <w:rPr>
                <w:rFonts w:ascii="Times New Roman" w:hAnsi="Times New Roman" w:cs="Times New Roman"/>
                <w:sz w:val="24"/>
                <w:szCs w:val="24"/>
              </w:rPr>
              <w:t>Member involvement in position-taking</w:t>
            </w:r>
          </w:p>
        </w:tc>
        <w:tc>
          <w:tcPr>
            <w:tcW w:w="5665" w:type="dxa"/>
            <w:tcBorders>
              <w:top w:val="single" w:sz="4" w:space="0" w:color="auto"/>
              <w:bottom w:val="dotted" w:sz="4" w:space="0" w:color="auto"/>
            </w:tcBorders>
          </w:tcPr>
          <w:p w14:paraId="512D9F46" w14:textId="77777777" w:rsidR="00AB55A6" w:rsidRPr="00AB55A6" w:rsidRDefault="00AB55A6" w:rsidP="002B600F">
            <w:pPr>
              <w:rPr>
                <w:rFonts w:ascii="Times New Roman" w:hAnsi="Times New Roman" w:cs="Times New Roman"/>
                <w:sz w:val="24"/>
                <w:szCs w:val="24"/>
              </w:rPr>
            </w:pPr>
            <w:r w:rsidRPr="00AB55A6">
              <w:rPr>
                <w:rFonts w:ascii="Times New Roman" w:hAnsi="Times New Roman" w:cs="Times New Roman"/>
                <w:sz w:val="24"/>
                <w:szCs w:val="24"/>
              </w:rPr>
              <w:t>Formal vs. informal processes</w:t>
            </w:r>
          </w:p>
        </w:tc>
      </w:tr>
      <w:tr w:rsidR="00AB55A6" w:rsidRPr="00AB55A6" w14:paraId="60FE97A1" w14:textId="77777777" w:rsidTr="002B600F">
        <w:tc>
          <w:tcPr>
            <w:tcW w:w="2835" w:type="dxa"/>
            <w:vMerge/>
            <w:vAlign w:val="center"/>
          </w:tcPr>
          <w:p w14:paraId="7945917B" w14:textId="77777777" w:rsidR="00AB55A6" w:rsidRPr="00AB55A6" w:rsidRDefault="00AB55A6" w:rsidP="002B600F">
            <w:pPr>
              <w:rPr>
                <w:rFonts w:ascii="Times New Roman" w:hAnsi="Times New Roman" w:cs="Times New Roman"/>
                <w:sz w:val="24"/>
                <w:szCs w:val="24"/>
              </w:rPr>
            </w:pPr>
          </w:p>
        </w:tc>
        <w:tc>
          <w:tcPr>
            <w:tcW w:w="5665" w:type="dxa"/>
            <w:tcBorders>
              <w:top w:val="dotted" w:sz="4" w:space="0" w:color="auto"/>
              <w:bottom w:val="dotted" w:sz="4" w:space="0" w:color="auto"/>
            </w:tcBorders>
          </w:tcPr>
          <w:p w14:paraId="7CEB112B" w14:textId="77777777" w:rsidR="00AB55A6" w:rsidRPr="00AB55A6" w:rsidRDefault="00AB55A6" w:rsidP="002B600F">
            <w:pPr>
              <w:rPr>
                <w:rFonts w:ascii="Times New Roman" w:hAnsi="Times New Roman" w:cs="Times New Roman"/>
                <w:sz w:val="24"/>
                <w:szCs w:val="24"/>
              </w:rPr>
            </w:pPr>
            <w:r w:rsidRPr="00AB55A6">
              <w:rPr>
                <w:rFonts w:ascii="Times New Roman" w:hAnsi="Times New Roman" w:cs="Times New Roman"/>
                <w:sz w:val="24"/>
                <w:szCs w:val="24"/>
              </w:rPr>
              <w:t>Final position: Unanimous / Majoritarian / No-position</w:t>
            </w:r>
          </w:p>
        </w:tc>
      </w:tr>
      <w:tr w:rsidR="00AB55A6" w:rsidRPr="00AB55A6" w14:paraId="24CC8426" w14:textId="77777777" w:rsidTr="002B600F">
        <w:tc>
          <w:tcPr>
            <w:tcW w:w="2835" w:type="dxa"/>
            <w:vMerge/>
            <w:tcBorders>
              <w:bottom w:val="single" w:sz="4" w:space="0" w:color="auto"/>
            </w:tcBorders>
            <w:vAlign w:val="center"/>
          </w:tcPr>
          <w:p w14:paraId="220BE2D1" w14:textId="77777777" w:rsidR="00AB55A6" w:rsidRPr="00AB55A6" w:rsidRDefault="00AB55A6" w:rsidP="002B600F">
            <w:pPr>
              <w:rPr>
                <w:rFonts w:ascii="Times New Roman" w:hAnsi="Times New Roman" w:cs="Times New Roman"/>
                <w:sz w:val="24"/>
                <w:szCs w:val="24"/>
              </w:rPr>
            </w:pPr>
          </w:p>
        </w:tc>
        <w:tc>
          <w:tcPr>
            <w:tcW w:w="5665" w:type="dxa"/>
            <w:tcBorders>
              <w:top w:val="dotted" w:sz="4" w:space="0" w:color="auto"/>
              <w:bottom w:val="single" w:sz="4" w:space="0" w:color="auto"/>
            </w:tcBorders>
          </w:tcPr>
          <w:p w14:paraId="3D0931E9" w14:textId="77777777" w:rsidR="00AB55A6" w:rsidRPr="00AB55A6" w:rsidRDefault="00AB55A6" w:rsidP="002B600F">
            <w:pPr>
              <w:rPr>
                <w:rFonts w:ascii="Times New Roman" w:hAnsi="Times New Roman" w:cs="Times New Roman"/>
                <w:sz w:val="24"/>
                <w:szCs w:val="24"/>
              </w:rPr>
            </w:pPr>
            <w:r w:rsidRPr="00AB55A6">
              <w:rPr>
                <w:rFonts w:ascii="Times New Roman" w:hAnsi="Times New Roman" w:cs="Times New Roman"/>
                <w:sz w:val="24"/>
                <w:szCs w:val="24"/>
              </w:rPr>
              <w:t>Leadership (in)actions</w:t>
            </w:r>
          </w:p>
        </w:tc>
      </w:tr>
      <w:tr w:rsidR="00AB55A6" w:rsidRPr="00AB55A6" w14:paraId="4DF92EEE" w14:textId="77777777" w:rsidTr="002B600F">
        <w:tc>
          <w:tcPr>
            <w:tcW w:w="2835" w:type="dxa"/>
            <w:vMerge w:val="restart"/>
            <w:tcBorders>
              <w:top w:val="single" w:sz="4" w:space="0" w:color="auto"/>
            </w:tcBorders>
            <w:vAlign w:val="center"/>
          </w:tcPr>
          <w:p w14:paraId="54F66ABD" w14:textId="77777777" w:rsidR="00AB55A6" w:rsidRPr="00AB55A6" w:rsidRDefault="00AB55A6" w:rsidP="002B600F">
            <w:pPr>
              <w:rPr>
                <w:rFonts w:ascii="Times New Roman" w:hAnsi="Times New Roman" w:cs="Times New Roman"/>
                <w:sz w:val="24"/>
                <w:szCs w:val="24"/>
              </w:rPr>
            </w:pPr>
            <w:r w:rsidRPr="00AB55A6">
              <w:rPr>
                <w:rFonts w:ascii="Times New Roman" w:hAnsi="Times New Roman" w:cs="Times New Roman"/>
                <w:sz w:val="24"/>
                <w:szCs w:val="24"/>
              </w:rPr>
              <w:t xml:space="preserve">Issue features </w:t>
            </w:r>
          </w:p>
        </w:tc>
        <w:tc>
          <w:tcPr>
            <w:tcW w:w="5665" w:type="dxa"/>
            <w:tcBorders>
              <w:top w:val="single" w:sz="4" w:space="0" w:color="auto"/>
              <w:bottom w:val="dotted" w:sz="4" w:space="0" w:color="auto"/>
            </w:tcBorders>
          </w:tcPr>
          <w:p w14:paraId="0C69B2B3" w14:textId="77777777" w:rsidR="00AB55A6" w:rsidRPr="00AB55A6" w:rsidRDefault="00AB55A6" w:rsidP="002B600F">
            <w:pPr>
              <w:rPr>
                <w:rFonts w:ascii="Times New Roman" w:hAnsi="Times New Roman" w:cs="Times New Roman"/>
                <w:sz w:val="24"/>
                <w:szCs w:val="24"/>
              </w:rPr>
            </w:pPr>
            <w:r w:rsidRPr="00AB55A6">
              <w:rPr>
                <w:rFonts w:ascii="Times New Roman" w:hAnsi="Times New Roman" w:cs="Times New Roman"/>
                <w:sz w:val="24"/>
                <w:szCs w:val="24"/>
              </w:rPr>
              <w:t>Particularistic issues</w:t>
            </w:r>
          </w:p>
        </w:tc>
      </w:tr>
      <w:tr w:rsidR="00AB55A6" w:rsidRPr="00AB55A6" w14:paraId="4B0061DC" w14:textId="77777777" w:rsidTr="002B600F">
        <w:tc>
          <w:tcPr>
            <w:tcW w:w="2835" w:type="dxa"/>
            <w:vMerge/>
            <w:tcBorders>
              <w:bottom w:val="single" w:sz="4" w:space="0" w:color="auto"/>
            </w:tcBorders>
            <w:vAlign w:val="center"/>
          </w:tcPr>
          <w:p w14:paraId="6B8A3940" w14:textId="77777777" w:rsidR="00AB55A6" w:rsidRPr="00AB55A6" w:rsidRDefault="00AB55A6" w:rsidP="002B600F">
            <w:pPr>
              <w:rPr>
                <w:rFonts w:ascii="Times New Roman" w:hAnsi="Times New Roman" w:cs="Times New Roman"/>
                <w:sz w:val="24"/>
                <w:szCs w:val="24"/>
              </w:rPr>
            </w:pPr>
          </w:p>
        </w:tc>
        <w:tc>
          <w:tcPr>
            <w:tcW w:w="5665" w:type="dxa"/>
            <w:tcBorders>
              <w:top w:val="dotted" w:sz="4" w:space="0" w:color="auto"/>
              <w:bottom w:val="single" w:sz="4" w:space="0" w:color="auto"/>
            </w:tcBorders>
          </w:tcPr>
          <w:p w14:paraId="30C32F75" w14:textId="77777777" w:rsidR="00AB55A6" w:rsidRPr="00AB55A6" w:rsidRDefault="00AB55A6" w:rsidP="002B600F">
            <w:pPr>
              <w:rPr>
                <w:rFonts w:ascii="Times New Roman" w:hAnsi="Times New Roman" w:cs="Times New Roman"/>
                <w:sz w:val="24"/>
                <w:szCs w:val="24"/>
              </w:rPr>
            </w:pPr>
            <w:r w:rsidRPr="00AB55A6">
              <w:rPr>
                <w:rFonts w:ascii="Times New Roman" w:hAnsi="Times New Roman" w:cs="Times New Roman"/>
                <w:sz w:val="24"/>
                <w:szCs w:val="24"/>
              </w:rPr>
              <w:t>Controversial issues</w:t>
            </w:r>
          </w:p>
        </w:tc>
      </w:tr>
      <w:tr w:rsidR="00AB55A6" w:rsidRPr="00AB55A6" w14:paraId="26E2D19A" w14:textId="77777777" w:rsidTr="002B600F">
        <w:tc>
          <w:tcPr>
            <w:tcW w:w="2835" w:type="dxa"/>
            <w:vMerge/>
            <w:tcBorders>
              <w:bottom w:val="single" w:sz="4" w:space="0" w:color="auto"/>
            </w:tcBorders>
            <w:vAlign w:val="center"/>
          </w:tcPr>
          <w:p w14:paraId="68B72443" w14:textId="77777777" w:rsidR="00AB55A6" w:rsidRPr="00AB55A6" w:rsidRDefault="00AB55A6" w:rsidP="002B600F">
            <w:pPr>
              <w:rPr>
                <w:rFonts w:ascii="Times New Roman" w:hAnsi="Times New Roman" w:cs="Times New Roman"/>
                <w:sz w:val="24"/>
                <w:szCs w:val="24"/>
              </w:rPr>
            </w:pPr>
          </w:p>
        </w:tc>
        <w:tc>
          <w:tcPr>
            <w:tcW w:w="5665" w:type="dxa"/>
            <w:tcBorders>
              <w:top w:val="dotted" w:sz="4" w:space="0" w:color="auto"/>
              <w:bottom w:val="single" w:sz="4" w:space="0" w:color="auto"/>
            </w:tcBorders>
          </w:tcPr>
          <w:p w14:paraId="54F71B65" w14:textId="77777777" w:rsidR="00AB55A6" w:rsidRPr="00AB55A6" w:rsidRDefault="00AB55A6" w:rsidP="002B600F">
            <w:pPr>
              <w:rPr>
                <w:rFonts w:ascii="Times New Roman" w:hAnsi="Times New Roman" w:cs="Times New Roman"/>
                <w:sz w:val="24"/>
                <w:szCs w:val="24"/>
              </w:rPr>
            </w:pPr>
            <w:r w:rsidRPr="00AB55A6">
              <w:rPr>
                <w:rFonts w:ascii="Times New Roman" w:hAnsi="Times New Roman" w:cs="Times New Roman"/>
                <w:sz w:val="24"/>
                <w:szCs w:val="24"/>
              </w:rPr>
              <w:t>Unifying issues</w:t>
            </w:r>
          </w:p>
        </w:tc>
      </w:tr>
      <w:tr w:rsidR="00AB55A6" w:rsidRPr="00AB55A6" w14:paraId="73DAD5AD" w14:textId="77777777" w:rsidTr="002B600F">
        <w:tc>
          <w:tcPr>
            <w:tcW w:w="2835" w:type="dxa"/>
            <w:vMerge w:val="restart"/>
            <w:tcBorders>
              <w:top w:val="single" w:sz="4" w:space="0" w:color="auto"/>
            </w:tcBorders>
            <w:vAlign w:val="center"/>
          </w:tcPr>
          <w:p w14:paraId="668FC79A" w14:textId="77777777" w:rsidR="00AB55A6" w:rsidRPr="00AB55A6" w:rsidRDefault="00AB55A6" w:rsidP="002B600F">
            <w:pPr>
              <w:rPr>
                <w:rFonts w:ascii="Times New Roman" w:hAnsi="Times New Roman" w:cs="Times New Roman"/>
                <w:sz w:val="24"/>
                <w:szCs w:val="24"/>
              </w:rPr>
            </w:pPr>
            <w:r w:rsidRPr="00AB55A6">
              <w:rPr>
                <w:rFonts w:ascii="Times New Roman" w:hAnsi="Times New Roman" w:cs="Times New Roman"/>
                <w:sz w:val="24"/>
                <w:szCs w:val="24"/>
              </w:rPr>
              <w:t>Membership inequalities</w:t>
            </w:r>
          </w:p>
        </w:tc>
        <w:tc>
          <w:tcPr>
            <w:tcW w:w="5665" w:type="dxa"/>
            <w:tcBorders>
              <w:top w:val="single" w:sz="4" w:space="0" w:color="auto"/>
              <w:bottom w:val="dotted" w:sz="4" w:space="0" w:color="auto"/>
            </w:tcBorders>
          </w:tcPr>
          <w:p w14:paraId="34E943CD" w14:textId="77777777" w:rsidR="00AB55A6" w:rsidRPr="00AB55A6" w:rsidRDefault="00AB55A6" w:rsidP="002B600F">
            <w:pPr>
              <w:rPr>
                <w:rFonts w:ascii="Times New Roman" w:hAnsi="Times New Roman" w:cs="Times New Roman"/>
                <w:sz w:val="24"/>
                <w:szCs w:val="24"/>
              </w:rPr>
            </w:pPr>
            <w:r w:rsidRPr="00AB55A6">
              <w:rPr>
                <w:rFonts w:ascii="Times New Roman" w:hAnsi="Times New Roman" w:cs="Times New Roman"/>
                <w:sz w:val="24"/>
                <w:szCs w:val="24"/>
              </w:rPr>
              <w:t>Homogenous membership-based</w:t>
            </w:r>
          </w:p>
        </w:tc>
      </w:tr>
      <w:tr w:rsidR="00AB55A6" w:rsidRPr="00AB55A6" w14:paraId="4C90350A" w14:textId="77777777" w:rsidTr="002B600F">
        <w:tc>
          <w:tcPr>
            <w:tcW w:w="2835" w:type="dxa"/>
            <w:vMerge/>
            <w:tcBorders>
              <w:bottom w:val="single" w:sz="4" w:space="0" w:color="auto"/>
            </w:tcBorders>
          </w:tcPr>
          <w:p w14:paraId="2D44559F" w14:textId="77777777" w:rsidR="00AB55A6" w:rsidRPr="00AB55A6" w:rsidRDefault="00AB55A6" w:rsidP="002B600F">
            <w:pPr>
              <w:rPr>
                <w:rFonts w:ascii="Times New Roman" w:hAnsi="Times New Roman" w:cs="Times New Roman"/>
                <w:sz w:val="24"/>
                <w:szCs w:val="24"/>
              </w:rPr>
            </w:pPr>
          </w:p>
        </w:tc>
        <w:tc>
          <w:tcPr>
            <w:tcW w:w="5665" w:type="dxa"/>
            <w:tcBorders>
              <w:top w:val="dotted" w:sz="4" w:space="0" w:color="auto"/>
              <w:bottom w:val="single" w:sz="4" w:space="0" w:color="auto"/>
            </w:tcBorders>
          </w:tcPr>
          <w:p w14:paraId="31956D55" w14:textId="77777777" w:rsidR="00AB55A6" w:rsidRPr="00AB55A6" w:rsidRDefault="00AB55A6" w:rsidP="002B600F">
            <w:pPr>
              <w:rPr>
                <w:rFonts w:ascii="Times New Roman" w:hAnsi="Times New Roman" w:cs="Times New Roman"/>
                <w:sz w:val="24"/>
                <w:szCs w:val="24"/>
              </w:rPr>
            </w:pPr>
            <w:r w:rsidRPr="00AB55A6">
              <w:rPr>
                <w:rFonts w:ascii="Times New Roman" w:hAnsi="Times New Roman" w:cs="Times New Roman"/>
                <w:sz w:val="24"/>
                <w:szCs w:val="24"/>
              </w:rPr>
              <w:t>Heterogenous membership-base</w:t>
            </w:r>
          </w:p>
        </w:tc>
      </w:tr>
    </w:tbl>
    <w:p w14:paraId="534F8E55" w14:textId="77777777" w:rsidR="00AB55A6" w:rsidRPr="00AB55A6" w:rsidRDefault="00AB55A6" w:rsidP="00AB55A6">
      <w:pPr>
        <w:rPr>
          <w:rFonts w:ascii="Times New Roman" w:hAnsi="Times New Roman" w:cs="Times New Roman"/>
          <w:sz w:val="24"/>
          <w:szCs w:val="24"/>
          <w:lang w:val="en-US"/>
        </w:rPr>
      </w:pPr>
    </w:p>
    <w:p w14:paraId="59F6FADC" w14:textId="77777777" w:rsidR="00AB55A6" w:rsidRPr="00AB55A6" w:rsidRDefault="00AB55A6">
      <w:pPr>
        <w:rPr>
          <w:rFonts w:ascii="Times New Roman" w:hAnsi="Times New Roman" w:cs="Times New Roman"/>
          <w:sz w:val="24"/>
          <w:szCs w:val="24"/>
          <w:lang w:val="en-US"/>
        </w:rPr>
      </w:pPr>
    </w:p>
    <w:sectPr w:rsidR="00AB55A6" w:rsidRPr="00AB55A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E96A3" w14:textId="77777777" w:rsidR="00AB55A6" w:rsidRDefault="00AB55A6" w:rsidP="00AB55A6">
      <w:pPr>
        <w:spacing w:after="0" w:line="240" w:lineRule="auto"/>
      </w:pPr>
      <w:r>
        <w:separator/>
      </w:r>
    </w:p>
  </w:endnote>
  <w:endnote w:type="continuationSeparator" w:id="0">
    <w:p w14:paraId="74F8B52D" w14:textId="77777777" w:rsidR="00AB55A6" w:rsidRDefault="00AB55A6" w:rsidP="00AB5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300504375"/>
      <w:docPartObj>
        <w:docPartGallery w:val="Page Numbers (Bottom of Page)"/>
        <w:docPartUnique/>
      </w:docPartObj>
    </w:sdtPr>
    <w:sdtEndPr>
      <w:rPr>
        <w:noProof/>
      </w:rPr>
    </w:sdtEndPr>
    <w:sdtContent>
      <w:p w14:paraId="6452308B" w14:textId="11167CE8" w:rsidR="00AB55A6" w:rsidRPr="00AB55A6" w:rsidRDefault="00AB55A6">
        <w:pPr>
          <w:pStyle w:val="Footer"/>
          <w:jc w:val="center"/>
          <w:rPr>
            <w:rFonts w:ascii="Times New Roman" w:hAnsi="Times New Roman" w:cs="Times New Roman"/>
            <w:sz w:val="20"/>
            <w:szCs w:val="20"/>
          </w:rPr>
        </w:pPr>
        <w:r w:rsidRPr="00AB55A6">
          <w:rPr>
            <w:rFonts w:ascii="Times New Roman" w:hAnsi="Times New Roman" w:cs="Times New Roman"/>
            <w:sz w:val="20"/>
            <w:szCs w:val="20"/>
          </w:rPr>
          <w:fldChar w:fldCharType="begin"/>
        </w:r>
        <w:r w:rsidRPr="00AB55A6">
          <w:rPr>
            <w:rFonts w:ascii="Times New Roman" w:hAnsi="Times New Roman" w:cs="Times New Roman"/>
            <w:sz w:val="20"/>
            <w:szCs w:val="20"/>
          </w:rPr>
          <w:instrText xml:space="preserve"> PAGE   \* MERGEFORMAT </w:instrText>
        </w:r>
        <w:r w:rsidRPr="00AB55A6">
          <w:rPr>
            <w:rFonts w:ascii="Times New Roman" w:hAnsi="Times New Roman" w:cs="Times New Roman"/>
            <w:sz w:val="20"/>
            <w:szCs w:val="20"/>
          </w:rPr>
          <w:fldChar w:fldCharType="separate"/>
        </w:r>
        <w:r w:rsidRPr="00AB55A6">
          <w:rPr>
            <w:rFonts w:ascii="Times New Roman" w:hAnsi="Times New Roman" w:cs="Times New Roman"/>
            <w:noProof/>
            <w:sz w:val="20"/>
            <w:szCs w:val="20"/>
          </w:rPr>
          <w:t>2</w:t>
        </w:r>
        <w:r w:rsidRPr="00AB55A6">
          <w:rPr>
            <w:rFonts w:ascii="Times New Roman" w:hAnsi="Times New Roman" w:cs="Times New Roman"/>
            <w:noProof/>
            <w:sz w:val="20"/>
            <w:szCs w:val="20"/>
          </w:rPr>
          <w:fldChar w:fldCharType="end"/>
        </w:r>
      </w:p>
    </w:sdtContent>
  </w:sdt>
  <w:p w14:paraId="5F9561BE" w14:textId="77777777" w:rsidR="00AB55A6" w:rsidRDefault="00AB5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BC2EC" w14:textId="77777777" w:rsidR="00AB55A6" w:rsidRDefault="00AB55A6" w:rsidP="00AB55A6">
      <w:pPr>
        <w:spacing w:after="0" w:line="240" w:lineRule="auto"/>
      </w:pPr>
      <w:r>
        <w:separator/>
      </w:r>
    </w:p>
  </w:footnote>
  <w:footnote w:type="continuationSeparator" w:id="0">
    <w:p w14:paraId="12ECEA5C" w14:textId="77777777" w:rsidR="00AB55A6" w:rsidRDefault="00AB55A6" w:rsidP="00AB55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45D2D"/>
    <w:multiLevelType w:val="hybridMultilevel"/>
    <w:tmpl w:val="C7EC3530"/>
    <w:lvl w:ilvl="0" w:tplc="F35A844A">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3019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5A6"/>
    <w:rsid w:val="007C2DBB"/>
    <w:rsid w:val="00AB55A6"/>
    <w:rsid w:val="00CA37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2F721"/>
  <w15:chartTrackingRefBased/>
  <w15:docId w15:val="{190519CB-73E4-44E8-BAB5-EF76C7CC3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55A6"/>
    <w:pPr>
      <w:keepNext/>
      <w:keepLines/>
      <w:spacing w:before="360" w:after="120" w:line="480" w:lineRule="auto"/>
      <w:outlineLvl w:val="0"/>
    </w:pPr>
    <w:rPr>
      <w:rFonts w:ascii="Times New Roman" w:eastAsiaTheme="majorEastAsia" w:hAnsi="Times New Roman" w:cstheme="majorBidi"/>
      <w:b/>
      <w:kern w:val="0"/>
      <w:sz w:val="24"/>
      <w:szCs w:val="3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55A6"/>
    <w:rPr>
      <w:rFonts w:ascii="Times New Roman" w:eastAsiaTheme="majorEastAsia" w:hAnsi="Times New Roman" w:cstheme="majorBidi"/>
      <w:b/>
      <w:kern w:val="0"/>
      <w:sz w:val="24"/>
      <w:szCs w:val="32"/>
      <w:lang w:val="en-US"/>
      <w14:ligatures w14:val="none"/>
    </w:rPr>
  </w:style>
  <w:style w:type="table" w:styleId="TableGrid">
    <w:name w:val="Table Grid"/>
    <w:basedOn w:val="TableNormal"/>
    <w:uiPriority w:val="39"/>
    <w:rsid w:val="00AB55A6"/>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55A6"/>
    <w:pPr>
      <w:spacing w:line="480" w:lineRule="auto"/>
      <w:ind w:left="720"/>
      <w:contextualSpacing/>
    </w:pPr>
    <w:rPr>
      <w:rFonts w:ascii="Times New Roman" w:hAnsi="Times New Roman"/>
      <w:kern w:val="0"/>
      <w:sz w:val="24"/>
      <w:lang w:val="en-US"/>
      <w14:ligatures w14:val="none"/>
    </w:rPr>
  </w:style>
  <w:style w:type="paragraph" w:styleId="Header">
    <w:name w:val="header"/>
    <w:basedOn w:val="Normal"/>
    <w:link w:val="HeaderChar"/>
    <w:uiPriority w:val="99"/>
    <w:unhideWhenUsed/>
    <w:rsid w:val="00AB55A6"/>
    <w:pPr>
      <w:tabs>
        <w:tab w:val="center" w:pos="4252"/>
        <w:tab w:val="right" w:pos="8504"/>
      </w:tabs>
      <w:spacing w:after="0" w:line="240" w:lineRule="auto"/>
    </w:pPr>
  </w:style>
  <w:style w:type="character" w:customStyle="1" w:styleId="HeaderChar">
    <w:name w:val="Header Char"/>
    <w:basedOn w:val="DefaultParagraphFont"/>
    <w:link w:val="Header"/>
    <w:uiPriority w:val="99"/>
    <w:rsid w:val="00AB55A6"/>
  </w:style>
  <w:style w:type="paragraph" w:styleId="Footer">
    <w:name w:val="footer"/>
    <w:basedOn w:val="Normal"/>
    <w:link w:val="FooterChar"/>
    <w:uiPriority w:val="99"/>
    <w:unhideWhenUsed/>
    <w:rsid w:val="00AB55A6"/>
    <w:pPr>
      <w:tabs>
        <w:tab w:val="center" w:pos="4252"/>
        <w:tab w:val="right" w:pos="8504"/>
      </w:tabs>
      <w:spacing w:after="0" w:line="240" w:lineRule="auto"/>
    </w:pPr>
  </w:style>
  <w:style w:type="character" w:customStyle="1" w:styleId="FooterChar">
    <w:name w:val="Footer Char"/>
    <w:basedOn w:val="DefaultParagraphFont"/>
    <w:link w:val="Footer"/>
    <w:uiPriority w:val="99"/>
    <w:rsid w:val="00AB5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963</Words>
  <Characters>5298</Characters>
  <Application>Microsoft Office Word</Application>
  <DocSecurity>0</DocSecurity>
  <Lines>44</Lines>
  <Paragraphs>12</Paragraphs>
  <ScaleCrop>false</ScaleCrop>
  <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 Albareda Sanz</dc:creator>
  <cp:keywords/>
  <dc:description/>
  <cp:lastModifiedBy>Adria Albareda Sanz</cp:lastModifiedBy>
  <cp:revision>1</cp:revision>
  <dcterms:created xsi:type="dcterms:W3CDTF">2023-07-06T14:14:00Z</dcterms:created>
  <dcterms:modified xsi:type="dcterms:W3CDTF">2023-07-06T14:16:00Z</dcterms:modified>
</cp:coreProperties>
</file>