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C9241" w14:textId="77777777" w:rsidR="00676183" w:rsidRPr="00A72E4D" w:rsidRDefault="00676183" w:rsidP="00676183">
      <w:pPr>
        <w:spacing w:line="480" w:lineRule="auto"/>
        <w:rPr>
          <w:b/>
        </w:rPr>
      </w:pPr>
      <w:r>
        <w:t>Supplemental Table A</w:t>
      </w:r>
      <w:r w:rsidRPr="00C549EB">
        <w:t>.</w:t>
      </w:r>
      <w:r w:rsidRPr="00A72E4D">
        <w:rPr>
          <w:b/>
        </w:rPr>
        <w:t xml:space="preserve"> </w:t>
      </w:r>
      <w:r w:rsidRPr="00C549EB">
        <w:rPr>
          <w:i/>
        </w:rPr>
        <w:t>Logi</w:t>
      </w:r>
      <w:r>
        <w:rPr>
          <w:i/>
        </w:rPr>
        <w:t>stic</w:t>
      </w:r>
      <w:r w:rsidRPr="00C549EB">
        <w:rPr>
          <w:i/>
        </w:rPr>
        <w:t xml:space="preserve"> multivariate model predicting the probability of having a proxy interview among Mexicans in Mexico aged 50 years and older who at some point returned from the U.S.</w:t>
      </w:r>
    </w:p>
    <w:tbl>
      <w:tblPr>
        <w:tblW w:w="8190" w:type="dxa"/>
        <w:tblLayout w:type="fixed"/>
        <w:tblLook w:val="0000" w:firstRow="0" w:lastRow="0" w:firstColumn="0" w:lastColumn="0" w:noHBand="0" w:noVBand="0"/>
      </w:tblPr>
      <w:tblGrid>
        <w:gridCol w:w="4680"/>
        <w:gridCol w:w="1350"/>
        <w:gridCol w:w="2160"/>
      </w:tblGrid>
      <w:tr w:rsidR="00676183" w:rsidRPr="00A72E4D" w14:paraId="5CB350A7" w14:textId="77777777" w:rsidTr="00702918"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3A68C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92806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E4D">
              <w:t>O</w:t>
            </w:r>
            <w:r>
              <w:t>dds ratio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11584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2E4D">
              <w:t>[95% Conf. Interval]</w:t>
            </w:r>
          </w:p>
        </w:tc>
      </w:tr>
      <w:tr w:rsidR="00676183" w:rsidRPr="00A72E4D" w14:paraId="784515DD" w14:textId="77777777" w:rsidTr="00702918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A0AF4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t>In</w:t>
            </w:r>
            <w:r w:rsidRPr="00A72E4D">
              <w:t xml:space="preserve"> </w:t>
            </w:r>
            <w:proofErr w:type="gramStart"/>
            <w:r w:rsidRPr="00A72E4D">
              <w:t>U.S.</w:t>
            </w:r>
            <w:r>
              <w:t>A.</w:t>
            </w:r>
            <w:proofErr w:type="gramEnd"/>
            <w:r w:rsidRPr="00A72E4D">
              <w:t xml:space="preserve"> at least 10 years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32F3E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1.02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8605A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[0.54,1.95]</w:t>
            </w:r>
          </w:p>
        </w:tc>
      </w:tr>
      <w:tr w:rsidR="00676183" w:rsidRPr="00A72E4D" w14:paraId="2A04FA72" w14:textId="77777777" w:rsidTr="0070291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D64AFD5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A72E4D">
              <w:t>Current age (natural log)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BA2B42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2.56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1A7B9D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[0.35,18.76]</w:t>
            </w:r>
          </w:p>
        </w:tc>
      </w:tr>
      <w:tr w:rsidR="00676183" w:rsidRPr="00A72E4D" w14:paraId="3A99C579" w14:textId="77777777" w:rsidTr="0070291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C08BB0A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A72E4D">
              <w:t xml:space="preserve">No. </w:t>
            </w:r>
            <w:r>
              <w:t xml:space="preserve">of </w:t>
            </w:r>
            <w:r w:rsidRPr="00A72E4D">
              <w:t>living children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FC2E06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7E6949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[0.96,1.12]</w:t>
            </w:r>
          </w:p>
        </w:tc>
      </w:tr>
      <w:tr w:rsidR="00676183" w:rsidRPr="00A72E4D" w14:paraId="2798758A" w14:textId="77777777" w:rsidTr="00702918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8399663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A72E4D">
              <w:t>U.S. citizen/Legal Permanent Resident (LPR)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4B2F3B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5FA70D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183" w:rsidRPr="00A72E4D" w14:paraId="52F2244C" w14:textId="77777777" w:rsidTr="0070291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EE2047A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72E4D">
              <w:t>Not U.S. citizen/LPR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D291E3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0.35***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339BF1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[0.19,0.63]</w:t>
            </w:r>
          </w:p>
        </w:tc>
      </w:tr>
      <w:tr w:rsidR="00676183" w:rsidRPr="00A72E4D" w14:paraId="69133971" w14:textId="77777777" w:rsidTr="0070291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E6756D8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A72E4D">
              <w:t>Missing citizen/LPR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7B7123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0.31**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B02F4C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[0.13,0.72]</w:t>
            </w:r>
          </w:p>
        </w:tc>
      </w:tr>
      <w:tr w:rsidR="00676183" w:rsidRPr="00A72E4D" w14:paraId="4B74FB4D" w14:textId="77777777" w:rsidTr="00702918"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218FA528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A72E4D">
              <w:t>Completed elementary school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1EBFA1BC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1.12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38AC7799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[0.55,2.28]</w:t>
            </w:r>
          </w:p>
        </w:tc>
      </w:tr>
      <w:tr w:rsidR="00676183" w:rsidRPr="00A72E4D" w14:paraId="7CA4D0E3" w14:textId="77777777" w:rsidTr="0070291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9A731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A72E4D">
              <w:t>Sex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FE40E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0.56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CE473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[0.31,1.03]</w:t>
            </w:r>
          </w:p>
        </w:tc>
      </w:tr>
      <w:tr w:rsidR="00676183" w:rsidRPr="00A72E4D" w14:paraId="045FFAED" w14:textId="77777777" w:rsidTr="00702918"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E8EBF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A72E4D">
              <w:t xml:space="preserve">Unweighted </w:t>
            </w:r>
            <w:r w:rsidRPr="00A72E4D">
              <w:rPr>
                <w:i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72003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1,243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3D8C6" w14:textId="77777777" w:rsidR="00676183" w:rsidRPr="00A72E4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712A0526" w14:textId="77777777" w:rsidR="00676183" w:rsidRPr="00CC5C77" w:rsidRDefault="00676183" w:rsidP="00676183">
      <w:pPr>
        <w:widowControl w:val="0"/>
        <w:autoSpaceDE w:val="0"/>
        <w:autoSpaceDN w:val="0"/>
        <w:adjustRightInd w:val="0"/>
        <w:spacing w:line="480" w:lineRule="auto"/>
      </w:pPr>
      <w:r w:rsidRPr="00CC5C77">
        <w:t>* p&lt;0.05, ** p&lt;0.01, *** p&lt;0.001</w:t>
      </w:r>
    </w:p>
    <w:p w14:paraId="741485B4" w14:textId="77777777" w:rsidR="00676183" w:rsidRPr="007C2EB6" w:rsidRDefault="00676183" w:rsidP="00676183">
      <w:pPr>
        <w:widowControl w:val="0"/>
        <w:autoSpaceDE w:val="0"/>
        <w:autoSpaceDN w:val="0"/>
        <w:adjustRightInd w:val="0"/>
        <w:spacing w:line="480" w:lineRule="auto"/>
      </w:pPr>
      <w:r w:rsidRPr="00CC5C77">
        <w:rPr>
          <w:i/>
        </w:rPr>
        <w:t xml:space="preserve">Source: </w:t>
      </w:r>
      <w:r w:rsidRPr="00CC5C77">
        <w:t>Authors’ calculations using the 2012 Mexican Health and Aging Study (MHAS).  Estimated weighted using MHAS-provided sampling weights.  Standard errors are clustered at the household level. Only variables from questions asked of proxy respondents are included in the model. The model includes the non-imputed version of citizenship status.</w:t>
      </w:r>
      <w:r>
        <w:t xml:space="preserve"> </w:t>
      </w:r>
      <w:r>
        <w:rPr>
          <w:rStyle w:val="s1"/>
        </w:rPr>
        <w:t>This table includes 1,126 adults aged 50 years and older with U.S. migration experience who did not have proxy interviews</w:t>
      </w:r>
      <w:r w:rsidRPr="00A01191">
        <w:rPr>
          <w:rStyle w:val="s1"/>
        </w:rPr>
        <w:t xml:space="preserve"> and 143</w:t>
      </w:r>
      <w:r w:rsidRPr="009203E1">
        <w:rPr>
          <w:rStyle w:val="s1"/>
        </w:rPr>
        <w:t xml:space="preserve"> proxy respondents</w:t>
      </w:r>
      <w:r>
        <w:rPr>
          <w:rStyle w:val="s1"/>
        </w:rPr>
        <w:t xml:space="preserve"> who were not asked about migration experiences in the U.S. and for this reason, were not included in the final sample. </w:t>
      </w:r>
    </w:p>
    <w:p w14:paraId="525A30D1" w14:textId="77777777" w:rsidR="00676183" w:rsidRPr="00A72E4D" w:rsidRDefault="00676183" w:rsidP="00676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A72E4D">
        <w:rPr>
          <w:rFonts w:ascii="Times New Roman" w:hAnsi="Times New Roman" w:cs="Times New Roman"/>
          <w:sz w:val="22"/>
        </w:rPr>
        <w:br w:type="page"/>
      </w:r>
    </w:p>
    <w:p w14:paraId="690FA774" w14:textId="77777777" w:rsidR="00676183" w:rsidRPr="009A2F5D" w:rsidRDefault="00676183" w:rsidP="00676183">
      <w:pPr>
        <w:spacing w:line="480" w:lineRule="auto"/>
        <w:rPr>
          <w:sz w:val="22"/>
          <w:lang w:val="en-GB"/>
        </w:rPr>
      </w:pPr>
      <w:r>
        <w:lastRenderedPageBreak/>
        <w:t>Supplemental Table B</w:t>
      </w:r>
      <w:r w:rsidRPr="00C549EB">
        <w:t>.</w:t>
      </w:r>
      <w:r w:rsidRPr="00E46598">
        <w:rPr>
          <w:b/>
        </w:rPr>
        <w:t xml:space="preserve"> </w:t>
      </w:r>
      <w:r w:rsidRPr="00C549EB">
        <w:rPr>
          <w:i/>
        </w:rPr>
        <w:t>Logi</w:t>
      </w:r>
      <w:r>
        <w:rPr>
          <w:i/>
        </w:rPr>
        <w:t>stic</w:t>
      </w:r>
      <w:r w:rsidRPr="00C549EB">
        <w:rPr>
          <w:i/>
        </w:rPr>
        <w:t xml:space="preserve"> multivariate model predicting the probability of being a U.S. citizen/legal permanent resident among Mexicans in Mexico aged 50 years and older who at some point returned from the U.S.</w:t>
      </w:r>
    </w:p>
    <w:tbl>
      <w:tblPr>
        <w:tblW w:w="8186" w:type="dxa"/>
        <w:jc w:val="center"/>
        <w:tblLayout w:type="fixed"/>
        <w:tblLook w:val="0000" w:firstRow="0" w:lastRow="0" w:firstColumn="0" w:lastColumn="0" w:noHBand="0" w:noVBand="0"/>
      </w:tblPr>
      <w:tblGrid>
        <w:gridCol w:w="4568"/>
        <w:gridCol w:w="1278"/>
        <w:gridCol w:w="2340"/>
      </w:tblGrid>
      <w:tr w:rsidR="00676183" w:rsidRPr="003951BD" w14:paraId="72419346" w14:textId="77777777" w:rsidTr="00702918">
        <w:trPr>
          <w:jc w:val="center"/>
        </w:trPr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7EBB4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A14B6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51BD">
              <w:t>O</w:t>
            </w:r>
            <w:r>
              <w:t>dds ratio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94610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t>[95% Conf. Interval]</w:t>
            </w:r>
          </w:p>
        </w:tc>
      </w:tr>
      <w:tr w:rsidR="00676183" w:rsidRPr="003951BD" w14:paraId="4495F6EF" w14:textId="77777777" w:rsidTr="00702918">
        <w:trPr>
          <w:jc w:val="center"/>
        </w:trPr>
        <w:tc>
          <w:tcPr>
            <w:tcW w:w="4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BDEDD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Rec</w:t>
            </w:r>
            <w:r>
              <w:t>eive or expect to receive U.S. Social S</w:t>
            </w:r>
            <w:r w:rsidRPr="003951BD">
              <w:t>ecurity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196A2" w14:textId="77777777" w:rsidR="00676183" w:rsidRPr="00DC00CA" w:rsidRDefault="00676183" w:rsidP="00702918">
            <w:pPr>
              <w:rPr>
                <w:color w:val="000000"/>
              </w:rPr>
            </w:pPr>
            <w:r>
              <w:rPr>
                <w:rFonts w:eastAsia="Times New Roman"/>
              </w:rPr>
              <w:t>48.04***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C903B" w14:textId="77777777" w:rsidR="00676183" w:rsidRPr="00DC00CA" w:rsidRDefault="00676183" w:rsidP="0070291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[12.96,178.05]</w:t>
            </w:r>
          </w:p>
        </w:tc>
      </w:tr>
      <w:tr w:rsidR="00676183" w:rsidRPr="003951BD" w14:paraId="425A69ED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482EFDF3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La</w:t>
            </w:r>
            <w:r>
              <w:t>st returned from U.S. at age 50 and older</w:t>
            </w:r>
            <w:r w:rsidRPr="00D25ECB"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4DD125EC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2.50**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A8B5FC" w14:textId="77777777" w:rsidR="00676183" w:rsidRPr="00F61F6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[1.28,4.88]</w:t>
            </w:r>
          </w:p>
        </w:tc>
      </w:tr>
      <w:tr w:rsidR="00676183" w:rsidRPr="003951BD" w14:paraId="6E03118C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219E79CC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Years in the U.S.</w:t>
            </w:r>
            <w:r>
              <w:t>A.</w:t>
            </w:r>
            <w:r w:rsidRPr="00D25ECB">
              <w:t xml:space="preserve"> (ref: &lt;10</w:t>
            </w:r>
            <w:r w:rsidRPr="003951BD"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7B352A3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7614A7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183" w:rsidRPr="003951BD" w14:paraId="1726FC5E" w14:textId="77777777" w:rsidTr="00702918">
        <w:trPr>
          <w:trHeight w:val="288"/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06C5219F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25ECB">
              <w:t xml:space="preserve">10-19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3A78AAE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1.37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801EB5" w14:textId="77777777" w:rsidR="00676183" w:rsidRPr="00F61F6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[0.57,3.27]</w:t>
            </w:r>
          </w:p>
        </w:tc>
      </w:tr>
      <w:tr w:rsidR="00676183" w:rsidRPr="003951BD" w14:paraId="1B4A0F7D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4DAC6A3B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D25ECB">
              <w:t>20+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A74293B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12.11***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5EA76F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[2.89,50.74]</w:t>
            </w:r>
          </w:p>
        </w:tc>
      </w:tr>
      <w:tr w:rsidR="00676183" w:rsidRPr="003951BD" w14:paraId="79566C76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0340F0CD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Current age (natural log)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6D629966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69.95***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AA3CF58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[5.92,826.72]</w:t>
            </w:r>
          </w:p>
        </w:tc>
      </w:tr>
      <w:tr w:rsidR="00676183" w:rsidRPr="003951BD" w14:paraId="34BD0578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038BD0B3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Completed elementary school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5D210CF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0.76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DBAE5E" w14:textId="77777777" w:rsidR="00676183" w:rsidRPr="00AC0170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[0.34,1.68]</w:t>
            </w:r>
          </w:p>
        </w:tc>
      </w:tr>
      <w:tr w:rsidR="00676183" w:rsidRPr="003951BD" w14:paraId="027BFF1C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5287A4B5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 xml:space="preserve">Married last </w:t>
            </w:r>
            <w:r w:rsidRPr="003951BD">
              <w:t>returned from U.S.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8C6A4F9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2.60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7B3A98B" w14:textId="77777777" w:rsidR="00676183" w:rsidRPr="00040A41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[0.89,7.56]</w:t>
            </w:r>
          </w:p>
        </w:tc>
      </w:tr>
      <w:tr w:rsidR="00676183" w:rsidRPr="003951BD" w14:paraId="3EF70494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69F67ED4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No. living children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06C8AEC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0.97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F1A4C89" w14:textId="77777777" w:rsidR="00676183" w:rsidRPr="00040A41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[0.87,1.08]</w:t>
            </w:r>
          </w:p>
        </w:tc>
      </w:tr>
      <w:tr w:rsidR="00676183" w:rsidRPr="003951BD" w14:paraId="71F15C72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25776F51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Speaks English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1F65030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3.77**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16F3282" w14:textId="77777777" w:rsidR="00676183" w:rsidRPr="00040A41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[1.51,9.37]</w:t>
            </w:r>
          </w:p>
        </w:tc>
      </w:tr>
      <w:tr w:rsidR="00676183" w:rsidRPr="003951BD" w14:paraId="5CF83619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53747C98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Reason retu</w:t>
            </w:r>
            <w:r>
              <w:t xml:space="preserve">rned (ref: </w:t>
            </w:r>
            <w:r w:rsidRPr="00D25ECB">
              <w:t>Illness</w:t>
            </w:r>
            <w: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6DCC4BC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744141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183" w:rsidRPr="003951BD" w14:paraId="1E644FAC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394054F8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  <w:ind w:firstLine="630"/>
            </w:pPr>
            <w:r>
              <w:t>Economic reasons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408798B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2.58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42BC655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[0.49,13.50]</w:t>
            </w:r>
          </w:p>
        </w:tc>
      </w:tr>
      <w:tr w:rsidR="00676183" w:rsidRPr="003951BD" w14:paraId="3FF70FAB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09513415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  <w:ind w:firstLine="630"/>
            </w:pPr>
            <w:r w:rsidRPr="00D25ECB">
              <w:t>M</w:t>
            </w:r>
            <w:r>
              <w:t>issed family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0B47BEC2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2.19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6DC3A2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[0.52,9.14]</w:t>
            </w:r>
          </w:p>
        </w:tc>
      </w:tr>
      <w:tr w:rsidR="00676183" w:rsidRPr="003951BD" w14:paraId="6649F347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0420E998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ind w:firstLine="630"/>
            </w:pPr>
            <w:r>
              <w:t>Family problems in 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DAE10DB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0.52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C99AF2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[0.07,4.03]</w:t>
            </w:r>
          </w:p>
        </w:tc>
      </w:tr>
      <w:tr w:rsidR="00676183" w:rsidRPr="003951BD" w14:paraId="0902220D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3E06E1EE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ind w:firstLine="630"/>
            </w:pPr>
            <w:r>
              <w:t>Migration problems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91639F5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0.09*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BA4551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[0.01,0.66]</w:t>
            </w:r>
          </w:p>
        </w:tc>
      </w:tr>
      <w:tr w:rsidR="00676183" w:rsidRPr="003951BD" w14:paraId="6F1D69A0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31E0F63C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ind w:firstLine="630"/>
            </w:pPr>
            <w:r>
              <w:t>Difficult to be in U.S.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1E532767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2.35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1B5875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[0.50,11.03]</w:t>
            </w:r>
          </w:p>
        </w:tc>
      </w:tr>
      <w:tr w:rsidR="00676183" w:rsidRPr="003951BD" w14:paraId="1762D1EA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566A1955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ind w:firstLine="630"/>
            </w:pPr>
            <w:r>
              <w:t>Other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F5AB59C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0.86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F5F273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[0.21,3.47]</w:t>
            </w:r>
          </w:p>
        </w:tc>
      </w:tr>
      <w:tr w:rsidR="00676183" w:rsidRPr="003951BD" w14:paraId="547E619A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451BB0F6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Male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26094A0" w14:textId="77777777" w:rsidR="00676183" w:rsidRPr="00DC00CA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0.29***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328DFF" w14:textId="77777777" w:rsidR="00676183" w:rsidRPr="00040A41" w:rsidRDefault="00676183" w:rsidP="0070291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Times New Roman"/>
              </w:rPr>
              <w:t>[0.15,0.56]</w:t>
            </w:r>
          </w:p>
        </w:tc>
      </w:tr>
      <w:tr w:rsidR="00676183" w:rsidRPr="003951BD" w14:paraId="1D8D461E" w14:textId="77777777" w:rsidTr="00702918">
        <w:trPr>
          <w:jc w:val="center"/>
        </w:trPr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3355A" w14:textId="77777777" w:rsidR="00676183" w:rsidRPr="003951BD" w:rsidRDefault="00676183" w:rsidP="00702918">
            <w:pPr>
              <w:widowControl w:val="0"/>
              <w:autoSpaceDE w:val="0"/>
              <w:autoSpaceDN w:val="0"/>
              <w:adjustRightInd w:val="0"/>
            </w:pPr>
            <w:r w:rsidRPr="00D25ECB">
              <w:t>Observations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28075" w14:textId="77777777" w:rsidR="00676183" w:rsidRPr="00C21DFE" w:rsidRDefault="00676183" w:rsidP="00702918">
            <w:pPr>
              <w:widowControl w:val="0"/>
              <w:autoSpaceDE w:val="0"/>
              <w:autoSpaceDN w:val="0"/>
              <w:adjustRightInd w:val="0"/>
            </w:pPr>
            <w:r>
              <w:t>807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6DC47" w14:textId="77777777" w:rsidR="00676183" w:rsidRDefault="00676183" w:rsidP="0070291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FC7BAD3" w14:textId="77777777" w:rsidR="00676183" w:rsidRPr="00222A63" w:rsidRDefault="00676183" w:rsidP="00676183">
      <w:pPr>
        <w:widowControl w:val="0"/>
        <w:autoSpaceDE w:val="0"/>
        <w:autoSpaceDN w:val="0"/>
        <w:adjustRightInd w:val="0"/>
        <w:spacing w:line="480" w:lineRule="auto"/>
      </w:pPr>
      <w:r w:rsidRPr="00040A41">
        <w:rPr>
          <w:i/>
        </w:rPr>
        <w:t>Source:</w:t>
      </w:r>
      <w:r w:rsidRPr="00D25ECB">
        <w:t xml:space="preserve"> Authors’ calculations using the 2012 Mexican Health and Aging Study (MHAS).</w:t>
      </w:r>
    </w:p>
    <w:p w14:paraId="3C5706E5" w14:textId="77777777" w:rsidR="00676183" w:rsidRPr="00222A63" w:rsidRDefault="00676183" w:rsidP="00676183">
      <w:pPr>
        <w:widowControl w:val="0"/>
        <w:autoSpaceDE w:val="0"/>
        <w:autoSpaceDN w:val="0"/>
        <w:adjustRightInd w:val="0"/>
        <w:spacing w:line="480" w:lineRule="auto"/>
      </w:pPr>
      <w:r w:rsidRPr="00040A41">
        <w:rPr>
          <w:i/>
        </w:rPr>
        <w:t>Notes:</w:t>
      </w:r>
      <w:r w:rsidRPr="00D25ECB">
        <w:t xml:space="preserve"> </w:t>
      </w:r>
      <w:r>
        <w:t xml:space="preserve">This is the model that was used to impute missing values for citizenship status. </w:t>
      </w:r>
      <w:r w:rsidRPr="00D25ECB">
        <w:t>Standard errors clustered at the household level.</w:t>
      </w:r>
      <w:r>
        <w:t xml:space="preserve"> Sample includes the 807 respondents with complete information for citizenship status and </w:t>
      </w:r>
      <w:proofErr w:type="gramStart"/>
      <w:r>
        <w:t>all of</w:t>
      </w:r>
      <w:proofErr w:type="gramEnd"/>
      <w:r>
        <w:t xml:space="preserve"> the variables in the model.</w:t>
      </w:r>
    </w:p>
    <w:p w14:paraId="71B05BA6" w14:textId="77777777" w:rsidR="00676183" w:rsidRDefault="00676183" w:rsidP="00676183">
      <w:pPr>
        <w:widowControl w:val="0"/>
        <w:autoSpaceDE w:val="0"/>
        <w:autoSpaceDN w:val="0"/>
        <w:adjustRightInd w:val="0"/>
        <w:spacing w:line="480" w:lineRule="auto"/>
      </w:pPr>
      <w:r w:rsidRPr="00222A63">
        <w:t>* p&lt;0.05, ** p&lt;0.01, *** p&lt;0.001</w:t>
      </w:r>
    </w:p>
    <w:p w14:paraId="15B8F50E" w14:textId="77777777" w:rsidR="00676183" w:rsidRPr="00CC6AC8" w:rsidRDefault="00676183" w:rsidP="00676183">
      <w:pPr>
        <w:widowControl w:val="0"/>
        <w:autoSpaceDE w:val="0"/>
        <w:autoSpaceDN w:val="0"/>
        <w:adjustRightInd w:val="0"/>
        <w:spacing w:line="480" w:lineRule="auto"/>
        <w:rPr>
          <w:vertAlign w:val="superscript"/>
        </w:rPr>
      </w:pPr>
    </w:p>
    <w:p w14:paraId="739DD667" w14:textId="77777777" w:rsidR="003B12A4" w:rsidRDefault="003B12A4">
      <w:bookmarkStart w:id="0" w:name="_GoBack"/>
      <w:bookmarkEnd w:id="0"/>
    </w:p>
    <w:sectPr w:rsidR="003B12A4" w:rsidSect="00676183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13689"/>
    <w:multiLevelType w:val="hybridMultilevel"/>
    <w:tmpl w:val="09846FEA"/>
    <w:lvl w:ilvl="0" w:tplc="2334EE6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C05AE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83"/>
    <w:rsid w:val="000174DA"/>
    <w:rsid w:val="00021966"/>
    <w:rsid w:val="0003414E"/>
    <w:rsid w:val="00052B76"/>
    <w:rsid w:val="000532B2"/>
    <w:rsid w:val="000532EB"/>
    <w:rsid w:val="00065C44"/>
    <w:rsid w:val="00072756"/>
    <w:rsid w:val="00080977"/>
    <w:rsid w:val="00084548"/>
    <w:rsid w:val="00095977"/>
    <w:rsid w:val="000C5DD1"/>
    <w:rsid w:val="000D11BC"/>
    <w:rsid w:val="000D399D"/>
    <w:rsid w:val="000F69FF"/>
    <w:rsid w:val="00100F9B"/>
    <w:rsid w:val="00144219"/>
    <w:rsid w:val="001458EE"/>
    <w:rsid w:val="00153FAB"/>
    <w:rsid w:val="001808DF"/>
    <w:rsid w:val="001A10A1"/>
    <w:rsid w:val="001A232B"/>
    <w:rsid w:val="001D712C"/>
    <w:rsid w:val="001E4F73"/>
    <w:rsid w:val="001E77B7"/>
    <w:rsid w:val="001F0F7C"/>
    <w:rsid w:val="001F2929"/>
    <w:rsid w:val="001F3543"/>
    <w:rsid w:val="00240DB3"/>
    <w:rsid w:val="00242C3F"/>
    <w:rsid w:val="002671B5"/>
    <w:rsid w:val="002A4F61"/>
    <w:rsid w:val="002C2AED"/>
    <w:rsid w:val="002E75C1"/>
    <w:rsid w:val="00300F50"/>
    <w:rsid w:val="00302932"/>
    <w:rsid w:val="00325DA0"/>
    <w:rsid w:val="00327262"/>
    <w:rsid w:val="00331C72"/>
    <w:rsid w:val="00333122"/>
    <w:rsid w:val="00355309"/>
    <w:rsid w:val="00373110"/>
    <w:rsid w:val="00375152"/>
    <w:rsid w:val="00386980"/>
    <w:rsid w:val="00387C76"/>
    <w:rsid w:val="00390925"/>
    <w:rsid w:val="003A004B"/>
    <w:rsid w:val="003A20D9"/>
    <w:rsid w:val="003A4EBA"/>
    <w:rsid w:val="003B12A4"/>
    <w:rsid w:val="003D114D"/>
    <w:rsid w:val="003D2EB7"/>
    <w:rsid w:val="003D3313"/>
    <w:rsid w:val="003D7927"/>
    <w:rsid w:val="003F7249"/>
    <w:rsid w:val="0041310B"/>
    <w:rsid w:val="00423691"/>
    <w:rsid w:val="00432FA0"/>
    <w:rsid w:val="00442989"/>
    <w:rsid w:val="00444057"/>
    <w:rsid w:val="0046102A"/>
    <w:rsid w:val="00461CBF"/>
    <w:rsid w:val="00463624"/>
    <w:rsid w:val="00496E3A"/>
    <w:rsid w:val="004B0D25"/>
    <w:rsid w:val="004B143D"/>
    <w:rsid w:val="004C096B"/>
    <w:rsid w:val="004C5A6A"/>
    <w:rsid w:val="004D0B7C"/>
    <w:rsid w:val="004D11DB"/>
    <w:rsid w:val="004E1606"/>
    <w:rsid w:val="004E2728"/>
    <w:rsid w:val="0051331E"/>
    <w:rsid w:val="00543C28"/>
    <w:rsid w:val="00546772"/>
    <w:rsid w:val="00550E3C"/>
    <w:rsid w:val="0057330D"/>
    <w:rsid w:val="005959C9"/>
    <w:rsid w:val="005B036A"/>
    <w:rsid w:val="005B1983"/>
    <w:rsid w:val="005D77C5"/>
    <w:rsid w:val="005E6D2D"/>
    <w:rsid w:val="005F24D6"/>
    <w:rsid w:val="005F4CE8"/>
    <w:rsid w:val="005F5FAD"/>
    <w:rsid w:val="005F7454"/>
    <w:rsid w:val="00604C0E"/>
    <w:rsid w:val="00615F12"/>
    <w:rsid w:val="006370A2"/>
    <w:rsid w:val="00652DD8"/>
    <w:rsid w:val="00655DDE"/>
    <w:rsid w:val="006659C3"/>
    <w:rsid w:val="006670E5"/>
    <w:rsid w:val="006713C7"/>
    <w:rsid w:val="00676183"/>
    <w:rsid w:val="00676A0E"/>
    <w:rsid w:val="00696B66"/>
    <w:rsid w:val="00697F8D"/>
    <w:rsid w:val="006A221C"/>
    <w:rsid w:val="006B0E08"/>
    <w:rsid w:val="006C14B2"/>
    <w:rsid w:val="006C7001"/>
    <w:rsid w:val="006D2632"/>
    <w:rsid w:val="006D371C"/>
    <w:rsid w:val="006E4A0F"/>
    <w:rsid w:val="006F7434"/>
    <w:rsid w:val="00707E7B"/>
    <w:rsid w:val="00725903"/>
    <w:rsid w:val="00735926"/>
    <w:rsid w:val="007376F2"/>
    <w:rsid w:val="007418C5"/>
    <w:rsid w:val="00757557"/>
    <w:rsid w:val="007B38C2"/>
    <w:rsid w:val="007C0D37"/>
    <w:rsid w:val="007D3F52"/>
    <w:rsid w:val="00803F47"/>
    <w:rsid w:val="00805C5D"/>
    <w:rsid w:val="00817B5B"/>
    <w:rsid w:val="008231BE"/>
    <w:rsid w:val="00825EA8"/>
    <w:rsid w:val="00853B99"/>
    <w:rsid w:val="00886299"/>
    <w:rsid w:val="008927E8"/>
    <w:rsid w:val="008A447D"/>
    <w:rsid w:val="008A4FB6"/>
    <w:rsid w:val="008B187A"/>
    <w:rsid w:val="008C763C"/>
    <w:rsid w:val="008E4F94"/>
    <w:rsid w:val="008F7BCB"/>
    <w:rsid w:val="00905535"/>
    <w:rsid w:val="00910CC2"/>
    <w:rsid w:val="00916EE4"/>
    <w:rsid w:val="00917742"/>
    <w:rsid w:val="00922B9D"/>
    <w:rsid w:val="00930094"/>
    <w:rsid w:val="009318D1"/>
    <w:rsid w:val="009335E0"/>
    <w:rsid w:val="0094459F"/>
    <w:rsid w:val="00944687"/>
    <w:rsid w:val="00950C09"/>
    <w:rsid w:val="00967B44"/>
    <w:rsid w:val="00986EDC"/>
    <w:rsid w:val="009C3FFB"/>
    <w:rsid w:val="009F41B4"/>
    <w:rsid w:val="00A175A1"/>
    <w:rsid w:val="00A456EF"/>
    <w:rsid w:val="00A54F3C"/>
    <w:rsid w:val="00A72C25"/>
    <w:rsid w:val="00A9721B"/>
    <w:rsid w:val="00AD3C12"/>
    <w:rsid w:val="00AF7E59"/>
    <w:rsid w:val="00B05876"/>
    <w:rsid w:val="00B154DD"/>
    <w:rsid w:val="00B35FCF"/>
    <w:rsid w:val="00B52E5E"/>
    <w:rsid w:val="00B75C89"/>
    <w:rsid w:val="00B8692A"/>
    <w:rsid w:val="00BC1619"/>
    <w:rsid w:val="00BD27F5"/>
    <w:rsid w:val="00BE2DD9"/>
    <w:rsid w:val="00BE4376"/>
    <w:rsid w:val="00C001A1"/>
    <w:rsid w:val="00C00EE9"/>
    <w:rsid w:val="00C20CA9"/>
    <w:rsid w:val="00C26199"/>
    <w:rsid w:val="00C41BD5"/>
    <w:rsid w:val="00C6133E"/>
    <w:rsid w:val="00C63A61"/>
    <w:rsid w:val="00C64098"/>
    <w:rsid w:val="00C6520B"/>
    <w:rsid w:val="00C712EF"/>
    <w:rsid w:val="00C81542"/>
    <w:rsid w:val="00C935B9"/>
    <w:rsid w:val="00CA30A1"/>
    <w:rsid w:val="00CB5D43"/>
    <w:rsid w:val="00CC394C"/>
    <w:rsid w:val="00CC500E"/>
    <w:rsid w:val="00D1355A"/>
    <w:rsid w:val="00D14A5B"/>
    <w:rsid w:val="00D21654"/>
    <w:rsid w:val="00D645B8"/>
    <w:rsid w:val="00D64650"/>
    <w:rsid w:val="00D8027A"/>
    <w:rsid w:val="00D83F36"/>
    <w:rsid w:val="00D932FA"/>
    <w:rsid w:val="00DB361E"/>
    <w:rsid w:val="00DC216A"/>
    <w:rsid w:val="00DE3CA6"/>
    <w:rsid w:val="00DE681E"/>
    <w:rsid w:val="00E11EFB"/>
    <w:rsid w:val="00E224CD"/>
    <w:rsid w:val="00E402DB"/>
    <w:rsid w:val="00E55F0C"/>
    <w:rsid w:val="00E625AA"/>
    <w:rsid w:val="00E64E7D"/>
    <w:rsid w:val="00EB591A"/>
    <w:rsid w:val="00EF0522"/>
    <w:rsid w:val="00EF7F68"/>
    <w:rsid w:val="00F035E8"/>
    <w:rsid w:val="00F23652"/>
    <w:rsid w:val="00F3230F"/>
    <w:rsid w:val="00F411FA"/>
    <w:rsid w:val="00F416D9"/>
    <w:rsid w:val="00F62CC2"/>
    <w:rsid w:val="00F836C1"/>
    <w:rsid w:val="00F91150"/>
    <w:rsid w:val="00FB4296"/>
    <w:rsid w:val="00FC17F1"/>
    <w:rsid w:val="00FC1859"/>
    <w:rsid w:val="00FC7AA2"/>
    <w:rsid w:val="00FD059F"/>
    <w:rsid w:val="00FD3A8C"/>
    <w:rsid w:val="00FE28FC"/>
    <w:rsid w:val="00FE316A"/>
    <w:rsid w:val="00FF3565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48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6183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183"/>
    <w:pPr>
      <w:ind w:left="720"/>
      <w:contextualSpacing/>
    </w:pPr>
    <w:rPr>
      <w:rFonts w:asciiTheme="minorHAnsi" w:hAnsiTheme="minorHAnsi" w:cstheme="minorBidi"/>
    </w:rPr>
  </w:style>
  <w:style w:type="character" w:customStyle="1" w:styleId="s1">
    <w:name w:val="s1"/>
    <w:basedOn w:val="DefaultParagraphFont"/>
    <w:rsid w:val="0067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2213</Characters>
  <Application>Microsoft Macintosh Word</Application>
  <DocSecurity>0</DocSecurity>
  <Lines>18</Lines>
  <Paragraphs>5</Paragraphs>
  <ScaleCrop>false</ScaleCrop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almav</dc:creator>
  <cp:keywords/>
  <dc:description/>
  <cp:lastModifiedBy>almav</cp:lastModifiedBy>
  <cp:revision>1</cp:revision>
  <dcterms:created xsi:type="dcterms:W3CDTF">2017-09-18T01:41:00Z</dcterms:created>
  <dcterms:modified xsi:type="dcterms:W3CDTF">2017-09-18T01:42:00Z</dcterms:modified>
</cp:coreProperties>
</file>