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2F" w:rsidRPr="00B2491B" w:rsidRDefault="00B672E3" w:rsidP="00B2491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SUPPLE</w:t>
      </w:r>
      <w:r w:rsidR="00B2491B" w:rsidRPr="00B2491B">
        <w:rPr>
          <w:rFonts w:ascii="Times New Roman" w:hAnsi="Times New Roman" w:cs="Times New Roman"/>
          <w:b/>
          <w:sz w:val="24"/>
        </w:rPr>
        <w:t>MENTARY MATERIAL</w:t>
      </w:r>
    </w:p>
    <w:p w:rsidR="00B2491B" w:rsidRDefault="00B2491B" w:rsidP="00B2491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2491B" w:rsidRDefault="00B2491B" w:rsidP="00B2491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2491B" w:rsidRPr="00503215" w:rsidRDefault="00B2491B" w:rsidP="005032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03215">
        <w:rPr>
          <w:rFonts w:ascii="Times New Roman" w:hAnsi="Times New Roman" w:cs="Times New Roman"/>
          <w:sz w:val="24"/>
        </w:rPr>
        <w:t>This supplementary material is to submit to Ageing &amp; Society journal for review on the manuscript, entitled “Socioeconomic-related health inequality in non-communicable diseases among older people in Viet Nam</w:t>
      </w:r>
      <w:r w:rsidR="00C76626">
        <w:rPr>
          <w:rFonts w:ascii="Times New Roman" w:hAnsi="Times New Roman" w:cs="Times New Roman"/>
          <w:sz w:val="24"/>
        </w:rPr>
        <w:t>”</w:t>
      </w:r>
      <w:r w:rsidRPr="00503215">
        <w:rPr>
          <w:rFonts w:ascii="Times New Roman" w:hAnsi="Times New Roman" w:cs="Times New Roman"/>
          <w:sz w:val="24"/>
        </w:rPr>
        <w:t>. This material provides results of model specification tests and comparison among selected models.</w:t>
      </w:r>
    </w:p>
    <w:p w:rsidR="00B2491B" w:rsidRPr="00503215" w:rsidRDefault="00B2491B" w:rsidP="00503215">
      <w:pPr>
        <w:spacing w:line="360" w:lineRule="auto"/>
        <w:rPr>
          <w:rFonts w:ascii="Times New Roman" w:hAnsi="Times New Roman" w:cs="Times New Roman"/>
          <w:sz w:val="24"/>
        </w:rPr>
      </w:pPr>
    </w:p>
    <w:p w:rsidR="00A43016" w:rsidRPr="00503215" w:rsidRDefault="00B2491B" w:rsidP="0050321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03215">
        <w:rPr>
          <w:rFonts w:ascii="Times New Roman" w:hAnsi="Times New Roman" w:cs="Times New Roman"/>
          <w:b/>
          <w:sz w:val="24"/>
        </w:rPr>
        <w:t xml:space="preserve">Model specification tests </w:t>
      </w:r>
    </w:p>
    <w:p w:rsidR="00B2491B" w:rsidRPr="00503215" w:rsidRDefault="00A43016" w:rsidP="0050321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03215">
        <w:rPr>
          <w:rFonts w:ascii="Times New Roman" w:hAnsi="Times New Roman" w:cs="Times New Roman"/>
          <w:sz w:val="24"/>
        </w:rPr>
        <w:t>W</w:t>
      </w:r>
      <w:r w:rsidR="00B2491B" w:rsidRPr="00503215">
        <w:rPr>
          <w:rFonts w:ascii="Times New Roman" w:hAnsi="Times New Roman" w:cs="Times New Roman"/>
          <w:sz w:val="24"/>
        </w:rPr>
        <w:t>e</w:t>
      </w:r>
      <w:r w:rsidR="00B2491B" w:rsidRPr="00503215">
        <w:rPr>
          <w:rFonts w:ascii="Times New Roman" w:hAnsi="Times New Roman" w:cs="Times New Roman"/>
          <w:sz w:val="24"/>
          <w:szCs w:val="20"/>
        </w:rPr>
        <w:t xml:space="preserve"> used </w:t>
      </w:r>
      <w:proofErr w:type="spellStart"/>
      <w:r w:rsidR="00B2491B" w:rsidRPr="00503215">
        <w:rPr>
          <w:rFonts w:ascii="Times New Roman" w:hAnsi="Times New Roman" w:cs="Times New Roman"/>
          <w:sz w:val="24"/>
          <w:szCs w:val="24"/>
        </w:rPr>
        <w:t>Pregibon’s</w:t>
      </w:r>
      <w:proofErr w:type="spellEnd"/>
      <w:r w:rsidR="00B2491B" w:rsidRPr="00503215">
        <w:rPr>
          <w:rFonts w:ascii="Times New Roman" w:hAnsi="Times New Roman" w:cs="Times New Roman"/>
          <w:sz w:val="24"/>
          <w:szCs w:val="24"/>
        </w:rPr>
        <w:t xml:space="preserve"> link test</w:t>
      </w:r>
      <w:r w:rsidR="00B2491B" w:rsidRPr="00503215">
        <w:rPr>
          <w:rFonts w:ascii="Times New Roman" w:hAnsi="Times New Roman" w:cs="Times New Roman"/>
          <w:sz w:val="24"/>
          <w:szCs w:val="20"/>
        </w:rPr>
        <w:t xml:space="preserve"> to examine model specification. In brief, the logic of that test is to regress the dependent variable on its predicted value</w:t>
      </w:r>
      <w:r w:rsidR="00C76626">
        <w:rPr>
          <w:rFonts w:ascii="Times New Roman" w:hAnsi="Times New Roman" w:cs="Times New Roman"/>
          <w:sz w:val="24"/>
          <w:szCs w:val="20"/>
        </w:rPr>
        <w:t>s</w:t>
      </w:r>
      <w:r w:rsidR="00B2491B" w:rsidRPr="00503215">
        <w:rPr>
          <w:rFonts w:ascii="Times New Roman" w:hAnsi="Times New Roman" w:cs="Times New Roman"/>
          <w:sz w:val="24"/>
          <w:szCs w:val="20"/>
        </w:rPr>
        <w:t xml:space="preserve"> and square of its predicted value</w:t>
      </w:r>
      <w:r w:rsidR="00C76626">
        <w:rPr>
          <w:rFonts w:ascii="Times New Roman" w:hAnsi="Times New Roman" w:cs="Times New Roman"/>
          <w:sz w:val="24"/>
          <w:szCs w:val="20"/>
        </w:rPr>
        <w:t>s</w:t>
      </w:r>
      <w:r w:rsidR="00B2491B" w:rsidRPr="00503215">
        <w:rPr>
          <w:rFonts w:ascii="Times New Roman" w:hAnsi="Times New Roman" w:cs="Times New Roman"/>
          <w:sz w:val="24"/>
          <w:szCs w:val="20"/>
        </w:rPr>
        <w:t xml:space="preserve">. Such test provides us information on whether important variables correlated with high-order terms are omitted or not. More specifically, </w:t>
      </w:r>
      <w:proofErr w:type="spellStart"/>
      <w:r w:rsidR="00B2491B" w:rsidRPr="00503215">
        <w:rPr>
          <w:rFonts w:ascii="Times New Roman" w:hAnsi="Times New Roman" w:cs="Times New Roman"/>
          <w:sz w:val="24"/>
          <w:szCs w:val="24"/>
        </w:rPr>
        <w:t>Pregibon’s</w:t>
      </w:r>
      <w:proofErr w:type="spellEnd"/>
      <w:r w:rsidR="00B2491B" w:rsidRPr="00503215">
        <w:rPr>
          <w:rFonts w:ascii="Times New Roman" w:hAnsi="Times New Roman" w:cs="Times New Roman"/>
          <w:sz w:val="24"/>
          <w:szCs w:val="24"/>
        </w:rPr>
        <w:t xml:space="preserve"> link test assesses</w:t>
      </w:r>
      <w:r w:rsidR="00B2491B" w:rsidRPr="00503215">
        <w:rPr>
          <w:rFonts w:ascii="Times New Roman" w:hAnsi="Times New Roman" w:cs="Times New Roman"/>
          <w:sz w:val="24"/>
          <w:szCs w:val="20"/>
        </w:rPr>
        <w:t xml:space="preserve"> whether the coefficients on the squared terms are significant difference from zero. Detailed information of</w:t>
      </w:r>
      <w:r w:rsidR="00C7662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B2491B" w:rsidRPr="00503215">
        <w:rPr>
          <w:rFonts w:ascii="Times New Roman" w:hAnsi="Times New Roman" w:cs="Times New Roman"/>
          <w:sz w:val="24"/>
          <w:szCs w:val="24"/>
        </w:rPr>
        <w:t>Pregibon’s</w:t>
      </w:r>
      <w:proofErr w:type="spellEnd"/>
      <w:r w:rsidR="00B2491B" w:rsidRPr="00503215">
        <w:rPr>
          <w:rFonts w:ascii="Times New Roman" w:hAnsi="Times New Roman" w:cs="Times New Roman"/>
          <w:sz w:val="24"/>
          <w:szCs w:val="24"/>
        </w:rPr>
        <w:t xml:space="preserve"> link test</w:t>
      </w:r>
      <w:r w:rsidR="00B2491B" w:rsidRPr="00503215">
        <w:rPr>
          <w:rFonts w:ascii="Times New Roman" w:hAnsi="Times New Roman" w:cs="Times New Roman"/>
          <w:sz w:val="24"/>
          <w:szCs w:val="20"/>
        </w:rPr>
        <w:t xml:space="preserve"> has been presented elsewhere </w:t>
      </w:r>
      <w:r w:rsidR="00B2491B" w:rsidRPr="00503215">
        <w:rPr>
          <w:rFonts w:ascii="Times New Roman" w:hAnsi="Times New Roman" w:cs="Times New Roman"/>
          <w:bCs/>
          <w:noProof/>
          <w:sz w:val="24"/>
        </w:rPr>
        <w:t>(Deb, Norton,</w:t>
      </w:r>
      <w:r w:rsidR="005E4BF3" w:rsidRPr="00503215">
        <w:rPr>
          <w:rFonts w:ascii="Times New Roman" w:hAnsi="Times New Roman" w:cs="Times New Roman"/>
          <w:bCs/>
          <w:noProof/>
          <w:sz w:val="24"/>
        </w:rPr>
        <w:t xml:space="preserve"> &amp; Manning</w:t>
      </w:r>
      <w:r w:rsidR="00B2491B" w:rsidRPr="00503215">
        <w:rPr>
          <w:rFonts w:ascii="Times New Roman" w:hAnsi="Times New Roman" w:cs="Times New Roman"/>
          <w:bCs/>
          <w:noProof/>
          <w:sz w:val="24"/>
        </w:rPr>
        <w:t xml:space="preserve"> 2017</w:t>
      </w:r>
      <w:r w:rsidR="005E4BF3" w:rsidRPr="00503215">
        <w:rPr>
          <w:rStyle w:val="FootnoteReference"/>
          <w:rFonts w:ascii="Times New Roman" w:hAnsi="Times New Roman" w:cs="Times New Roman"/>
          <w:bCs/>
          <w:noProof/>
          <w:sz w:val="24"/>
        </w:rPr>
        <w:footnoteReference w:id="1"/>
      </w:r>
      <w:r w:rsidR="00B2491B" w:rsidRPr="00503215">
        <w:rPr>
          <w:rFonts w:ascii="Times New Roman" w:hAnsi="Times New Roman" w:cs="Times New Roman"/>
          <w:bCs/>
          <w:noProof/>
          <w:sz w:val="24"/>
        </w:rPr>
        <w:t xml:space="preserve">; </w:t>
      </w:r>
      <w:r w:rsidR="005E4BF3" w:rsidRPr="00503215">
        <w:rPr>
          <w:rFonts w:ascii="Times New Roman" w:hAnsi="Times New Roman" w:cs="Times New Roman"/>
          <w:bCs/>
          <w:noProof/>
          <w:sz w:val="24"/>
        </w:rPr>
        <w:t>Pregibon 1980</w:t>
      </w:r>
      <w:r w:rsidR="005E4BF3" w:rsidRPr="00503215">
        <w:rPr>
          <w:rStyle w:val="FootnoteReference"/>
          <w:rFonts w:ascii="Times New Roman" w:hAnsi="Times New Roman" w:cs="Times New Roman"/>
          <w:bCs/>
          <w:noProof/>
          <w:sz w:val="24"/>
        </w:rPr>
        <w:footnoteReference w:id="2"/>
      </w:r>
      <w:r w:rsidR="00B2491B" w:rsidRPr="00503215">
        <w:rPr>
          <w:rFonts w:ascii="Times New Roman" w:hAnsi="Times New Roman" w:cs="Times New Roman"/>
          <w:bCs/>
          <w:noProof/>
          <w:sz w:val="24"/>
        </w:rPr>
        <w:t>)</w:t>
      </w:r>
      <w:r w:rsidR="006506A7" w:rsidRPr="00503215">
        <w:rPr>
          <w:rFonts w:ascii="Times New Roman" w:hAnsi="Times New Roman" w:cs="Times New Roman"/>
          <w:bCs/>
          <w:noProof/>
          <w:sz w:val="24"/>
        </w:rPr>
        <w:t>. After running OLS</w:t>
      </w:r>
      <w:r w:rsidR="00C76626">
        <w:rPr>
          <w:rFonts w:ascii="Times New Roman" w:hAnsi="Times New Roman" w:cs="Times New Roman"/>
          <w:bCs/>
          <w:noProof/>
          <w:sz w:val="24"/>
        </w:rPr>
        <w:t xml:space="preserve"> (for a continuous outcome)</w:t>
      </w:r>
      <w:r w:rsidR="006506A7" w:rsidRPr="00503215">
        <w:rPr>
          <w:rFonts w:ascii="Times New Roman" w:hAnsi="Times New Roman" w:cs="Times New Roman"/>
          <w:bCs/>
          <w:noProof/>
          <w:sz w:val="24"/>
        </w:rPr>
        <w:t xml:space="preserve"> or probit regression</w:t>
      </w:r>
      <w:r w:rsidR="00C76626">
        <w:rPr>
          <w:rFonts w:ascii="Times New Roman" w:hAnsi="Times New Roman" w:cs="Times New Roman"/>
          <w:bCs/>
          <w:noProof/>
          <w:sz w:val="24"/>
        </w:rPr>
        <w:t xml:space="preserve"> (for a binary outcome)</w:t>
      </w:r>
      <w:r w:rsidR="006506A7" w:rsidRPr="00503215">
        <w:rPr>
          <w:rFonts w:ascii="Times New Roman" w:hAnsi="Times New Roman" w:cs="Times New Roman"/>
          <w:bCs/>
          <w:noProof/>
          <w:sz w:val="24"/>
        </w:rPr>
        <w:t xml:space="preserve">, we used postestimation linktest in Stata to execute the specification tests. If a </w:t>
      </w:r>
      <w:r w:rsidR="006506A7" w:rsidRPr="00503215">
        <w:rPr>
          <w:rFonts w:ascii="Times New Roman" w:hAnsi="Times New Roman" w:cs="Times New Roman"/>
          <w:bCs/>
          <w:i/>
          <w:noProof/>
          <w:sz w:val="24"/>
        </w:rPr>
        <w:t>p</w:t>
      </w:r>
      <w:r w:rsidR="00503215">
        <w:rPr>
          <w:rFonts w:ascii="Times New Roman" w:hAnsi="Times New Roman" w:cs="Times New Roman"/>
          <w:bCs/>
          <w:noProof/>
          <w:sz w:val="24"/>
        </w:rPr>
        <w:t>-value of the square term is</w:t>
      </w:r>
      <w:r w:rsidR="006506A7" w:rsidRPr="00503215">
        <w:rPr>
          <w:rFonts w:ascii="Times New Roman" w:hAnsi="Times New Roman" w:cs="Times New Roman"/>
          <w:bCs/>
          <w:noProof/>
          <w:sz w:val="24"/>
        </w:rPr>
        <w:t xml:space="preserve"> statistically insignificant, then ones can con</w:t>
      </w:r>
      <w:r w:rsidR="00C76626">
        <w:rPr>
          <w:rFonts w:ascii="Times New Roman" w:hAnsi="Times New Roman" w:cs="Times New Roman"/>
          <w:bCs/>
          <w:noProof/>
          <w:sz w:val="24"/>
        </w:rPr>
        <w:t>c</w:t>
      </w:r>
      <w:r w:rsidR="006506A7" w:rsidRPr="00503215">
        <w:rPr>
          <w:rFonts w:ascii="Times New Roman" w:hAnsi="Times New Roman" w:cs="Times New Roman"/>
          <w:bCs/>
          <w:noProof/>
          <w:sz w:val="24"/>
        </w:rPr>
        <w:t>lude that models are well-specified</w:t>
      </w:r>
      <w:r w:rsidR="00147E6E">
        <w:rPr>
          <w:rFonts w:ascii="Times New Roman" w:hAnsi="Times New Roman" w:cs="Times New Roman"/>
          <w:bCs/>
          <w:noProof/>
          <w:sz w:val="24"/>
        </w:rPr>
        <w:t xml:space="preserve"> (</w:t>
      </w:r>
      <w:r w:rsidR="00147E6E" w:rsidRPr="00503215">
        <w:rPr>
          <w:rFonts w:ascii="Times New Roman" w:hAnsi="Times New Roman" w:cs="Times New Roman"/>
          <w:bCs/>
          <w:noProof/>
          <w:sz w:val="24"/>
        </w:rPr>
        <w:t>Deb, Norton, &amp; Manning 2017</w:t>
      </w:r>
      <w:r w:rsidR="00147E6E">
        <w:rPr>
          <w:rFonts w:ascii="Times New Roman" w:hAnsi="Times New Roman" w:cs="Times New Roman"/>
          <w:bCs/>
          <w:noProof/>
          <w:sz w:val="24"/>
        </w:rPr>
        <w:t>)</w:t>
      </w:r>
      <w:r w:rsidR="006506A7" w:rsidRPr="00503215">
        <w:rPr>
          <w:rFonts w:ascii="Times New Roman" w:hAnsi="Times New Roman" w:cs="Times New Roman"/>
          <w:sz w:val="24"/>
          <w:szCs w:val="20"/>
        </w:rPr>
        <w:t xml:space="preserve">. </w:t>
      </w:r>
      <w:r w:rsidR="00A23238">
        <w:rPr>
          <w:rFonts w:ascii="Times New Roman" w:hAnsi="Times New Roman" w:cs="Times New Roman"/>
          <w:sz w:val="24"/>
          <w:szCs w:val="20"/>
        </w:rPr>
        <w:t xml:space="preserve">A </w:t>
      </w:r>
      <w:r w:rsidR="00A23238" w:rsidRPr="00A23238">
        <w:rPr>
          <w:rFonts w:ascii="Times New Roman" w:hAnsi="Times New Roman" w:cs="Times New Roman"/>
          <w:i/>
          <w:sz w:val="24"/>
          <w:szCs w:val="20"/>
        </w:rPr>
        <w:t>p</w:t>
      </w:r>
      <w:r w:rsidR="00A23238">
        <w:rPr>
          <w:rFonts w:ascii="Times New Roman" w:hAnsi="Times New Roman" w:cs="Times New Roman"/>
          <w:sz w:val="24"/>
          <w:szCs w:val="20"/>
        </w:rPr>
        <w:t xml:space="preserve">-value </w:t>
      </w:r>
      <w:r w:rsidR="00C76626">
        <w:rPr>
          <w:rFonts w:ascii="Times New Roman" w:hAnsi="Times New Roman" w:cs="Times New Roman"/>
          <w:sz w:val="24"/>
          <w:szCs w:val="20"/>
        </w:rPr>
        <w:t xml:space="preserve">that was less than 0.05 was </w:t>
      </w:r>
      <w:r w:rsidR="00A23238">
        <w:rPr>
          <w:rFonts w:ascii="Times New Roman" w:hAnsi="Times New Roman" w:cs="Times New Roman"/>
          <w:sz w:val="24"/>
          <w:szCs w:val="20"/>
        </w:rPr>
        <w:t>regarded as statistically significant.</w:t>
      </w:r>
    </w:p>
    <w:p w:rsidR="00B2491B" w:rsidRPr="00503215" w:rsidRDefault="00C76626" w:rsidP="00503215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Probit</w:t>
      </w:r>
      <w:proofErr w:type="spellEnd"/>
      <w:r w:rsidR="00A43016" w:rsidRPr="00503215">
        <w:rPr>
          <w:rFonts w:ascii="Times New Roman" w:hAnsi="Times New Roman" w:cs="Times New Roman"/>
          <w:sz w:val="24"/>
        </w:rPr>
        <w:t xml:space="preserve"> models using having at least one NCD as a dependent variable.</w:t>
      </w:r>
    </w:p>
    <w:p w:rsidR="00A43016" w:rsidRDefault="00A43016" w:rsidP="00503215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03215">
        <w:rPr>
          <w:rFonts w:ascii="Times New Roman" w:hAnsi="Times New Roman" w:cs="Times New Roman"/>
          <w:sz w:val="24"/>
        </w:rPr>
        <w:t>Urban areas</w:t>
      </w:r>
    </w:p>
    <w:p w:rsidR="004E3D1B" w:rsidRPr="004E3D1B" w:rsidRDefault="004E3D1B" w:rsidP="004E3D1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315692" cy="28960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_u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016" w:rsidRPr="00503215" w:rsidRDefault="00A43016" w:rsidP="00503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A43016" w:rsidRPr="00503215" w:rsidRDefault="00A43016" w:rsidP="00503215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03215">
        <w:rPr>
          <w:rFonts w:ascii="Times New Roman" w:hAnsi="Times New Roman" w:cs="Times New Roman"/>
          <w:sz w:val="24"/>
        </w:rPr>
        <w:t>Rural areas</w:t>
      </w:r>
    </w:p>
    <w:p w:rsidR="007B6A6A" w:rsidRDefault="007B6A6A" w:rsidP="0050321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315692" cy="28960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_ru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016" w:rsidRDefault="00A43016" w:rsidP="0050321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03215">
        <w:rPr>
          <w:rFonts w:ascii="Times New Roman" w:hAnsi="Times New Roman" w:cs="Times New Roman"/>
          <w:sz w:val="24"/>
        </w:rPr>
        <w:t xml:space="preserve">It can be seen that a </w:t>
      </w:r>
      <w:r w:rsidRPr="00503215">
        <w:rPr>
          <w:rFonts w:ascii="Times New Roman" w:hAnsi="Times New Roman" w:cs="Times New Roman"/>
          <w:i/>
          <w:sz w:val="24"/>
        </w:rPr>
        <w:t>p</w:t>
      </w:r>
      <w:r w:rsidRPr="00503215">
        <w:rPr>
          <w:rFonts w:ascii="Times New Roman" w:hAnsi="Times New Roman" w:cs="Times New Roman"/>
          <w:sz w:val="24"/>
        </w:rPr>
        <w:t>-valu</w:t>
      </w:r>
      <w:r w:rsidR="00503215">
        <w:rPr>
          <w:rFonts w:ascii="Times New Roman" w:hAnsi="Times New Roman" w:cs="Times New Roman"/>
          <w:sz w:val="24"/>
        </w:rPr>
        <w:t>e of the square term (_</w:t>
      </w:r>
      <w:proofErr w:type="spellStart"/>
      <w:r w:rsidR="00503215">
        <w:rPr>
          <w:rFonts w:ascii="Times New Roman" w:hAnsi="Times New Roman" w:cs="Times New Roman"/>
          <w:sz w:val="24"/>
        </w:rPr>
        <w:t>hatsq</w:t>
      </w:r>
      <w:proofErr w:type="spellEnd"/>
      <w:r w:rsidR="00503215">
        <w:rPr>
          <w:rFonts w:ascii="Times New Roman" w:hAnsi="Times New Roman" w:cs="Times New Roman"/>
          <w:sz w:val="24"/>
        </w:rPr>
        <w:t>) was</w:t>
      </w:r>
      <w:r w:rsidRPr="00503215">
        <w:rPr>
          <w:rFonts w:ascii="Times New Roman" w:hAnsi="Times New Roman" w:cs="Times New Roman"/>
          <w:sz w:val="24"/>
        </w:rPr>
        <w:t xml:space="preserve"> statistically insignificant</w:t>
      </w:r>
      <w:r w:rsidR="00A23238">
        <w:rPr>
          <w:rFonts w:ascii="Times New Roman" w:hAnsi="Times New Roman" w:cs="Times New Roman"/>
          <w:sz w:val="24"/>
        </w:rPr>
        <w:t xml:space="preserve"> in models for</w:t>
      </w:r>
      <w:r w:rsidRPr="00503215">
        <w:rPr>
          <w:rFonts w:ascii="Times New Roman" w:hAnsi="Times New Roman" w:cs="Times New Roman"/>
          <w:sz w:val="24"/>
        </w:rPr>
        <w:t xml:space="preserve"> both rural and urban areas, implying that model</w:t>
      </w:r>
      <w:r w:rsidR="00A23238">
        <w:rPr>
          <w:rFonts w:ascii="Times New Roman" w:hAnsi="Times New Roman" w:cs="Times New Roman"/>
          <w:sz w:val="24"/>
        </w:rPr>
        <w:t xml:space="preserve">s </w:t>
      </w:r>
      <w:r w:rsidR="00147E6E">
        <w:rPr>
          <w:rFonts w:ascii="Times New Roman" w:hAnsi="Times New Roman" w:cs="Times New Roman"/>
          <w:sz w:val="24"/>
        </w:rPr>
        <w:t xml:space="preserve">used </w:t>
      </w:r>
      <w:r w:rsidR="00A23238">
        <w:rPr>
          <w:rFonts w:ascii="Times New Roman" w:hAnsi="Times New Roman" w:cs="Times New Roman"/>
          <w:sz w:val="24"/>
        </w:rPr>
        <w:t>were</w:t>
      </w:r>
      <w:r w:rsidRPr="00503215">
        <w:rPr>
          <w:rFonts w:ascii="Times New Roman" w:hAnsi="Times New Roman" w:cs="Times New Roman"/>
          <w:sz w:val="24"/>
        </w:rPr>
        <w:t xml:space="preserve"> well-specified.</w:t>
      </w:r>
    </w:p>
    <w:p w:rsidR="00503215" w:rsidRPr="00503215" w:rsidRDefault="00503215" w:rsidP="0050321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43016" w:rsidRPr="00503215" w:rsidRDefault="00C76626" w:rsidP="00503215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Probit</w:t>
      </w:r>
      <w:proofErr w:type="spellEnd"/>
      <w:r w:rsidR="00A43016" w:rsidRPr="00503215">
        <w:rPr>
          <w:rFonts w:ascii="Times New Roman" w:hAnsi="Times New Roman" w:cs="Times New Roman"/>
          <w:sz w:val="24"/>
        </w:rPr>
        <w:t xml:space="preserve"> models using multi-morbidity as a dependent variable</w:t>
      </w:r>
    </w:p>
    <w:p w:rsidR="00A43016" w:rsidRDefault="00503215" w:rsidP="00503215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2.1)</w:t>
      </w:r>
      <w:r>
        <w:rPr>
          <w:rFonts w:ascii="Times New Roman" w:hAnsi="Times New Roman" w:cs="Times New Roman"/>
          <w:sz w:val="24"/>
        </w:rPr>
        <w:tab/>
      </w:r>
      <w:r w:rsidR="00A43016" w:rsidRPr="00503215">
        <w:rPr>
          <w:rFonts w:ascii="Times New Roman" w:hAnsi="Times New Roman" w:cs="Times New Roman"/>
          <w:sz w:val="24"/>
        </w:rPr>
        <w:t>Urban areas</w:t>
      </w:r>
    </w:p>
    <w:p w:rsidR="007B6A6A" w:rsidRPr="00503215" w:rsidRDefault="007B6A6A" w:rsidP="00503215">
      <w:pPr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363323" cy="2934109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l_u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2A6" w:rsidRPr="00503215" w:rsidRDefault="00503215" w:rsidP="0050321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2.2)</w:t>
      </w:r>
      <w:r>
        <w:rPr>
          <w:rFonts w:ascii="Times New Roman" w:hAnsi="Times New Roman" w:cs="Times New Roman"/>
          <w:sz w:val="24"/>
        </w:rPr>
        <w:tab/>
      </w:r>
      <w:r w:rsidR="006442A6" w:rsidRPr="00503215">
        <w:rPr>
          <w:rFonts w:ascii="Times New Roman" w:hAnsi="Times New Roman" w:cs="Times New Roman"/>
          <w:sz w:val="24"/>
        </w:rPr>
        <w:t>Rural areas</w:t>
      </w:r>
    </w:p>
    <w:p w:rsidR="00B2491B" w:rsidRPr="00503215" w:rsidRDefault="007B6A6A" w:rsidP="005032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06165" cy="2934109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l_r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2A6" w:rsidRDefault="006442A6" w:rsidP="0050321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03215">
        <w:rPr>
          <w:rFonts w:ascii="Times New Roman" w:hAnsi="Times New Roman" w:cs="Times New Roman"/>
          <w:sz w:val="24"/>
        </w:rPr>
        <w:t>In the ca</w:t>
      </w:r>
      <w:r w:rsidR="00A23238">
        <w:rPr>
          <w:rFonts w:ascii="Times New Roman" w:hAnsi="Times New Roman" w:cs="Times New Roman"/>
          <w:sz w:val="24"/>
        </w:rPr>
        <w:t>se where a dependent variable was</w:t>
      </w:r>
      <w:r w:rsidR="00147E6E">
        <w:rPr>
          <w:rFonts w:ascii="Times New Roman" w:hAnsi="Times New Roman" w:cs="Times New Roman"/>
          <w:sz w:val="24"/>
        </w:rPr>
        <w:t xml:space="preserve"> measured as multi-morbidity, </w:t>
      </w:r>
      <w:r w:rsidRPr="00503215">
        <w:rPr>
          <w:rFonts w:ascii="Times New Roman" w:hAnsi="Times New Roman" w:cs="Times New Roman"/>
          <w:sz w:val="24"/>
        </w:rPr>
        <w:t>model for rural areas</w:t>
      </w:r>
      <w:r w:rsidR="00A23238">
        <w:rPr>
          <w:rFonts w:ascii="Times New Roman" w:hAnsi="Times New Roman" w:cs="Times New Roman"/>
          <w:sz w:val="24"/>
        </w:rPr>
        <w:t xml:space="preserve"> was</w:t>
      </w:r>
      <w:r w:rsidRPr="00503215">
        <w:rPr>
          <w:rFonts w:ascii="Times New Roman" w:hAnsi="Times New Roman" w:cs="Times New Roman"/>
          <w:sz w:val="24"/>
        </w:rPr>
        <w:t xml:space="preserve"> </w:t>
      </w:r>
      <w:r w:rsidR="00147E6E">
        <w:rPr>
          <w:rFonts w:ascii="Times New Roman" w:hAnsi="Times New Roman" w:cs="Times New Roman"/>
          <w:sz w:val="24"/>
        </w:rPr>
        <w:t xml:space="preserve">specified but </w:t>
      </w:r>
      <w:r w:rsidR="00A23238">
        <w:rPr>
          <w:rFonts w:ascii="Times New Roman" w:hAnsi="Times New Roman" w:cs="Times New Roman"/>
          <w:sz w:val="24"/>
        </w:rPr>
        <w:t>model for urban was</w:t>
      </w:r>
      <w:r w:rsidRPr="00503215">
        <w:rPr>
          <w:rFonts w:ascii="Times New Roman" w:hAnsi="Times New Roman" w:cs="Times New Roman"/>
          <w:sz w:val="24"/>
        </w:rPr>
        <w:t xml:space="preserve"> </w:t>
      </w:r>
      <w:r w:rsidR="00A23238">
        <w:rPr>
          <w:rFonts w:ascii="Times New Roman" w:hAnsi="Times New Roman" w:cs="Times New Roman"/>
          <w:sz w:val="24"/>
        </w:rPr>
        <w:t>un</w:t>
      </w:r>
      <w:r w:rsidRPr="00503215">
        <w:rPr>
          <w:rFonts w:ascii="Times New Roman" w:hAnsi="Times New Roman" w:cs="Times New Roman"/>
          <w:sz w:val="24"/>
        </w:rPr>
        <w:t xml:space="preserve">specified (a </w:t>
      </w:r>
      <w:r w:rsidRPr="00A23238">
        <w:rPr>
          <w:rFonts w:ascii="Times New Roman" w:hAnsi="Times New Roman" w:cs="Times New Roman"/>
          <w:i/>
          <w:sz w:val="24"/>
        </w:rPr>
        <w:t>p</w:t>
      </w:r>
      <w:r w:rsidRPr="00503215">
        <w:rPr>
          <w:rFonts w:ascii="Times New Roman" w:hAnsi="Times New Roman" w:cs="Times New Roman"/>
          <w:sz w:val="24"/>
        </w:rPr>
        <w:t>-value of the square term &lt;0.05).</w:t>
      </w:r>
    </w:p>
    <w:p w:rsidR="00503215" w:rsidRPr="00503215" w:rsidRDefault="00503215" w:rsidP="0050321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442A6" w:rsidRPr="00503215" w:rsidRDefault="006442A6" w:rsidP="00503215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03215">
        <w:rPr>
          <w:rFonts w:ascii="Times New Roman" w:hAnsi="Times New Roman" w:cs="Times New Roman"/>
          <w:sz w:val="24"/>
        </w:rPr>
        <w:t>Linear models</w:t>
      </w:r>
    </w:p>
    <w:p w:rsidR="006442A6" w:rsidRPr="00503215" w:rsidRDefault="00503215" w:rsidP="0050321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3.1)</w:t>
      </w:r>
      <w:r>
        <w:rPr>
          <w:rFonts w:ascii="Times New Roman" w:hAnsi="Times New Roman" w:cs="Times New Roman"/>
          <w:sz w:val="24"/>
        </w:rPr>
        <w:tab/>
      </w:r>
      <w:r w:rsidR="006442A6" w:rsidRPr="00503215">
        <w:rPr>
          <w:rFonts w:ascii="Times New Roman" w:hAnsi="Times New Roman" w:cs="Times New Roman"/>
          <w:sz w:val="24"/>
        </w:rPr>
        <w:t>Urban areas</w:t>
      </w:r>
    </w:p>
    <w:p w:rsidR="00503215" w:rsidRDefault="007B6A6A" w:rsidP="0050321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306165" cy="3077004"/>
            <wp:effectExtent l="0" t="0" r="889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_u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2A6" w:rsidRPr="00503215" w:rsidRDefault="00503215" w:rsidP="0050321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3.2)</w:t>
      </w:r>
      <w:r>
        <w:rPr>
          <w:rFonts w:ascii="Times New Roman" w:hAnsi="Times New Roman" w:cs="Times New Roman"/>
          <w:sz w:val="24"/>
        </w:rPr>
        <w:tab/>
      </w:r>
      <w:r w:rsidR="006442A6" w:rsidRPr="00503215">
        <w:rPr>
          <w:rFonts w:ascii="Times New Roman" w:hAnsi="Times New Roman" w:cs="Times New Roman"/>
          <w:sz w:val="24"/>
        </w:rPr>
        <w:t>Rural areas</w:t>
      </w:r>
    </w:p>
    <w:p w:rsidR="006442A6" w:rsidRPr="00503215" w:rsidRDefault="007B6A6A" w:rsidP="005032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25218" cy="3105583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_ru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31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2A6" w:rsidRDefault="00C37482" w:rsidP="005032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03215">
        <w:rPr>
          <w:rFonts w:ascii="Times New Roman" w:hAnsi="Times New Roman" w:cs="Times New Roman"/>
          <w:sz w:val="24"/>
        </w:rPr>
        <w:t>In the case where a dependent was</w:t>
      </w:r>
      <w:r w:rsidR="006442A6" w:rsidRPr="00503215">
        <w:rPr>
          <w:rFonts w:ascii="Times New Roman" w:hAnsi="Times New Roman" w:cs="Times New Roman"/>
          <w:sz w:val="24"/>
        </w:rPr>
        <w:t xml:space="preserve"> a continu</w:t>
      </w:r>
      <w:r w:rsidR="00147E6E">
        <w:rPr>
          <w:rFonts w:ascii="Times New Roman" w:hAnsi="Times New Roman" w:cs="Times New Roman"/>
          <w:sz w:val="24"/>
        </w:rPr>
        <w:t xml:space="preserve">ous variable, </w:t>
      </w:r>
      <w:r w:rsidRPr="00503215">
        <w:rPr>
          <w:rFonts w:ascii="Times New Roman" w:hAnsi="Times New Roman" w:cs="Times New Roman"/>
          <w:sz w:val="24"/>
        </w:rPr>
        <w:t>model for urban was</w:t>
      </w:r>
      <w:r w:rsidR="006442A6" w:rsidRPr="00503215">
        <w:rPr>
          <w:rFonts w:ascii="Times New Roman" w:hAnsi="Times New Roman" w:cs="Times New Roman"/>
          <w:sz w:val="24"/>
        </w:rPr>
        <w:t xml:space="preserve"> specified but </w:t>
      </w:r>
      <w:r w:rsidRPr="00503215">
        <w:rPr>
          <w:rFonts w:ascii="Times New Roman" w:hAnsi="Times New Roman" w:cs="Times New Roman"/>
          <w:sz w:val="24"/>
        </w:rPr>
        <w:t xml:space="preserve">a </w:t>
      </w:r>
      <w:r w:rsidRPr="00A23238">
        <w:rPr>
          <w:rFonts w:ascii="Times New Roman" w:hAnsi="Times New Roman" w:cs="Times New Roman"/>
          <w:i/>
          <w:sz w:val="24"/>
        </w:rPr>
        <w:t>p</w:t>
      </w:r>
      <w:r w:rsidRPr="00503215">
        <w:rPr>
          <w:rFonts w:ascii="Times New Roman" w:hAnsi="Times New Roman" w:cs="Times New Roman"/>
          <w:sz w:val="24"/>
        </w:rPr>
        <w:t>-</w:t>
      </w:r>
      <w:r w:rsidR="007B6A6A">
        <w:rPr>
          <w:rFonts w:ascii="Times New Roman" w:hAnsi="Times New Roman" w:cs="Times New Roman"/>
          <w:sz w:val="24"/>
        </w:rPr>
        <w:t>v</w:t>
      </w:r>
      <w:r w:rsidRPr="00503215">
        <w:rPr>
          <w:rFonts w:ascii="Times New Roman" w:hAnsi="Times New Roman" w:cs="Times New Roman"/>
          <w:sz w:val="24"/>
        </w:rPr>
        <w:t xml:space="preserve">alue of the square term in model for rural areas was quite sensitive (0.05). We suspected that Stata may round up the </w:t>
      </w:r>
      <w:r w:rsidRPr="00C76626">
        <w:rPr>
          <w:rFonts w:ascii="Times New Roman" w:hAnsi="Times New Roman" w:cs="Times New Roman"/>
          <w:i/>
          <w:sz w:val="24"/>
        </w:rPr>
        <w:t>p</w:t>
      </w:r>
      <w:r w:rsidRPr="00503215">
        <w:rPr>
          <w:rFonts w:ascii="Times New Roman" w:hAnsi="Times New Roman" w:cs="Times New Roman"/>
          <w:sz w:val="24"/>
        </w:rPr>
        <w:t xml:space="preserve">-value to the nearest second decimal place, thus we tried </w:t>
      </w:r>
      <w:r w:rsidR="00C76626">
        <w:rPr>
          <w:rFonts w:ascii="Times New Roman" w:hAnsi="Times New Roman" w:cs="Times New Roman"/>
          <w:sz w:val="24"/>
        </w:rPr>
        <w:t xml:space="preserve">to </w:t>
      </w:r>
      <w:r w:rsidRPr="00503215">
        <w:rPr>
          <w:rFonts w:ascii="Times New Roman" w:hAnsi="Times New Roman" w:cs="Times New Roman"/>
          <w:sz w:val="24"/>
        </w:rPr>
        <w:t>compute link test manually and results</w:t>
      </w:r>
      <w:r w:rsidR="00147E6E">
        <w:rPr>
          <w:rFonts w:ascii="Times New Roman" w:hAnsi="Times New Roman" w:cs="Times New Roman"/>
          <w:sz w:val="24"/>
        </w:rPr>
        <w:t xml:space="preserve"> of such test</w:t>
      </w:r>
      <w:r w:rsidRPr="00503215">
        <w:rPr>
          <w:rFonts w:ascii="Times New Roman" w:hAnsi="Times New Roman" w:cs="Times New Roman"/>
          <w:sz w:val="24"/>
        </w:rPr>
        <w:t xml:space="preserve"> were shown below:</w:t>
      </w:r>
    </w:p>
    <w:p w:rsidR="007B6A6A" w:rsidRDefault="007B6A6A" w:rsidP="005032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3867690" cy="437258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nually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43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482" w:rsidRDefault="00C76626" w:rsidP="005032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Our suspicion was</w:t>
      </w:r>
      <w:r w:rsidR="00C37482" w:rsidRPr="00503215">
        <w:rPr>
          <w:rFonts w:ascii="Times New Roman" w:hAnsi="Times New Roman" w:cs="Times New Roman"/>
          <w:sz w:val="24"/>
        </w:rPr>
        <w:t xml:space="preserve"> correct that Stata rounded up the </w:t>
      </w:r>
      <w:r w:rsidR="00C37482" w:rsidRPr="00C76626">
        <w:rPr>
          <w:rFonts w:ascii="Times New Roman" w:hAnsi="Times New Roman" w:cs="Times New Roman"/>
          <w:i/>
          <w:sz w:val="24"/>
        </w:rPr>
        <w:t>p</w:t>
      </w:r>
      <w:r w:rsidR="00C37482" w:rsidRPr="00503215">
        <w:rPr>
          <w:rFonts w:ascii="Times New Roman" w:hAnsi="Times New Roman" w:cs="Times New Roman"/>
          <w:sz w:val="24"/>
        </w:rPr>
        <w:t xml:space="preserve">-value. Here, it can be seen that a </w:t>
      </w:r>
      <w:r w:rsidR="00C37482" w:rsidRPr="00C76626">
        <w:rPr>
          <w:rFonts w:ascii="Times New Roman" w:hAnsi="Times New Roman" w:cs="Times New Roman"/>
          <w:i/>
          <w:sz w:val="24"/>
        </w:rPr>
        <w:t>p</w:t>
      </w:r>
      <w:r w:rsidR="00C37482" w:rsidRPr="00503215">
        <w:rPr>
          <w:rFonts w:ascii="Times New Roman" w:hAnsi="Times New Roman" w:cs="Times New Roman"/>
          <w:sz w:val="24"/>
        </w:rPr>
        <w:t>-value of the square term for rural areas was less than 0.05, thus we sufficiently concluded that model for rural areas was unspecified.</w:t>
      </w:r>
    </w:p>
    <w:p w:rsidR="00A23238" w:rsidRDefault="00A23238" w:rsidP="005032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23238" w:rsidRDefault="00F1377F" w:rsidP="00503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1377F">
        <w:rPr>
          <w:rFonts w:ascii="Times New Roman" w:hAnsi="Times New Roman" w:cs="Times New Roman"/>
          <w:b/>
          <w:sz w:val="24"/>
        </w:rPr>
        <w:t>Model comparison using log likelihood and information criteria (AIC and BIC)</w:t>
      </w:r>
    </w:p>
    <w:p w:rsidR="0015105E" w:rsidRDefault="00F1377F" w:rsidP="005032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this exercise, we used log likelihood, AIC, and BIC produced by each model to compare amongst linear models</w:t>
      </w:r>
      <w:r w:rsidR="0015105E">
        <w:rPr>
          <w:rFonts w:ascii="Times New Roman" w:hAnsi="Times New Roman" w:cs="Times New Roman"/>
          <w:sz w:val="24"/>
        </w:rPr>
        <w:t xml:space="preserve"> and</w:t>
      </w:r>
      <w:r w:rsidR="00C766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6626">
        <w:rPr>
          <w:rFonts w:ascii="Times New Roman" w:hAnsi="Times New Roman" w:cs="Times New Roman"/>
          <w:sz w:val="24"/>
        </w:rPr>
        <w:t>probit</w:t>
      </w:r>
      <w:proofErr w:type="spellEnd"/>
      <w:r>
        <w:rPr>
          <w:rFonts w:ascii="Times New Roman" w:hAnsi="Times New Roman" w:cs="Times New Roman"/>
          <w:sz w:val="24"/>
        </w:rPr>
        <w:t xml:space="preserve"> models </w:t>
      </w:r>
      <w:r w:rsidR="0015105E">
        <w:rPr>
          <w:rFonts w:ascii="Times New Roman" w:hAnsi="Times New Roman" w:cs="Times New Roman"/>
          <w:sz w:val="24"/>
        </w:rPr>
        <w:t>(either using having at least one NCD or multi-morbidity as a dependent variable)</w:t>
      </w:r>
      <w:r w:rsidR="004E3D1B">
        <w:rPr>
          <w:rFonts w:ascii="Times New Roman" w:hAnsi="Times New Roman" w:cs="Times New Roman"/>
          <w:sz w:val="24"/>
        </w:rPr>
        <w:t xml:space="preserve">. Models with higher values in log likelihood and lower values in AIC and BIC were preferred. </w:t>
      </w:r>
      <w:r w:rsidR="00C76626">
        <w:rPr>
          <w:rFonts w:ascii="Times New Roman" w:hAnsi="Times New Roman" w:cs="Times New Roman"/>
          <w:sz w:val="24"/>
        </w:rPr>
        <w:t xml:space="preserve">The results showed </w:t>
      </w:r>
      <w:bookmarkStart w:id="0" w:name="_GoBack"/>
      <w:bookmarkEnd w:id="0"/>
      <w:r w:rsidR="00C76626">
        <w:rPr>
          <w:rFonts w:ascii="Times New Roman" w:hAnsi="Times New Roman" w:cs="Times New Roman"/>
          <w:sz w:val="24"/>
        </w:rPr>
        <w:t xml:space="preserve">strong evidence in </w:t>
      </w:r>
      <w:proofErr w:type="spellStart"/>
      <w:r w:rsidR="00C76626">
        <w:rPr>
          <w:rFonts w:ascii="Times New Roman" w:hAnsi="Times New Roman" w:cs="Times New Roman"/>
          <w:sz w:val="24"/>
        </w:rPr>
        <w:t>favour</w:t>
      </w:r>
      <w:proofErr w:type="spellEnd"/>
      <w:r w:rsidR="00C76626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C76626">
        <w:rPr>
          <w:rFonts w:ascii="Times New Roman" w:hAnsi="Times New Roman" w:cs="Times New Roman"/>
          <w:sz w:val="24"/>
        </w:rPr>
        <w:t>probit</w:t>
      </w:r>
      <w:proofErr w:type="spellEnd"/>
      <w:r w:rsidR="00C76626">
        <w:rPr>
          <w:rFonts w:ascii="Times New Roman" w:hAnsi="Times New Roman" w:cs="Times New Roman"/>
          <w:sz w:val="24"/>
        </w:rPr>
        <w:t xml:space="preserve"> models </w:t>
      </w:r>
      <w:r w:rsidR="009406D4">
        <w:rPr>
          <w:rFonts w:ascii="Times New Roman" w:hAnsi="Times New Roman" w:cs="Times New Roman"/>
          <w:sz w:val="24"/>
        </w:rPr>
        <w:t>that used</w:t>
      </w:r>
      <w:r w:rsidR="00C76626">
        <w:rPr>
          <w:rFonts w:ascii="Times New Roman" w:hAnsi="Times New Roman" w:cs="Times New Roman"/>
          <w:sz w:val="24"/>
        </w:rPr>
        <w:t xml:space="preserve"> having at least one NCD as a dependent variable. </w:t>
      </w:r>
      <w:r w:rsidR="0041686B">
        <w:rPr>
          <w:rFonts w:ascii="Times New Roman" w:hAnsi="Times New Roman" w:cs="Times New Roman"/>
          <w:sz w:val="24"/>
        </w:rPr>
        <w:t>Thus, we concluded that those models were the best-fitting ones.</w:t>
      </w:r>
    </w:p>
    <w:p w:rsidR="0015105E" w:rsidRDefault="0015105E" w:rsidP="00503215">
      <w:pPr>
        <w:spacing w:after="0" w:line="360" w:lineRule="auto"/>
        <w:jc w:val="both"/>
        <w:rPr>
          <w:rFonts w:ascii="Times New Roman" w:hAnsi="Times New Roman" w:cs="Times New Roman"/>
          <w:sz w:val="24"/>
        </w:rPr>
        <w:sectPr w:rsidR="0015105E"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1701"/>
        <w:gridCol w:w="1188"/>
        <w:gridCol w:w="1258"/>
        <w:gridCol w:w="1773"/>
        <w:gridCol w:w="1260"/>
        <w:gridCol w:w="1255"/>
      </w:tblGrid>
      <w:tr w:rsidR="0015105E" w:rsidTr="004E3D1B">
        <w:tc>
          <w:tcPr>
            <w:tcW w:w="4532" w:type="dxa"/>
            <w:vMerge w:val="restart"/>
            <w:tcBorders>
              <w:top w:val="single" w:sz="4" w:space="0" w:color="auto"/>
            </w:tcBorders>
            <w:vAlign w:val="center"/>
          </w:tcPr>
          <w:p w:rsidR="0015105E" w:rsidRPr="0015105E" w:rsidRDefault="0015105E" w:rsidP="00151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05E">
              <w:rPr>
                <w:rFonts w:ascii="Times New Roman" w:hAnsi="Times New Roman" w:cs="Times New Roman"/>
                <w:b/>
                <w:sz w:val="24"/>
              </w:rPr>
              <w:lastRenderedPageBreak/>
              <w:t>Model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105E" w:rsidRPr="0015105E" w:rsidRDefault="0015105E" w:rsidP="00151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05E">
              <w:rPr>
                <w:rFonts w:ascii="Times New Roman" w:hAnsi="Times New Roman" w:cs="Times New Roman"/>
                <w:b/>
                <w:sz w:val="24"/>
              </w:rPr>
              <w:t>Urban areas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105E" w:rsidRPr="0015105E" w:rsidRDefault="0015105E" w:rsidP="00151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05E">
              <w:rPr>
                <w:rFonts w:ascii="Times New Roman" w:hAnsi="Times New Roman" w:cs="Times New Roman"/>
                <w:b/>
                <w:sz w:val="24"/>
              </w:rPr>
              <w:t>Rural areas</w:t>
            </w:r>
          </w:p>
        </w:tc>
      </w:tr>
      <w:tr w:rsidR="004E3D1B" w:rsidTr="004E3D1B">
        <w:tc>
          <w:tcPr>
            <w:tcW w:w="4532" w:type="dxa"/>
            <w:vMerge/>
            <w:tcBorders>
              <w:bottom w:val="single" w:sz="4" w:space="0" w:color="auto"/>
            </w:tcBorders>
          </w:tcPr>
          <w:p w:rsidR="0015105E" w:rsidRDefault="0015105E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105E" w:rsidRPr="0015105E" w:rsidRDefault="0015105E" w:rsidP="00151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05E">
              <w:rPr>
                <w:rFonts w:ascii="Times New Roman" w:hAnsi="Times New Roman" w:cs="Times New Roman"/>
                <w:b/>
                <w:sz w:val="24"/>
              </w:rPr>
              <w:t>Log likelihood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15105E" w:rsidRPr="0015105E" w:rsidRDefault="0015105E" w:rsidP="00151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05E">
              <w:rPr>
                <w:rFonts w:ascii="Times New Roman" w:hAnsi="Times New Roman" w:cs="Times New Roman"/>
                <w:b/>
                <w:sz w:val="24"/>
              </w:rPr>
              <w:t>AIC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15105E" w:rsidRPr="0015105E" w:rsidRDefault="0015105E" w:rsidP="00151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05E">
              <w:rPr>
                <w:rFonts w:ascii="Times New Roman" w:hAnsi="Times New Roman" w:cs="Times New Roman"/>
                <w:b/>
                <w:sz w:val="24"/>
              </w:rPr>
              <w:t>BIC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15105E" w:rsidRPr="0015105E" w:rsidRDefault="0015105E" w:rsidP="00151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05E">
              <w:rPr>
                <w:rFonts w:ascii="Times New Roman" w:hAnsi="Times New Roman" w:cs="Times New Roman"/>
                <w:b/>
                <w:sz w:val="24"/>
              </w:rPr>
              <w:t>Log likelihood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5105E" w:rsidRPr="0015105E" w:rsidRDefault="0015105E" w:rsidP="00151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05E">
              <w:rPr>
                <w:rFonts w:ascii="Times New Roman" w:hAnsi="Times New Roman" w:cs="Times New Roman"/>
                <w:b/>
                <w:sz w:val="24"/>
              </w:rPr>
              <w:t>AIC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15105E" w:rsidRPr="0015105E" w:rsidRDefault="0015105E" w:rsidP="00151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05E">
              <w:rPr>
                <w:rFonts w:ascii="Times New Roman" w:hAnsi="Times New Roman" w:cs="Times New Roman"/>
                <w:b/>
                <w:sz w:val="24"/>
              </w:rPr>
              <w:t>BIC</w:t>
            </w:r>
          </w:p>
        </w:tc>
      </w:tr>
      <w:tr w:rsidR="004E3D1B" w:rsidTr="004E3D1B">
        <w:tc>
          <w:tcPr>
            <w:tcW w:w="4532" w:type="dxa"/>
            <w:tcBorders>
              <w:top w:val="single" w:sz="4" w:space="0" w:color="auto"/>
            </w:tcBorders>
          </w:tcPr>
          <w:p w:rsidR="0015105E" w:rsidRDefault="0015105E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Linear regression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5105E" w:rsidRDefault="0015105E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105E">
              <w:rPr>
                <w:rFonts w:ascii="Times New Roman" w:hAnsi="Times New Roman" w:cs="Times New Roman"/>
                <w:sz w:val="24"/>
              </w:rPr>
              <w:t>-1244.747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15105E" w:rsidRDefault="0015105E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105E">
              <w:rPr>
                <w:rFonts w:ascii="Times New Roman" w:hAnsi="Times New Roman" w:cs="Times New Roman"/>
                <w:sz w:val="24"/>
              </w:rPr>
              <w:t>2549.495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15105E" w:rsidRDefault="0015105E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105E">
              <w:rPr>
                <w:rFonts w:ascii="Times New Roman" w:hAnsi="Times New Roman" w:cs="Times New Roman"/>
                <w:sz w:val="24"/>
              </w:rPr>
              <w:t>2686.155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15105E" w:rsidRDefault="0015105E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105E">
              <w:rPr>
                <w:rFonts w:ascii="Times New Roman" w:hAnsi="Times New Roman" w:cs="Times New Roman"/>
                <w:sz w:val="24"/>
              </w:rPr>
              <w:t>-3356.156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5105E" w:rsidRDefault="0015105E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105E">
              <w:rPr>
                <w:rFonts w:ascii="Times New Roman" w:hAnsi="Times New Roman" w:cs="Times New Roman"/>
                <w:sz w:val="24"/>
              </w:rPr>
              <w:t>6772.312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15105E" w:rsidRDefault="0015105E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105E">
              <w:rPr>
                <w:rFonts w:ascii="Times New Roman" w:hAnsi="Times New Roman" w:cs="Times New Roman"/>
                <w:sz w:val="24"/>
              </w:rPr>
              <w:t>6940.022</w:t>
            </w:r>
          </w:p>
        </w:tc>
      </w:tr>
      <w:tr w:rsidR="004E3D1B" w:rsidTr="004E3D1B">
        <w:tc>
          <w:tcPr>
            <w:tcW w:w="4532" w:type="dxa"/>
          </w:tcPr>
          <w:p w:rsidR="0015105E" w:rsidRDefault="00C76626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Probit</w:t>
            </w:r>
            <w:proofErr w:type="spellEnd"/>
            <w:r w:rsidR="0015105E">
              <w:rPr>
                <w:rFonts w:ascii="Times New Roman" w:hAnsi="Times New Roman" w:cs="Times New Roman"/>
                <w:sz w:val="24"/>
              </w:rPr>
              <w:t xml:space="preserve"> model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="0015105E">
              <w:rPr>
                <w:rFonts w:ascii="Times New Roman" w:hAnsi="Times New Roman" w:cs="Times New Roman"/>
                <w:sz w:val="24"/>
              </w:rPr>
              <w:t xml:space="preserve"> – Having at least one NCD</w:t>
            </w:r>
          </w:p>
        </w:tc>
        <w:tc>
          <w:tcPr>
            <w:tcW w:w="1702" w:type="dxa"/>
          </w:tcPr>
          <w:p w:rsidR="0015105E" w:rsidRPr="004E3D1B" w:rsidRDefault="004E3D1B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E3D1B">
              <w:rPr>
                <w:rFonts w:ascii="Times New Roman" w:hAnsi="Times New Roman" w:cs="Times New Roman"/>
                <w:sz w:val="24"/>
              </w:rPr>
              <w:t>-354.0723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a</w:t>
            </w:r>
          </w:p>
        </w:tc>
        <w:tc>
          <w:tcPr>
            <w:tcW w:w="1169" w:type="dxa"/>
          </w:tcPr>
          <w:p w:rsidR="0015105E" w:rsidRPr="004E3D1B" w:rsidRDefault="004E3D1B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E3D1B">
              <w:rPr>
                <w:rFonts w:ascii="Times New Roman" w:hAnsi="Times New Roman" w:cs="Times New Roman"/>
                <w:sz w:val="24"/>
              </w:rPr>
              <w:t>768.1446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a</w:t>
            </w:r>
          </w:p>
        </w:tc>
        <w:tc>
          <w:tcPr>
            <w:tcW w:w="1258" w:type="dxa"/>
          </w:tcPr>
          <w:p w:rsidR="0015105E" w:rsidRPr="004E3D1B" w:rsidRDefault="004E3D1B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E3D1B">
              <w:rPr>
                <w:rFonts w:ascii="Times New Roman" w:hAnsi="Times New Roman" w:cs="Times New Roman"/>
                <w:sz w:val="24"/>
              </w:rPr>
              <w:t>904.8053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a</w:t>
            </w:r>
          </w:p>
        </w:tc>
        <w:tc>
          <w:tcPr>
            <w:tcW w:w="1774" w:type="dxa"/>
          </w:tcPr>
          <w:p w:rsidR="0015105E" w:rsidRPr="004E3D1B" w:rsidRDefault="004E3D1B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E3D1B">
              <w:rPr>
                <w:rFonts w:ascii="Times New Roman" w:hAnsi="Times New Roman" w:cs="Times New Roman"/>
                <w:sz w:val="24"/>
              </w:rPr>
              <w:t>-1109.18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a</w:t>
            </w:r>
          </w:p>
        </w:tc>
        <w:tc>
          <w:tcPr>
            <w:tcW w:w="1260" w:type="dxa"/>
          </w:tcPr>
          <w:p w:rsidR="0015105E" w:rsidRPr="004E3D1B" w:rsidRDefault="004E3D1B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E3D1B">
              <w:rPr>
                <w:rFonts w:ascii="Times New Roman" w:hAnsi="Times New Roman" w:cs="Times New Roman"/>
                <w:sz w:val="24"/>
              </w:rPr>
              <w:t>2278.359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a</w:t>
            </w:r>
          </w:p>
        </w:tc>
        <w:tc>
          <w:tcPr>
            <w:tcW w:w="1255" w:type="dxa"/>
          </w:tcPr>
          <w:p w:rsidR="0015105E" w:rsidRPr="004E3D1B" w:rsidRDefault="004E3D1B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E3D1B">
              <w:rPr>
                <w:rFonts w:ascii="Times New Roman" w:hAnsi="Times New Roman" w:cs="Times New Roman"/>
                <w:sz w:val="24"/>
              </w:rPr>
              <w:t>2446.07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a</w:t>
            </w:r>
          </w:p>
        </w:tc>
      </w:tr>
      <w:tr w:rsidR="004E3D1B" w:rsidTr="004E3D1B">
        <w:tc>
          <w:tcPr>
            <w:tcW w:w="4532" w:type="dxa"/>
            <w:tcBorders>
              <w:bottom w:val="single" w:sz="4" w:space="0" w:color="auto"/>
            </w:tcBorders>
          </w:tcPr>
          <w:p w:rsidR="0015105E" w:rsidRDefault="00C76626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Probit</w:t>
            </w:r>
            <w:proofErr w:type="spellEnd"/>
            <w:r w:rsidR="0015105E">
              <w:rPr>
                <w:rFonts w:ascii="Times New Roman" w:hAnsi="Times New Roman" w:cs="Times New Roman"/>
                <w:sz w:val="24"/>
              </w:rPr>
              <w:t xml:space="preserve"> model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="0015105E">
              <w:rPr>
                <w:rFonts w:ascii="Times New Roman" w:hAnsi="Times New Roman" w:cs="Times New Roman"/>
                <w:sz w:val="24"/>
              </w:rPr>
              <w:t xml:space="preserve"> – Multi-morbidity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5105E" w:rsidRDefault="004E3D1B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3D1B">
              <w:rPr>
                <w:rFonts w:ascii="Times New Roman" w:hAnsi="Times New Roman" w:cs="Times New Roman"/>
                <w:sz w:val="24"/>
              </w:rPr>
              <w:t>-444.3727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15105E" w:rsidRDefault="004E3D1B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3D1B">
              <w:rPr>
                <w:rFonts w:ascii="Times New Roman" w:hAnsi="Times New Roman" w:cs="Times New Roman"/>
                <w:sz w:val="24"/>
              </w:rPr>
              <w:t>948.7455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15105E" w:rsidRDefault="004E3D1B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3D1B">
              <w:rPr>
                <w:rFonts w:ascii="Times New Roman" w:hAnsi="Times New Roman" w:cs="Times New Roman"/>
                <w:sz w:val="24"/>
              </w:rPr>
              <w:t>1085.406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15105E" w:rsidRDefault="004E3D1B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3D1B">
              <w:rPr>
                <w:rFonts w:ascii="Times New Roman" w:hAnsi="Times New Roman" w:cs="Times New Roman"/>
                <w:sz w:val="24"/>
              </w:rPr>
              <w:t>-1296.012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5105E" w:rsidRDefault="004E3D1B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3D1B">
              <w:rPr>
                <w:rFonts w:ascii="Times New Roman" w:hAnsi="Times New Roman" w:cs="Times New Roman"/>
                <w:sz w:val="24"/>
              </w:rPr>
              <w:t>2652.024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15105E" w:rsidRDefault="004E3D1B" w:rsidP="001510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E3D1B">
              <w:rPr>
                <w:rFonts w:ascii="Times New Roman" w:hAnsi="Times New Roman" w:cs="Times New Roman"/>
                <w:sz w:val="24"/>
              </w:rPr>
              <w:t>2819.734</w:t>
            </w:r>
          </w:p>
        </w:tc>
      </w:tr>
    </w:tbl>
    <w:p w:rsidR="0015105E" w:rsidRPr="004E3D1B" w:rsidRDefault="004E3D1B" w:rsidP="00503215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E3D1B">
        <w:rPr>
          <w:rFonts w:ascii="Times New Roman" w:hAnsi="Times New Roman" w:cs="Times New Roman"/>
          <w:i/>
        </w:rPr>
        <w:t xml:space="preserve">Note: </w:t>
      </w:r>
      <w:proofErr w:type="spellStart"/>
      <w:r w:rsidRPr="004E3D1B">
        <w:rPr>
          <w:rFonts w:ascii="Times New Roman" w:hAnsi="Times New Roman" w:cs="Times New Roman"/>
          <w:i/>
          <w:vertAlign w:val="superscript"/>
        </w:rPr>
        <w:t>a</w:t>
      </w:r>
      <w:r w:rsidR="00B672E3">
        <w:rPr>
          <w:rFonts w:ascii="Times New Roman" w:hAnsi="Times New Roman" w:cs="Times New Roman"/>
          <w:i/>
        </w:rPr>
        <w:t>preferred</w:t>
      </w:r>
      <w:proofErr w:type="spellEnd"/>
      <w:r w:rsidR="00B672E3">
        <w:rPr>
          <w:rFonts w:ascii="Times New Roman" w:hAnsi="Times New Roman" w:cs="Times New Roman"/>
          <w:i/>
        </w:rPr>
        <w:t xml:space="preserve"> mo</w:t>
      </w:r>
      <w:r w:rsidRPr="004E3D1B">
        <w:rPr>
          <w:rFonts w:ascii="Times New Roman" w:hAnsi="Times New Roman" w:cs="Times New Roman"/>
          <w:i/>
        </w:rPr>
        <w:t>dels</w:t>
      </w:r>
    </w:p>
    <w:p w:rsidR="00F1377F" w:rsidRPr="00503215" w:rsidRDefault="00F1377F" w:rsidP="005032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37482" w:rsidRPr="00503215" w:rsidRDefault="00C37482" w:rsidP="005032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03215">
        <w:rPr>
          <w:rFonts w:ascii="Times New Roman" w:hAnsi="Times New Roman" w:cs="Times New Roman"/>
          <w:sz w:val="24"/>
        </w:rPr>
        <w:t xml:space="preserve"> </w:t>
      </w:r>
    </w:p>
    <w:p w:rsidR="00C37482" w:rsidRPr="00503215" w:rsidRDefault="00C37482" w:rsidP="00503215">
      <w:pPr>
        <w:spacing w:line="360" w:lineRule="auto"/>
        <w:rPr>
          <w:rFonts w:ascii="Times New Roman" w:hAnsi="Times New Roman" w:cs="Times New Roman"/>
          <w:sz w:val="24"/>
        </w:rPr>
      </w:pPr>
    </w:p>
    <w:sectPr w:rsidR="00C37482" w:rsidRPr="00503215" w:rsidSect="001510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875" w:rsidRDefault="00006875" w:rsidP="005E4BF3">
      <w:pPr>
        <w:spacing w:after="0" w:line="240" w:lineRule="auto"/>
      </w:pPr>
      <w:r>
        <w:separator/>
      </w:r>
    </w:p>
  </w:endnote>
  <w:endnote w:type="continuationSeparator" w:id="0">
    <w:p w:rsidR="00006875" w:rsidRDefault="00006875" w:rsidP="005E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545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1"/>
      </w:rPr>
    </w:sdtEndPr>
    <w:sdtContent>
      <w:p w:rsidR="007B6A6A" w:rsidRPr="007B6A6A" w:rsidRDefault="007B6A6A">
        <w:pPr>
          <w:pStyle w:val="Footer"/>
          <w:jc w:val="right"/>
          <w:rPr>
            <w:rFonts w:ascii="Times New Roman" w:hAnsi="Times New Roman" w:cs="Times New Roman"/>
            <w:sz w:val="21"/>
          </w:rPr>
        </w:pPr>
        <w:r w:rsidRPr="007B6A6A">
          <w:rPr>
            <w:rFonts w:ascii="Times New Roman" w:hAnsi="Times New Roman" w:cs="Times New Roman"/>
            <w:sz w:val="21"/>
          </w:rPr>
          <w:fldChar w:fldCharType="begin"/>
        </w:r>
        <w:r w:rsidRPr="007B6A6A">
          <w:rPr>
            <w:rFonts w:ascii="Times New Roman" w:hAnsi="Times New Roman" w:cs="Times New Roman"/>
            <w:sz w:val="21"/>
          </w:rPr>
          <w:instrText xml:space="preserve"> PAGE   \* MERGEFORMAT </w:instrText>
        </w:r>
        <w:r w:rsidRPr="007B6A6A">
          <w:rPr>
            <w:rFonts w:ascii="Times New Roman" w:hAnsi="Times New Roman" w:cs="Times New Roman"/>
            <w:sz w:val="21"/>
          </w:rPr>
          <w:fldChar w:fldCharType="separate"/>
        </w:r>
        <w:r w:rsidR="000928D4">
          <w:rPr>
            <w:rFonts w:ascii="Times New Roman" w:hAnsi="Times New Roman" w:cs="Times New Roman"/>
            <w:noProof/>
            <w:sz w:val="21"/>
          </w:rPr>
          <w:t>6</w:t>
        </w:r>
        <w:r w:rsidRPr="007B6A6A">
          <w:rPr>
            <w:rFonts w:ascii="Times New Roman" w:hAnsi="Times New Roman" w:cs="Times New Roman"/>
            <w:noProof/>
            <w:sz w:val="21"/>
          </w:rPr>
          <w:fldChar w:fldCharType="end"/>
        </w:r>
      </w:p>
    </w:sdtContent>
  </w:sdt>
  <w:p w:rsidR="007B6A6A" w:rsidRDefault="007B6A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875" w:rsidRDefault="00006875" w:rsidP="005E4BF3">
      <w:pPr>
        <w:spacing w:after="0" w:line="240" w:lineRule="auto"/>
      </w:pPr>
      <w:r>
        <w:separator/>
      </w:r>
    </w:p>
  </w:footnote>
  <w:footnote w:type="continuationSeparator" w:id="0">
    <w:p w:rsidR="00006875" w:rsidRDefault="00006875" w:rsidP="005E4BF3">
      <w:pPr>
        <w:spacing w:after="0" w:line="240" w:lineRule="auto"/>
      </w:pPr>
      <w:r>
        <w:continuationSeparator/>
      </w:r>
    </w:p>
  </w:footnote>
  <w:footnote w:id="1">
    <w:p w:rsidR="005E4BF3" w:rsidRPr="005E4BF3" w:rsidRDefault="005E4B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E4BF3">
        <w:rPr>
          <w:rFonts w:ascii="Times New Roman" w:hAnsi="Times New Roman" w:cs="Times New Roman"/>
        </w:rPr>
        <w:t xml:space="preserve">Deb, P., Norton, E. C., Manning, W. G. (2017). </w:t>
      </w:r>
      <w:r w:rsidRPr="005E4BF3">
        <w:rPr>
          <w:rFonts w:ascii="Times New Roman" w:hAnsi="Times New Roman" w:cs="Times New Roman"/>
          <w:i/>
        </w:rPr>
        <w:t>Health econometrics using Stata</w:t>
      </w:r>
      <w:r w:rsidRPr="005E4BF3">
        <w:rPr>
          <w:rFonts w:ascii="Times New Roman" w:hAnsi="Times New Roman" w:cs="Times New Roman"/>
        </w:rPr>
        <w:t>. College Station, TX: Stata Press.</w:t>
      </w:r>
    </w:p>
  </w:footnote>
  <w:footnote w:id="2">
    <w:p w:rsidR="005E4BF3" w:rsidRPr="005E4BF3" w:rsidRDefault="005E4BF3">
      <w:pPr>
        <w:pStyle w:val="FootnoteText"/>
        <w:rPr>
          <w:sz w:val="14"/>
        </w:rPr>
      </w:pPr>
      <w:r>
        <w:rPr>
          <w:rStyle w:val="FootnoteReference"/>
        </w:rPr>
        <w:footnoteRef/>
      </w:r>
      <w:r>
        <w:t xml:space="preserve"> </w:t>
      </w:r>
      <w:r w:rsidRPr="005E4BF3">
        <w:rPr>
          <w:rFonts w:ascii="Times New Roman" w:hAnsi="Times New Roman" w:cs="Times New Roman"/>
          <w:noProof/>
          <w:szCs w:val="24"/>
        </w:rPr>
        <w:t xml:space="preserve">Pregibon, D. (1980). Goodness of link tests for generalized linear models. </w:t>
      </w:r>
      <w:r w:rsidRPr="005E4BF3">
        <w:rPr>
          <w:rFonts w:ascii="Times New Roman" w:hAnsi="Times New Roman" w:cs="Times New Roman"/>
          <w:i/>
          <w:noProof/>
          <w:szCs w:val="24"/>
        </w:rPr>
        <w:t>Journal of Royal Statistical Society, 29</w:t>
      </w:r>
      <w:r w:rsidRPr="005E4BF3">
        <w:rPr>
          <w:rFonts w:ascii="Times New Roman" w:hAnsi="Times New Roman" w:cs="Times New Roman"/>
          <w:noProof/>
          <w:szCs w:val="24"/>
        </w:rPr>
        <w:t>(1), 15-23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2239"/>
    <w:multiLevelType w:val="multilevel"/>
    <w:tmpl w:val="3B92CA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75D71DA"/>
    <w:multiLevelType w:val="hybridMultilevel"/>
    <w:tmpl w:val="6B8A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D0BBF"/>
    <w:multiLevelType w:val="multilevel"/>
    <w:tmpl w:val="D7BCEE2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1B"/>
    <w:rsid w:val="00006875"/>
    <w:rsid w:val="000928D4"/>
    <w:rsid w:val="000D5B2F"/>
    <w:rsid w:val="00147E6E"/>
    <w:rsid w:val="0015105E"/>
    <w:rsid w:val="00370F4C"/>
    <w:rsid w:val="0041686B"/>
    <w:rsid w:val="004E3D1B"/>
    <w:rsid w:val="00503215"/>
    <w:rsid w:val="005E4BF3"/>
    <w:rsid w:val="006442A6"/>
    <w:rsid w:val="006506A7"/>
    <w:rsid w:val="00654F31"/>
    <w:rsid w:val="007B6A6A"/>
    <w:rsid w:val="00901536"/>
    <w:rsid w:val="009406D4"/>
    <w:rsid w:val="00A23238"/>
    <w:rsid w:val="00A43016"/>
    <w:rsid w:val="00B2491B"/>
    <w:rsid w:val="00B672E3"/>
    <w:rsid w:val="00C37482"/>
    <w:rsid w:val="00C76626"/>
    <w:rsid w:val="00F1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B1C1E-7504-4878-B45E-064A6866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9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E4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4B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4BF3"/>
    <w:rPr>
      <w:vertAlign w:val="superscript"/>
    </w:rPr>
  </w:style>
  <w:style w:type="table" w:styleId="TableGrid">
    <w:name w:val="Table Grid"/>
    <w:basedOn w:val="TableNormal"/>
    <w:uiPriority w:val="39"/>
    <w:rsid w:val="0015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A6A"/>
  </w:style>
  <w:style w:type="paragraph" w:styleId="Footer">
    <w:name w:val="footer"/>
    <w:basedOn w:val="Normal"/>
    <w:link w:val="FooterChar"/>
    <w:uiPriority w:val="99"/>
    <w:unhideWhenUsed/>
    <w:rsid w:val="007B6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23079-E701-418A-A033-4C98D35A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2019-09-04T09:01:00Z</dcterms:created>
  <dcterms:modified xsi:type="dcterms:W3CDTF">2019-09-18T18:25:00Z</dcterms:modified>
</cp:coreProperties>
</file>