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3B" w:rsidRPr="00983369" w:rsidRDefault="00983369" w:rsidP="004E2E06">
      <w:pPr>
        <w:rPr>
          <w:b/>
          <w:sz w:val="22"/>
          <w:szCs w:val="22"/>
        </w:rPr>
      </w:pPr>
      <w:bookmarkStart w:id="0" w:name="_GoBack"/>
      <w:bookmarkEnd w:id="0"/>
      <w:r>
        <w:rPr>
          <w:b/>
          <w:sz w:val="22"/>
          <w:szCs w:val="22"/>
        </w:rPr>
        <w:t>&lt;H1&gt;</w:t>
      </w:r>
      <w:r w:rsidR="00BF013B" w:rsidRPr="00983369">
        <w:rPr>
          <w:b/>
          <w:sz w:val="22"/>
          <w:szCs w:val="22"/>
        </w:rPr>
        <w:t>Appendix A</w:t>
      </w:r>
    </w:p>
    <w:p w:rsidR="00BF013B" w:rsidRDefault="00BF013B" w:rsidP="004E2E06">
      <w:pPr>
        <w:rPr>
          <w:sz w:val="22"/>
          <w:szCs w:val="22"/>
        </w:rPr>
      </w:pPr>
    </w:p>
    <w:p w:rsidR="00BF013B" w:rsidRDefault="00BF013B" w:rsidP="004E2E06">
      <w:pPr>
        <w:outlineLvl w:val="0"/>
        <w:rPr>
          <w:sz w:val="22"/>
          <w:szCs w:val="22"/>
        </w:rPr>
      </w:pPr>
      <w:r w:rsidRPr="004E2E06">
        <w:rPr>
          <w:sz w:val="22"/>
          <w:szCs w:val="22"/>
        </w:rPr>
        <w:t>Appendix Table A1</w:t>
      </w:r>
      <w:r w:rsidRPr="00A430AB">
        <w:rPr>
          <w:sz w:val="22"/>
          <w:szCs w:val="22"/>
        </w:rPr>
        <w:t xml:space="preserve"> Regions </w:t>
      </w:r>
      <w:r w:rsidR="00983369" w:rsidRPr="00A430AB">
        <w:rPr>
          <w:sz w:val="22"/>
          <w:szCs w:val="22"/>
        </w:rPr>
        <w:t>responsible for trends in within-region variance</w:t>
      </w:r>
    </w:p>
    <w:p w:rsidR="008470F8" w:rsidRPr="00A430AB" w:rsidRDefault="008470F8" w:rsidP="004E2E06">
      <w:pPr>
        <w:outlineLvl w:val="0"/>
        <w:rPr>
          <w:sz w:val="22"/>
          <w:szCs w:val="22"/>
        </w:rPr>
      </w:pPr>
    </w:p>
    <w:tbl>
      <w:tblPr>
        <w:tblStyle w:val="TableGrid"/>
        <w:tblW w:w="1009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360"/>
        <w:gridCol w:w="2004"/>
        <w:gridCol w:w="1353"/>
        <w:gridCol w:w="1351"/>
        <w:gridCol w:w="1351"/>
        <w:gridCol w:w="1681"/>
        <w:gridCol w:w="806"/>
      </w:tblGrid>
      <w:tr w:rsidR="00BF013B" w:rsidRPr="00A430AB" w:rsidTr="008470F8">
        <w:trPr>
          <w:gridAfter w:val="1"/>
          <w:wAfter w:w="806" w:type="dxa"/>
        </w:trPr>
        <w:tc>
          <w:tcPr>
            <w:tcW w:w="1548" w:type="dxa"/>
            <w:gridSpan w:val="2"/>
            <w:tcBorders>
              <w:top w:val="nil"/>
              <w:left w:val="nil"/>
              <w:bottom w:val="single" w:sz="4" w:space="0" w:color="auto"/>
              <w:right w:val="nil"/>
            </w:tcBorders>
          </w:tcPr>
          <w:p w:rsidR="00BF013B" w:rsidRPr="00A430AB" w:rsidRDefault="00BF013B" w:rsidP="004E2E06">
            <w:pPr>
              <w:rPr>
                <w:sz w:val="22"/>
                <w:szCs w:val="22"/>
              </w:rPr>
            </w:pPr>
          </w:p>
        </w:tc>
        <w:tc>
          <w:tcPr>
            <w:tcW w:w="2004" w:type="dxa"/>
            <w:tcBorders>
              <w:top w:val="nil"/>
              <w:left w:val="nil"/>
              <w:bottom w:val="single" w:sz="4" w:space="0" w:color="auto"/>
              <w:right w:val="nil"/>
            </w:tcBorders>
          </w:tcPr>
          <w:p w:rsidR="00BF013B" w:rsidRPr="00A430AB" w:rsidRDefault="00BF013B" w:rsidP="004E2E06">
            <w:pPr>
              <w:jc w:val="center"/>
              <w:rPr>
                <w:sz w:val="22"/>
                <w:szCs w:val="22"/>
              </w:rPr>
            </w:pPr>
          </w:p>
        </w:tc>
        <w:tc>
          <w:tcPr>
            <w:tcW w:w="1353" w:type="dxa"/>
            <w:tcBorders>
              <w:top w:val="nil"/>
              <w:left w:val="nil"/>
              <w:bottom w:val="single" w:sz="4" w:space="0" w:color="auto"/>
              <w:right w:val="nil"/>
            </w:tcBorders>
            <w:hideMark/>
          </w:tcPr>
          <w:p w:rsidR="00BF013B" w:rsidRPr="00A430AB" w:rsidRDefault="00BF013B" w:rsidP="004E2E06">
            <w:pPr>
              <w:jc w:val="center"/>
              <w:rPr>
                <w:sz w:val="22"/>
                <w:szCs w:val="22"/>
              </w:rPr>
            </w:pPr>
            <w:r w:rsidRPr="00A430AB">
              <w:rPr>
                <w:sz w:val="22"/>
                <w:szCs w:val="22"/>
              </w:rPr>
              <w:t>1940</w:t>
            </w:r>
          </w:p>
        </w:tc>
        <w:tc>
          <w:tcPr>
            <w:tcW w:w="1351" w:type="dxa"/>
            <w:tcBorders>
              <w:top w:val="nil"/>
              <w:left w:val="nil"/>
              <w:bottom w:val="single" w:sz="4" w:space="0" w:color="auto"/>
              <w:right w:val="nil"/>
            </w:tcBorders>
            <w:hideMark/>
          </w:tcPr>
          <w:p w:rsidR="00BF013B" w:rsidRPr="00A430AB" w:rsidRDefault="00BF013B" w:rsidP="004E2E06">
            <w:pPr>
              <w:jc w:val="center"/>
              <w:rPr>
                <w:sz w:val="22"/>
                <w:szCs w:val="22"/>
              </w:rPr>
            </w:pPr>
            <w:r w:rsidRPr="00A430AB">
              <w:rPr>
                <w:sz w:val="22"/>
                <w:szCs w:val="22"/>
              </w:rPr>
              <w:t>2010</w:t>
            </w:r>
          </w:p>
        </w:tc>
        <w:tc>
          <w:tcPr>
            <w:tcW w:w="1351" w:type="dxa"/>
            <w:tcBorders>
              <w:top w:val="nil"/>
              <w:left w:val="nil"/>
              <w:bottom w:val="single" w:sz="4" w:space="0" w:color="auto"/>
              <w:right w:val="nil"/>
            </w:tcBorders>
            <w:hideMark/>
          </w:tcPr>
          <w:p w:rsidR="00BF013B" w:rsidRPr="00A430AB" w:rsidRDefault="00BF013B" w:rsidP="004E2E06">
            <w:pPr>
              <w:jc w:val="center"/>
              <w:rPr>
                <w:sz w:val="22"/>
                <w:szCs w:val="22"/>
              </w:rPr>
            </w:pPr>
            <w:r w:rsidRPr="00A430AB">
              <w:rPr>
                <w:sz w:val="22"/>
                <w:szCs w:val="22"/>
              </w:rPr>
              <w:t>1940-2010 Change</w:t>
            </w:r>
          </w:p>
        </w:tc>
        <w:tc>
          <w:tcPr>
            <w:tcW w:w="1681" w:type="dxa"/>
            <w:tcBorders>
              <w:top w:val="nil"/>
              <w:left w:val="nil"/>
              <w:bottom w:val="single" w:sz="4" w:space="0" w:color="auto"/>
              <w:right w:val="nil"/>
            </w:tcBorders>
          </w:tcPr>
          <w:p w:rsidR="00BF013B" w:rsidRPr="00A430AB" w:rsidRDefault="00BF013B" w:rsidP="004E2E06">
            <w:pPr>
              <w:jc w:val="center"/>
              <w:rPr>
                <w:sz w:val="22"/>
                <w:szCs w:val="22"/>
              </w:rPr>
            </w:pPr>
            <w:r w:rsidRPr="00A430AB">
              <w:rPr>
                <w:sz w:val="22"/>
                <w:szCs w:val="22"/>
              </w:rPr>
              <w:t>% of Within-Region Trend</w:t>
            </w:r>
          </w:p>
        </w:tc>
      </w:tr>
      <w:tr w:rsidR="00BF013B" w:rsidRPr="00A430AB" w:rsidTr="00CE38E0">
        <w:trPr>
          <w:gridAfter w:val="1"/>
          <w:wAfter w:w="806" w:type="dxa"/>
        </w:trPr>
        <w:tc>
          <w:tcPr>
            <w:tcW w:w="1548" w:type="dxa"/>
            <w:gridSpan w:val="2"/>
            <w:tcBorders>
              <w:top w:val="single" w:sz="4" w:space="0" w:color="auto"/>
              <w:left w:val="nil"/>
              <w:bottom w:val="single" w:sz="4" w:space="0" w:color="auto"/>
              <w:right w:val="nil"/>
            </w:tcBorders>
            <w:hideMark/>
          </w:tcPr>
          <w:p w:rsidR="00BF013B" w:rsidRPr="00A430AB" w:rsidRDefault="00BF013B" w:rsidP="004E2E06">
            <w:pPr>
              <w:rPr>
                <w:i/>
                <w:sz w:val="22"/>
                <w:szCs w:val="22"/>
              </w:rPr>
            </w:pPr>
            <w:r w:rsidRPr="00A430AB">
              <w:rPr>
                <w:i/>
                <w:sz w:val="22"/>
                <w:szCs w:val="22"/>
              </w:rPr>
              <w:t>Exclusion</w:t>
            </w:r>
          </w:p>
        </w:tc>
        <w:tc>
          <w:tcPr>
            <w:tcW w:w="2004"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353"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35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35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68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r>
      <w:tr w:rsidR="00BF013B" w:rsidRPr="00A430AB" w:rsidTr="00CE38E0">
        <w:trPr>
          <w:gridAfter w:val="1"/>
          <w:wAfter w:w="806" w:type="dxa"/>
        </w:trPr>
        <w:tc>
          <w:tcPr>
            <w:tcW w:w="3552" w:type="dxa"/>
            <w:gridSpan w:val="3"/>
            <w:tcBorders>
              <w:top w:val="single" w:sz="4" w:space="0" w:color="auto"/>
              <w:left w:val="nil"/>
              <w:bottom w:val="nil"/>
              <w:right w:val="nil"/>
            </w:tcBorders>
            <w:hideMark/>
          </w:tcPr>
          <w:p w:rsidR="00BF013B" w:rsidRPr="00A430AB" w:rsidRDefault="00BF013B" w:rsidP="004E2E06">
            <w:pPr>
              <w:rPr>
                <w:sz w:val="22"/>
                <w:szCs w:val="22"/>
              </w:rPr>
            </w:pPr>
            <w:r w:rsidRPr="00A430AB">
              <w:rPr>
                <w:sz w:val="22"/>
                <w:szCs w:val="22"/>
              </w:rPr>
              <w:t>Full-time Employment Gap</w:t>
            </w:r>
          </w:p>
        </w:tc>
        <w:tc>
          <w:tcPr>
            <w:tcW w:w="1353"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681" w:type="dxa"/>
            <w:tcBorders>
              <w:top w:val="single" w:sz="4" w:space="0" w:color="auto"/>
              <w:left w:val="nil"/>
              <w:bottom w:val="nil"/>
              <w:right w:val="nil"/>
            </w:tcBorders>
          </w:tcPr>
          <w:p w:rsidR="00BF013B" w:rsidRPr="00A430AB" w:rsidRDefault="00BF013B" w:rsidP="004E2E06">
            <w:pPr>
              <w:jc w:val="center"/>
              <w:rPr>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All Regions</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2.01</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0.23</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1.78</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West</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0.03</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0.97</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54%</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North</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0.57</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0.06</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0.51</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29%</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tcPr>
          <w:p w:rsidR="00BF013B" w:rsidRPr="00A430AB" w:rsidRDefault="00BF013B" w:rsidP="004E2E06">
            <w:pPr>
              <w:jc w:val="center"/>
              <w:rPr>
                <w:sz w:val="22"/>
                <w:szCs w:val="22"/>
              </w:rPr>
            </w:pPr>
            <w:r w:rsidRPr="00A430AB">
              <w:rPr>
                <w:sz w:val="22"/>
                <w:szCs w:val="22"/>
              </w:rPr>
              <w:t>Midwest</w:t>
            </w:r>
          </w:p>
        </w:tc>
        <w:tc>
          <w:tcPr>
            <w:tcW w:w="1353"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0.34</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0.06</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0.28</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16%</w:t>
            </w:r>
          </w:p>
        </w:tc>
      </w:tr>
      <w:tr w:rsidR="00BF013B" w:rsidRPr="00A430AB" w:rsidTr="00CE38E0">
        <w:trPr>
          <w:gridAfter w:val="1"/>
          <w:wAfter w:w="806" w:type="dxa"/>
        </w:trPr>
        <w:tc>
          <w:tcPr>
            <w:tcW w:w="1188" w:type="dxa"/>
            <w:tcBorders>
              <w:top w:val="nil"/>
              <w:left w:val="nil"/>
              <w:bottom w:val="single" w:sz="4" w:space="0" w:color="auto"/>
              <w:right w:val="nil"/>
            </w:tcBorders>
          </w:tcPr>
          <w:p w:rsidR="00BF013B" w:rsidRPr="00A430AB" w:rsidRDefault="00BF013B" w:rsidP="004E2E06">
            <w:pPr>
              <w:rPr>
                <w:sz w:val="22"/>
                <w:szCs w:val="22"/>
              </w:rPr>
            </w:pPr>
          </w:p>
        </w:tc>
        <w:tc>
          <w:tcPr>
            <w:tcW w:w="2364" w:type="dxa"/>
            <w:gridSpan w:val="2"/>
            <w:tcBorders>
              <w:top w:val="nil"/>
              <w:left w:val="nil"/>
              <w:bottom w:val="single" w:sz="4" w:space="0" w:color="auto"/>
              <w:right w:val="nil"/>
            </w:tcBorders>
          </w:tcPr>
          <w:p w:rsidR="00BF013B" w:rsidRPr="00A430AB" w:rsidRDefault="00BF013B" w:rsidP="004E2E06">
            <w:pPr>
              <w:jc w:val="center"/>
              <w:rPr>
                <w:sz w:val="22"/>
                <w:szCs w:val="22"/>
              </w:rPr>
            </w:pPr>
            <w:r w:rsidRPr="00A430AB">
              <w:rPr>
                <w:sz w:val="22"/>
                <w:szCs w:val="22"/>
              </w:rPr>
              <w:t>South</w:t>
            </w:r>
          </w:p>
        </w:tc>
        <w:tc>
          <w:tcPr>
            <w:tcW w:w="1353"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0.1</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0.08</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0.02</w:t>
            </w:r>
          </w:p>
        </w:tc>
        <w:tc>
          <w:tcPr>
            <w:tcW w:w="168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w:t>
            </w:r>
          </w:p>
        </w:tc>
      </w:tr>
      <w:tr w:rsidR="00BF013B" w:rsidRPr="00A430AB" w:rsidTr="00CE38E0">
        <w:tc>
          <w:tcPr>
            <w:tcW w:w="3552" w:type="dxa"/>
            <w:gridSpan w:val="3"/>
            <w:tcBorders>
              <w:top w:val="single" w:sz="4" w:space="0" w:color="auto"/>
              <w:left w:val="nil"/>
              <w:bottom w:val="nil"/>
              <w:right w:val="nil"/>
            </w:tcBorders>
            <w:hideMark/>
          </w:tcPr>
          <w:p w:rsidR="00BF013B" w:rsidRPr="00A430AB" w:rsidRDefault="00BF013B" w:rsidP="004E2E06">
            <w:pPr>
              <w:rPr>
                <w:sz w:val="22"/>
                <w:szCs w:val="22"/>
              </w:rPr>
            </w:pPr>
            <w:r w:rsidRPr="00A430AB">
              <w:rPr>
                <w:sz w:val="22"/>
                <w:szCs w:val="22"/>
              </w:rPr>
              <w:t>Home Ownership Gap</w:t>
            </w:r>
          </w:p>
        </w:tc>
        <w:tc>
          <w:tcPr>
            <w:tcW w:w="1353"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681" w:type="dxa"/>
            <w:tcBorders>
              <w:top w:val="nil"/>
              <w:left w:val="nil"/>
              <w:bottom w:val="nil"/>
              <w:right w:val="nil"/>
            </w:tcBorders>
          </w:tcPr>
          <w:p w:rsidR="00BF013B" w:rsidRPr="00A430AB" w:rsidRDefault="00BF013B" w:rsidP="004E2E06">
            <w:pPr>
              <w:jc w:val="center"/>
              <w:rPr>
                <w:sz w:val="22"/>
                <w:szCs w:val="22"/>
              </w:rPr>
            </w:pPr>
          </w:p>
        </w:tc>
        <w:tc>
          <w:tcPr>
            <w:tcW w:w="806" w:type="dxa"/>
            <w:tcBorders>
              <w:top w:val="nil"/>
              <w:left w:val="nil"/>
              <w:bottom w:val="nil"/>
              <w:right w:val="nil"/>
            </w:tcBorders>
          </w:tcPr>
          <w:p w:rsidR="00BF013B" w:rsidRPr="00A430AB" w:rsidRDefault="00BF013B" w:rsidP="004E2E06">
            <w:pPr>
              <w:rPr>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All Regions</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11.9</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2.43</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9.47</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West</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2.95</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0.37</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2.58</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27%</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North</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3.91</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0.6</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3.31</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35%</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tcPr>
          <w:p w:rsidR="00BF013B" w:rsidRPr="00A430AB" w:rsidRDefault="00BF013B" w:rsidP="004E2E06">
            <w:pPr>
              <w:jc w:val="center"/>
              <w:rPr>
                <w:sz w:val="22"/>
                <w:szCs w:val="22"/>
              </w:rPr>
            </w:pPr>
            <w:r w:rsidRPr="00A430AB">
              <w:rPr>
                <w:sz w:val="22"/>
                <w:szCs w:val="22"/>
              </w:rPr>
              <w:t>Midwest</w:t>
            </w:r>
          </w:p>
        </w:tc>
        <w:tc>
          <w:tcPr>
            <w:tcW w:w="1353"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3.62</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1.31</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2.31</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24%</w:t>
            </w:r>
          </w:p>
        </w:tc>
      </w:tr>
      <w:tr w:rsidR="00BF013B" w:rsidRPr="00A430AB" w:rsidTr="00CE38E0">
        <w:trPr>
          <w:gridAfter w:val="1"/>
          <w:wAfter w:w="806" w:type="dxa"/>
        </w:trPr>
        <w:tc>
          <w:tcPr>
            <w:tcW w:w="1188" w:type="dxa"/>
            <w:tcBorders>
              <w:top w:val="nil"/>
              <w:left w:val="nil"/>
              <w:bottom w:val="single" w:sz="4" w:space="0" w:color="auto"/>
              <w:right w:val="nil"/>
            </w:tcBorders>
          </w:tcPr>
          <w:p w:rsidR="00BF013B" w:rsidRPr="00A430AB" w:rsidRDefault="00BF013B" w:rsidP="004E2E06">
            <w:pPr>
              <w:rPr>
                <w:sz w:val="22"/>
                <w:szCs w:val="22"/>
              </w:rPr>
            </w:pPr>
          </w:p>
        </w:tc>
        <w:tc>
          <w:tcPr>
            <w:tcW w:w="2364" w:type="dxa"/>
            <w:gridSpan w:val="2"/>
            <w:tcBorders>
              <w:top w:val="nil"/>
              <w:left w:val="nil"/>
              <w:bottom w:val="single" w:sz="4" w:space="0" w:color="auto"/>
              <w:right w:val="nil"/>
            </w:tcBorders>
          </w:tcPr>
          <w:p w:rsidR="00BF013B" w:rsidRPr="00A430AB" w:rsidRDefault="00BF013B" w:rsidP="004E2E06">
            <w:pPr>
              <w:jc w:val="center"/>
              <w:rPr>
                <w:sz w:val="22"/>
                <w:szCs w:val="22"/>
              </w:rPr>
            </w:pPr>
            <w:r w:rsidRPr="00A430AB">
              <w:rPr>
                <w:sz w:val="22"/>
                <w:szCs w:val="22"/>
              </w:rPr>
              <w:t>South</w:t>
            </w:r>
          </w:p>
        </w:tc>
        <w:tc>
          <w:tcPr>
            <w:tcW w:w="1353"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1.41</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0.15</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1.26</w:t>
            </w:r>
          </w:p>
        </w:tc>
        <w:tc>
          <w:tcPr>
            <w:tcW w:w="168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13%</w:t>
            </w:r>
          </w:p>
        </w:tc>
      </w:tr>
      <w:tr w:rsidR="00BF013B" w:rsidRPr="00A430AB" w:rsidTr="00CE38E0">
        <w:trPr>
          <w:gridAfter w:val="1"/>
          <w:wAfter w:w="806" w:type="dxa"/>
        </w:trPr>
        <w:tc>
          <w:tcPr>
            <w:tcW w:w="3552" w:type="dxa"/>
            <w:gridSpan w:val="3"/>
            <w:tcBorders>
              <w:top w:val="single" w:sz="4" w:space="0" w:color="auto"/>
              <w:left w:val="nil"/>
              <w:bottom w:val="single" w:sz="4" w:space="0" w:color="auto"/>
              <w:right w:val="nil"/>
            </w:tcBorders>
            <w:hideMark/>
          </w:tcPr>
          <w:p w:rsidR="00BF013B" w:rsidRPr="00A430AB" w:rsidRDefault="00BF013B" w:rsidP="004E2E06">
            <w:pPr>
              <w:rPr>
                <w:sz w:val="22"/>
                <w:szCs w:val="22"/>
              </w:rPr>
            </w:pPr>
            <w:r w:rsidRPr="00A430AB">
              <w:rPr>
                <w:i/>
                <w:sz w:val="22"/>
                <w:szCs w:val="22"/>
              </w:rPr>
              <w:t>Subordination</w:t>
            </w:r>
          </w:p>
        </w:tc>
        <w:tc>
          <w:tcPr>
            <w:tcW w:w="1353"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35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35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c>
          <w:tcPr>
            <w:tcW w:w="1681" w:type="dxa"/>
            <w:tcBorders>
              <w:top w:val="single" w:sz="4" w:space="0" w:color="auto"/>
              <w:left w:val="nil"/>
              <w:bottom w:val="single" w:sz="4" w:space="0" w:color="auto"/>
              <w:right w:val="nil"/>
            </w:tcBorders>
          </w:tcPr>
          <w:p w:rsidR="00BF013B" w:rsidRPr="00A430AB" w:rsidRDefault="00BF013B" w:rsidP="004E2E06">
            <w:pPr>
              <w:jc w:val="center"/>
              <w:rPr>
                <w:sz w:val="22"/>
                <w:szCs w:val="22"/>
              </w:rPr>
            </w:pPr>
          </w:p>
        </w:tc>
      </w:tr>
      <w:tr w:rsidR="00BF013B" w:rsidRPr="00A430AB" w:rsidTr="00CE38E0">
        <w:trPr>
          <w:gridAfter w:val="1"/>
          <w:wAfter w:w="806" w:type="dxa"/>
        </w:trPr>
        <w:tc>
          <w:tcPr>
            <w:tcW w:w="3552" w:type="dxa"/>
            <w:gridSpan w:val="3"/>
            <w:tcBorders>
              <w:top w:val="single" w:sz="4" w:space="0" w:color="auto"/>
              <w:left w:val="nil"/>
              <w:bottom w:val="nil"/>
              <w:right w:val="nil"/>
            </w:tcBorders>
            <w:hideMark/>
          </w:tcPr>
          <w:p w:rsidR="00BF013B" w:rsidRPr="00A430AB" w:rsidRDefault="00BF013B" w:rsidP="004E2E06">
            <w:pPr>
              <w:rPr>
                <w:sz w:val="22"/>
                <w:szCs w:val="22"/>
              </w:rPr>
            </w:pPr>
            <w:r w:rsidRPr="00A430AB">
              <w:rPr>
                <w:sz w:val="22"/>
                <w:szCs w:val="22"/>
              </w:rPr>
              <w:t>Wage and Salary Income Gap</w:t>
            </w:r>
          </w:p>
        </w:tc>
        <w:tc>
          <w:tcPr>
            <w:tcW w:w="1353"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681" w:type="dxa"/>
            <w:tcBorders>
              <w:top w:val="single" w:sz="4" w:space="0" w:color="auto"/>
              <w:left w:val="nil"/>
              <w:bottom w:val="nil"/>
              <w:right w:val="nil"/>
            </w:tcBorders>
          </w:tcPr>
          <w:p w:rsidR="00BF013B" w:rsidRPr="00A430AB" w:rsidRDefault="00BF013B" w:rsidP="004E2E06">
            <w:pPr>
              <w:jc w:val="center"/>
              <w:rPr>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All Regions</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7.95</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0.37</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7.58</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West</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0.79</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0.04</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0.75</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10%</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North</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0.36</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0.14</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0.22</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tcPr>
          <w:p w:rsidR="00BF013B" w:rsidRPr="00A430AB" w:rsidRDefault="00BF013B" w:rsidP="004E2E06">
            <w:pPr>
              <w:jc w:val="center"/>
              <w:rPr>
                <w:sz w:val="22"/>
                <w:szCs w:val="22"/>
              </w:rPr>
            </w:pPr>
            <w:r w:rsidRPr="00A430AB">
              <w:rPr>
                <w:sz w:val="22"/>
                <w:szCs w:val="22"/>
              </w:rPr>
              <w:t>Midwest</w:t>
            </w:r>
          </w:p>
        </w:tc>
        <w:tc>
          <w:tcPr>
            <w:tcW w:w="1353"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2.98</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0.06</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2.92</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39%</w:t>
            </w:r>
          </w:p>
        </w:tc>
      </w:tr>
      <w:tr w:rsidR="00BF013B" w:rsidRPr="00A430AB" w:rsidTr="00CE38E0">
        <w:trPr>
          <w:gridAfter w:val="1"/>
          <w:wAfter w:w="806" w:type="dxa"/>
        </w:trPr>
        <w:tc>
          <w:tcPr>
            <w:tcW w:w="1188" w:type="dxa"/>
            <w:tcBorders>
              <w:top w:val="nil"/>
              <w:left w:val="nil"/>
              <w:bottom w:val="single" w:sz="4" w:space="0" w:color="auto"/>
              <w:right w:val="nil"/>
            </w:tcBorders>
          </w:tcPr>
          <w:p w:rsidR="00BF013B" w:rsidRPr="00A430AB" w:rsidRDefault="00BF013B" w:rsidP="004E2E06">
            <w:pPr>
              <w:rPr>
                <w:sz w:val="22"/>
                <w:szCs w:val="22"/>
              </w:rPr>
            </w:pPr>
          </w:p>
        </w:tc>
        <w:tc>
          <w:tcPr>
            <w:tcW w:w="2364" w:type="dxa"/>
            <w:gridSpan w:val="2"/>
            <w:tcBorders>
              <w:top w:val="nil"/>
              <w:left w:val="nil"/>
              <w:bottom w:val="single" w:sz="4" w:space="0" w:color="auto"/>
              <w:right w:val="nil"/>
            </w:tcBorders>
          </w:tcPr>
          <w:p w:rsidR="00BF013B" w:rsidRPr="00A430AB" w:rsidRDefault="00BF013B" w:rsidP="004E2E06">
            <w:pPr>
              <w:jc w:val="center"/>
              <w:rPr>
                <w:sz w:val="22"/>
                <w:szCs w:val="22"/>
              </w:rPr>
            </w:pPr>
            <w:r w:rsidRPr="00A430AB">
              <w:rPr>
                <w:sz w:val="22"/>
                <w:szCs w:val="22"/>
              </w:rPr>
              <w:t>South</w:t>
            </w:r>
          </w:p>
        </w:tc>
        <w:tc>
          <w:tcPr>
            <w:tcW w:w="1353"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3.82</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0.14</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3.68</w:t>
            </w:r>
          </w:p>
        </w:tc>
        <w:tc>
          <w:tcPr>
            <w:tcW w:w="168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49%</w:t>
            </w:r>
          </w:p>
        </w:tc>
      </w:tr>
      <w:tr w:rsidR="00BF013B" w:rsidRPr="00A430AB" w:rsidTr="00CE38E0">
        <w:tc>
          <w:tcPr>
            <w:tcW w:w="3552" w:type="dxa"/>
            <w:gridSpan w:val="3"/>
            <w:tcBorders>
              <w:top w:val="single" w:sz="4" w:space="0" w:color="auto"/>
              <w:left w:val="nil"/>
              <w:bottom w:val="nil"/>
              <w:right w:val="nil"/>
            </w:tcBorders>
            <w:hideMark/>
          </w:tcPr>
          <w:p w:rsidR="00BF013B" w:rsidRPr="00A430AB" w:rsidRDefault="00BF013B" w:rsidP="004E2E06">
            <w:pPr>
              <w:rPr>
                <w:sz w:val="22"/>
                <w:szCs w:val="22"/>
              </w:rPr>
            </w:pPr>
            <w:r w:rsidRPr="00A430AB">
              <w:rPr>
                <w:sz w:val="22"/>
                <w:szCs w:val="22"/>
              </w:rPr>
              <w:t>Home Value Gap</w:t>
            </w:r>
          </w:p>
        </w:tc>
        <w:tc>
          <w:tcPr>
            <w:tcW w:w="1353"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351" w:type="dxa"/>
            <w:tcBorders>
              <w:top w:val="single" w:sz="4" w:space="0" w:color="auto"/>
              <w:left w:val="nil"/>
              <w:bottom w:val="nil"/>
              <w:right w:val="nil"/>
            </w:tcBorders>
          </w:tcPr>
          <w:p w:rsidR="00BF013B" w:rsidRPr="00A430AB" w:rsidRDefault="00BF013B" w:rsidP="004E2E06">
            <w:pPr>
              <w:jc w:val="center"/>
              <w:rPr>
                <w:sz w:val="22"/>
                <w:szCs w:val="22"/>
              </w:rPr>
            </w:pPr>
          </w:p>
        </w:tc>
        <w:tc>
          <w:tcPr>
            <w:tcW w:w="1681" w:type="dxa"/>
            <w:tcBorders>
              <w:top w:val="nil"/>
              <w:left w:val="nil"/>
              <w:bottom w:val="nil"/>
              <w:right w:val="nil"/>
            </w:tcBorders>
          </w:tcPr>
          <w:p w:rsidR="00BF013B" w:rsidRPr="00A430AB" w:rsidRDefault="00BF013B" w:rsidP="004E2E06">
            <w:pPr>
              <w:jc w:val="center"/>
              <w:rPr>
                <w:sz w:val="22"/>
                <w:szCs w:val="22"/>
              </w:rPr>
            </w:pPr>
          </w:p>
        </w:tc>
        <w:tc>
          <w:tcPr>
            <w:tcW w:w="806" w:type="dxa"/>
            <w:tcBorders>
              <w:top w:val="nil"/>
              <w:left w:val="nil"/>
              <w:bottom w:val="nil"/>
              <w:right w:val="nil"/>
            </w:tcBorders>
          </w:tcPr>
          <w:p w:rsidR="00BF013B" w:rsidRPr="00A430AB" w:rsidRDefault="00BF013B" w:rsidP="004E2E06">
            <w:pPr>
              <w:rPr>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All Regions</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18.53</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1.95</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16.58</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West</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4.46</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0.13</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4.33</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26%</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hideMark/>
          </w:tcPr>
          <w:p w:rsidR="00BF013B" w:rsidRPr="00A430AB" w:rsidRDefault="00BF013B" w:rsidP="004E2E06">
            <w:pPr>
              <w:jc w:val="center"/>
              <w:rPr>
                <w:sz w:val="22"/>
                <w:szCs w:val="22"/>
              </w:rPr>
            </w:pPr>
            <w:r w:rsidRPr="00A430AB">
              <w:rPr>
                <w:sz w:val="22"/>
                <w:szCs w:val="22"/>
              </w:rPr>
              <w:t>North</w:t>
            </w:r>
          </w:p>
        </w:tc>
        <w:tc>
          <w:tcPr>
            <w:tcW w:w="1353"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2.89</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0.52</w:t>
            </w:r>
          </w:p>
        </w:tc>
        <w:tc>
          <w:tcPr>
            <w:tcW w:w="1351" w:type="dxa"/>
            <w:tcBorders>
              <w:top w:val="nil"/>
              <w:left w:val="nil"/>
              <w:bottom w:val="nil"/>
              <w:right w:val="nil"/>
            </w:tcBorders>
            <w:vAlign w:val="bottom"/>
            <w:hideMark/>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2.37</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14%</w:t>
            </w:r>
          </w:p>
        </w:tc>
      </w:tr>
      <w:tr w:rsidR="00BF013B" w:rsidRPr="00A430AB" w:rsidTr="00CE38E0">
        <w:trPr>
          <w:gridAfter w:val="1"/>
          <w:wAfter w:w="806" w:type="dxa"/>
        </w:trPr>
        <w:tc>
          <w:tcPr>
            <w:tcW w:w="1188" w:type="dxa"/>
            <w:tcBorders>
              <w:top w:val="nil"/>
              <w:left w:val="nil"/>
              <w:bottom w:val="nil"/>
              <w:right w:val="nil"/>
            </w:tcBorders>
          </w:tcPr>
          <w:p w:rsidR="00BF013B" w:rsidRPr="00A430AB" w:rsidRDefault="00BF013B" w:rsidP="004E2E06">
            <w:pPr>
              <w:rPr>
                <w:sz w:val="22"/>
                <w:szCs w:val="22"/>
              </w:rPr>
            </w:pPr>
          </w:p>
        </w:tc>
        <w:tc>
          <w:tcPr>
            <w:tcW w:w="2364" w:type="dxa"/>
            <w:gridSpan w:val="2"/>
            <w:tcBorders>
              <w:top w:val="nil"/>
              <w:left w:val="nil"/>
              <w:bottom w:val="nil"/>
              <w:right w:val="nil"/>
            </w:tcBorders>
          </w:tcPr>
          <w:p w:rsidR="00BF013B" w:rsidRPr="00A430AB" w:rsidRDefault="00BF013B" w:rsidP="004E2E06">
            <w:pPr>
              <w:jc w:val="center"/>
              <w:rPr>
                <w:sz w:val="22"/>
                <w:szCs w:val="22"/>
              </w:rPr>
            </w:pPr>
            <w:r w:rsidRPr="00A430AB">
              <w:rPr>
                <w:sz w:val="22"/>
                <w:szCs w:val="22"/>
              </w:rPr>
              <w:t>Midwest</w:t>
            </w:r>
          </w:p>
        </w:tc>
        <w:tc>
          <w:tcPr>
            <w:tcW w:w="1353"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2.31</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0.89</w:t>
            </w:r>
          </w:p>
        </w:tc>
        <w:tc>
          <w:tcPr>
            <w:tcW w:w="135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1.42</w:t>
            </w:r>
          </w:p>
        </w:tc>
        <w:tc>
          <w:tcPr>
            <w:tcW w:w="1681" w:type="dxa"/>
            <w:tcBorders>
              <w:top w:val="nil"/>
              <w:left w:val="nil"/>
              <w:bottom w:val="nil"/>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9%</w:t>
            </w:r>
          </w:p>
        </w:tc>
      </w:tr>
      <w:tr w:rsidR="00BF013B" w:rsidRPr="00A430AB" w:rsidTr="00CE38E0">
        <w:trPr>
          <w:gridAfter w:val="1"/>
          <w:wAfter w:w="806" w:type="dxa"/>
        </w:trPr>
        <w:tc>
          <w:tcPr>
            <w:tcW w:w="1188" w:type="dxa"/>
            <w:tcBorders>
              <w:top w:val="nil"/>
              <w:left w:val="nil"/>
              <w:bottom w:val="single" w:sz="4" w:space="0" w:color="auto"/>
              <w:right w:val="nil"/>
            </w:tcBorders>
          </w:tcPr>
          <w:p w:rsidR="00BF013B" w:rsidRPr="00A430AB" w:rsidRDefault="00BF013B" w:rsidP="004E2E06">
            <w:pPr>
              <w:rPr>
                <w:sz w:val="22"/>
                <w:szCs w:val="22"/>
              </w:rPr>
            </w:pPr>
          </w:p>
        </w:tc>
        <w:tc>
          <w:tcPr>
            <w:tcW w:w="2364" w:type="dxa"/>
            <w:gridSpan w:val="2"/>
            <w:tcBorders>
              <w:top w:val="nil"/>
              <w:left w:val="nil"/>
              <w:bottom w:val="single" w:sz="4" w:space="0" w:color="auto"/>
              <w:right w:val="nil"/>
            </w:tcBorders>
          </w:tcPr>
          <w:p w:rsidR="00BF013B" w:rsidRPr="00A430AB" w:rsidRDefault="00BF013B" w:rsidP="004E2E06">
            <w:pPr>
              <w:jc w:val="center"/>
              <w:rPr>
                <w:sz w:val="22"/>
                <w:szCs w:val="22"/>
              </w:rPr>
            </w:pPr>
            <w:r w:rsidRPr="00A430AB">
              <w:rPr>
                <w:sz w:val="22"/>
                <w:szCs w:val="22"/>
              </w:rPr>
              <w:t>South</w:t>
            </w:r>
          </w:p>
        </w:tc>
        <w:tc>
          <w:tcPr>
            <w:tcW w:w="1353"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8.86</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0.4</w:t>
            </w:r>
          </w:p>
        </w:tc>
        <w:tc>
          <w:tcPr>
            <w:tcW w:w="135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8.46</w:t>
            </w:r>
          </w:p>
        </w:tc>
        <w:tc>
          <w:tcPr>
            <w:tcW w:w="1681" w:type="dxa"/>
            <w:tcBorders>
              <w:top w:val="nil"/>
              <w:left w:val="nil"/>
              <w:bottom w:val="single" w:sz="4" w:space="0" w:color="auto"/>
              <w:right w:val="nil"/>
            </w:tcBorders>
            <w:vAlign w:val="bottom"/>
          </w:tcPr>
          <w:p w:rsidR="00BF013B" w:rsidRPr="00A430AB" w:rsidRDefault="00BF013B" w:rsidP="004E2E06">
            <w:pPr>
              <w:jc w:val="center"/>
              <w:rPr>
                <w:rFonts w:eastAsia="Times New Roman"/>
                <w:color w:val="000000"/>
                <w:sz w:val="22"/>
                <w:szCs w:val="22"/>
              </w:rPr>
            </w:pPr>
            <w:r w:rsidRPr="00A430AB">
              <w:rPr>
                <w:rFonts w:eastAsia="Times New Roman"/>
                <w:color w:val="000000"/>
                <w:sz w:val="22"/>
                <w:szCs w:val="22"/>
              </w:rPr>
              <w:t>51%</w:t>
            </w:r>
          </w:p>
        </w:tc>
      </w:tr>
    </w:tbl>
    <w:p w:rsidR="00BF013B" w:rsidRPr="00A430AB" w:rsidRDefault="00BF013B" w:rsidP="004E2E06">
      <w:pPr>
        <w:rPr>
          <w:sz w:val="22"/>
          <w:szCs w:val="22"/>
        </w:rPr>
      </w:pPr>
      <w:r w:rsidRPr="00A430AB">
        <w:rPr>
          <w:sz w:val="22"/>
          <w:szCs w:val="22"/>
        </w:rPr>
        <w:t>Source: US Decennial Census</w:t>
      </w:r>
    </w:p>
    <w:p w:rsidR="00BF013B" w:rsidRPr="00A430AB" w:rsidRDefault="00BF013B" w:rsidP="004E2E06">
      <w:pPr>
        <w:rPr>
          <w:sz w:val="22"/>
          <w:szCs w:val="22"/>
        </w:rPr>
      </w:pPr>
      <w:r w:rsidRPr="00A430AB">
        <w:rPr>
          <w:sz w:val="22"/>
          <w:szCs w:val="22"/>
        </w:rPr>
        <w:t xml:space="preserve">Note: Values come from the application of ANOVA to regional groups. </w:t>
      </w:r>
    </w:p>
    <w:p w:rsidR="00BF013B" w:rsidRPr="00A430AB" w:rsidRDefault="00BF013B" w:rsidP="004E2E06">
      <w:pPr>
        <w:rPr>
          <w:sz w:val="22"/>
          <w:szCs w:val="22"/>
          <w:u w:val="single"/>
        </w:rPr>
      </w:pPr>
    </w:p>
    <w:p w:rsidR="00BF013B" w:rsidRDefault="00BF013B" w:rsidP="004E2E06">
      <w:pPr>
        <w:spacing w:after="160" w:line="259" w:lineRule="auto"/>
        <w:rPr>
          <w:sz w:val="22"/>
          <w:szCs w:val="22"/>
          <w:u w:val="single"/>
        </w:rPr>
      </w:pPr>
      <w:r>
        <w:rPr>
          <w:sz w:val="22"/>
          <w:szCs w:val="22"/>
          <w:u w:val="single"/>
        </w:rPr>
        <w:br w:type="page"/>
      </w:r>
    </w:p>
    <w:p w:rsidR="00BF013B" w:rsidRDefault="00BF013B" w:rsidP="004E2E06">
      <w:pPr>
        <w:sectPr w:rsidR="00BF013B" w:rsidSect="00444CB9">
          <w:pgSz w:w="12240" w:h="15840"/>
          <w:pgMar w:top="1440" w:right="1440" w:bottom="1440" w:left="1440" w:header="720" w:footer="720" w:gutter="0"/>
          <w:cols w:space="720"/>
          <w:docGrid w:linePitch="360"/>
        </w:sectPr>
      </w:pPr>
    </w:p>
    <w:p w:rsidR="00BF013B" w:rsidRDefault="00BF013B" w:rsidP="004E2E06">
      <w:r w:rsidRPr="004E2E06">
        <w:lastRenderedPageBreak/>
        <w:t>Appendix Table A2.</w:t>
      </w:r>
      <w:r w:rsidRPr="00444CB9">
        <w:t xml:space="preserve"> Coefficient of </w:t>
      </w:r>
      <w:r w:rsidR="0048653C" w:rsidRPr="00444CB9">
        <w:t>variation over time</w:t>
      </w:r>
    </w:p>
    <w:p w:rsidR="008470F8" w:rsidRPr="00444CB9" w:rsidRDefault="008470F8" w:rsidP="004E2E06"/>
    <w:tbl>
      <w:tblPr>
        <w:tblW w:w="14714" w:type="dxa"/>
        <w:tblBorders>
          <w:top w:val="single" w:sz="4" w:space="0" w:color="auto"/>
          <w:bottom w:val="single" w:sz="4" w:space="0" w:color="auto"/>
        </w:tblBorders>
        <w:tblLook w:val="04A0" w:firstRow="1" w:lastRow="0" w:firstColumn="1" w:lastColumn="0" w:noHBand="0" w:noVBand="1"/>
      </w:tblPr>
      <w:tblGrid>
        <w:gridCol w:w="1458"/>
        <w:gridCol w:w="150"/>
        <w:gridCol w:w="2080"/>
        <w:gridCol w:w="1080"/>
        <w:gridCol w:w="996"/>
        <w:gridCol w:w="996"/>
        <w:gridCol w:w="1888"/>
        <w:gridCol w:w="2158"/>
        <w:gridCol w:w="2158"/>
        <w:gridCol w:w="1750"/>
      </w:tblGrid>
      <w:tr w:rsidR="008470F8" w:rsidRPr="00444CB9" w:rsidTr="00B36A06">
        <w:trPr>
          <w:gridAfter w:val="1"/>
          <w:wAfter w:w="1750" w:type="dxa"/>
        </w:trPr>
        <w:tc>
          <w:tcPr>
            <w:tcW w:w="12964" w:type="dxa"/>
            <w:gridSpan w:val="9"/>
            <w:tcBorders>
              <w:top w:val="nil"/>
              <w:left w:val="nil"/>
              <w:bottom w:val="single" w:sz="4" w:space="0" w:color="auto"/>
              <w:right w:val="nil"/>
            </w:tcBorders>
          </w:tcPr>
          <w:p w:rsidR="008470F8" w:rsidRPr="00444CB9" w:rsidRDefault="008470F8" w:rsidP="004E2E06">
            <w:pPr>
              <w:jc w:val="center"/>
            </w:pPr>
            <w:r w:rsidRPr="00444CB9">
              <w:t>Absolute and Percentage Change</w:t>
            </w:r>
          </w:p>
        </w:tc>
      </w:tr>
      <w:tr w:rsidR="00BF013B" w:rsidRPr="00444CB9" w:rsidTr="00CE38E0">
        <w:trPr>
          <w:gridAfter w:val="1"/>
          <w:wAfter w:w="1750" w:type="dxa"/>
        </w:trPr>
        <w:tc>
          <w:tcPr>
            <w:tcW w:w="1608" w:type="dxa"/>
            <w:gridSpan w:val="2"/>
            <w:tcBorders>
              <w:top w:val="single" w:sz="4" w:space="0" w:color="auto"/>
              <w:left w:val="nil"/>
              <w:bottom w:val="single" w:sz="4" w:space="0" w:color="auto"/>
              <w:right w:val="nil"/>
            </w:tcBorders>
          </w:tcPr>
          <w:p w:rsidR="00BF013B" w:rsidRPr="00444CB9" w:rsidRDefault="00BF013B" w:rsidP="004E2E06"/>
        </w:tc>
        <w:tc>
          <w:tcPr>
            <w:tcW w:w="2080" w:type="dxa"/>
            <w:tcBorders>
              <w:top w:val="single" w:sz="4" w:space="0" w:color="auto"/>
              <w:left w:val="nil"/>
              <w:bottom w:val="single" w:sz="4" w:space="0" w:color="auto"/>
              <w:right w:val="nil"/>
            </w:tcBorders>
          </w:tcPr>
          <w:p w:rsidR="00BF013B" w:rsidRPr="00444CB9" w:rsidRDefault="00BF013B" w:rsidP="004E2E06"/>
        </w:tc>
        <w:tc>
          <w:tcPr>
            <w:tcW w:w="1080" w:type="dxa"/>
            <w:tcBorders>
              <w:top w:val="single" w:sz="4" w:space="0" w:color="auto"/>
              <w:left w:val="nil"/>
              <w:bottom w:val="single" w:sz="4" w:space="0" w:color="auto"/>
              <w:right w:val="nil"/>
            </w:tcBorders>
            <w:hideMark/>
          </w:tcPr>
          <w:p w:rsidR="00BF013B" w:rsidRPr="00444CB9" w:rsidRDefault="00BF013B" w:rsidP="004E2E06">
            <w:r w:rsidRPr="00444CB9">
              <w:t>1940</w:t>
            </w:r>
          </w:p>
        </w:tc>
        <w:tc>
          <w:tcPr>
            <w:tcW w:w="996" w:type="dxa"/>
            <w:tcBorders>
              <w:top w:val="single" w:sz="4" w:space="0" w:color="auto"/>
              <w:left w:val="nil"/>
              <w:bottom w:val="single" w:sz="4" w:space="0" w:color="auto"/>
              <w:right w:val="nil"/>
            </w:tcBorders>
            <w:hideMark/>
          </w:tcPr>
          <w:p w:rsidR="00BF013B" w:rsidRPr="00444CB9" w:rsidRDefault="00BF013B" w:rsidP="004E2E06">
            <w:r w:rsidRPr="00444CB9">
              <w:t>1970</w:t>
            </w:r>
          </w:p>
        </w:tc>
        <w:tc>
          <w:tcPr>
            <w:tcW w:w="996" w:type="dxa"/>
            <w:tcBorders>
              <w:top w:val="single" w:sz="4" w:space="0" w:color="auto"/>
              <w:left w:val="nil"/>
              <w:bottom w:val="single" w:sz="4" w:space="0" w:color="auto"/>
              <w:right w:val="nil"/>
            </w:tcBorders>
            <w:hideMark/>
          </w:tcPr>
          <w:p w:rsidR="00BF013B" w:rsidRPr="00444CB9" w:rsidRDefault="00BF013B" w:rsidP="004E2E06">
            <w:r w:rsidRPr="00444CB9">
              <w:t>2010</w:t>
            </w:r>
          </w:p>
        </w:tc>
        <w:tc>
          <w:tcPr>
            <w:tcW w:w="1888" w:type="dxa"/>
            <w:tcBorders>
              <w:top w:val="single" w:sz="4" w:space="0" w:color="auto"/>
              <w:left w:val="nil"/>
              <w:bottom w:val="single" w:sz="4" w:space="0" w:color="auto"/>
              <w:right w:val="nil"/>
            </w:tcBorders>
            <w:hideMark/>
          </w:tcPr>
          <w:p w:rsidR="00BF013B" w:rsidRPr="00444CB9" w:rsidRDefault="00BF013B" w:rsidP="004E2E06">
            <w:r w:rsidRPr="00444CB9">
              <w:t>1940-1970</w:t>
            </w:r>
          </w:p>
        </w:tc>
        <w:tc>
          <w:tcPr>
            <w:tcW w:w="2158" w:type="dxa"/>
            <w:tcBorders>
              <w:top w:val="single" w:sz="4" w:space="0" w:color="auto"/>
              <w:left w:val="nil"/>
              <w:bottom w:val="single" w:sz="4" w:space="0" w:color="auto"/>
              <w:right w:val="nil"/>
            </w:tcBorders>
            <w:hideMark/>
          </w:tcPr>
          <w:p w:rsidR="00BF013B" w:rsidRPr="00444CB9" w:rsidRDefault="00BF013B" w:rsidP="004E2E06">
            <w:r w:rsidRPr="00444CB9">
              <w:t>1970-2010</w:t>
            </w:r>
          </w:p>
        </w:tc>
        <w:tc>
          <w:tcPr>
            <w:tcW w:w="2158" w:type="dxa"/>
            <w:tcBorders>
              <w:top w:val="single" w:sz="4" w:space="0" w:color="auto"/>
              <w:left w:val="nil"/>
              <w:bottom w:val="single" w:sz="4" w:space="0" w:color="auto"/>
              <w:right w:val="nil"/>
            </w:tcBorders>
            <w:hideMark/>
          </w:tcPr>
          <w:p w:rsidR="00BF013B" w:rsidRPr="00444CB9" w:rsidRDefault="00BF013B" w:rsidP="004E2E06">
            <w:r w:rsidRPr="00444CB9">
              <w:t>1940-2010</w:t>
            </w:r>
          </w:p>
        </w:tc>
      </w:tr>
      <w:tr w:rsidR="00BF013B" w:rsidRPr="00444CB9" w:rsidTr="00CE38E0">
        <w:trPr>
          <w:gridAfter w:val="1"/>
          <w:wAfter w:w="1750" w:type="dxa"/>
        </w:trPr>
        <w:tc>
          <w:tcPr>
            <w:tcW w:w="1608" w:type="dxa"/>
            <w:gridSpan w:val="2"/>
            <w:tcBorders>
              <w:top w:val="single" w:sz="4" w:space="0" w:color="auto"/>
              <w:left w:val="nil"/>
              <w:bottom w:val="single" w:sz="4" w:space="0" w:color="auto"/>
              <w:right w:val="nil"/>
            </w:tcBorders>
            <w:hideMark/>
          </w:tcPr>
          <w:p w:rsidR="00BF013B" w:rsidRPr="00444CB9" w:rsidRDefault="00BF013B" w:rsidP="004E2E06">
            <w:pPr>
              <w:rPr>
                <w:i/>
              </w:rPr>
            </w:pPr>
            <w:r w:rsidRPr="00444CB9">
              <w:rPr>
                <w:i/>
              </w:rPr>
              <w:t>Exclusion</w:t>
            </w:r>
          </w:p>
        </w:tc>
        <w:tc>
          <w:tcPr>
            <w:tcW w:w="2080" w:type="dxa"/>
            <w:tcBorders>
              <w:top w:val="single" w:sz="4" w:space="0" w:color="auto"/>
              <w:left w:val="nil"/>
              <w:bottom w:val="single" w:sz="4" w:space="0" w:color="auto"/>
              <w:right w:val="nil"/>
            </w:tcBorders>
          </w:tcPr>
          <w:p w:rsidR="00BF013B" w:rsidRPr="00444CB9" w:rsidRDefault="00BF013B" w:rsidP="004E2E06"/>
        </w:tc>
        <w:tc>
          <w:tcPr>
            <w:tcW w:w="1080" w:type="dxa"/>
            <w:tcBorders>
              <w:top w:val="single" w:sz="4" w:space="0" w:color="auto"/>
              <w:left w:val="nil"/>
              <w:bottom w:val="single" w:sz="4" w:space="0" w:color="auto"/>
              <w:right w:val="nil"/>
            </w:tcBorders>
          </w:tcPr>
          <w:p w:rsidR="00BF013B" w:rsidRPr="00444CB9" w:rsidRDefault="00BF013B" w:rsidP="004E2E06"/>
        </w:tc>
        <w:tc>
          <w:tcPr>
            <w:tcW w:w="996" w:type="dxa"/>
            <w:tcBorders>
              <w:top w:val="single" w:sz="4" w:space="0" w:color="auto"/>
              <w:left w:val="nil"/>
              <w:bottom w:val="single" w:sz="4" w:space="0" w:color="auto"/>
              <w:right w:val="nil"/>
            </w:tcBorders>
          </w:tcPr>
          <w:p w:rsidR="00BF013B" w:rsidRPr="00444CB9" w:rsidRDefault="00BF013B" w:rsidP="004E2E06"/>
        </w:tc>
        <w:tc>
          <w:tcPr>
            <w:tcW w:w="996" w:type="dxa"/>
            <w:tcBorders>
              <w:top w:val="single" w:sz="4" w:space="0" w:color="auto"/>
              <w:left w:val="nil"/>
              <w:bottom w:val="single" w:sz="4" w:space="0" w:color="auto"/>
              <w:right w:val="nil"/>
            </w:tcBorders>
          </w:tcPr>
          <w:p w:rsidR="00BF013B" w:rsidRPr="00444CB9" w:rsidRDefault="00BF013B" w:rsidP="004E2E06"/>
        </w:tc>
        <w:tc>
          <w:tcPr>
            <w:tcW w:w="1888" w:type="dxa"/>
            <w:tcBorders>
              <w:top w:val="single" w:sz="4" w:space="0" w:color="auto"/>
              <w:left w:val="nil"/>
              <w:bottom w:val="single" w:sz="4" w:space="0" w:color="auto"/>
              <w:right w:val="nil"/>
            </w:tcBorders>
          </w:tcPr>
          <w:p w:rsidR="00BF013B" w:rsidRPr="00444CB9" w:rsidRDefault="00BF013B" w:rsidP="004E2E06"/>
        </w:tc>
        <w:tc>
          <w:tcPr>
            <w:tcW w:w="2158" w:type="dxa"/>
            <w:tcBorders>
              <w:top w:val="single" w:sz="4" w:space="0" w:color="auto"/>
              <w:left w:val="nil"/>
              <w:bottom w:val="single" w:sz="4" w:space="0" w:color="auto"/>
              <w:right w:val="nil"/>
            </w:tcBorders>
          </w:tcPr>
          <w:p w:rsidR="00BF013B" w:rsidRPr="00444CB9" w:rsidRDefault="00BF013B" w:rsidP="004E2E06"/>
        </w:tc>
        <w:tc>
          <w:tcPr>
            <w:tcW w:w="2158" w:type="dxa"/>
            <w:tcBorders>
              <w:top w:val="single" w:sz="4" w:space="0" w:color="auto"/>
              <w:left w:val="nil"/>
              <w:bottom w:val="single" w:sz="4" w:space="0" w:color="auto"/>
              <w:right w:val="nil"/>
            </w:tcBorders>
          </w:tcPr>
          <w:p w:rsidR="00BF013B" w:rsidRPr="00444CB9" w:rsidRDefault="00BF013B" w:rsidP="004E2E06"/>
        </w:tc>
      </w:tr>
      <w:tr w:rsidR="00BF013B" w:rsidRPr="00444CB9" w:rsidTr="00CE38E0">
        <w:trPr>
          <w:gridAfter w:val="1"/>
          <w:wAfter w:w="1750" w:type="dxa"/>
        </w:trPr>
        <w:tc>
          <w:tcPr>
            <w:tcW w:w="3688" w:type="dxa"/>
            <w:gridSpan w:val="3"/>
            <w:tcBorders>
              <w:top w:val="single" w:sz="4" w:space="0" w:color="auto"/>
              <w:left w:val="nil"/>
              <w:bottom w:val="nil"/>
              <w:right w:val="nil"/>
            </w:tcBorders>
            <w:hideMark/>
          </w:tcPr>
          <w:p w:rsidR="00BF013B" w:rsidRPr="00444CB9" w:rsidRDefault="00BF013B" w:rsidP="004E2E06">
            <w:r w:rsidRPr="00444CB9">
              <w:t>Full-time Employment</w:t>
            </w:r>
          </w:p>
        </w:tc>
        <w:tc>
          <w:tcPr>
            <w:tcW w:w="1080" w:type="dxa"/>
            <w:tcBorders>
              <w:top w:val="single" w:sz="4" w:space="0" w:color="auto"/>
              <w:left w:val="nil"/>
              <w:bottom w:val="nil"/>
              <w:right w:val="nil"/>
            </w:tcBorders>
          </w:tcPr>
          <w:p w:rsidR="00BF013B" w:rsidRPr="00444CB9" w:rsidRDefault="00BF013B" w:rsidP="004E2E06"/>
        </w:tc>
        <w:tc>
          <w:tcPr>
            <w:tcW w:w="996" w:type="dxa"/>
            <w:tcBorders>
              <w:top w:val="single" w:sz="4" w:space="0" w:color="auto"/>
              <w:left w:val="nil"/>
              <w:bottom w:val="nil"/>
              <w:right w:val="nil"/>
            </w:tcBorders>
          </w:tcPr>
          <w:p w:rsidR="00BF013B" w:rsidRPr="00444CB9" w:rsidRDefault="00BF013B" w:rsidP="004E2E06"/>
        </w:tc>
        <w:tc>
          <w:tcPr>
            <w:tcW w:w="996" w:type="dxa"/>
            <w:tcBorders>
              <w:top w:val="single" w:sz="4" w:space="0" w:color="auto"/>
              <w:left w:val="nil"/>
              <w:bottom w:val="nil"/>
              <w:right w:val="nil"/>
            </w:tcBorders>
          </w:tcPr>
          <w:p w:rsidR="00BF013B" w:rsidRPr="00444CB9" w:rsidRDefault="00BF013B" w:rsidP="004E2E06"/>
        </w:tc>
        <w:tc>
          <w:tcPr>
            <w:tcW w:w="1888" w:type="dxa"/>
            <w:tcBorders>
              <w:top w:val="single" w:sz="4" w:space="0" w:color="auto"/>
              <w:left w:val="nil"/>
              <w:bottom w:val="nil"/>
              <w:right w:val="nil"/>
            </w:tcBorders>
          </w:tcPr>
          <w:p w:rsidR="00BF013B" w:rsidRPr="00444CB9" w:rsidRDefault="00BF013B" w:rsidP="004E2E06"/>
        </w:tc>
        <w:tc>
          <w:tcPr>
            <w:tcW w:w="2158" w:type="dxa"/>
            <w:tcBorders>
              <w:top w:val="single" w:sz="4" w:space="0" w:color="auto"/>
              <w:left w:val="nil"/>
              <w:bottom w:val="nil"/>
              <w:right w:val="nil"/>
            </w:tcBorders>
          </w:tcPr>
          <w:p w:rsidR="00BF013B" w:rsidRPr="00444CB9" w:rsidRDefault="00BF013B" w:rsidP="004E2E06"/>
        </w:tc>
        <w:tc>
          <w:tcPr>
            <w:tcW w:w="2158" w:type="dxa"/>
            <w:tcBorders>
              <w:top w:val="single" w:sz="4" w:space="0" w:color="auto"/>
              <w:left w:val="nil"/>
              <w:bottom w:val="nil"/>
              <w:right w:val="nil"/>
            </w:tcBorders>
          </w:tcPr>
          <w:p w:rsidR="00BF013B" w:rsidRPr="00444CB9" w:rsidRDefault="00BF013B" w:rsidP="004E2E06"/>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Black</w:t>
            </w:r>
          </w:p>
        </w:tc>
        <w:tc>
          <w:tcPr>
            <w:tcW w:w="1080" w:type="dxa"/>
            <w:tcBorders>
              <w:top w:val="nil"/>
              <w:left w:val="nil"/>
              <w:bottom w:val="nil"/>
              <w:right w:val="nil"/>
            </w:tcBorders>
            <w:hideMark/>
          </w:tcPr>
          <w:p w:rsidR="00BF013B" w:rsidRPr="00444CB9" w:rsidRDefault="00BF013B" w:rsidP="004E2E06">
            <w:pPr>
              <w:jc w:val="center"/>
            </w:pPr>
            <w:r w:rsidRPr="00444CB9">
              <w:t>0.23</w:t>
            </w:r>
          </w:p>
        </w:tc>
        <w:tc>
          <w:tcPr>
            <w:tcW w:w="996" w:type="dxa"/>
            <w:tcBorders>
              <w:top w:val="nil"/>
              <w:left w:val="nil"/>
              <w:bottom w:val="nil"/>
              <w:right w:val="nil"/>
            </w:tcBorders>
            <w:hideMark/>
          </w:tcPr>
          <w:p w:rsidR="00BF013B" w:rsidRPr="00444CB9" w:rsidRDefault="00BF013B" w:rsidP="004E2E06">
            <w:pPr>
              <w:jc w:val="center"/>
            </w:pPr>
            <w:r w:rsidRPr="00444CB9">
              <w:t>0.14</w:t>
            </w:r>
          </w:p>
        </w:tc>
        <w:tc>
          <w:tcPr>
            <w:tcW w:w="996" w:type="dxa"/>
            <w:tcBorders>
              <w:top w:val="nil"/>
              <w:left w:val="nil"/>
              <w:bottom w:val="nil"/>
              <w:right w:val="nil"/>
            </w:tcBorders>
            <w:hideMark/>
          </w:tcPr>
          <w:p w:rsidR="00BF013B" w:rsidRPr="00444CB9" w:rsidRDefault="00BF013B" w:rsidP="004E2E06">
            <w:pPr>
              <w:jc w:val="center"/>
            </w:pPr>
            <w:r w:rsidRPr="00444CB9">
              <w:t>0.11</w:t>
            </w:r>
          </w:p>
        </w:tc>
        <w:tc>
          <w:tcPr>
            <w:tcW w:w="1888" w:type="dxa"/>
            <w:tcBorders>
              <w:top w:val="nil"/>
              <w:left w:val="nil"/>
              <w:bottom w:val="nil"/>
              <w:right w:val="nil"/>
            </w:tcBorders>
            <w:hideMark/>
          </w:tcPr>
          <w:p w:rsidR="00BF013B" w:rsidRPr="00444CB9" w:rsidRDefault="00BF013B" w:rsidP="004E2E06">
            <w:pPr>
              <w:jc w:val="center"/>
            </w:pPr>
            <w:r w:rsidRPr="00444CB9">
              <w:t>-0.09 (-40%)</w:t>
            </w:r>
          </w:p>
        </w:tc>
        <w:tc>
          <w:tcPr>
            <w:tcW w:w="2158" w:type="dxa"/>
            <w:tcBorders>
              <w:top w:val="nil"/>
              <w:left w:val="nil"/>
              <w:bottom w:val="nil"/>
              <w:right w:val="nil"/>
            </w:tcBorders>
            <w:hideMark/>
          </w:tcPr>
          <w:p w:rsidR="00BF013B" w:rsidRPr="00444CB9" w:rsidRDefault="00BF013B" w:rsidP="004E2E06">
            <w:pPr>
              <w:jc w:val="center"/>
            </w:pPr>
            <w:r w:rsidRPr="00444CB9">
              <w:t>-0.03 (-22%)</w:t>
            </w:r>
          </w:p>
        </w:tc>
        <w:tc>
          <w:tcPr>
            <w:tcW w:w="2158" w:type="dxa"/>
            <w:tcBorders>
              <w:top w:val="nil"/>
              <w:left w:val="nil"/>
              <w:bottom w:val="nil"/>
              <w:right w:val="nil"/>
            </w:tcBorders>
            <w:hideMark/>
          </w:tcPr>
          <w:p w:rsidR="00BF013B" w:rsidRPr="00444CB9" w:rsidRDefault="00BF013B" w:rsidP="004E2E06">
            <w:pPr>
              <w:jc w:val="center"/>
            </w:pPr>
            <w:r w:rsidRPr="00444CB9">
              <w:t>-0.12 (-53%)</w:t>
            </w:r>
          </w:p>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White</w:t>
            </w:r>
          </w:p>
        </w:tc>
        <w:tc>
          <w:tcPr>
            <w:tcW w:w="1080" w:type="dxa"/>
            <w:tcBorders>
              <w:top w:val="nil"/>
              <w:left w:val="nil"/>
              <w:bottom w:val="nil"/>
              <w:right w:val="nil"/>
            </w:tcBorders>
            <w:hideMark/>
          </w:tcPr>
          <w:p w:rsidR="00BF013B" w:rsidRPr="00444CB9" w:rsidRDefault="00BF013B" w:rsidP="004E2E06">
            <w:pPr>
              <w:jc w:val="center"/>
            </w:pPr>
            <w:r w:rsidRPr="00444CB9">
              <w:t>0.06</w:t>
            </w:r>
          </w:p>
        </w:tc>
        <w:tc>
          <w:tcPr>
            <w:tcW w:w="996" w:type="dxa"/>
            <w:tcBorders>
              <w:top w:val="nil"/>
              <w:left w:val="nil"/>
              <w:bottom w:val="nil"/>
              <w:right w:val="nil"/>
            </w:tcBorders>
            <w:hideMark/>
          </w:tcPr>
          <w:p w:rsidR="00BF013B" w:rsidRPr="00444CB9" w:rsidRDefault="00BF013B" w:rsidP="004E2E06">
            <w:pPr>
              <w:jc w:val="center"/>
            </w:pPr>
            <w:r w:rsidRPr="00444CB9">
              <w:t>0.06</w:t>
            </w:r>
          </w:p>
        </w:tc>
        <w:tc>
          <w:tcPr>
            <w:tcW w:w="996" w:type="dxa"/>
            <w:tcBorders>
              <w:top w:val="nil"/>
              <w:left w:val="nil"/>
              <w:bottom w:val="nil"/>
              <w:right w:val="nil"/>
            </w:tcBorders>
            <w:hideMark/>
          </w:tcPr>
          <w:p w:rsidR="00BF013B" w:rsidRPr="00444CB9" w:rsidRDefault="00BF013B" w:rsidP="004E2E06">
            <w:pPr>
              <w:jc w:val="center"/>
            </w:pPr>
            <w:r w:rsidRPr="00444CB9">
              <w:t>0.06</w:t>
            </w:r>
          </w:p>
        </w:tc>
        <w:tc>
          <w:tcPr>
            <w:tcW w:w="1888" w:type="dxa"/>
            <w:tcBorders>
              <w:top w:val="nil"/>
              <w:left w:val="nil"/>
              <w:bottom w:val="nil"/>
              <w:right w:val="nil"/>
            </w:tcBorders>
            <w:hideMark/>
          </w:tcPr>
          <w:p w:rsidR="00BF013B" w:rsidRPr="00444CB9" w:rsidRDefault="00BF013B" w:rsidP="004E2E06">
            <w:pPr>
              <w:jc w:val="center"/>
            </w:pPr>
            <w:r w:rsidRPr="00444CB9">
              <w:t>-0.002 (-4%)</w:t>
            </w:r>
          </w:p>
        </w:tc>
        <w:tc>
          <w:tcPr>
            <w:tcW w:w="2158" w:type="dxa"/>
            <w:tcBorders>
              <w:top w:val="nil"/>
              <w:left w:val="nil"/>
              <w:bottom w:val="nil"/>
              <w:right w:val="nil"/>
            </w:tcBorders>
            <w:hideMark/>
          </w:tcPr>
          <w:p w:rsidR="00BF013B" w:rsidRPr="00444CB9" w:rsidRDefault="00BF013B" w:rsidP="004E2E06">
            <w:pPr>
              <w:jc w:val="center"/>
            </w:pPr>
            <w:r w:rsidRPr="00444CB9">
              <w:t>0.01 (8%)</w:t>
            </w:r>
          </w:p>
        </w:tc>
        <w:tc>
          <w:tcPr>
            <w:tcW w:w="2158" w:type="dxa"/>
            <w:tcBorders>
              <w:top w:val="nil"/>
              <w:left w:val="nil"/>
              <w:bottom w:val="nil"/>
              <w:right w:val="nil"/>
            </w:tcBorders>
            <w:hideMark/>
          </w:tcPr>
          <w:p w:rsidR="00BF013B" w:rsidRPr="00444CB9" w:rsidRDefault="00BF013B" w:rsidP="004E2E06">
            <w:pPr>
              <w:jc w:val="center"/>
            </w:pPr>
            <w:r w:rsidRPr="00444CB9">
              <w:t>0.002 (4%)</w:t>
            </w:r>
          </w:p>
        </w:tc>
      </w:tr>
      <w:tr w:rsidR="00BF013B" w:rsidRPr="00444CB9" w:rsidTr="00CE38E0">
        <w:trPr>
          <w:gridAfter w:val="1"/>
          <w:wAfter w:w="1750" w:type="dxa"/>
        </w:trPr>
        <w:tc>
          <w:tcPr>
            <w:tcW w:w="1458" w:type="dxa"/>
            <w:tcBorders>
              <w:top w:val="nil"/>
              <w:left w:val="nil"/>
              <w:bottom w:val="single" w:sz="4" w:space="0" w:color="auto"/>
              <w:right w:val="nil"/>
            </w:tcBorders>
          </w:tcPr>
          <w:p w:rsidR="00BF013B" w:rsidRPr="00444CB9" w:rsidRDefault="00BF013B" w:rsidP="004E2E06"/>
        </w:tc>
        <w:tc>
          <w:tcPr>
            <w:tcW w:w="2230" w:type="dxa"/>
            <w:gridSpan w:val="2"/>
            <w:tcBorders>
              <w:top w:val="nil"/>
              <w:left w:val="nil"/>
              <w:bottom w:val="single" w:sz="4" w:space="0" w:color="auto"/>
              <w:right w:val="nil"/>
            </w:tcBorders>
            <w:hideMark/>
          </w:tcPr>
          <w:p w:rsidR="00BF013B" w:rsidRPr="00444CB9" w:rsidRDefault="00BF013B" w:rsidP="004E2E06">
            <w:r>
              <w:t>Inequality ratio</w:t>
            </w:r>
          </w:p>
        </w:tc>
        <w:tc>
          <w:tcPr>
            <w:tcW w:w="1080" w:type="dxa"/>
            <w:tcBorders>
              <w:top w:val="nil"/>
              <w:left w:val="nil"/>
              <w:bottom w:val="single" w:sz="4" w:space="0" w:color="auto"/>
              <w:right w:val="nil"/>
            </w:tcBorders>
            <w:hideMark/>
          </w:tcPr>
          <w:p w:rsidR="00BF013B" w:rsidRPr="00444CB9" w:rsidRDefault="00BF013B" w:rsidP="004E2E06">
            <w:pPr>
              <w:jc w:val="center"/>
            </w:pPr>
            <w:r w:rsidRPr="00444CB9">
              <w:t>0.2</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0.11</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0.08</w:t>
            </w:r>
          </w:p>
        </w:tc>
        <w:tc>
          <w:tcPr>
            <w:tcW w:w="1888" w:type="dxa"/>
            <w:tcBorders>
              <w:top w:val="nil"/>
              <w:left w:val="nil"/>
              <w:bottom w:val="single" w:sz="4" w:space="0" w:color="auto"/>
              <w:right w:val="nil"/>
            </w:tcBorders>
            <w:hideMark/>
          </w:tcPr>
          <w:p w:rsidR="00BF013B" w:rsidRPr="00444CB9" w:rsidRDefault="00BF013B" w:rsidP="004E2E06">
            <w:pPr>
              <w:jc w:val="center"/>
            </w:pPr>
            <w:r w:rsidRPr="00444CB9">
              <w:t>-0.09 (-44%)</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-0.03 (-27%)</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-0.12 (-59%)</w:t>
            </w:r>
          </w:p>
        </w:tc>
      </w:tr>
      <w:tr w:rsidR="00BF013B" w:rsidRPr="00444CB9" w:rsidTr="00CE38E0">
        <w:tc>
          <w:tcPr>
            <w:tcW w:w="3688" w:type="dxa"/>
            <w:gridSpan w:val="3"/>
            <w:tcBorders>
              <w:top w:val="single" w:sz="4" w:space="0" w:color="auto"/>
              <w:left w:val="nil"/>
              <w:bottom w:val="nil"/>
              <w:right w:val="nil"/>
            </w:tcBorders>
            <w:hideMark/>
          </w:tcPr>
          <w:p w:rsidR="00BF013B" w:rsidRPr="00444CB9" w:rsidRDefault="00BF013B" w:rsidP="004E2E06">
            <w:r w:rsidRPr="00444CB9">
              <w:t>Home Ownership</w:t>
            </w:r>
          </w:p>
        </w:tc>
        <w:tc>
          <w:tcPr>
            <w:tcW w:w="1080"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188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c>
          <w:tcPr>
            <w:tcW w:w="1750" w:type="dxa"/>
            <w:tcBorders>
              <w:top w:val="nil"/>
              <w:left w:val="nil"/>
              <w:bottom w:val="nil"/>
              <w:right w:val="nil"/>
            </w:tcBorders>
          </w:tcPr>
          <w:p w:rsidR="00BF013B" w:rsidRPr="00444CB9" w:rsidRDefault="00BF013B" w:rsidP="004E2E06"/>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Black</w:t>
            </w:r>
          </w:p>
        </w:tc>
        <w:tc>
          <w:tcPr>
            <w:tcW w:w="1080" w:type="dxa"/>
            <w:tcBorders>
              <w:top w:val="nil"/>
              <w:left w:val="nil"/>
              <w:bottom w:val="nil"/>
              <w:right w:val="nil"/>
            </w:tcBorders>
            <w:hideMark/>
          </w:tcPr>
          <w:p w:rsidR="00BF013B" w:rsidRPr="00444CB9" w:rsidRDefault="00BF013B" w:rsidP="004E2E06">
            <w:pPr>
              <w:jc w:val="center"/>
            </w:pPr>
            <w:r w:rsidRPr="00444CB9">
              <w:t>0.34</w:t>
            </w:r>
          </w:p>
        </w:tc>
        <w:tc>
          <w:tcPr>
            <w:tcW w:w="996" w:type="dxa"/>
            <w:tcBorders>
              <w:top w:val="nil"/>
              <w:left w:val="nil"/>
              <w:bottom w:val="nil"/>
              <w:right w:val="nil"/>
            </w:tcBorders>
            <w:hideMark/>
          </w:tcPr>
          <w:p w:rsidR="00BF013B" w:rsidRPr="00444CB9" w:rsidRDefault="00BF013B" w:rsidP="004E2E06">
            <w:pPr>
              <w:jc w:val="center"/>
            </w:pPr>
            <w:r w:rsidRPr="00444CB9">
              <w:t>0.26</w:t>
            </w:r>
          </w:p>
        </w:tc>
        <w:tc>
          <w:tcPr>
            <w:tcW w:w="996" w:type="dxa"/>
            <w:tcBorders>
              <w:top w:val="nil"/>
              <w:left w:val="nil"/>
              <w:bottom w:val="nil"/>
              <w:right w:val="nil"/>
            </w:tcBorders>
            <w:hideMark/>
          </w:tcPr>
          <w:p w:rsidR="00BF013B" w:rsidRPr="00444CB9" w:rsidRDefault="00BF013B" w:rsidP="004E2E06">
            <w:pPr>
              <w:jc w:val="center"/>
            </w:pPr>
            <w:r w:rsidRPr="00444CB9">
              <w:t>0.2</w:t>
            </w:r>
          </w:p>
        </w:tc>
        <w:tc>
          <w:tcPr>
            <w:tcW w:w="1888" w:type="dxa"/>
            <w:tcBorders>
              <w:top w:val="nil"/>
              <w:left w:val="nil"/>
              <w:bottom w:val="nil"/>
              <w:right w:val="nil"/>
            </w:tcBorders>
            <w:hideMark/>
          </w:tcPr>
          <w:p w:rsidR="00BF013B" w:rsidRPr="00444CB9" w:rsidRDefault="00BF013B" w:rsidP="004E2E06">
            <w:pPr>
              <w:jc w:val="center"/>
            </w:pPr>
            <w:r w:rsidRPr="00444CB9">
              <w:t>-0.08 (-25%)</w:t>
            </w:r>
          </w:p>
        </w:tc>
        <w:tc>
          <w:tcPr>
            <w:tcW w:w="2158" w:type="dxa"/>
            <w:tcBorders>
              <w:top w:val="nil"/>
              <w:left w:val="nil"/>
              <w:bottom w:val="nil"/>
              <w:right w:val="nil"/>
            </w:tcBorders>
            <w:hideMark/>
          </w:tcPr>
          <w:p w:rsidR="00BF013B" w:rsidRPr="00444CB9" w:rsidRDefault="00BF013B" w:rsidP="004E2E06">
            <w:pPr>
              <w:jc w:val="center"/>
            </w:pPr>
            <w:r w:rsidRPr="00444CB9">
              <w:t>-0.06 (-23%)</w:t>
            </w:r>
          </w:p>
        </w:tc>
        <w:tc>
          <w:tcPr>
            <w:tcW w:w="2158" w:type="dxa"/>
            <w:tcBorders>
              <w:top w:val="nil"/>
              <w:left w:val="nil"/>
              <w:bottom w:val="nil"/>
              <w:right w:val="nil"/>
            </w:tcBorders>
            <w:hideMark/>
          </w:tcPr>
          <w:p w:rsidR="00BF013B" w:rsidRPr="00444CB9" w:rsidRDefault="00BF013B" w:rsidP="004E2E06">
            <w:pPr>
              <w:jc w:val="center"/>
            </w:pPr>
            <w:r w:rsidRPr="00444CB9">
              <w:t>-0.14 (-42%)</w:t>
            </w:r>
          </w:p>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White</w:t>
            </w:r>
          </w:p>
        </w:tc>
        <w:tc>
          <w:tcPr>
            <w:tcW w:w="1080" w:type="dxa"/>
            <w:tcBorders>
              <w:top w:val="nil"/>
              <w:left w:val="nil"/>
              <w:bottom w:val="nil"/>
              <w:right w:val="nil"/>
            </w:tcBorders>
            <w:hideMark/>
          </w:tcPr>
          <w:p w:rsidR="00BF013B" w:rsidRPr="00444CB9" w:rsidRDefault="00BF013B" w:rsidP="004E2E06">
            <w:pPr>
              <w:jc w:val="center"/>
            </w:pPr>
            <w:r w:rsidRPr="00444CB9">
              <w:t>0.11</w:t>
            </w:r>
          </w:p>
        </w:tc>
        <w:tc>
          <w:tcPr>
            <w:tcW w:w="996" w:type="dxa"/>
            <w:tcBorders>
              <w:top w:val="nil"/>
              <w:left w:val="nil"/>
              <w:bottom w:val="nil"/>
              <w:right w:val="nil"/>
            </w:tcBorders>
            <w:hideMark/>
          </w:tcPr>
          <w:p w:rsidR="00BF013B" w:rsidRPr="00444CB9" w:rsidRDefault="00BF013B" w:rsidP="004E2E06">
            <w:pPr>
              <w:jc w:val="center"/>
            </w:pPr>
            <w:r w:rsidRPr="00444CB9">
              <w:t>0.08</w:t>
            </w:r>
          </w:p>
        </w:tc>
        <w:tc>
          <w:tcPr>
            <w:tcW w:w="996" w:type="dxa"/>
            <w:tcBorders>
              <w:top w:val="nil"/>
              <w:left w:val="nil"/>
              <w:bottom w:val="nil"/>
              <w:right w:val="nil"/>
            </w:tcBorders>
            <w:hideMark/>
          </w:tcPr>
          <w:p w:rsidR="00BF013B" w:rsidRPr="00444CB9" w:rsidRDefault="00BF013B" w:rsidP="004E2E06">
            <w:pPr>
              <w:jc w:val="center"/>
            </w:pPr>
            <w:r w:rsidRPr="00444CB9">
              <w:t>0.05</w:t>
            </w:r>
          </w:p>
        </w:tc>
        <w:tc>
          <w:tcPr>
            <w:tcW w:w="1888" w:type="dxa"/>
            <w:tcBorders>
              <w:top w:val="nil"/>
              <w:left w:val="nil"/>
              <w:bottom w:val="nil"/>
              <w:right w:val="nil"/>
            </w:tcBorders>
            <w:hideMark/>
          </w:tcPr>
          <w:p w:rsidR="00BF013B" w:rsidRPr="00444CB9" w:rsidRDefault="00BF013B" w:rsidP="004E2E06">
            <w:pPr>
              <w:jc w:val="center"/>
            </w:pPr>
            <w:r w:rsidRPr="00444CB9">
              <w:t>-0.04 (-33%)</w:t>
            </w:r>
          </w:p>
        </w:tc>
        <w:tc>
          <w:tcPr>
            <w:tcW w:w="2158" w:type="dxa"/>
            <w:tcBorders>
              <w:top w:val="nil"/>
              <w:left w:val="nil"/>
              <w:bottom w:val="nil"/>
              <w:right w:val="nil"/>
            </w:tcBorders>
            <w:hideMark/>
          </w:tcPr>
          <w:p w:rsidR="00BF013B" w:rsidRPr="00444CB9" w:rsidRDefault="00BF013B" w:rsidP="004E2E06">
            <w:pPr>
              <w:jc w:val="center"/>
            </w:pPr>
            <w:r w:rsidRPr="00444CB9">
              <w:t>-0.03 (-33%)</w:t>
            </w:r>
          </w:p>
        </w:tc>
        <w:tc>
          <w:tcPr>
            <w:tcW w:w="2158" w:type="dxa"/>
            <w:tcBorders>
              <w:top w:val="nil"/>
              <w:left w:val="nil"/>
              <w:bottom w:val="nil"/>
              <w:right w:val="nil"/>
            </w:tcBorders>
            <w:hideMark/>
          </w:tcPr>
          <w:p w:rsidR="00BF013B" w:rsidRPr="00444CB9" w:rsidRDefault="00BF013B" w:rsidP="004E2E06">
            <w:pPr>
              <w:jc w:val="center"/>
            </w:pPr>
            <w:r w:rsidRPr="00444CB9">
              <w:t>-0.06 (-55%)</w:t>
            </w:r>
          </w:p>
        </w:tc>
      </w:tr>
      <w:tr w:rsidR="00BF013B" w:rsidRPr="00444CB9" w:rsidTr="00CE38E0">
        <w:trPr>
          <w:gridAfter w:val="1"/>
          <w:wAfter w:w="1750" w:type="dxa"/>
        </w:trPr>
        <w:tc>
          <w:tcPr>
            <w:tcW w:w="1458" w:type="dxa"/>
            <w:tcBorders>
              <w:top w:val="nil"/>
              <w:left w:val="nil"/>
              <w:bottom w:val="single" w:sz="4" w:space="0" w:color="auto"/>
              <w:right w:val="nil"/>
            </w:tcBorders>
          </w:tcPr>
          <w:p w:rsidR="00BF013B" w:rsidRPr="00444CB9" w:rsidRDefault="00BF013B" w:rsidP="004E2E06"/>
        </w:tc>
        <w:tc>
          <w:tcPr>
            <w:tcW w:w="2230" w:type="dxa"/>
            <w:gridSpan w:val="2"/>
            <w:tcBorders>
              <w:top w:val="nil"/>
              <w:left w:val="nil"/>
              <w:bottom w:val="single" w:sz="4" w:space="0" w:color="auto"/>
              <w:right w:val="nil"/>
            </w:tcBorders>
            <w:hideMark/>
          </w:tcPr>
          <w:p w:rsidR="00BF013B" w:rsidRPr="00444CB9" w:rsidRDefault="00BF013B" w:rsidP="004E2E06">
            <w:r>
              <w:t>Inequality ratio</w:t>
            </w:r>
          </w:p>
        </w:tc>
        <w:tc>
          <w:tcPr>
            <w:tcW w:w="1080" w:type="dxa"/>
            <w:tcBorders>
              <w:top w:val="nil"/>
              <w:left w:val="nil"/>
              <w:bottom w:val="single" w:sz="4" w:space="0" w:color="auto"/>
              <w:right w:val="nil"/>
            </w:tcBorders>
            <w:hideMark/>
          </w:tcPr>
          <w:p w:rsidR="00BF013B" w:rsidRPr="00444CB9" w:rsidRDefault="00BF013B" w:rsidP="004E2E06">
            <w:pPr>
              <w:jc w:val="center"/>
            </w:pPr>
            <w:r w:rsidRPr="00444CB9">
              <w:t>0.31</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0.27</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0.18</w:t>
            </w:r>
          </w:p>
        </w:tc>
        <w:tc>
          <w:tcPr>
            <w:tcW w:w="1888" w:type="dxa"/>
            <w:tcBorders>
              <w:top w:val="nil"/>
              <w:left w:val="nil"/>
              <w:bottom w:val="single" w:sz="4" w:space="0" w:color="auto"/>
              <w:right w:val="nil"/>
            </w:tcBorders>
            <w:hideMark/>
          </w:tcPr>
          <w:p w:rsidR="00BF013B" w:rsidRPr="00444CB9" w:rsidRDefault="00BF013B" w:rsidP="004E2E06">
            <w:pPr>
              <w:jc w:val="center"/>
            </w:pPr>
            <w:r w:rsidRPr="00444CB9">
              <w:t>-0.03 (-11%)</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-0.1 (-36%)</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-0.13 (-43%)</w:t>
            </w:r>
          </w:p>
        </w:tc>
      </w:tr>
      <w:tr w:rsidR="00BF013B" w:rsidRPr="00444CB9" w:rsidTr="00CE38E0">
        <w:trPr>
          <w:gridAfter w:val="1"/>
          <w:wAfter w:w="1750" w:type="dxa"/>
        </w:trPr>
        <w:tc>
          <w:tcPr>
            <w:tcW w:w="1608" w:type="dxa"/>
            <w:gridSpan w:val="2"/>
            <w:tcBorders>
              <w:top w:val="single" w:sz="4" w:space="0" w:color="auto"/>
              <w:left w:val="nil"/>
              <w:bottom w:val="single" w:sz="4" w:space="0" w:color="auto"/>
              <w:right w:val="nil"/>
            </w:tcBorders>
            <w:hideMark/>
          </w:tcPr>
          <w:p w:rsidR="00BF013B" w:rsidRPr="00444CB9" w:rsidRDefault="00BF013B" w:rsidP="004E2E06">
            <w:pPr>
              <w:rPr>
                <w:i/>
              </w:rPr>
            </w:pPr>
            <w:r w:rsidRPr="00444CB9">
              <w:rPr>
                <w:i/>
              </w:rPr>
              <w:t>Subordination</w:t>
            </w:r>
          </w:p>
        </w:tc>
        <w:tc>
          <w:tcPr>
            <w:tcW w:w="2080" w:type="dxa"/>
            <w:tcBorders>
              <w:top w:val="single" w:sz="4" w:space="0" w:color="auto"/>
              <w:left w:val="nil"/>
              <w:bottom w:val="single" w:sz="4" w:space="0" w:color="auto"/>
              <w:right w:val="nil"/>
            </w:tcBorders>
          </w:tcPr>
          <w:p w:rsidR="00BF013B" w:rsidRPr="00444CB9" w:rsidRDefault="00BF013B" w:rsidP="004E2E06"/>
        </w:tc>
        <w:tc>
          <w:tcPr>
            <w:tcW w:w="1080" w:type="dxa"/>
            <w:tcBorders>
              <w:top w:val="single" w:sz="4" w:space="0" w:color="auto"/>
              <w:left w:val="nil"/>
              <w:bottom w:val="single" w:sz="4" w:space="0" w:color="auto"/>
              <w:right w:val="nil"/>
            </w:tcBorders>
          </w:tcPr>
          <w:p w:rsidR="00BF013B" w:rsidRPr="00444CB9" w:rsidRDefault="00BF013B" w:rsidP="004E2E06">
            <w:pPr>
              <w:jc w:val="center"/>
            </w:pPr>
          </w:p>
        </w:tc>
        <w:tc>
          <w:tcPr>
            <w:tcW w:w="996" w:type="dxa"/>
            <w:tcBorders>
              <w:top w:val="single" w:sz="4" w:space="0" w:color="auto"/>
              <w:left w:val="nil"/>
              <w:bottom w:val="single" w:sz="4" w:space="0" w:color="auto"/>
              <w:right w:val="nil"/>
            </w:tcBorders>
          </w:tcPr>
          <w:p w:rsidR="00BF013B" w:rsidRPr="00444CB9" w:rsidRDefault="00BF013B" w:rsidP="004E2E06">
            <w:pPr>
              <w:jc w:val="center"/>
            </w:pPr>
          </w:p>
        </w:tc>
        <w:tc>
          <w:tcPr>
            <w:tcW w:w="996" w:type="dxa"/>
            <w:tcBorders>
              <w:top w:val="single" w:sz="4" w:space="0" w:color="auto"/>
              <w:left w:val="nil"/>
              <w:bottom w:val="single" w:sz="4" w:space="0" w:color="auto"/>
              <w:right w:val="nil"/>
            </w:tcBorders>
          </w:tcPr>
          <w:p w:rsidR="00BF013B" w:rsidRPr="00444CB9" w:rsidRDefault="00BF013B" w:rsidP="004E2E06">
            <w:pPr>
              <w:jc w:val="center"/>
            </w:pPr>
          </w:p>
        </w:tc>
        <w:tc>
          <w:tcPr>
            <w:tcW w:w="1888" w:type="dxa"/>
            <w:tcBorders>
              <w:top w:val="single" w:sz="4" w:space="0" w:color="auto"/>
              <w:left w:val="nil"/>
              <w:bottom w:val="single" w:sz="4" w:space="0" w:color="auto"/>
              <w:right w:val="nil"/>
            </w:tcBorders>
          </w:tcPr>
          <w:p w:rsidR="00BF013B" w:rsidRPr="00444CB9" w:rsidRDefault="00BF013B" w:rsidP="004E2E06">
            <w:pPr>
              <w:jc w:val="center"/>
            </w:pPr>
          </w:p>
        </w:tc>
        <w:tc>
          <w:tcPr>
            <w:tcW w:w="2158" w:type="dxa"/>
            <w:tcBorders>
              <w:top w:val="single" w:sz="4" w:space="0" w:color="auto"/>
              <w:left w:val="nil"/>
              <w:bottom w:val="single" w:sz="4" w:space="0" w:color="auto"/>
              <w:right w:val="nil"/>
            </w:tcBorders>
          </w:tcPr>
          <w:p w:rsidR="00BF013B" w:rsidRPr="00444CB9" w:rsidRDefault="00BF013B" w:rsidP="004E2E06">
            <w:pPr>
              <w:jc w:val="center"/>
            </w:pPr>
          </w:p>
        </w:tc>
        <w:tc>
          <w:tcPr>
            <w:tcW w:w="2158" w:type="dxa"/>
            <w:tcBorders>
              <w:top w:val="single" w:sz="4" w:space="0" w:color="auto"/>
              <w:left w:val="nil"/>
              <w:bottom w:val="single" w:sz="4" w:space="0" w:color="auto"/>
              <w:right w:val="nil"/>
            </w:tcBorders>
          </w:tcPr>
          <w:p w:rsidR="00BF013B" w:rsidRPr="00444CB9" w:rsidRDefault="00BF013B" w:rsidP="004E2E06">
            <w:pPr>
              <w:jc w:val="center"/>
            </w:pPr>
          </w:p>
        </w:tc>
      </w:tr>
      <w:tr w:rsidR="00BF013B" w:rsidRPr="00444CB9" w:rsidTr="00CE38E0">
        <w:tc>
          <w:tcPr>
            <w:tcW w:w="3688" w:type="dxa"/>
            <w:gridSpan w:val="3"/>
            <w:tcBorders>
              <w:top w:val="single" w:sz="4" w:space="0" w:color="auto"/>
              <w:left w:val="nil"/>
              <w:bottom w:val="nil"/>
              <w:right w:val="nil"/>
            </w:tcBorders>
            <w:hideMark/>
          </w:tcPr>
          <w:p w:rsidR="00BF013B" w:rsidRPr="00444CB9" w:rsidRDefault="00BF013B" w:rsidP="004E2E06">
            <w:r w:rsidRPr="00444CB9">
              <w:t>Wage and Salary Income</w:t>
            </w:r>
          </w:p>
        </w:tc>
        <w:tc>
          <w:tcPr>
            <w:tcW w:w="1080"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188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c>
          <w:tcPr>
            <w:tcW w:w="1750" w:type="dxa"/>
            <w:tcBorders>
              <w:top w:val="nil"/>
              <w:left w:val="nil"/>
              <w:bottom w:val="nil"/>
              <w:right w:val="nil"/>
            </w:tcBorders>
          </w:tcPr>
          <w:p w:rsidR="00BF013B" w:rsidRPr="00444CB9" w:rsidRDefault="00BF013B" w:rsidP="004E2E06"/>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Black</w:t>
            </w:r>
          </w:p>
        </w:tc>
        <w:tc>
          <w:tcPr>
            <w:tcW w:w="1080" w:type="dxa"/>
            <w:tcBorders>
              <w:top w:val="nil"/>
              <w:left w:val="nil"/>
              <w:bottom w:val="nil"/>
              <w:right w:val="nil"/>
            </w:tcBorders>
            <w:hideMark/>
          </w:tcPr>
          <w:p w:rsidR="00BF013B" w:rsidRPr="00444CB9" w:rsidRDefault="00BF013B" w:rsidP="004E2E06">
            <w:pPr>
              <w:jc w:val="center"/>
            </w:pPr>
            <w:r w:rsidRPr="00444CB9">
              <w:t>0.36</w:t>
            </w:r>
          </w:p>
        </w:tc>
        <w:tc>
          <w:tcPr>
            <w:tcW w:w="996" w:type="dxa"/>
            <w:tcBorders>
              <w:top w:val="nil"/>
              <w:left w:val="nil"/>
              <w:bottom w:val="nil"/>
              <w:right w:val="nil"/>
            </w:tcBorders>
            <w:hideMark/>
          </w:tcPr>
          <w:p w:rsidR="00BF013B" w:rsidRPr="00444CB9" w:rsidRDefault="00BF013B" w:rsidP="004E2E06">
            <w:pPr>
              <w:jc w:val="center"/>
            </w:pPr>
            <w:r w:rsidRPr="00444CB9">
              <w:t>0.21</w:t>
            </w:r>
          </w:p>
        </w:tc>
        <w:tc>
          <w:tcPr>
            <w:tcW w:w="996" w:type="dxa"/>
            <w:tcBorders>
              <w:top w:val="nil"/>
              <w:left w:val="nil"/>
              <w:bottom w:val="nil"/>
              <w:right w:val="nil"/>
            </w:tcBorders>
            <w:hideMark/>
          </w:tcPr>
          <w:p w:rsidR="00BF013B" w:rsidRPr="00444CB9" w:rsidRDefault="00BF013B" w:rsidP="004E2E06">
            <w:pPr>
              <w:jc w:val="center"/>
            </w:pPr>
            <w:r w:rsidRPr="00444CB9">
              <w:t>0.17</w:t>
            </w:r>
          </w:p>
        </w:tc>
        <w:tc>
          <w:tcPr>
            <w:tcW w:w="1888" w:type="dxa"/>
            <w:tcBorders>
              <w:top w:val="nil"/>
              <w:left w:val="nil"/>
              <w:bottom w:val="nil"/>
              <w:right w:val="nil"/>
            </w:tcBorders>
            <w:hideMark/>
          </w:tcPr>
          <w:p w:rsidR="00BF013B" w:rsidRPr="00444CB9" w:rsidRDefault="00BF013B" w:rsidP="004E2E06">
            <w:pPr>
              <w:jc w:val="center"/>
            </w:pPr>
            <w:r w:rsidRPr="00444CB9">
              <w:t>-0.15 (-42%)</w:t>
            </w:r>
          </w:p>
        </w:tc>
        <w:tc>
          <w:tcPr>
            <w:tcW w:w="2158" w:type="dxa"/>
            <w:tcBorders>
              <w:top w:val="nil"/>
              <w:left w:val="nil"/>
              <w:bottom w:val="nil"/>
              <w:right w:val="nil"/>
            </w:tcBorders>
            <w:hideMark/>
          </w:tcPr>
          <w:p w:rsidR="00BF013B" w:rsidRPr="00444CB9" w:rsidRDefault="00BF013B" w:rsidP="004E2E06">
            <w:pPr>
              <w:jc w:val="center"/>
            </w:pPr>
            <w:r w:rsidRPr="00444CB9">
              <w:t>-0.04 (-19%)</w:t>
            </w:r>
          </w:p>
        </w:tc>
        <w:tc>
          <w:tcPr>
            <w:tcW w:w="2158" w:type="dxa"/>
            <w:tcBorders>
              <w:top w:val="nil"/>
              <w:left w:val="nil"/>
              <w:bottom w:val="nil"/>
              <w:right w:val="nil"/>
            </w:tcBorders>
            <w:hideMark/>
          </w:tcPr>
          <w:p w:rsidR="00BF013B" w:rsidRPr="00444CB9" w:rsidRDefault="00BF013B" w:rsidP="004E2E06">
            <w:pPr>
              <w:jc w:val="center"/>
            </w:pPr>
            <w:r w:rsidRPr="00444CB9">
              <w:t>-0.19 (-53%)</w:t>
            </w:r>
          </w:p>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White</w:t>
            </w:r>
          </w:p>
        </w:tc>
        <w:tc>
          <w:tcPr>
            <w:tcW w:w="1080" w:type="dxa"/>
            <w:tcBorders>
              <w:top w:val="nil"/>
              <w:left w:val="nil"/>
              <w:bottom w:val="nil"/>
              <w:right w:val="nil"/>
            </w:tcBorders>
            <w:hideMark/>
          </w:tcPr>
          <w:p w:rsidR="00BF013B" w:rsidRPr="00444CB9" w:rsidRDefault="00BF013B" w:rsidP="004E2E06">
            <w:pPr>
              <w:jc w:val="center"/>
            </w:pPr>
            <w:r w:rsidRPr="00444CB9">
              <w:t>0.17</w:t>
            </w:r>
          </w:p>
        </w:tc>
        <w:tc>
          <w:tcPr>
            <w:tcW w:w="996" w:type="dxa"/>
            <w:tcBorders>
              <w:top w:val="nil"/>
              <w:left w:val="nil"/>
              <w:bottom w:val="nil"/>
              <w:right w:val="nil"/>
            </w:tcBorders>
            <w:hideMark/>
          </w:tcPr>
          <w:p w:rsidR="00BF013B" w:rsidRPr="00444CB9" w:rsidRDefault="00BF013B" w:rsidP="004E2E06">
            <w:pPr>
              <w:jc w:val="center"/>
            </w:pPr>
            <w:r w:rsidRPr="00444CB9">
              <w:t>0.14</w:t>
            </w:r>
          </w:p>
        </w:tc>
        <w:tc>
          <w:tcPr>
            <w:tcW w:w="996" w:type="dxa"/>
            <w:tcBorders>
              <w:top w:val="nil"/>
              <w:left w:val="nil"/>
              <w:bottom w:val="nil"/>
              <w:right w:val="nil"/>
            </w:tcBorders>
            <w:hideMark/>
          </w:tcPr>
          <w:p w:rsidR="00BF013B" w:rsidRPr="00444CB9" w:rsidRDefault="00BF013B" w:rsidP="004E2E06">
            <w:pPr>
              <w:jc w:val="center"/>
            </w:pPr>
            <w:r w:rsidRPr="00444CB9">
              <w:t>0.15</w:t>
            </w:r>
          </w:p>
        </w:tc>
        <w:tc>
          <w:tcPr>
            <w:tcW w:w="1888" w:type="dxa"/>
            <w:tcBorders>
              <w:top w:val="nil"/>
              <w:left w:val="nil"/>
              <w:bottom w:val="nil"/>
              <w:right w:val="nil"/>
            </w:tcBorders>
            <w:hideMark/>
          </w:tcPr>
          <w:p w:rsidR="00BF013B" w:rsidRPr="00444CB9" w:rsidRDefault="00BF013B" w:rsidP="004E2E06">
            <w:pPr>
              <w:jc w:val="center"/>
            </w:pPr>
            <w:r w:rsidRPr="00444CB9">
              <w:t>-0.03 (-19%)</w:t>
            </w:r>
          </w:p>
        </w:tc>
        <w:tc>
          <w:tcPr>
            <w:tcW w:w="2158" w:type="dxa"/>
            <w:tcBorders>
              <w:top w:val="nil"/>
              <w:left w:val="nil"/>
              <w:bottom w:val="nil"/>
              <w:right w:val="nil"/>
            </w:tcBorders>
            <w:hideMark/>
          </w:tcPr>
          <w:p w:rsidR="00BF013B" w:rsidRPr="00444CB9" w:rsidRDefault="00BF013B" w:rsidP="004E2E06">
            <w:pPr>
              <w:jc w:val="center"/>
            </w:pPr>
            <w:r w:rsidRPr="00444CB9">
              <w:t>0.01 (4%)</w:t>
            </w:r>
          </w:p>
        </w:tc>
        <w:tc>
          <w:tcPr>
            <w:tcW w:w="2158" w:type="dxa"/>
            <w:tcBorders>
              <w:top w:val="nil"/>
              <w:left w:val="nil"/>
              <w:bottom w:val="nil"/>
              <w:right w:val="nil"/>
            </w:tcBorders>
            <w:hideMark/>
          </w:tcPr>
          <w:p w:rsidR="00BF013B" w:rsidRPr="00444CB9" w:rsidRDefault="00BF013B" w:rsidP="004E2E06">
            <w:pPr>
              <w:jc w:val="center"/>
            </w:pPr>
            <w:r w:rsidRPr="00444CB9">
              <w:t>-0.03 (-15%)</w:t>
            </w:r>
          </w:p>
        </w:tc>
      </w:tr>
      <w:tr w:rsidR="00BF013B" w:rsidRPr="00444CB9" w:rsidTr="00CE38E0">
        <w:trPr>
          <w:gridAfter w:val="1"/>
          <w:wAfter w:w="1750" w:type="dxa"/>
        </w:trPr>
        <w:tc>
          <w:tcPr>
            <w:tcW w:w="1458" w:type="dxa"/>
            <w:tcBorders>
              <w:top w:val="nil"/>
              <w:left w:val="nil"/>
              <w:bottom w:val="single" w:sz="4" w:space="0" w:color="auto"/>
              <w:right w:val="nil"/>
            </w:tcBorders>
          </w:tcPr>
          <w:p w:rsidR="00BF013B" w:rsidRPr="00444CB9" w:rsidRDefault="00BF013B" w:rsidP="004E2E06"/>
        </w:tc>
        <w:tc>
          <w:tcPr>
            <w:tcW w:w="2230" w:type="dxa"/>
            <w:gridSpan w:val="2"/>
            <w:tcBorders>
              <w:top w:val="nil"/>
              <w:left w:val="nil"/>
              <w:bottom w:val="single" w:sz="4" w:space="0" w:color="auto"/>
              <w:right w:val="nil"/>
            </w:tcBorders>
            <w:hideMark/>
          </w:tcPr>
          <w:p w:rsidR="00BF013B" w:rsidRPr="00444CB9" w:rsidRDefault="00BF013B" w:rsidP="004E2E06">
            <w:r>
              <w:t>Inequality ratio</w:t>
            </w:r>
          </w:p>
        </w:tc>
        <w:tc>
          <w:tcPr>
            <w:tcW w:w="1080" w:type="dxa"/>
            <w:tcBorders>
              <w:top w:val="nil"/>
              <w:left w:val="nil"/>
              <w:bottom w:val="single" w:sz="4" w:space="0" w:color="auto"/>
              <w:right w:val="nil"/>
            </w:tcBorders>
            <w:hideMark/>
          </w:tcPr>
          <w:p w:rsidR="00BF013B" w:rsidRPr="00444CB9" w:rsidRDefault="00BF013B" w:rsidP="004E2E06">
            <w:pPr>
              <w:jc w:val="center"/>
            </w:pPr>
            <w:r w:rsidRPr="00444CB9">
              <w:t>0.33</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0.15</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0.08</w:t>
            </w:r>
          </w:p>
        </w:tc>
        <w:tc>
          <w:tcPr>
            <w:tcW w:w="1888" w:type="dxa"/>
            <w:tcBorders>
              <w:top w:val="nil"/>
              <w:left w:val="nil"/>
              <w:bottom w:val="single" w:sz="4" w:space="0" w:color="auto"/>
              <w:right w:val="nil"/>
            </w:tcBorders>
            <w:hideMark/>
          </w:tcPr>
          <w:p w:rsidR="00BF013B" w:rsidRPr="00444CB9" w:rsidRDefault="00BF013B" w:rsidP="004E2E06">
            <w:pPr>
              <w:jc w:val="center"/>
            </w:pPr>
            <w:r w:rsidRPr="00444CB9">
              <w:t>-0.19 (-56%)</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-0.07 (-45%)</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-0.26 (-76%)</w:t>
            </w:r>
          </w:p>
        </w:tc>
      </w:tr>
      <w:tr w:rsidR="00BF013B" w:rsidRPr="00444CB9" w:rsidTr="00CE38E0">
        <w:trPr>
          <w:gridAfter w:val="1"/>
          <w:wAfter w:w="1750" w:type="dxa"/>
        </w:trPr>
        <w:tc>
          <w:tcPr>
            <w:tcW w:w="1608" w:type="dxa"/>
            <w:gridSpan w:val="2"/>
            <w:tcBorders>
              <w:top w:val="single" w:sz="4" w:space="0" w:color="auto"/>
              <w:left w:val="nil"/>
              <w:bottom w:val="nil"/>
              <w:right w:val="nil"/>
            </w:tcBorders>
            <w:hideMark/>
          </w:tcPr>
          <w:p w:rsidR="00BF013B" w:rsidRPr="00444CB9" w:rsidRDefault="00BF013B" w:rsidP="004E2E06">
            <w:r w:rsidRPr="00444CB9">
              <w:t>Home Value</w:t>
            </w:r>
          </w:p>
        </w:tc>
        <w:tc>
          <w:tcPr>
            <w:tcW w:w="2080" w:type="dxa"/>
            <w:tcBorders>
              <w:top w:val="single" w:sz="4" w:space="0" w:color="auto"/>
              <w:left w:val="nil"/>
              <w:bottom w:val="nil"/>
              <w:right w:val="nil"/>
            </w:tcBorders>
          </w:tcPr>
          <w:p w:rsidR="00BF013B" w:rsidRPr="00444CB9" w:rsidRDefault="00BF013B" w:rsidP="004E2E06"/>
        </w:tc>
        <w:tc>
          <w:tcPr>
            <w:tcW w:w="1080"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996" w:type="dxa"/>
            <w:tcBorders>
              <w:top w:val="single" w:sz="4" w:space="0" w:color="auto"/>
              <w:left w:val="nil"/>
              <w:bottom w:val="nil"/>
              <w:right w:val="nil"/>
            </w:tcBorders>
          </w:tcPr>
          <w:p w:rsidR="00BF013B" w:rsidRPr="00444CB9" w:rsidRDefault="00BF013B" w:rsidP="004E2E06">
            <w:pPr>
              <w:jc w:val="center"/>
            </w:pPr>
          </w:p>
        </w:tc>
        <w:tc>
          <w:tcPr>
            <w:tcW w:w="188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c>
          <w:tcPr>
            <w:tcW w:w="2158" w:type="dxa"/>
            <w:tcBorders>
              <w:top w:val="single" w:sz="4" w:space="0" w:color="auto"/>
              <w:left w:val="nil"/>
              <w:bottom w:val="nil"/>
              <w:right w:val="nil"/>
            </w:tcBorders>
          </w:tcPr>
          <w:p w:rsidR="00BF013B" w:rsidRPr="00444CB9" w:rsidRDefault="00BF013B" w:rsidP="004E2E06">
            <w:pPr>
              <w:jc w:val="center"/>
            </w:pPr>
          </w:p>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Black</w:t>
            </w:r>
          </w:p>
        </w:tc>
        <w:tc>
          <w:tcPr>
            <w:tcW w:w="1080" w:type="dxa"/>
            <w:tcBorders>
              <w:top w:val="nil"/>
              <w:left w:val="nil"/>
              <w:bottom w:val="nil"/>
              <w:right w:val="nil"/>
            </w:tcBorders>
            <w:hideMark/>
          </w:tcPr>
          <w:p w:rsidR="00BF013B" w:rsidRPr="00444CB9" w:rsidRDefault="00BF013B" w:rsidP="004E2E06">
            <w:pPr>
              <w:jc w:val="center"/>
            </w:pPr>
            <w:r w:rsidRPr="00444CB9">
              <w:t>1.3</w:t>
            </w:r>
          </w:p>
        </w:tc>
        <w:tc>
          <w:tcPr>
            <w:tcW w:w="996" w:type="dxa"/>
            <w:tcBorders>
              <w:top w:val="nil"/>
              <w:left w:val="nil"/>
              <w:bottom w:val="nil"/>
              <w:right w:val="nil"/>
            </w:tcBorders>
            <w:hideMark/>
          </w:tcPr>
          <w:p w:rsidR="00BF013B" w:rsidRPr="00444CB9" w:rsidRDefault="00BF013B" w:rsidP="004E2E06">
            <w:pPr>
              <w:jc w:val="center"/>
            </w:pPr>
            <w:r w:rsidRPr="00444CB9">
              <w:t>0.47</w:t>
            </w:r>
          </w:p>
        </w:tc>
        <w:tc>
          <w:tcPr>
            <w:tcW w:w="996" w:type="dxa"/>
            <w:tcBorders>
              <w:top w:val="nil"/>
              <w:left w:val="nil"/>
              <w:bottom w:val="nil"/>
              <w:right w:val="nil"/>
            </w:tcBorders>
            <w:hideMark/>
          </w:tcPr>
          <w:p w:rsidR="00BF013B" w:rsidRPr="00444CB9" w:rsidRDefault="00BF013B" w:rsidP="004E2E06">
            <w:pPr>
              <w:jc w:val="center"/>
            </w:pPr>
            <w:r w:rsidRPr="00444CB9">
              <w:t>0.41</w:t>
            </w:r>
          </w:p>
        </w:tc>
        <w:tc>
          <w:tcPr>
            <w:tcW w:w="1888" w:type="dxa"/>
            <w:tcBorders>
              <w:top w:val="nil"/>
              <w:left w:val="nil"/>
              <w:bottom w:val="nil"/>
              <w:right w:val="nil"/>
            </w:tcBorders>
            <w:hideMark/>
          </w:tcPr>
          <w:p w:rsidR="00BF013B" w:rsidRPr="00444CB9" w:rsidRDefault="00BF013B" w:rsidP="004E2E06">
            <w:pPr>
              <w:jc w:val="center"/>
            </w:pPr>
            <w:r w:rsidRPr="00444CB9">
              <w:t>-0.83 (-64%)</w:t>
            </w:r>
          </w:p>
        </w:tc>
        <w:tc>
          <w:tcPr>
            <w:tcW w:w="2158" w:type="dxa"/>
            <w:tcBorders>
              <w:top w:val="nil"/>
              <w:left w:val="nil"/>
              <w:bottom w:val="nil"/>
              <w:right w:val="nil"/>
            </w:tcBorders>
            <w:hideMark/>
          </w:tcPr>
          <w:p w:rsidR="00BF013B" w:rsidRPr="00444CB9" w:rsidRDefault="00BF013B" w:rsidP="004E2E06">
            <w:pPr>
              <w:jc w:val="center"/>
            </w:pPr>
            <w:r w:rsidRPr="00444CB9">
              <w:t>-0.05 (-11%)</w:t>
            </w:r>
          </w:p>
        </w:tc>
        <w:tc>
          <w:tcPr>
            <w:tcW w:w="2158" w:type="dxa"/>
            <w:tcBorders>
              <w:top w:val="nil"/>
              <w:left w:val="nil"/>
              <w:bottom w:val="nil"/>
              <w:right w:val="nil"/>
            </w:tcBorders>
            <w:hideMark/>
          </w:tcPr>
          <w:p w:rsidR="00BF013B" w:rsidRPr="00444CB9" w:rsidRDefault="00BF013B" w:rsidP="004E2E06">
            <w:pPr>
              <w:jc w:val="center"/>
            </w:pPr>
            <w:r w:rsidRPr="00444CB9">
              <w:t>-0.89 (-68%)</w:t>
            </w:r>
          </w:p>
        </w:tc>
      </w:tr>
      <w:tr w:rsidR="00BF013B" w:rsidRPr="00444CB9" w:rsidTr="00CE38E0">
        <w:trPr>
          <w:gridAfter w:val="1"/>
          <w:wAfter w:w="1750" w:type="dxa"/>
        </w:trPr>
        <w:tc>
          <w:tcPr>
            <w:tcW w:w="1458" w:type="dxa"/>
            <w:tcBorders>
              <w:top w:val="nil"/>
              <w:left w:val="nil"/>
              <w:bottom w:val="nil"/>
              <w:right w:val="nil"/>
            </w:tcBorders>
          </w:tcPr>
          <w:p w:rsidR="00BF013B" w:rsidRPr="00444CB9" w:rsidRDefault="00BF013B" w:rsidP="004E2E06"/>
        </w:tc>
        <w:tc>
          <w:tcPr>
            <w:tcW w:w="2230" w:type="dxa"/>
            <w:gridSpan w:val="2"/>
            <w:tcBorders>
              <w:top w:val="nil"/>
              <w:left w:val="nil"/>
              <w:bottom w:val="nil"/>
              <w:right w:val="nil"/>
            </w:tcBorders>
            <w:hideMark/>
          </w:tcPr>
          <w:p w:rsidR="00BF013B" w:rsidRPr="00444CB9" w:rsidRDefault="00BF013B" w:rsidP="004E2E06">
            <w:r>
              <w:t>White</w:t>
            </w:r>
          </w:p>
        </w:tc>
        <w:tc>
          <w:tcPr>
            <w:tcW w:w="1080" w:type="dxa"/>
            <w:tcBorders>
              <w:top w:val="nil"/>
              <w:left w:val="nil"/>
              <w:bottom w:val="nil"/>
              <w:right w:val="nil"/>
            </w:tcBorders>
            <w:hideMark/>
          </w:tcPr>
          <w:p w:rsidR="00BF013B" w:rsidRPr="00444CB9" w:rsidRDefault="00BF013B" w:rsidP="004E2E06">
            <w:pPr>
              <w:jc w:val="center"/>
            </w:pPr>
            <w:r w:rsidRPr="00444CB9">
              <w:t>0.28</w:t>
            </w:r>
          </w:p>
        </w:tc>
        <w:tc>
          <w:tcPr>
            <w:tcW w:w="996" w:type="dxa"/>
            <w:tcBorders>
              <w:top w:val="nil"/>
              <w:left w:val="nil"/>
              <w:bottom w:val="nil"/>
              <w:right w:val="nil"/>
            </w:tcBorders>
            <w:hideMark/>
          </w:tcPr>
          <w:p w:rsidR="00BF013B" w:rsidRPr="00444CB9" w:rsidRDefault="00BF013B" w:rsidP="004E2E06">
            <w:pPr>
              <w:jc w:val="center"/>
            </w:pPr>
            <w:r w:rsidRPr="00444CB9">
              <w:t>0.26</w:t>
            </w:r>
          </w:p>
        </w:tc>
        <w:tc>
          <w:tcPr>
            <w:tcW w:w="996" w:type="dxa"/>
            <w:tcBorders>
              <w:top w:val="nil"/>
              <w:left w:val="nil"/>
              <w:bottom w:val="nil"/>
              <w:right w:val="nil"/>
            </w:tcBorders>
            <w:hideMark/>
          </w:tcPr>
          <w:p w:rsidR="00BF013B" w:rsidRPr="00444CB9" w:rsidRDefault="00BF013B" w:rsidP="004E2E06">
            <w:pPr>
              <w:jc w:val="center"/>
            </w:pPr>
            <w:r w:rsidRPr="00444CB9">
              <w:t>0.32</w:t>
            </w:r>
          </w:p>
        </w:tc>
        <w:tc>
          <w:tcPr>
            <w:tcW w:w="1888" w:type="dxa"/>
            <w:tcBorders>
              <w:top w:val="nil"/>
              <w:left w:val="nil"/>
              <w:bottom w:val="nil"/>
              <w:right w:val="nil"/>
            </w:tcBorders>
            <w:hideMark/>
          </w:tcPr>
          <w:p w:rsidR="00BF013B" w:rsidRPr="00444CB9" w:rsidRDefault="00BF013B" w:rsidP="004E2E06">
            <w:pPr>
              <w:jc w:val="center"/>
            </w:pPr>
            <w:r w:rsidRPr="00444CB9">
              <w:t>-0.02 (-8%)</w:t>
            </w:r>
          </w:p>
        </w:tc>
        <w:tc>
          <w:tcPr>
            <w:tcW w:w="2158" w:type="dxa"/>
            <w:tcBorders>
              <w:top w:val="nil"/>
              <w:left w:val="nil"/>
              <w:bottom w:val="nil"/>
              <w:right w:val="nil"/>
            </w:tcBorders>
            <w:hideMark/>
          </w:tcPr>
          <w:p w:rsidR="00BF013B" w:rsidRPr="00444CB9" w:rsidRDefault="00BF013B" w:rsidP="004E2E06">
            <w:pPr>
              <w:jc w:val="center"/>
            </w:pPr>
            <w:r w:rsidRPr="00444CB9">
              <w:t>0.07 (27%)</w:t>
            </w:r>
          </w:p>
        </w:tc>
        <w:tc>
          <w:tcPr>
            <w:tcW w:w="2158" w:type="dxa"/>
            <w:tcBorders>
              <w:top w:val="nil"/>
              <w:left w:val="nil"/>
              <w:bottom w:val="nil"/>
              <w:right w:val="nil"/>
            </w:tcBorders>
            <w:hideMark/>
          </w:tcPr>
          <w:p w:rsidR="00BF013B" w:rsidRPr="00444CB9" w:rsidRDefault="00BF013B" w:rsidP="004E2E06">
            <w:pPr>
              <w:jc w:val="center"/>
            </w:pPr>
            <w:r w:rsidRPr="00444CB9">
              <w:t>0.05 (16%)</w:t>
            </w:r>
          </w:p>
        </w:tc>
      </w:tr>
      <w:tr w:rsidR="00BF013B" w:rsidRPr="00444CB9" w:rsidTr="00CE38E0">
        <w:trPr>
          <w:gridAfter w:val="1"/>
          <w:wAfter w:w="1750" w:type="dxa"/>
        </w:trPr>
        <w:tc>
          <w:tcPr>
            <w:tcW w:w="1458" w:type="dxa"/>
            <w:tcBorders>
              <w:top w:val="nil"/>
              <w:left w:val="nil"/>
              <w:bottom w:val="single" w:sz="4" w:space="0" w:color="auto"/>
              <w:right w:val="nil"/>
            </w:tcBorders>
          </w:tcPr>
          <w:p w:rsidR="00BF013B" w:rsidRPr="00444CB9" w:rsidRDefault="00BF013B" w:rsidP="004E2E06"/>
        </w:tc>
        <w:tc>
          <w:tcPr>
            <w:tcW w:w="2230" w:type="dxa"/>
            <w:gridSpan w:val="2"/>
            <w:tcBorders>
              <w:top w:val="nil"/>
              <w:left w:val="nil"/>
              <w:bottom w:val="single" w:sz="4" w:space="0" w:color="auto"/>
              <w:right w:val="nil"/>
            </w:tcBorders>
            <w:hideMark/>
          </w:tcPr>
          <w:p w:rsidR="00BF013B" w:rsidRPr="00444CB9" w:rsidRDefault="00BF013B" w:rsidP="004E2E06">
            <w:r>
              <w:t>Inequality ratio</w:t>
            </w:r>
          </w:p>
        </w:tc>
        <w:tc>
          <w:tcPr>
            <w:tcW w:w="1080" w:type="dxa"/>
            <w:tcBorders>
              <w:top w:val="nil"/>
              <w:left w:val="nil"/>
              <w:bottom w:val="single" w:sz="4" w:space="0" w:color="auto"/>
              <w:right w:val="nil"/>
            </w:tcBorders>
            <w:hideMark/>
          </w:tcPr>
          <w:p w:rsidR="00BF013B" w:rsidRPr="00444CB9" w:rsidRDefault="00BF013B" w:rsidP="004E2E06">
            <w:pPr>
              <w:jc w:val="center"/>
            </w:pPr>
            <w:r w:rsidRPr="00444CB9">
              <w:t>0.57</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0.28</w:t>
            </w:r>
          </w:p>
        </w:tc>
        <w:tc>
          <w:tcPr>
            <w:tcW w:w="996" w:type="dxa"/>
            <w:tcBorders>
              <w:top w:val="nil"/>
              <w:left w:val="nil"/>
              <w:bottom w:val="single" w:sz="4" w:space="0" w:color="auto"/>
              <w:right w:val="nil"/>
            </w:tcBorders>
            <w:hideMark/>
          </w:tcPr>
          <w:p w:rsidR="00BF013B" w:rsidRPr="00444CB9" w:rsidRDefault="00BF013B" w:rsidP="004E2E06">
            <w:pPr>
              <w:jc w:val="center"/>
            </w:pPr>
            <w:r w:rsidRPr="00444CB9">
              <w:t>0.19</w:t>
            </w:r>
          </w:p>
        </w:tc>
        <w:tc>
          <w:tcPr>
            <w:tcW w:w="1888" w:type="dxa"/>
            <w:tcBorders>
              <w:top w:val="nil"/>
              <w:left w:val="nil"/>
              <w:bottom w:val="single" w:sz="4" w:space="0" w:color="auto"/>
              <w:right w:val="nil"/>
            </w:tcBorders>
            <w:hideMark/>
          </w:tcPr>
          <w:p w:rsidR="00BF013B" w:rsidRPr="00444CB9" w:rsidRDefault="00BF013B" w:rsidP="004E2E06">
            <w:pPr>
              <w:jc w:val="center"/>
            </w:pPr>
            <w:r w:rsidRPr="00444CB9">
              <w:t>-0.29 (-51%)</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-0.09 (-32%)</w:t>
            </w:r>
          </w:p>
        </w:tc>
        <w:tc>
          <w:tcPr>
            <w:tcW w:w="2158" w:type="dxa"/>
            <w:tcBorders>
              <w:top w:val="nil"/>
              <w:left w:val="nil"/>
              <w:bottom w:val="single" w:sz="4" w:space="0" w:color="auto"/>
              <w:right w:val="nil"/>
            </w:tcBorders>
            <w:hideMark/>
          </w:tcPr>
          <w:p w:rsidR="00BF013B" w:rsidRPr="00444CB9" w:rsidRDefault="00BF013B" w:rsidP="004E2E06">
            <w:pPr>
              <w:jc w:val="center"/>
            </w:pPr>
            <w:r w:rsidRPr="00444CB9">
              <w:t>-0.38 (-66%)</w:t>
            </w:r>
          </w:p>
        </w:tc>
      </w:tr>
    </w:tbl>
    <w:p w:rsidR="00BF013B" w:rsidRDefault="00BF013B" w:rsidP="004E2E06">
      <w:r w:rsidRPr="00444CB9">
        <w:t>Source: US Decennial Census.</w:t>
      </w:r>
      <w:r>
        <w:t xml:space="preserve"> </w:t>
      </w:r>
    </w:p>
    <w:p w:rsidR="00BF013B" w:rsidRDefault="00BF013B" w:rsidP="004E2E06">
      <w:pPr>
        <w:rPr>
          <w:sz w:val="22"/>
          <w:szCs w:val="22"/>
          <w:u w:val="single"/>
        </w:rPr>
      </w:pPr>
      <w:r>
        <w:t xml:space="preserve">Note: The inequality ratio represents the variation in the level of </w:t>
      </w:r>
      <w:r w:rsidR="0048653C">
        <w:t xml:space="preserve">white-black </w:t>
      </w:r>
      <w:r>
        <w:t>inequality across the 50 states.</w:t>
      </w:r>
      <w:r>
        <w:rPr>
          <w:sz w:val="22"/>
          <w:szCs w:val="22"/>
          <w:u w:val="single"/>
        </w:rPr>
        <w:t xml:space="preserve"> </w:t>
      </w:r>
    </w:p>
    <w:p w:rsidR="00BF013B" w:rsidRDefault="00BF013B" w:rsidP="004E2E06">
      <w:pPr>
        <w:rPr>
          <w:sz w:val="22"/>
          <w:szCs w:val="22"/>
          <w:u w:val="single"/>
        </w:rPr>
        <w:sectPr w:rsidR="00BF013B" w:rsidSect="00D81BBC">
          <w:pgSz w:w="15840" w:h="12240" w:orient="landscape"/>
          <w:pgMar w:top="1440" w:right="1440" w:bottom="1440" w:left="1440" w:header="720" w:footer="720" w:gutter="0"/>
          <w:cols w:space="720"/>
          <w:docGrid w:linePitch="360"/>
        </w:sectPr>
      </w:pPr>
    </w:p>
    <w:p w:rsidR="00BF013B" w:rsidRPr="004E2E06" w:rsidRDefault="00BF013B" w:rsidP="004E2E06">
      <w:pPr>
        <w:outlineLvl w:val="0"/>
        <w:rPr>
          <w:sz w:val="22"/>
          <w:szCs w:val="22"/>
          <w:u w:val="single"/>
        </w:rPr>
      </w:pPr>
      <w:r w:rsidRPr="004E2E06">
        <w:rPr>
          <w:sz w:val="22"/>
          <w:szCs w:val="22"/>
          <w:u w:val="single"/>
        </w:rPr>
        <w:t>Appendix B</w:t>
      </w:r>
    </w:p>
    <w:p w:rsidR="00BF013B" w:rsidRPr="008470F8" w:rsidRDefault="00BF013B" w:rsidP="004E2E06">
      <w:pPr>
        <w:rPr>
          <w:sz w:val="22"/>
          <w:szCs w:val="22"/>
          <w:u w:val="single"/>
        </w:rPr>
      </w:pPr>
    </w:p>
    <w:p w:rsidR="00BF013B" w:rsidRPr="004E2E06" w:rsidRDefault="00BF013B" w:rsidP="004E2E06">
      <w:pPr>
        <w:outlineLvl w:val="0"/>
        <w:rPr>
          <w:sz w:val="22"/>
          <w:szCs w:val="22"/>
        </w:rPr>
      </w:pPr>
      <w:r w:rsidRPr="004E2E06">
        <w:rPr>
          <w:sz w:val="22"/>
          <w:szCs w:val="22"/>
          <w:u w:val="single"/>
        </w:rPr>
        <w:t xml:space="preserve">Sources and Measures </w:t>
      </w:r>
    </w:p>
    <w:p w:rsidR="00BF013B" w:rsidRPr="008470F8" w:rsidRDefault="00BF013B" w:rsidP="004E2E06">
      <w:pPr>
        <w:rPr>
          <w:sz w:val="22"/>
          <w:szCs w:val="22"/>
          <w:highlight w:val="yellow"/>
        </w:rPr>
      </w:pPr>
    </w:p>
    <w:p w:rsidR="00BF013B" w:rsidRPr="004E2E06" w:rsidRDefault="00BF013B" w:rsidP="004E2E06">
      <w:pPr>
        <w:rPr>
          <w:rStyle w:val="Strong"/>
          <w:color w:val="000000"/>
          <w:sz w:val="22"/>
          <w:szCs w:val="22"/>
          <w:bdr w:val="none" w:sz="0" w:space="0" w:color="auto" w:frame="1"/>
          <w:shd w:val="clear" w:color="auto" w:fill="FFFFFF"/>
        </w:rPr>
      </w:pPr>
      <w:r w:rsidRPr="004E2E06">
        <w:rPr>
          <w:i/>
          <w:sz w:val="22"/>
          <w:szCs w:val="22"/>
        </w:rPr>
        <w:t>Work Exclusion</w:t>
      </w:r>
      <w:r w:rsidRPr="0048653C">
        <w:rPr>
          <w:sz w:val="22"/>
          <w:szCs w:val="22"/>
        </w:rPr>
        <w:t xml:space="preserve">: </w:t>
      </w:r>
      <w:r w:rsidRPr="008470F8">
        <w:rPr>
          <w:sz w:val="22"/>
          <w:szCs w:val="22"/>
        </w:rPr>
        <w:t xml:space="preserve">Ratio of </w:t>
      </w:r>
      <w:r w:rsidR="0048653C" w:rsidRPr="008470F8">
        <w:rPr>
          <w:sz w:val="22"/>
          <w:szCs w:val="22"/>
        </w:rPr>
        <w:t>white-to-black full-time employment-to-population by state</w:t>
      </w:r>
      <w:r w:rsidRPr="008470F8">
        <w:rPr>
          <w:sz w:val="22"/>
          <w:szCs w:val="22"/>
        </w:rPr>
        <w:t xml:space="preserve">, 1940, 1950, 1960, 1970, 1980, 1990, 2000, 2010. Proportion of White population 16 and older in the labor force working full-time divided by the proportion of Black population 16 and older in the labor force working full-time. Range = 0.69 to 1.88 with values higher than one indicating that Whites work full-time in the labor force at higher rates than Blacks. Mean=1.11; standard deviation=.16. Source: </w:t>
      </w:r>
      <w:r w:rsidRPr="004E2E06">
        <w:rPr>
          <w:rStyle w:val="Strong"/>
          <w:color w:val="000000"/>
          <w:sz w:val="22"/>
          <w:szCs w:val="22"/>
          <w:bdr w:val="none" w:sz="0" w:space="0" w:color="auto" w:frame="1"/>
          <w:shd w:val="clear" w:color="auto" w:fill="FFFFFF"/>
        </w:rPr>
        <w:t>Steven Ruggles, Katie Genadek, Ronald Goeken, Josiah Grover, and Matthew Sobek.</w:t>
      </w:r>
      <w:r w:rsidRPr="0048653C">
        <w:rPr>
          <w:rStyle w:val="apple-converted-space"/>
          <w:b/>
          <w:bCs/>
          <w:color w:val="000000"/>
          <w:sz w:val="22"/>
          <w:szCs w:val="22"/>
          <w:bdr w:val="none" w:sz="0" w:space="0" w:color="auto" w:frame="1"/>
          <w:shd w:val="clear" w:color="auto" w:fill="FFFFFF"/>
        </w:rPr>
        <w:t> </w:t>
      </w:r>
      <w:r w:rsidRPr="004E2E06">
        <w:rPr>
          <w:rStyle w:val="Emphasis"/>
          <w:bCs/>
          <w:color w:val="000000"/>
          <w:sz w:val="22"/>
          <w:szCs w:val="22"/>
          <w:bdr w:val="none" w:sz="0" w:space="0" w:color="auto" w:frame="1"/>
        </w:rPr>
        <w:t>Integrated Public Use Microdata Series: Version 6.0</w:t>
      </w:r>
      <w:r w:rsidRPr="008470F8">
        <w:rPr>
          <w:rStyle w:val="apple-converted-space"/>
          <w:bCs/>
          <w:color w:val="000000"/>
          <w:sz w:val="22"/>
          <w:szCs w:val="22"/>
          <w:bdr w:val="none" w:sz="0" w:space="0" w:color="auto" w:frame="1"/>
          <w:shd w:val="clear" w:color="auto" w:fill="FFFFFF"/>
        </w:rPr>
        <w:t> </w:t>
      </w:r>
      <w:r w:rsidRPr="004E2E06">
        <w:rPr>
          <w:rStyle w:val="Strong"/>
          <w:color w:val="000000"/>
          <w:sz w:val="22"/>
          <w:szCs w:val="22"/>
          <w:bdr w:val="none" w:sz="0" w:space="0" w:color="auto" w:frame="1"/>
          <w:shd w:val="clear" w:color="auto" w:fill="FFFFFF"/>
        </w:rPr>
        <w:t>[Machine-readable database]. Minneapolis: University of Minnesota, 2015. All data used comes from the decennial census.</w:t>
      </w:r>
    </w:p>
    <w:p w:rsidR="00BF013B" w:rsidRPr="008470F8" w:rsidRDefault="00BF013B" w:rsidP="004E2E06">
      <w:pPr>
        <w:rPr>
          <w:rStyle w:val="Strong"/>
          <w:b w:val="0"/>
          <w:color w:val="000000"/>
          <w:sz w:val="22"/>
          <w:szCs w:val="22"/>
          <w:bdr w:val="none" w:sz="0" w:space="0" w:color="auto" w:frame="1"/>
          <w:shd w:val="clear" w:color="auto" w:fill="FFFFFF"/>
        </w:rPr>
      </w:pPr>
    </w:p>
    <w:p w:rsidR="00BF013B" w:rsidRPr="0048653C" w:rsidRDefault="00BF013B" w:rsidP="004E2E06">
      <w:pPr>
        <w:rPr>
          <w:rStyle w:val="Strong"/>
          <w:b w:val="0"/>
          <w:color w:val="000000"/>
          <w:sz w:val="22"/>
          <w:szCs w:val="22"/>
          <w:bdr w:val="none" w:sz="0" w:space="0" w:color="auto" w:frame="1"/>
          <w:shd w:val="clear" w:color="auto" w:fill="FFFFFF"/>
        </w:rPr>
      </w:pPr>
      <w:r w:rsidRPr="004E2E06">
        <w:rPr>
          <w:i/>
          <w:sz w:val="22"/>
          <w:szCs w:val="22"/>
        </w:rPr>
        <w:t>Housing Exclusion</w:t>
      </w:r>
      <w:r w:rsidRPr="0048653C">
        <w:rPr>
          <w:sz w:val="22"/>
          <w:szCs w:val="22"/>
        </w:rPr>
        <w:t xml:space="preserve">: </w:t>
      </w:r>
      <w:r w:rsidRPr="008470F8">
        <w:rPr>
          <w:sz w:val="22"/>
          <w:szCs w:val="22"/>
        </w:rPr>
        <w:t xml:space="preserve">Ratio of </w:t>
      </w:r>
      <w:r w:rsidR="0048653C" w:rsidRPr="008470F8">
        <w:rPr>
          <w:sz w:val="22"/>
          <w:szCs w:val="22"/>
        </w:rPr>
        <w:t>white-to-black home ownership rate by state</w:t>
      </w:r>
      <w:r w:rsidRPr="008470F8">
        <w:rPr>
          <w:sz w:val="22"/>
          <w:szCs w:val="22"/>
        </w:rPr>
        <w:t>, 1940, 1960, 1970, 1980, 1990, 2000, 2010. Proportion of the White population aged 25 and older owning their own home divided by the proportion of the Black population aged 25 and older owning their own home. Range = .7 to 2.97 with higher values indicating that Whites own their own homes at higher rates than Blacks. Mean=1.69, standard deviation=.39. Source: 1940, 1960, 1970, 1980, 1990, 2000, 2010</w:t>
      </w:r>
      <w:r w:rsidRPr="008470F8">
        <w:rPr>
          <w:b/>
          <w:sz w:val="22"/>
          <w:szCs w:val="22"/>
        </w:rPr>
        <w:t xml:space="preserve">- </w:t>
      </w:r>
      <w:r w:rsidRPr="004E2E06">
        <w:rPr>
          <w:rStyle w:val="Strong"/>
          <w:color w:val="000000"/>
          <w:sz w:val="22"/>
          <w:szCs w:val="22"/>
          <w:bdr w:val="none" w:sz="0" w:space="0" w:color="auto" w:frame="1"/>
          <w:shd w:val="clear" w:color="auto" w:fill="FFFFFF"/>
        </w:rPr>
        <w:t>Steven Ruggles, Katie Genadek, Ronald Goeken, Josiah Grover, and Matthew Sobek.</w:t>
      </w:r>
      <w:r w:rsidRPr="0048653C">
        <w:rPr>
          <w:rStyle w:val="apple-converted-space"/>
          <w:b/>
          <w:bCs/>
          <w:color w:val="000000"/>
          <w:sz w:val="22"/>
          <w:szCs w:val="22"/>
          <w:bdr w:val="none" w:sz="0" w:space="0" w:color="auto" w:frame="1"/>
          <w:shd w:val="clear" w:color="auto" w:fill="FFFFFF"/>
        </w:rPr>
        <w:t> </w:t>
      </w:r>
      <w:r w:rsidRPr="004E2E06">
        <w:rPr>
          <w:rStyle w:val="Emphasis"/>
          <w:bCs/>
          <w:color w:val="000000"/>
          <w:sz w:val="22"/>
          <w:szCs w:val="22"/>
          <w:bdr w:val="none" w:sz="0" w:space="0" w:color="auto" w:frame="1"/>
        </w:rPr>
        <w:t>Integrated Public Use Microdata Series: Version 6.0</w:t>
      </w:r>
      <w:r w:rsidRPr="0048653C">
        <w:rPr>
          <w:rStyle w:val="apple-converted-space"/>
          <w:bCs/>
          <w:color w:val="000000"/>
          <w:sz w:val="22"/>
          <w:szCs w:val="22"/>
          <w:bdr w:val="none" w:sz="0" w:space="0" w:color="auto" w:frame="1"/>
          <w:shd w:val="clear" w:color="auto" w:fill="FFFFFF"/>
        </w:rPr>
        <w:t> </w:t>
      </w:r>
      <w:r w:rsidRPr="004E2E06">
        <w:rPr>
          <w:rStyle w:val="Strong"/>
          <w:color w:val="000000"/>
          <w:sz w:val="22"/>
          <w:szCs w:val="22"/>
          <w:bdr w:val="none" w:sz="0" w:space="0" w:color="auto" w:frame="1"/>
          <w:shd w:val="clear" w:color="auto" w:fill="FFFFFF"/>
        </w:rPr>
        <w:t>[Machine-readable database]. Minneapolis: University of Minnesota, 2015. Source: 1950- US Census, Table 17- Occupancy characteristics, type of structure, and plumbing facilities for regions, divisions, and states. Obtained via personal communication with US Census personnel. For this 1950 data, the home ownership rate is calculated through a simple division of owner occupied dwellings by all dwellings (i.e. owner occupied dwellings + renter occupied dwellings). All data used comes from the decennial census.</w:t>
      </w:r>
    </w:p>
    <w:p w:rsidR="00BF013B" w:rsidRPr="008470F8" w:rsidRDefault="00BF013B" w:rsidP="004E2E06">
      <w:pPr>
        <w:rPr>
          <w:sz w:val="22"/>
          <w:szCs w:val="22"/>
        </w:rPr>
      </w:pPr>
    </w:p>
    <w:p w:rsidR="00BF013B" w:rsidRPr="0048653C" w:rsidRDefault="00BF013B" w:rsidP="004E2E06">
      <w:pPr>
        <w:rPr>
          <w:rStyle w:val="Strong"/>
          <w:b w:val="0"/>
          <w:color w:val="000000"/>
          <w:sz w:val="22"/>
          <w:szCs w:val="22"/>
          <w:bdr w:val="none" w:sz="0" w:space="0" w:color="auto" w:frame="1"/>
          <w:shd w:val="clear" w:color="auto" w:fill="FFFFFF"/>
        </w:rPr>
      </w:pPr>
      <w:r w:rsidRPr="004E2E06">
        <w:rPr>
          <w:i/>
          <w:sz w:val="22"/>
          <w:szCs w:val="22"/>
        </w:rPr>
        <w:t>Work Subordination</w:t>
      </w:r>
      <w:r w:rsidRPr="0048653C">
        <w:rPr>
          <w:sz w:val="22"/>
          <w:szCs w:val="22"/>
        </w:rPr>
        <w:t xml:space="preserve">: </w:t>
      </w:r>
      <w:r w:rsidRPr="008470F8">
        <w:rPr>
          <w:sz w:val="22"/>
          <w:szCs w:val="22"/>
        </w:rPr>
        <w:t xml:space="preserve">Ratio of </w:t>
      </w:r>
      <w:r w:rsidR="0048653C" w:rsidRPr="008470F8">
        <w:rPr>
          <w:sz w:val="22"/>
          <w:szCs w:val="22"/>
        </w:rPr>
        <w:t>white-to-black mean wage and salary income by state</w:t>
      </w:r>
      <w:r w:rsidRPr="008470F8">
        <w:rPr>
          <w:sz w:val="22"/>
          <w:szCs w:val="22"/>
        </w:rPr>
        <w:t xml:space="preserve">, 1940, 1950, 1960, 1970, 1980, 1990, 2000, 2010. White median income from wages and salary among those 16 years and older divided by the Black median income from wages and salary among those 16 years and older. Range = 0.76 to 3.03 with higher values indicating that the median income from wages and salary of Whites is greater than that of Blacks. Mean=1.45, standard deviation=.39. Source: </w:t>
      </w:r>
      <w:r w:rsidRPr="004E2E06">
        <w:rPr>
          <w:rStyle w:val="Strong"/>
          <w:color w:val="000000"/>
          <w:sz w:val="22"/>
          <w:szCs w:val="22"/>
          <w:bdr w:val="none" w:sz="0" w:space="0" w:color="auto" w:frame="1"/>
          <w:shd w:val="clear" w:color="auto" w:fill="FFFFFF"/>
        </w:rPr>
        <w:t>Steven Ruggles, Katie Genadek, Ronald Goeken, Josiah Grover, and Matthew Sobek.</w:t>
      </w:r>
      <w:r w:rsidRPr="008470F8">
        <w:rPr>
          <w:rStyle w:val="apple-converted-space"/>
          <w:b/>
          <w:bCs/>
          <w:color w:val="000000"/>
          <w:sz w:val="22"/>
          <w:szCs w:val="22"/>
          <w:bdr w:val="none" w:sz="0" w:space="0" w:color="auto" w:frame="1"/>
          <w:shd w:val="clear" w:color="auto" w:fill="FFFFFF"/>
        </w:rPr>
        <w:t> </w:t>
      </w:r>
      <w:r w:rsidRPr="004E2E06">
        <w:rPr>
          <w:rStyle w:val="Emphasis"/>
          <w:bCs/>
          <w:color w:val="000000"/>
          <w:sz w:val="22"/>
          <w:szCs w:val="22"/>
          <w:bdr w:val="none" w:sz="0" w:space="0" w:color="auto" w:frame="1"/>
        </w:rPr>
        <w:t>Integrated Public Use Microdata Series: Version 6.0</w:t>
      </w:r>
      <w:r w:rsidRPr="008470F8">
        <w:rPr>
          <w:rStyle w:val="apple-converted-space"/>
          <w:bCs/>
          <w:i/>
          <w:color w:val="000000"/>
          <w:sz w:val="22"/>
          <w:szCs w:val="22"/>
          <w:bdr w:val="none" w:sz="0" w:space="0" w:color="auto" w:frame="1"/>
          <w:shd w:val="clear" w:color="auto" w:fill="FFFFFF"/>
        </w:rPr>
        <w:t> </w:t>
      </w:r>
      <w:r w:rsidRPr="004E2E06">
        <w:rPr>
          <w:rStyle w:val="Strong"/>
          <w:color w:val="000000"/>
          <w:sz w:val="22"/>
          <w:szCs w:val="22"/>
          <w:bdr w:val="none" w:sz="0" w:space="0" w:color="auto" w:frame="1"/>
          <w:shd w:val="clear" w:color="auto" w:fill="FFFFFF"/>
        </w:rPr>
        <w:t>[Machine-readable database]. Minneapolis: University of Minnesota, 2015. All data used comes from the decennial census.</w:t>
      </w:r>
    </w:p>
    <w:p w:rsidR="00BF013B" w:rsidRPr="0048653C" w:rsidRDefault="00BF013B" w:rsidP="004E2E06">
      <w:pPr>
        <w:rPr>
          <w:rStyle w:val="Strong"/>
          <w:b w:val="0"/>
          <w:color w:val="000000"/>
          <w:sz w:val="22"/>
          <w:szCs w:val="22"/>
          <w:bdr w:val="none" w:sz="0" w:space="0" w:color="auto" w:frame="1"/>
          <w:shd w:val="clear" w:color="auto" w:fill="FFFFFF"/>
        </w:rPr>
      </w:pPr>
    </w:p>
    <w:p w:rsidR="00BF013B" w:rsidRPr="0048653C" w:rsidRDefault="00BF013B" w:rsidP="004E2E06">
      <w:pPr>
        <w:rPr>
          <w:bCs/>
          <w:color w:val="000000"/>
          <w:sz w:val="22"/>
          <w:szCs w:val="22"/>
          <w:bdr w:val="none" w:sz="0" w:space="0" w:color="auto" w:frame="1"/>
          <w:shd w:val="clear" w:color="auto" w:fill="FFFFFF"/>
        </w:rPr>
      </w:pPr>
      <w:r w:rsidRPr="004E2E06">
        <w:rPr>
          <w:i/>
          <w:sz w:val="22"/>
          <w:szCs w:val="22"/>
        </w:rPr>
        <w:t>Housing Subordination</w:t>
      </w:r>
      <w:r w:rsidRPr="0048653C">
        <w:rPr>
          <w:sz w:val="22"/>
          <w:szCs w:val="22"/>
        </w:rPr>
        <w:t xml:space="preserve">: </w:t>
      </w:r>
      <w:r w:rsidRPr="008470F8">
        <w:rPr>
          <w:sz w:val="22"/>
          <w:szCs w:val="22"/>
        </w:rPr>
        <w:t xml:space="preserve">Ratio of </w:t>
      </w:r>
      <w:r w:rsidR="0048653C" w:rsidRPr="008470F8">
        <w:rPr>
          <w:sz w:val="22"/>
          <w:szCs w:val="22"/>
        </w:rPr>
        <w:t>white-to-black median housing value by state</w:t>
      </w:r>
      <w:r w:rsidRPr="008470F8">
        <w:rPr>
          <w:sz w:val="22"/>
          <w:szCs w:val="22"/>
        </w:rPr>
        <w:t xml:space="preserve">, 1940, 1960, 1970, 1980, 1990, 2000, 2010. No data available for 1950, all values were interpolated using STATA’s “ipolate” command. White median housing value among heads of household 25 years and older who own their homes divided by the Black median housing value among heads of household 25 years and older who own their homes. Range=0.11 to 3.84 with higher values indicating that the median housing value of Whites is greater than that of Blacks. Mean=1.46, standard deviation=.61. Source: </w:t>
      </w:r>
      <w:r w:rsidRPr="004E2E06">
        <w:rPr>
          <w:rStyle w:val="Strong"/>
          <w:color w:val="000000"/>
          <w:sz w:val="22"/>
          <w:szCs w:val="22"/>
          <w:bdr w:val="none" w:sz="0" w:space="0" w:color="auto" w:frame="1"/>
          <w:shd w:val="clear" w:color="auto" w:fill="FFFFFF"/>
        </w:rPr>
        <w:t>Steven Ruggles, Katie Genadek, Ronald Goeken, Josiah Grover, and Matthew Sobek.</w:t>
      </w:r>
      <w:r w:rsidRPr="004E2E06">
        <w:rPr>
          <w:rStyle w:val="apple-converted-space"/>
          <w:bCs/>
          <w:color w:val="000000"/>
          <w:sz w:val="22"/>
          <w:szCs w:val="22"/>
          <w:bdr w:val="none" w:sz="0" w:space="0" w:color="auto" w:frame="1"/>
          <w:shd w:val="clear" w:color="auto" w:fill="FFFFFF"/>
        </w:rPr>
        <w:t> </w:t>
      </w:r>
      <w:r w:rsidRPr="004E2E06">
        <w:rPr>
          <w:rStyle w:val="Emphasis"/>
          <w:bCs/>
          <w:color w:val="000000"/>
          <w:sz w:val="22"/>
          <w:szCs w:val="22"/>
          <w:bdr w:val="none" w:sz="0" w:space="0" w:color="auto" w:frame="1"/>
        </w:rPr>
        <w:t>Integrated Public Use Microdata Series: Version 6.0</w:t>
      </w:r>
      <w:r w:rsidRPr="008470F8">
        <w:rPr>
          <w:rStyle w:val="apple-converted-space"/>
          <w:bCs/>
          <w:color w:val="000000"/>
          <w:sz w:val="22"/>
          <w:szCs w:val="22"/>
          <w:bdr w:val="none" w:sz="0" w:space="0" w:color="auto" w:frame="1"/>
          <w:shd w:val="clear" w:color="auto" w:fill="FFFFFF"/>
        </w:rPr>
        <w:t> </w:t>
      </w:r>
      <w:r w:rsidRPr="004E2E06">
        <w:rPr>
          <w:rStyle w:val="Strong"/>
          <w:color w:val="000000"/>
          <w:sz w:val="22"/>
          <w:szCs w:val="22"/>
          <w:bdr w:val="none" w:sz="0" w:space="0" w:color="auto" w:frame="1"/>
          <w:shd w:val="clear" w:color="auto" w:fill="FFFFFF"/>
        </w:rPr>
        <w:t>[Machine-readable database]. Minneapolis: University of Minnesota, 2015. All data used comes from the decennial census.</w:t>
      </w:r>
    </w:p>
    <w:p w:rsidR="008470F8" w:rsidRPr="0048653C" w:rsidRDefault="008470F8" w:rsidP="004E2E06">
      <w:pPr>
        <w:rPr>
          <w:sz w:val="22"/>
          <w:szCs w:val="22"/>
          <w:u w:val="single"/>
        </w:rPr>
      </w:pPr>
    </w:p>
    <w:p w:rsidR="00BF013B" w:rsidRPr="004E2E06" w:rsidRDefault="00BF013B" w:rsidP="004E2E06">
      <w:pPr>
        <w:rPr>
          <w:sz w:val="22"/>
          <w:szCs w:val="22"/>
          <w:u w:val="single"/>
        </w:rPr>
      </w:pPr>
      <w:r w:rsidRPr="004E2E06">
        <w:rPr>
          <w:sz w:val="22"/>
          <w:szCs w:val="22"/>
          <w:u w:val="single"/>
        </w:rPr>
        <w:t>Data Checking and Modification Protocols</w:t>
      </w:r>
    </w:p>
    <w:p w:rsidR="00BF013B" w:rsidRPr="008470F8" w:rsidRDefault="00BF013B" w:rsidP="004E2E06">
      <w:pPr>
        <w:jc w:val="center"/>
        <w:rPr>
          <w:sz w:val="22"/>
          <w:szCs w:val="22"/>
        </w:rPr>
      </w:pPr>
    </w:p>
    <w:p w:rsidR="00BF013B" w:rsidRPr="008470F8" w:rsidRDefault="00BF013B" w:rsidP="004E2E06">
      <w:pPr>
        <w:rPr>
          <w:sz w:val="22"/>
          <w:szCs w:val="22"/>
        </w:rPr>
      </w:pPr>
      <w:r w:rsidRPr="008470F8">
        <w:rPr>
          <w:sz w:val="22"/>
          <w:szCs w:val="22"/>
        </w:rPr>
        <w:t>Below are the different procedures that we have utilized to ensure data quality. Due to the range of issues we encountered with the data, several different processes were necessary. We spell out each of these processes in detail, and list the instances in which this process was used. The processes are listed below in the order they were applied. In total, approximately 5 percent of observations were replaced using these procedures. Nearly all of the replacements generated through this process were to states with small population sizes (e.g. nearly 60 percent of the outlying values replaced came from 11 states), not states with extreme racial inequality regimes.</w:t>
      </w:r>
    </w:p>
    <w:p w:rsidR="00BF013B" w:rsidRPr="008470F8" w:rsidRDefault="00BF013B" w:rsidP="004E2E06">
      <w:pPr>
        <w:rPr>
          <w:sz w:val="22"/>
          <w:szCs w:val="22"/>
          <w:u w:val="single"/>
        </w:rPr>
      </w:pPr>
    </w:p>
    <w:p w:rsidR="0003789D" w:rsidRPr="004E2E06" w:rsidRDefault="00BF013B" w:rsidP="004E2E06">
      <w:pPr>
        <w:outlineLvl w:val="0"/>
        <w:rPr>
          <w:i/>
          <w:sz w:val="22"/>
          <w:szCs w:val="22"/>
        </w:rPr>
      </w:pPr>
      <w:r w:rsidRPr="004E2E06">
        <w:rPr>
          <w:i/>
          <w:sz w:val="22"/>
          <w:szCs w:val="22"/>
        </w:rPr>
        <w:t xml:space="preserve">Missing </w:t>
      </w:r>
      <w:r w:rsidR="0003789D" w:rsidRPr="004E2E06">
        <w:rPr>
          <w:i/>
          <w:sz w:val="22"/>
          <w:szCs w:val="22"/>
        </w:rPr>
        <w:t>Data Protocol</w:t>
      </w:r>
    </w:p>
    <w:p w:rsidR="00BF013B" w:rsidRPr="008470F8" w:rsidRDefault="00BF013B" w:rsidP="004E2E06">
      <w:pPr>
        <w:rPr>
          <w:sz w:val="22"/>
          <w:szCs w:val="22"/>
        </w:rPr>
      </w:pPr>
      <w:r w:rsidRPr="008470F8">
        <w:rPr>
          <w:sz w:val="22"/>
          <w:szCs w:val="22"/>
        </w:rPr>
        <w:t>We utilized a five year moving average replacement process. To do so, we ran a linear prediction through the five most adjacent years to the missing value(s), and replaced the value using this linear prediction. There are two exceptions to this protocol. First, the data for Alaska and Hawaii in 1940-50 is missing due to these not being states at the time, and thus are left as missing. Second, all of the house value data for 1950 is missing due destroyed census records, and is replaced using STATA’s “ipolate” command.</w:t>
      </w:r>
    </w:p>
    <w:p w:rsidR="00BF013B" w:rsidRPr="008470F8" w:rsidRDefault="00BF013B" w:rsidP="004E2E06">
      <w:pPr>
        <w:rPr>
          <w:sz w:val="22"/>
          <w:szCs w:val="22"/>
        </w:rPr>
      </w:pPr>
      <w:r w:rsidRPr="008470F8">
        <w:rPr>
          <w:sz w:val="22"/>
          <w:szCs w:val="22"/>
        </w:rPr>
        <w:t>Number of instances used: 44 state-years.</w:t>
      </w:r>
    </w:p>
    <w:p w:rsidR="00BF013B" w:rsidRPr="008470F8" w:rsidRDefault="00BF013B" w:rsidP="004E2E06">
      <w:pPr>
        <w:rPr>
          <w:sz w:val="22"/>
          <w:szCs w:val="22"/>
        </w:rPr>
      </w:pPr>
    </w:p>
    <w:p w:rsidR="0003789D" w:rsidRPr="004E2E06" w:rsidRDefault="00BF013B" w:rsidP="004E2E06">
      <w:pPr>
        <w:outlineLvl w:val="0"/>
        <w:rPr>
          <w:i/>
          <w:sz w:val="22"/>
          <w:szCs w:val="22"/>
        </w:rPr>
      </w:pPr>
      <w:r w:rsidRPr="004E2E06">
        <w:rPr>
          <w:i/>
          <w:sz w:val="22"/>
          <w:szCs w:val="22"/>
        </w:rPr>
        <w:t xml:space="preserve">Moving Average </w:t>
      </w:r>
      <w:r w:rsidR="0003789D" w:rsidRPr="0003789D">
        <w:rPr>
          <w:sz w:val="22"/>
          <w:szCs w:val="22"/>
        </w:rPr>
        <w:t>Protocol</w:t>
      </w:r>
    </w:p>
    <w:p w:rsidR="00BF013B" w:rsidRPr="008470F8" w:rsidRDefault="00BF013B" w:rsidP="004E2E06">
      <w:pPr>
        <w:rPr>
          <w:sz w:val="22"/>
          <w:szCs w:val="22"/>
        </w:rPr>
      </w:pPr>
      <w:r w:rsidRPr="008470F8">
        <w:rPr>
          <w:sz w:val="22"/>
          <w:szCs w:val="22"/>
        </w:rPr>
        <w:t>All racial position variables were modified by applying a thirty year moving average to the data after any missing values were replaced, as outlined in the protocols above (i.e. the value for 1960 is the average of 1950, 1960 and 1970). For the years at the ends of the series (i.e. 1940 and 2010), this process involved taking the average of most proximate year and the year of interest (e.g. 1940 was replaced using the average of 1940 and 1950). This process was only used on the raw data values, not the ratios or components.</w:t>
      </w:r>
    </w:p>
    <w:p w:rsidR="00BF013B" w:rsidRPr="008470F8" w:rsidRDefault="00BF013B" w:rsidP="004E2E06">
      <w:pPr>
        <w:rPr>
          <w:sz w:val="22"/>
          <w:szCs w:val="22"/>
        </w:rPr>
      </w:pPr>
      <w:r w:rsidRPr="008470F8">
        <w:rPr>
          <w:sz w:val="22"/>
          <w:szCs w:val="22"/>
        </w:rPr>
        <w:t>Number of instanced used: All state-year values.</w:t>
      </w:r>
    </w:p>
    <w:p w:rsidR="00BF013B" w:rsidRPr="008470F8" w:rsidRDefault="00BF013B" w:rsidP="004E2E06">
      <w:pPr>
        <w:rPr>
          <w:sz w:val="22"/>
          <w:szCs w:val="22"/>
          <w:u w:val="single"/>
        </w:rPr>
      </w:pPr>
    </w:p>
    <w:p w:rsidR="0003789D" w:rsidRPr="008470F8" w:rsidRDefault="00BF013B" w:rsidP="004E2E06">
      <w:pPr>
        <w:outlineLvl w:val="0"/>
        <w:rPr>
          <w:i/>
          <w:sz w:val="22"/>
          <w:szCs w:val="22"/>
        </w:rPr>
      </w:pPr>
      <w:r w:rsidRPr="004E2E06">
        <w:rPr>
          <w:i/>
          <w:sz w:val="22"/>
          <w:szCs w:val="22"/>
        </w:rPr>
        <w:t xml:space="preserve">Outlying Values </w:t>
      </w:r>
      <w:r w:rsidR="0003789D" w:rsidRPr="0003789D">
        <w:rPr>
          <w:sz w:val="22"/>
          <w:szCs w:val="22"/>
        </w:rPr>
        <w:t>Protocol</w:t>
      </w:r>
    </w:p>
    <w:p w:rsidR="00BF013B" w:rsidRPr="008470F8" w:rsidRDefault="00BF013B" w:rsidP="004E2E06">
      <w:pPr>
        <w:rPr>
          <w:sz w:val="22"/>
          <w:szCs w:val="22"/>
        </w:rPr>
      </w:pPr>
      <w:r w:rsidRPr="008470F8">
        <w:rPr>
          <w:sz w:val="22"/>
          <w:szCs w:val="22"/>
        </w:rPr>
        <w:t xml:space="preserve">Following the replacement of any missing data and the application of the thirty year moving average, as outlined above, all of the racial position and composition variables were inspected for outlying values. This was done by looking for instances where the state-year value was more than two standard deviations away from the fifty state mean for that given year. In those instances where a state-year value was identified as being more than two standard deviations away from the mean, it was replaced by giving it a value equal to two standard deviations away from the mean (e.g. if a value was 2.5 standard deviations below (above) the mean, it was replaced with the value equal to 2 standard deviations below (above) the mean). </w:t>
      </w:r>
    </w:p>
    <w:p w:rsidR="00BF013B" w:rsidRPr="008470F8" w:rsidRDefault="00BF013B" w:rsidP="004E2E06">
      <w:pPr>
        <w:rPr>
          <w:sz w:val="22"/>
          <w:szCs w:val="22"/>
        </w:rPr>
      </w:pPr>
      <w:r w:rsidRPr="008470F8">
        <w:rPr>
          <w:sz w:val="22"/>
          <w:szCs w:val="22"/>
        </w:rPr>
        <w:t>Number of instances used: 494 state-years.</w:t>
      </w:r>
    </w:p>
    <w:p w:rsidR="00BF013B" w:rsidRPr="008470F8" w:rsidRDefault="00BF013B" w:rsidP="004E2E06">
      <w:pPr>
        <w:rPr>
          <w:sz w:val="22"/>
          <w:szCs w:val="22"/>
        </w:rPr>
      </w:pPr>
    </w:p>
    <w:p w:rsidR="0003789D" w:rsidRPr="008470F8" w:rsidRDefault="00BF013B" w:rsidP="004E2E06">
      <w:pPr>
        <w:outlineLvl w:val="0"/>
        <w:rPr>
          <w:i/>
          <w:sz w:val="22"/>
          <w:szCs w:val="22"/>
        </w:rPr>
      </w:pPr>
      <w:r w:rsidRPr="004E2E06">
        <w:rPr>
          <w:i/>
          <w:sz w:val="22"/>
          <w:szCs w:val="22"/>
        </w:rPr>
        <w:t>Impractical</w:t>
      </w:r>
      <w:r w:rsidR="0003789D" w:rsidRPr="0003789D">
        <w:rPr>
          <w:sz w:val="22"/>
          <w:szCs w:val="22"/>
        </w:rPr>
        <w:t>/</w:t>
      </w:r>
      <w:r w:rsidRPr="004E2E06">
        <w:rPr>
          <w:i/>
          <w:sz w:val="22"/>
          <w:szCs w:val="22"/>
        </w:rPr>
        <w:t xml:space="preserve">Nonsensical </w:t>
      </w:r>
      <w:r w:rsidR="0003789D" w:rsidRPr="0003789D">
        <w:rPr>
          <w:sz w:val="22"/>
          <w:szCs w:val="22"/>
        </w:rPr>
        <w:t>Value Protocol</w:t>
      </w:r>
    </w:p>
    <w:p w:rsidR="00BF013B" w:rsidRPr="008470F8" w:rsidRDefault="00BF013B" w:rsidP="004E2E06">
      <w:pPr>
        <w:rPr>
          <w:sz w:val="22"/>
          <w:szCs w:val="22"/>
        </w:rPr>
      </w:pPr>
      <w:r w:rsidRPr="008470F8">
        <w:rPr>
          <w:sz w:val="22"/>
          <w:szCs w:val="22"/>
        </w:rPr>
        <w:t>Following all of the steps above, we checked the raw data for any impractical or nonsensical values. We use this term to refer to any value less than or equal to 0 (or any value greater than or equal to 1 if the measure is a proportion) appearing in a series. We consider these to be impractical because they would indicate either zero or fewer individuals in a racial group fall into a category in a state-year (e.g. no African Americans in Vermont owned homes in 2010) or that all of the individuals or more fall into a category in a state-year (e.g. every African American in Vermont owned a home in 2010). These cases were replaced using the lowest or highest existing value for that year. For example, if a state-year had a 0 value in 1940, we replaced that 0 with the lowest non-zero value that existed in any state on that variable in the year 1940.</w:t>
      </w:r>
    </w:p>
    <w:p w:rsidR="00BF013B" w:rsidRPr="008470F8" w:rsidRDefault="00BF013B" w:rsidP="004E2E06">
      <w:pPr>
        <w:rPr>
          <w:sz w:val="22"/>
          <w:szCs w:val="22"/>
        </w:rPr>
      </w:pPr>
      <w:r w:rsidRPr="008470F8">
        <w:rPr>
          <w:sz w:val="22"/>
          <w:szCs w:val="22"/>
        </w:rPr>
        <w:t>Number of instances used: 56 state-years.</w:t>
      </w:r>
    </w:p>
    <w:p w:rsidR="00BF013B" w:rsidRPr="008470F8" w:rsidRDefault="00BF013B" w:rsidP="004E2E06">
      <w:pPr>
        <w:rPr>
          <w:sz w:val="22"/>
          <w:szCs w:val="22"/>
        </w:rPr>
      </w:pPr>
    </w:p>
    <w:p w:rsidR="00405DB9" w:rsidRPr="008470F8" w:rsidRDefault="00BF013B" w:rsidP="004E2E06">
      <w:pPr>
        <w:rPr>
          <w:sz w:val="22"/>
          <w:szCs w:val="22"/>
        </w:rPr>
      </w:pPr>
      <w:r w:rsidRPr="008470F8">
        <w:rPr>
          <w:sz w:val="22"/>
          <w:szCs w:val="22"/>
        </w:rPr>
        <w:t>Together, these processes raise our confidence that we eliminated substantial measurement error by replacing values arising from sample variation in estimates in a way that avoided distorting the underlying trends. Two other potential sources of distortion also merit note, as they bear on interpretation of results. First, like most studies in the field, ours does not account for the racially biased patterns of removal created by the rise of mass incarceration. Since the 1970s, Black men have been incarcerated at exceptionally high rates, with Black-White gaps for men and women rising until 2000 and declining somewhat from 2000 to 2010 (Humphreys 2016). Because incarcerated individuals are drawn disproportionately from people in poor socioeconomic conditions, these racialized patterns of removal (from census data as well as other communities) are likely to progressively and artificially elevate Black estimates relative to White estimates over the time period under study (see e.g. Pettit 2012). Second, racial designations in the U.S. census were attributed in 1940 and 1950 (self-identified thereafter), and respondents were able to select multiple racial categories only in 2000 and 2010. The latter are excluded from analysis. Recent work suggests that as Americans acquire higher socioeconomic statuses, they become more likely to be seen, and to self-identify, as White (Saperstein and Penner 2012; Saperstein and Gullickson 2013; Nix and Qian 2015). This dynamic, along with the exclusion of respondents selecting multiple racial categories, may inflate estimates of Black-White inequality in more recent decades.</w:t>
      </w:r>
    </w:p>
    <w:sectPr w:rsidR="00405DB9" w:rsidRPr="00847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3B"/>
    <w:rsid w:val="0003789D"/>
    <w:rsid w:val="00083A03"/>
    <w:rsid w:val="001E308E"/>
    <w:rsid w:val="003E0FE0"/>
    <w:rsid w:val="00405DB9"/>
    <w:rsid w:val="0048653C"/>
    <w:rsid w:val="00491A51"/>
    <w:rsid w:val="004E2E06"/>
    <w:rsid w:val="00682131"/>
    <w:rsid w:val="007037DF"/>
    <w:rsid w:val="00757A14"/>
    <w:rsid w:val="008470F8"/>
    <w:rsid w:val="00983369"/>
    <w:rsid w:val="00A2400E"/>
    <w:rsid w:val="00BF013B"/>
    <w:rsid w:val="00F00476"/>
    <w:rsid w:val="00F0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90803-FCE8-46B3-B68A-84227445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013B"/>
    <w:rPr>
      <w:b/>
      <w:bCs/>
    </w:rPr>
  </w:style>
  <w:style w:type="character" w:customStyle="1" w:styleId="apple-converted-space">
    <w:name w:val="apple-converted-space"/>
    <w:basedOn w:val="DefaultParagraphFont"/>
    <w:rsid w:val="00BF013B"/>
  </w:style>
  <w:style w:type="character" w:styleId="Emphasis">
    <w:name w:val="Emphasis"/>
    <w:basedOn w:val="DefaultParagraphFont"/>
    <w:uiPriority w:val="20"/>
    <w:qFormat/>
    <w:rsid w:val="00BF013B"/>
    <w:rPr>
      <w:i/>
      <w:iCs/>
    </w:rPr>
  </w:style>
  <w:style w:type="paragraph" w:styleId="BalloonText">
    <w:name w:val="Balloon Text"/>
    <w:basedOn w:val="Normal"/>
    <w:link w:val="BalloonTextChar"/>
    <w:uiPriority w:val="99"/>
    <w:semiHidden/>
    <w:unhideWhenUsed/>
    <w:rsid w:val="00983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Bruch, Sarah K</dc:creator>
  <cp:lastModifiedBy>Brian Mazeski</cp:lastModifiedBy>
  <cp:revision>13</cp:revision>
  <dcterms:created xsi:type="dcterms:W3CDTF">2018-11-03T20:44:00Z</dcterms:created>
  <dcterms:modified xsi:type="dcterms:W3CDTF">2018-11-05T16:53:00Z</dcterms:modified>
</cp:coreProperties>
</file>