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B8" w:rsidRPr="003907B8" w:rsidRDefault="003907B8" w:rsidP="003907B8">
      <w:pPr>
        <w:autoSpaceDE w:val="0"/>
        <w:autoSpaceDN w:val="0"/>
        <w:adjustRightInd w:val="0"/>
        <w:spacing w:after="0" w:line="480" w:lineRule="auto"/>
        <w:ind w:left="567" w:hanging="567"/>
        <w:jc w:val="center"/>
        <w:outlineLvl w:val="0"/>
        <w:rPr>
          <w:rFonts w:ascii="Times New Roman" w:hAnsi="Times New Roman" w:cs="Times New Roman"/>
          <w:b/>
          <w:sz w:val="24"/>
          <w:szCs w:val="24"/>
          <w:lang w:val="en-GB"/>
        </w:rPr>
      </w:pPr>
      <w:r w:rsidRPr="00BB3394">
        <w:rPr>
          <w:rFonts w:ascii="Times New Roman" w:hAnsi="Times New Roman" w:cs="Times New Roman"/>
          <w:b/>
          <w:sz w:val="24"/>
          <w:szCs w:val="24"/>
          <w:lang w:val="en-GB"/>
        </w:rPr>
        <w:t>Statistical Appendix</w:t>
      </w:r>
      <w:bookmarkStart w:id="0" w:name="_GoBack"/>
      <w:bookmarkEnd w:id="0"/>
    </w:p>
    <w:p w:rsidR="003907B8" w:rsidRPr="00BB3394" w:rsidRDefault="003907B8" w:rsidP="003907B8">
      <w:pPr>
        <w:spacing w:after="120" w:line="480" w:lineRule="auto"/>
        <w:outlineLvl w:val="0"/>
        <w:rPr>
          <w:rFonts w:ascii="Times New Roman" w:hAnsi="Times New Roman" w:cs="Times New Roman"/>
          <w:b/>
          <w:sz w:val="24"/>
          <w:szCs w:val="24"/>
          <w:lang w:val="en-GB"/>
        </w:rPr>
      </w:pPr>
      <w:r w:rsidRPr="00BB3394">
        <w:rPr>
          <w:rFonts w:ascii="Times New Roman" w:hAnsi="Times New Roman" w:cs="Times New Roman"/>
          <w:b/>
          <w:sz w:val="24"/>
          <w:szCs w:val="24"/>
          <w:lang w:val="en-GB"/>
        </w:rPr>
        <w:t>GDP and wages</w:t>
      </w:r>
    </w:p>
    <w:p w:rsidR="003907B8" w:rsidRDefault="003907B8" w:rsidP="003907B8">
      <w:pPr>
        <w:spacing w:after="120" w:line="480" w:lineRule="auto"/>
        <w:rPr>
          <w:rFonts w:ascii="Times New Roman" w:hAnsi="Times New Roman" w:cs="Times New Roman"/>
          <w:sz w:val="24"/>
          <w:szCs w:val="24"/>
          <w:lang w:val="en-GB"/>
        </w:rPr>
      </w:pPr>
      <w:r w:rsidRPr="00BB3394">
        <w:rPr>
          <w:rFonts w:ascii="Times New Roman" w:hAnsi="Times New Roman" w:cs="Times New Roman"/>
          <w:i/>
          <w:sz w:val="24"/>
          <w:szCs w:val="24"/>
          <w:lang w:val="en-GB"/>
        </w:rPr>
        <w:t xml:space="preserve">Nominal GDP at factor costs </w:t>
      </w:r>
      <w:r w:rsidRPr="00BB3394">
        <w:rPr>
          <w:rFonts w:ascii="Times New Roman" w:hAnsi="Times New Roman" w:cs="Times New Roman"/>
          <w:sz w:val="24"/>
          <w:szCs w:val="24"/>
          <w:lang w:val="en-GB"/>
        </w:rPr>
        <w:t xml:space="preserve">for Spanish provinces (NUTS3). In order to express it in per capita terms, </w:t>
      </w:r>
      <w:r w:rsidRPr="00BB3394">
        <w:rPr>
          <w:rFonts w:ascii="Times New Roman" w:hAnsi="Times New Roman" w:cs="Times New Roman"/>
          <w:i/>
          <w:sz w:val="24"/>
          <w:szCs w:val="24"/>
          <w:lang w:val="en-GB"/>
        </w:rPr>
        <w:t>total population by province</w:t>
      </w:r>
      <w:r w:rsidRPr="00BB3394">
        <w:rPr>
          <w:rFonts w:ascii="Times New Roman" w:hAnsi="Times New Roman" w:cs="Times New Roman"/>
          <w:sz w:val="24"/>
          <w:szCs w:val="24"/>
          <w:lang w:val="en-GB"/>
        </w:rPr>
        <w:t xml:space="preserve"> has been compiled from the respective Censuses of Population (1860, 1900, 1910, 1920 and 1930).  </w:t>
      </w:r>
    </w:p>
    <w:p w:rsidR="003907B8" w:rsidRPr="00BB3394" w:rsidRDefault="003907B8" w:rsidP="003907B8">
      <w:pPr>
        <w:spacing w:after="120" w:line="480" w:lineRule="auto"/>
        <w:rPr>
          <w:rFonts w:ascii="Times New Roman" w:hAnsi="Times New Roman" w:cs="Times New Roman"/>
          <w:sz w:val="24"/>
          <w:szCs w:val="24"/>
          <w:lang w:val="en-GB"/>
        </w:rPr>
      </w:pPr>
    </w:p>
    <w:p w:rsidR="003907B8" w:rsidRDefault="003907B8" w:rsidP="003907B8">
      <w:pPr>
        <w:spacing w:after="120" w:line="480" w:lineRule="auto"/>
        <w:rPr>
          <w:rFonts w:ascii="Times New Roman" w:hAnsi="Times New Roman" w:cs="Times New Roman"/>
          <w:color w:val="212121"/>
          <w:sz w:val="24"/>
          <w:szCs w:val="24"/>
          <w:shd w:val="clear" w:color="auto" w:fill="FFFFFF"/>
          <w:lang w:val="en-GB"/>
        </w:rPr>
      </w:pPr>
      <w:r w:rsidRPr="00BB3394">
        <w:rPr>
          <w:rFonts w:ascii="Times New Roman" w:hAnsi="Times New Roman" w:cs="Times New Roman"/>
          <w:i/>
          <w:sz w:val="24"/>
          <w:szCs w:val="24"/>
          <w:lang w:val="en-GB"/>
        </w:rPr>
        <w:t>Nominal unskilled wages</w:t>
      </w:r>
      <w:r w:rsidRPr="00BB3394">
        <w:rPr>
          <w:rFonts w:ascii="Times New Roman" w:hAnsi="Times New Roman" w:cs="Times New Roman"/>
          <w:sz w:val="24"/>
          <w:szCs w:val="24"/>
          <w:lang w:val="en-GB"/>
        </w:rPr>
        <w:t xml:space="preserve"> correspond to agricultural wages by province. By construction, the Williamson Index heavily relies on wages and thus we attempt to capture the unskilled provincial wages in each benchmark year by considering as much information as possible. For that reason we often compute averages of agricultural wages for different years when available. This way of proceeding allows correcting volatile values in some provinces in a particular year. Agricultural nominal wages are drawn from two sources. For 1860, data come from Sánchez-Alonso (1995, 302-303). Wages are referred to the years 1849-1856, and are collected from the information provided by Moral Ruiz (1979) and </w:t>
      </w:r>
      <w:proofErr w:type="spellStart"/>
      <w:r w:rsidRPr="00BB3394">
        <w:rPr>
          <w:rFonts w:ascii="Times New Roman" w:hAnsi="Times New Roman" w:cs="Times New Roman"/>
          <w:sz w:val="24"/>
          <w:szCs w:val="24"/>
          <w:lang w:val="en-GB"/>
        </w:rPr>
        <w:t>García</w:t>
      </w:r>
      <w:proofErr w:type="spellEnd"/>
      <w:r w:rsidRPr="00BB3394">
        <w:rPr>
          <w:rFonts w:ascii="Times New Roman" w:hAnsi="Times New Roman" w:cs="Times New Roman"/>
          <w:sz w:val="24"/>
          <w:szCs w:val="24"/>
          <w:lang w:val="en-GB"/>
        </w:rPr>
        <w:t xml:space="preserve"> </w:t>
      </w:r>
      <w:proofErr w:type="spellStart"/>
      <w:r w:rsidRPr="00BB3394">
        <w:rPr>
          <w:rFonts w:ascii="Times New Roman" w:hAnsi="Times New Roman" w:cs="Times New Roman"/>
          <w:sz w:val="24"/>
          <w:szCs w:val="24"/>
          <w:lang w:val="en-GB"/>
        </w:rPr>
        <w:t>Sanz</w:t>
      </w:r>
      <w:proofErr w:type="spellEnd"/>
      <w:r w:rsidRPr="00BB3394">
        <w:rPr>
          <w:rFonts w:ascii="Times New Roman" w:hAnsi="Times New Roman" w:cs="Times New Roman"/>
          <w:sz w:val="24"/>
          <w:szCs w:val="24"/>
          <w:lang w:val="en-GB"/>
        </w:rPr>
        <w:t xml:space="preserve"> (1980). For 1900-1930, the source used is </w:t>
      </w:r>
      <w:proofErr w:type="spellStart"/>
      <w:r w:rsidRPr="00BB3394">
        <w:rPr>
          <w:rFonts w:ascii="Times New Roman" w:hAnsi="Times New Roman" w:cs="Times New Roman"/>
          <w:sz w:val="24"/>
          <w:szCs w:val="24"/>
          <w:lang w:val="en-GB"/>
        </w:rPr>
        <w:t>Bringas</w:t>
      </w:r>
      <w:proofErr w:type="spellEnd"/>
      <w:r w:rsidRPr="00BB3394">
        <w:rPr>
          <w:rFonts w:ascii="Times New Roman" w:hAnsi="Times New Roman" w:cs="Times New Roman"/>
          <w:sz w:val="24"/>
          <w:szCs w:val="24"/>
          <w:lang w:val="en-GB"/>
        </w:rPr>
        <w:t xml:space="preserve"> (2000, 178-183) who offers data of average agrarian daily male wages (</w:t>
      </w:r>
      <w:proofErr w:type="spellStart"/>
      <w:r w:rsidRPr="00BB3394">
        <w:rPr>
          <w:rFonts w:ascii="Times New Roman" w:hAnsi="Times New Roman" w:cs="Times New Roman"/>
          <w:i/>
          <w:sz w:val="24"/>
          <w:szCs w:val="24"/>
          <w:lang w:val="en-GB"/>
        </w:rPr>
        <w:t>Jornales</w:t>
      </w:r>
      <w:proofErr w:type="spellEnd"/>
      <w:r w:rsidRPr="00BB3394">
        <w:rPr>
          <w:rFonts w:ascii="Times New Roman" w:hAnsi="Times New Roman" w:cs="Times New Roman"/>
          <w:i/>
          <w:sz w:val="24"/>
          <w:szCs w:val="24"/>
          <w:lang w:val="en-GB"/>
        </w:rPr>
        <w:t xml:space="preserve"> </w:t>
      </w:r>
      <w:proofErr w:type="spellStart"/>
      <w:r w:rsidRPr="00BB3394">
        <w:rPr>
          <w:rFonts w:ascii="Times New Roman" w:hAnsi="Times New Roman" w:cs="Times New Roman"/>
          <w:i/>
          <w:sz w:val="24"/>
          <w:szCs w:val="24"/>
          <w:lang w:val="en-GB"/>
        </w:rPr>
        <w:t>medios</w:t>
      </w:r>
      <w:proofErr w:type="spellEnd"/>
      <w:r w:rsidRPr="00BB3394">
        <w:rPr>
          <w:rFonts w:ascii="Times New Roman" w:hAnsi="Times New Roman" w:cs="Times New Roman"/>
          <w:i/>
          <w:sz w:val="24"/>
          <w:szCs w:val="24"/>
          <w:lang w:val="en-GB"/>
        </w:rPr>
        <w:t xml:space="preserve"> </w:t>
      </w:r>
      <w:proofErr w:type="spellStart"/>
      <w:r w:rsidRPr="00BB3394">
        <w:rPr>
          <w:rFonts w:ascii="Times New Roman" w:hAnsi="Times New Roman" w:cs="Times New Roman"/>
          <w:i/>
          <w:sz w:val="24"/>
          <w:szCs w:val="24"/>
          <w:lang w:val="en-GB"/>
        </w:rPr>
        <w:t>diarios</w:t>
      </w:r>
      <w:proofErr w:type="spellEnd"/>
      <w:r w:rsidRPr="00BB3394">
        <w:rPr>
          <w:rFonts w:ascii="Times New Roman" w:hAnsi="Times New Roman" w:cs="Times New Roman"/>
          <w:i/>
          <w:sz w:val="24"/>
          <w:szCs w:val="24"/>
          <w:lang w:val="en-GB"/>
        </w:rPr>
        <w:t xml:space="preserve"> </w:t>
      </w:r>
      <w:proofErr w:type="spellStart"/>
      <w:r w:rsidRPr="00BB3394">
        <w:rPr>
          <w:rFonts w:ascii="Times New Roman" w:hAnsi="Times New Roman" w:cs="Times New Roman"/>
          <w:i/>
          <w:sz w:val="24"/>
          <w:szCs w:val="24"/>
          <w:lang w:val="en-GB"/>
        </w:rPr>
        <w:t>masculinos</w:t>
      </w:r>
      <w:proofErr w:type="spellEnd"/>
      <w:r w:rsidRPr="00BB3394">
        <w:rPr>
          <w:rFonts w:ascii="Times New Roman" w:hAnsi="Times New Roman" w:cs="Times New Roman"/>
          <w:i/>
          <w:sz w:val="24"/>
          <w:szCs w:val="24"/>
          <w:lang w:val="en-GB"/>
        </w:rPr>
        <w:t xml:space="preserve"> </w:t>
      </w:r>
      <w:proofErr w:type="spellStart"/>
      <w:r w:rsidRPr="00BB3394">
        <w:rPr>
          <w:rFonts w:ascii="Times New Roman" w:hAnsi="Times New Roman" w:cs="Times New Roman"/>
          <w:i/>
          <w:sz w:val="24"/>
          <w:szCs w:val="24"/>
          <w:lang w:val="en-GB"/>
        </w:rPr>
        <w:t>en</w:t>
      </w:r>
      <w:proofErr w:type="spellEnd"/>
      <w:r w:rsidRPr="00BB3394">
        <w:rPr>
          <w:rFonts w:ascii="Times New Roman" w:hAnsi="Times New Roman" w:cs="Times New Roman"/>
          <w:i/>
          <w:sz w:val="24"/>
          <w:szCs w:val="24"/>
          <w:lang w:val="en-GB"/>
        </w:rPr>
        <w:t xml:space="preserve"> pesetas</w:t>
      </w:r>
      <w:r w:rsidRPr="00BB3394">
        <w:rPr>
          <w:rFonts w:ascii="Times New Roman" w:hAnsi="Times New Roman" w:cs="Times New Roman"/>
          <w:sz w:val="24"/>
          <w:szCs w:val="24"/>
          <w:lang w:val="en-GB"/>
        </w:rPr>
        <w:t>). These refer to cash wages paid to adult male labourers in the production of cereals between spring and fall (</w:t>
      </w:r>
      <w:proofErr w:type="spellStart"/>
      <w:r w:rsidRPr="00BB3394">
        <w:rPr>
          <w:rFonts w:ascii="Times New Roman" w:hAnsi="Times New Roman" w:cs="Times New Roman"/>
          <w:sz w:val="24"/>
          <w:szCs w:val="24"/>
          <w:lang w:val="en-GB"/>
        </w:rPr>
        <w:t>Bringas</w:t>
      </w:r>
      <w:proofErr w:type="spellEnd"/>
      <w:r w:rsidRPr="00BB3394">
        <w:rPr>
          <w:rFonts w:ascii="Times New Roman" w:hAnsi="Times New Roman" w:cs="Times New Roman"/>
          <w:sz w:val="24"/>
          <w:szCs w:val="24"/>
          <w:lang w:val="en-GB"/>
        </w:rPr>
        <w:t xml:space="preserve"> 2000, 91). For 1900, we take the simple average of the three closest years with information available (1890, 1897 and 1910). The lacking data in 1890 is filled using the wages of the neighbouring provinces (Vizcaya); for the Canary Islands we take the wages of 1897. For 1910, we consider the wages available for that year. The closest information to that year is that of 1914 being the wages virtually the same. For 1920 and 1930, we use the simple average of the years 1919-1921 and 1929-1931, respectively. The missing values for wages in some provinces are obtained computing them as the simple average </w:t>
      </w:r>
      <w:r w:rsidRPr="00BB3394">
        <w:rPr>
          <w:rFonts w:ascii="Times New Roman" w:hAnsi="Times New Roman" w:cs="Times New Roman"/>
          <w:sz w:val="24"/>
          <w:szCs w:val="24"/>
          <w:lang w:val="en-GB"/>
        </w:rPr>
        <w:lastRenderedPageBreak/>
        <w:t xml:space="preserve">of the neighbouring provinces. </w:t>
      </w:r>
      <w:r w:rsidRPr="00BB3394">
        <w:rPr>
          <w:rFonts w:ascii="Times New Roman" w:hAnsi="Times New Roman" w:cs="Times New Roman"/>
          <w:color w:val="212121"/>
          <w:sz w:val="24"/>
          <w:szCs w:val="24"/>
          <w:shd w:val="clear" w:color="auto" w:fill="FFFFFF"/>
          <w:lang w:val="en-GB"/>
        </w:rPr>
        <w:t>Given that there were no barriers to prevent agricultural labourers to shift to other occupations within the same province (</w:t>
      </w:r>
      <w:proofErr w:type="gramStart"/>
      <w:r w:rsidRPr="00BB3394">
        <w:rPr>
          <w:rFonts w:ascii="Times New Roman" w:hAnsi="Times New Roman" w:cs="Times New Roman"/>
          <w:color w:val="212121"/>
          <w:sz w:val="24"/>
          <w:szCs w:val="24"/>
          <w:shd w:val="clear" w:color="auto" w:fill="FFFFFF"/>
          <w:lang w:val="en-GB"/>
        </w:rPr>
        <w:t>Silvestre  2005</w:t>
      </w:r>
      <w:proofErr w:type="gramEnd"/>
      <w:r w:rsidRPr="00BB3394">
        <w:rPr>
          <w:rFonts w:ascii="Times New Roman" w:hAnsi="Times New Roman" w:cs="Times New Roman"/>
          <w:color w:val="212121"/>
          <w:sz w:val="24"/>
          <w:szCs w:val="24"/>
          <w:shd w:val="clear" w:color="auto" w:fill="FFFFFF"/>
          <w:lang w:val="en-GB"/>
        </w:rPr>
        <w:t xml:space="preserve">; 2007; </w:t>
      </w:r>
      <w:proofErr w:type="spellStart"/>
      <w:r w:rsidRPr="00BB3394">
        <w:rPr>
          <w:rFonts w:ascii="Times New Roman" w:hAnsi="Times New Roman" w:cs="Times New Roman"/>
          <w:color w:val="212121"/>
          <w:sz w:val="24"/>
          <w:szCs w:val="24"/>
          <w:shd w:val="clear" w:color="auto" w:fill="FFFFFF"/>
          <w:lang w:val="en-GB"/>
        </w:rPr>
        <w:t>Beltrán</w:t>
      </w:r>
      <w:proofErr w:type="spellEnd"/>
      <w:r w:rsidRPr="00BB3394">
        <w:rPr>
          <w:rFonts w:ascii="Times New Roman" w:hAnsi="Times New Roman" w:cs="Times New Roman"/>
          <w:color w:val="212121"/>
          <w:sz w:val="24"/>
          <w:szCs w:val="24"/>
          <w:shd w:val="clear" w:color="auto" w:fill="FFFFFF"/>
          <w:lang w:val="en-GB"/>
        </w:rPr>
        <w:t xml:space="preserve"> Tapia and Miguel </w:t>
      </w:r>
      <w:proofErr w:type="spellStart"/>
      <w:r w:rsidRPr="00BB3394">
        <w:rPr>
          <w:rFonts w:ascii="Times New Roman" w:hAnsi="Times New Roman" w:cs="Times New Roman"/>
          <w:color w:val="212121"/>
          <w:sz w:val="24"/>
          <w:szCs w:val="24"/>
          <w:shd w:val="clear" w:color="auto" w:fill="FFFFFF"/>
          <w:lang w:val="en-GB"/>
        </w:rPr>
        <w:t>Salanova</w:t>
      </w:r>
      <w:proofErr w:type="spellEnd"/>
      <w:r w:rsidRPr="00BB3394">
        <w:rPr>
          <w:rFonts w:ascii="Times New Roman" w:hAnsi="Times New Roman" w:cs="Times New Roman"/>
          <w:color w:val="212121"/>
          <w:sz w:val="24"/>
          <w:szCs w:val="24"/>
          <w:shd w:val="clear" w:color="auto" w:fill="FFFFFF"/>
          <w:lang w:val="en-GB"/>
        </w:rPr>
        <w:t xml:space="preserve"> 2017), unskilled wages in different sectors tended to converge.</w:t>
      </w:r>
    </w:p>
    <w:p w:rsidR="003907B8" w:rsidRPr="00BB3394" w:rsidRDefault="003907B8" w:rsidP="003907B8">
      <w:pPr>
        <w:spacing w:after="120" w:line="480" w:lineRule="auto"/>
        <w:rPr>
          <w:rFonts w:ascii="Times New Roman" w:hAnsi="Times New Roman" w:cs="Times New Roman"/>
          <w:sz w:val="24"/>
          <w:szCs w:val="24"/>
          <w:lang w:val="en-GB"/>
        </w:rPr>
      </w:pPr>
    </w:p>
    <w:p w:rsidR="003907B8" w:rsidRPr="00BB3394" w:rsidRDefault="003907B8" w:rsidP="003907B8">
      <w:pPr>
        <w:spacing w:after="120" w:line="480" w:lineRule="auto"/>
        <w:rPr>
          <w:rFonts w:ascii="Times New Roman" w:hAnsi="Times New Roman" w:cs="Times New Roman"/>
          <w:sz w:val="24"/>
          <w:szCs w:val="24"/>
          <w:lang w:val="en-GB"/>
        </w:rPr>
      </w:pPr>
      <w:r w:rsidRPr="00BB3394">
        <w:rPr>
          <w:rFonts w:ascii="Times New Roman" w:hAnsi="Times New Roman" w:cs="Times New Roman"/>
          <w:i/>
          <w:sz w:val="24"/>
          <w:szCs w:val="24"/>
          <w:lang w:val="en-GB"/>
        </w:rPr>
        <w:t>Nominal skilled wages</w:t>
      </w:r>
      <w:r w:rsidRPr="00BB3394">
        <w:rPr>
          <w:rFonts w:ascii="Times New Roman" w:hAnsi="Times New Roman" w:cs="Times New Roman"/>
          <w:sz w:val="24"/>
          <w:szCs w:val="24"/>
          <w:lang w:val="en-GB"/>
        </w:rPr>
        <w:t xml:space="preserve"> refer to manufacturing wages. We are interested in obtaining a wage which represents the average manufacturing wage. Thus we average the wages earned by skilled and unskilled manufacturing workers. Manufacturing</w:t>
      </w:r>
      <w:r w:rsidRPr="00BB3394">
        <w:rPr>
          <w:rFonts w:ascii="Times New Roman" w:eastAsia="Times New Roman" w:hAnsi="Times New Roman" w:cs="Times New Roman"/>
          <w:sz w:val="24"/>
          <w:szCs w:val="24"/>
          <w:lang w:val="en-GB"/>
        </w:rPr>
        <w:t xml:space="preserve"> wages for 1860 are given by </w:t>
      </w:r>
      <w:proofErr w:type="spellStart"/>
      <w:r w:rsidRPr="00BB3394">
        <w:rPr>
          <w:rFonts w:ascii="Times New Roman" w:eastAsia="Times New Roman" w:hAnsi="Times New Roman" w:cs="Times New Roman"/>
          <w:sz w:val="24"/>
          <w:szCs w:val="24"/>
          <w:lang w:val="en-GB"/>
        </w:rPr>
        <w:t>Madrazo</w:t>
      </w:r>
      <w:proofErr w:type="spellEnd"/>
      <w:r w:rsidRPr="00BB3394">
        <w:rPr>
          <w:rFonts w:ascii="Times New Roman" w:hAnsi="Times New Roman" w:cs="Times New Roman"/>
          <w:sz w:val="24"/>
          <w:szCs w:val="24"/>
          <w:lang w:val="en-GB"/>
        </w:rPr>
        <w:t xml:space="preserve"> (1984, 208)</w:t>
      </w:r>
      <w:r w:rsidRPr="00BB3394">
        <w:rPr>
          <w:rFonts w:ascii="Times New Roman" w:eastAsia="Times New Roman" w:hAnsi="Times New Roman" w:cs="Times New Roman"/>
          <w:sz w:val="24"/>
          <w:szCs w:val="24"/>
          <w:lang w:val="en-GB"/>
        </w:rPr>
        <w:t>. Figures for ten professional categories involved in the building of roads are offered</w:t>
      </w:r>
      <w:r w:rsidRPr="00BB3394">
        <w:rPr>
          <w:rStyle w:val="FootnoteReference"/>
          <w:rFonts w:ascii="Times New Roman" w:eastAsia="Times New Roman" w:hAnsi="Times New Roman" w:cs="Times New Roman"/>
          <w:sz w:val="24"/>
          <w:szCs w:val="24"/>
          <w:lang w:val="en-GB"/>
        </w:rPr>
        <w:footnoteReference w:id="1"/>
      </w:r>
      <w:r w:rsidRPr="00BB3394">
        <w:rPr>
          <w:rFonts w:ascii="Times New Roman" w:eastAsia="Times New Roman" w:hAnsi="Times New Roman" w:cs="Times New Roman"/>
          <w:sz w:val="24"/>
          <w:szCs w:val="24"/>
          <w:lang w:val="en-GB"/>
        </w:rPr>
        <w:t xml:space="preserve">. The </w:t>
      </w:r>
      <w:r w:rsidRPr="00BB3394">
        <w:rPr>
          <w:rFonts w:ascii="Times New Roman" w:hAnsi="Times New Roman" w:cs="Times New Roman"/>
          <w:sz w:val="24"/>
          <w:szCs w:val="24"/>
          <w:lang w:val="en-GB"/>
        </w:rPr>
        <w:t>average manufacturing</w:t>
      </w:r>
      <w:r w:rsidRPr="00BB3394">
        <w:rPr>
          <w:rFonts w:ascii="Times New Roman" w:eastAsia="Times New Roman" w:hAnsi="Times New Roman" w:cs="Times New Roman"/>
          <w:sz w:val="24"/>
          <w:szCs w:val="24"/>
          <w:lang w:val="en-GB"/>
        </w:rPr>
        <w:t xml:space="preserve"> wage for 1860 comes from a simple average of </w:t>
      </w:r>
      <w:r w:rsidRPr="00BB3394">
        <w:rPr>
          <w:rFonts w:ascii="Times New Roman" w:hAnsi="Times New Roman" w:cs="Times New Roman"/>
          <w:sz w:val="24"/>
          <w:szCs w:val="24"/>
          <w:lang w:val="en-GB"/>
        </w:rPr>
        <w:t>two</w:t>
      </w:r>
      <w:r w:rsidRPr="00BB3394">
        <w:rPr>
          <w:rFonts w:ascii="Times New Roman" w:eastAsia="Times New Roman" w:hAnsi="Times New Roman" w:cs="Times New Roman"/>
          <w:sz w:val="24"/>
          <w:szCs w:val="24"/>
          <w:lang w:val="en-GB"/>
        </w:rPr>
        <w:t xml:space="preserve"> categories established according to level of skill</w:t>
      </w:r>
      <w:r w:rsidRPr="00BB3394">
        <w:rPr>
          <w:rFonts w:ascii="Times New Roman" w:hAnsi="Times New Roman" w:cs="Times New Roman"/>
          <w:sz w:val="24"/>
          <w:szCs w:val="24"/>
          <w:lang w:val="en-GB"/>
        </w:rPr>
        <w:t xml:space="preserve"> and provincial coverage</w:t>
      </w:r>
      <w:r w:rsidRPr="00BB3394">
        <w:rPr>
          <w:rStyle w:val="FootnoteReference"/>
          <w:rFonts w:ascii="Times New Roman" w:eastAsia="Times New Roman" w:hAnsi="Times New Roman" w:cs="Times New Roman"/>
          <w:sz w:val="24"/>
          <w:szCs w:val="24"/>
          <w:lang w:val="en-GB"/>
        </w:rPr>
        <w:footnoteReference w:id="2"/>
      </w:r>
      <w:r w:rsidRPr="00BB3394">
        <w:rPr>
          <w:rFonts w:ascii="Times New Roman" w:eastAsia="Times New Roman" w:hAnsi="Times New Roman" w:cs="Times New Roman"/>
          <w:sz w:val="24"/>
          <w:szCs w:val="24"/>
          <w:lang w:val="en-GB"/>
        </w:rPr>
        <w:t xml:space="preserve">: </w:t>
      </w:r>
      <w:r w:rsidRPr="00BB3394">
        <w:rPr>
          <w:rFonts w:ascii="Times New Roman" w:hAnsi="Times New Roman" w:cs="Times New Roman"/>
          <w:sz w:val="24"/>
          <w:szCs w:val="24"/>
          <w:lang w:val="en-GB"/>
        </w:rPr>
        <w:t xml:space="preserve">skilled workers </w:t>
      </w:r>
      <w:r w:rsidRPr="00BB3394">
        <w:rPr>
          <w:rFonts w:ascii="Times New Roman" w:eastAsia="Times New Roman" w:hAnsi="Times New Roman" w:cs="Times New Roman"/>
          <w:sz w:val="24"/>
          <w:szCs w:val="24"/>
          <w:lang w:val="en-GB"/>
        </w:rPr>
        <w:t>(</w:t>
      </w:r>
      <w:r w:rsidRPr="00BB3394">
        <w:rPr>
          <w:rFonts w:ascii="Times New Roman" w:hAnsi="Times New Roman" w:cs="Times New Roman"/>
          <w:sz w:val="24"/>
          <w:szCs w:val="24"/>
          <w:lang w:val="en-GB"/>
        </w:rPr>
        <w:t xml:space="preserve">bricklayers or </w:t>
      </w:r>
      <w:proofErr w:type="spellStart"/>
      <w:r w:rsidRPr="00BB3394">
        <w:rPr>
          <w:rFonts w:ascii="Times New Roman" w:hAnsi="Times New Roman" w:cs="Times New Roman"/>
          <w:i/>
          <w:sz w:val="24"/>
          <w:szCs w:val="24"/>
          <w:lang w:val="en-GB"/>
        </w:rPr>
        <w:t>albañiles</w:t>
      </w:r>
      <w:proofErr w:type="spellEnd"/>
      <w:r w:rsidRPr="00BB3394">
        <w:rPr>
          <w:rFonts w:ascii="Times New Roman" w:eastAsia="Times New Roman" w:hAnsi="Times New Roman" w:cs="Times New Roman"/>
          <w:sz w:val="24"/>
          <w:szCs w:val="24"/>
          <w:lang w:val="en-GB"/>
        </w:rPr>
        <w:t>)</w:t>
      </w:r>
      <w:r w:rsidRPr="00BB3394">
        <w:rPr>
          <w:rFonts w:ascii="Times New Roman" w:hAnsi="Times New Roman" w:cs="Times New Roman"/>
          <w:sz w:val="24"/>
          <w:szCs w:val="24"/>
          <w:lang w:val="en-GB"/>
        </w:rPr>
        <w:t xml:space="preserve"> and </w:t>
      </w:r>
      <w:r w:rsidRPr="00BB3394">
        <w:rPr>
          <w:rFonts w:ascii="Times New Roman" w:eastAsia="Times New Roman" w:hAnsi="Times New Roman" w:cs="Times New Roman"/>
          <w:sz w:val="24"/>
          <w:szCs w:val="24"/>
          <w:lang w:val="en-GB"/>
        </w:rPr>
        <w:t>unskilled workers</w:t>
      </w:r>
      <w:r w:rsidRPr="00BB3394">
        <w:rPr>
          <w:rFonts w:ascii="Times New Roman" w:hAnsi="Times New Roman" w:cs="Times New Roman"/>
          <w:sz w:val="24"/>
          <w:szCs w:val="24"/>
          <w:lang w:val="en-GB"/>
        </w:rPr>
        <w:t xml:space="preserve"> (</w:t>
      </w:r>
      <w:proofErr w:type="spellStart"/>
      <w:r w:rsidRPr="00BB3394">
        <w:rPr>
          <w:rFonts w:ascii="Times New Roman" w:hAnsi="Times New Roman" w:cs="Times New Roman"/>
          <w:i/>
          <w:sz w:val="24"/>
          <w:szCs w:val="24"/>
          <w:lang w:val="en-GB"/>
        </w:rPr>
        <w:t>peón</w:t>
      </w:r>
      <w:proofErr w:type="spellEnd"/>
      <w:r w:rsidRPr="00BB3394">
        <w:rPr>
          <w:rFonts w:ascii="Times New Roman" w:hAnsi="Times New Roman" w:cs="Times New Roman"/>
          <w:i/>
          <w:sz w:val="24"/>
          <w:szCs w:val="24"/>
          <w:lang w:val="en-GB"/>
        </w:rPr>
        <w:t xml:space="preserve"> mayor</w:t>
      </w:r>
      <w:r w:rsidRPr="00BB3394">
        <w:rPr>
          <w:rFonts w:ascii="Times New Roman" w:hAnsi="Times New Roman" w:cs="Times New Roman"/>
          <w:sz w:val="24"/>
          <w:szCs w:val="24"/>
          <w:lang w:val="en-GB"/>
        </w:rPr>
        <w:t>)</w:t>
      </w:r>
      <w:r w:rsidRPr="00BB3394">
        <w:rPr>
          <w:rFonts w:ascii="Times New Roman" w:eastAsia="Times New Roman" w:hAnsi="Times New Roman" w:cs="Times New Roman"/>
          <w:sz w:val="24"/>
          <w:szCs w:val="24"/>
          <w:lang w:val="en-GB"/>
        </w:rPr>
        <w:t>.</w:t>
      </w:r>
      <w:r w:rsidRPr="00BB3394">
        <w:rPr>
          <w:rFonts w:ascii="Times New Roman" w:hAnsi="Times New Roman" w:cs="Times New Roman"/>
          <w:sz w:val="24"/>
          <w:szCs w:val="24"/>
          <w:lang w:val="en-GB"/>
        </w:rPr>
        <w:t xml:space="preserve"> Indeed, t</w:t>
      </w:r>
      <w:r w:rsidRPr="00BB3394">
        <w:rPr>
          <w:rFonts w:ascii="Times New Roman" w:eastAsia="Times New Roman" w:hAnsi="Times New Roman" w:cs="Times New Roman"/>
          <w:sz w:val="24"/>
          <w:szCs w:val="24"/>
          <w:lang w:val="en-GB"/>
        </w:rPr>
        <w:t xml:space="preserve">he geographical coverage of bricklayers is high but we do not have information for their wages in six provinces. In order to fill this gap, we use data for the most similar professional category for which </w:t>
      </w:r>
      <w:r w:rsidRPr="00BB3394">
        <w:rPr>
          <w:rFonts w:ascii="Times New Roman" w:hAnsi="Times New Roman" w:cs="Times New Roman"/>
          <w:sz w:val="24"/>
          <w:szCs w:val="24"/>
          <w:lang w:val="en-GB"/>
        </w:rPr>
        <w:t>the source</w:t>
      </w:r>
      <w:r w:rsidRPr="00BB3394">
        <w:rPr>
          <w:rFonts w:ascii="Times New Roman" w:eastAsia="Times New Roman" w:hAnsi="Times New Roman" w:cs="Times New Roman"/>
          <w:sz w:val="24"/>
          <w:szCs w:val="24"/>
          <w:lang w:val="en-GB"/>
        </w:rPr>
        <w:t xml:space="preserve"> offers information, that is, masons. The wages of bricklayers in these six provinces are calculated from the wages of masons, and their deviation from the average wages for masons in Spain, weighted by the industrial population of each province according to the Population Census of 1860.</w:t>
      </w:r>
      <w:r w:rsidRPr="00BB3394">
        <w:rPr>
          <w:rFonts w:ascii="Times New Roman" w:hAnsi="Times New Roman" w:cs="Times New Roman"/>
          <w:sz w:val="24"/>
          <w:szCs w:val="24"/>
          <w:lang w:val="en-GB"/>
        </w:rPr>
        <w:t xml:space="preserve"> In addition</w:t>
      </w:r>
      <w:r w:rsidRPr="00BB3394">
        <w:rPr>
          <w:rFonts w:ascii="Times New Roman" w:eastAsia="Times New Roman" w:hAnsi="Times New Roman" w:cs="Times New Roman"/>
          <w:sz w:val="24"/>
          <w:szCs w:val="24"/>
          <w:lang w:val="en-GB"/>
        </w:rPr>
        <w:t xml:space="preserve">, given that no wages are provided for Navarre, they must be estimated. It would be reasonable to think that there might be a wage gradient depending on geographical proximity. Indeed, for the rest of the years available, it is confirmed that the </w:t>
      </w:r>
      <w:r w:rsidRPr="00BB3394">
        <w:rPr>
          <w:rFonts w:ascii="Times New Roman" w:hAnsi="Times New Roman" w:cs="Times New Roman"/>
          <w:sz w:val="24"/>
          <w:szCs w:val="24"/>
          <w:lang w:val="en-GB"/>
        </w:rPr>
        <w:t>manufacturing</w:t>
      </w:r>
      <w:r w:rsidRPr="00BB3394">
        <w:rPr>
          <w:rFonts w:ascii="Times New Roman" w:eastAsia="Times New Roman" w:hAnsi="Times New Roman" w:cs="Times New Roman"/>
          <w:sz w:val="24"/>
          <w:szCs w:val="24"/>
          <w:lang w:val="en-GB"/>
        </w:rPr>
        <w:t xml:space="preserve"> wage in Navarre is close to the average wage of the neighbouring provinces. </w:t>
      </w:r>
      <w:r w:rsidRPr="00BB3394">
        <w:rPr>
          <w:rFonts w:ascii="Times New Roman" w:eastAsia="Times New Roman" w:hAnsi="Times New Roman" w:cs="Times New Roman"/>
          <w:sz w:val="24"/>
          <w:szCs w:val="24"/>
          <w:lang w:val="en-GB"/>
        </w:rPr>
        <w:lastRenderedPageBreak/>
        <w:t xml:space="preserve">Therefore, the </w:t>
      </w:r>
      <w:r w:rsidRPr="00BB3394">
        <w:rPr>
          <w:rFonts w:ascii="Times New Roman" w:hAnsi="Times New Roman" w:cs="Times New Roman"/>
          <w:sz w:val="24"/>
          <w:szCs w:val="24"/>
          <w:lang w:val="en-GB"/>
        </w:rPr>
        <w:t>manufacturing</w:t>
      </w:r>
      <w:r w:rsidRPr="00BB3394">
        <w:rPr>
          <w:rFonts w:ascii="Times New Roman" w:eastAsia="Times New Roman" w:hAnsi="Times New Roman" w:cs="Times New Roman"/>
          <w:sz w:val="24"/>
          <w:szCs w:val="24"/>
          <w:lang w:val="en-GB"/>
        </w:rPr>
        <w:t xml:space="preserve"> wage in Navarre in 1860 is calculated as being the average wage in the neighbouring provinces</w:t>
      </w:r>
      <w:r w:rsidRPr="00BB3394">
        <w:rPr>
          <w:rStyle w:val="FootnoteReference"/>
          <w:rFonts w:ascii="Times New Roman" w:eastAsia="Times New Roman" w:hAnsi="Times New Roman" w:cs="Times New Roman"/>
          <w:sz w:val="24"/>
          <w:szCs w:val="24"/>
          <w:lang w:val="en-GB"/>
        </w:rPr>
        <w:footnoteReference w:id="3"/>
      </w:r>
      <w:r w:rsidRPr="00BB3394">
        <w:rPr>
          <w:rFonts w:ascii="Times New Roman" w:eastAsia="Times New Roman" w:hAnsi="Times New Roman" w:cs="Times New Roman"/>
          <w:sz w:val="24"/>
          <w:szCs w:val="24"/>
          <w:lang w:val="en-GB"/>
        </w:rPr>
        <w:t>.</w:t>
      </w:r>
      <w:r w:rsidRPr="00BB3394">
        <w:rPr>
          <w:rFonts w:ascii="Times New Roman" w:hAnsi="Times New Roman" w:cs="Times New Roman"/>
          <w:sz w:val="24"/>
          <w:szCs w:val="24"/>
          <w:lang w:val="en-GB"/>
        </w:rPr>
        <w:t xml:space="preserve"> Manufacturing </w:t>
      </w:r>
      <w:r w:rsidRPr="00BB3394">
        <w:rPr>
          <w:rFonts w:ascii="Times New Roman" w:eastAsia="Times New Roman" w:hAnsi="Times New Roman" w:cs="Times New Roman"/>
          <w:sz w:val="24"/>
          <w:szCs w:val="24"/>
          <w:lang w:val="en-GB"/>
        </w:rPr>
        <w:t>wages in 1900 come from Sánchez-Alonso (1995). Regarding the</w:t>
      </w:r>
      <w:r w:rsidRPr="00BB3394">
        <w:rPr>
          <w:rFonts w:ascii="Times New Roman" w:hAnsi="Times New Roman" w:cs="Times New Roman"/>
          <w:sz w:val="24"/>
          <w:szCs w:val="24"/>
          <w:lang w:val="en-GB"/>
        </w:rPr>
        <w:t>se data, which originally come from</w:t>
      </w:r>
      <w:r w:rsidRPr="00BB3394">
        <w:rPr>
          <w:rFonts w:ascii="Times New Roman" w:eastAsia="Times New Roman" w:hAnsi="Times New Roman" w:cs="Times New Roman"/>
          <w:sz w:val="24"/>
          <w:szCs w:val="24"/>
          <w:lang w:val="en-GB"/>
        </w:rPr>
        <w:t xml:space="preserve"> IGE (1903), Simpson (1995</w:t>
      </w:r>
      <w:r w:rsidRPr="00BB3394">
        <w:rPr>
          <w:rFonts w:ascii="Times New Roman" w:hAnsi="Times New Roman" w:cs="Times New Roman"/>
          <w:sz w:val="24"/>
          <w:szCs w:val="24"/>
          <w:lang w:val="en-GB"/>
        </w:rPr>
        <w:t>b, 190, 199</w:t>
      </w:r>
      <w:r w:rsidRPr="00BB3394">
        <w:rPr>
          <w:rFonts w:ascii="Times New Roman" w:eastAsia="Times New Roman" w:hAnsi="Times New Roman" w:cs="Times New Roman"/>
          <w:sz w:val="24"/>
          <w:szCs w:val="24"/>
          <w:lang w:val="en-GB"/>
        </w:rPr>
        <w:t xml:space="preserve">) defines them as semi-skilled workers and he points out two provinces with excessively high wages: </w:t>
      </w:r>
      <w:proofErr w:type="spellStart"/>
      <w:r w:rsidRPr="00BB3394">
        <w:rPr>
          <w:rFonts w:ascii="Times New Roman" w:eastAsia="Times New Roman" w:hAnsi="Times New Roman" w:cs="Times New Roman"/>
          <w:sz w:val="24"/>
          <w:szCs w:val="24"/>
          <w:lang w:val="en-GB"/>
        </w:rPr>
        <w:t>Pontevedra</w:t>
      </w:r>
      <w:proofErr w:type="spellEnd"/>
      <w:r w:rsidRPr="00BB3394">
        <w:rPr>
          <w:rFonts w:ascii="Times New Roman" w:eastAsia="Times New Roman" w:hAnsi="Times New Roman" w:cs="Times New Roman"/>
          <w:sz w:val="24"/>
          <w:szCs w:val="24"/>
          <w:lang w:val="en-GB"/>
        </w:rPr>
        <w:t xml:space="preserve"> and Toledo. The values have therefore been corrected by re-calculating in both cases their wages as the average of the industrial wage in the neighbouring provinces.</w:t>
      </w:r>
      <w:r w:rsidRPr="00BB3394">
        <w:rPr>
          <w:rFonts w:ascii="Times New Roman" w:hAnsi="Times New Roman" w:cs="Times New Roman"/>
          <w:sz w:val="24"/>
          <w:szCs w:val="24"/>
          <w:lang w:val="en-GB"/>
        </w:rPr>
        <w:t xml:space="preserve"> </w:t>
      </w:r>
      <w:proofErr w:type="spellStart"/>
      <w:r w:rsidRPr="00BB3394">
        <w:rPr>
          <w:rFonts w:ascii="Times New Roman" w:eastAsia="Times New Roman" w:hAnsi="Times New Roman" w:cs="Times New Roman"/>
          <w:sz w:val="24"/>
          <w:szCs w:val="24"/>
        </w:rPr>
        <w:t>Finally</w:t>
      </w:r>
      <w:proofErr w:type="spellEnd"/>
      <w:r w:rsidRPr="00BB3394">
        <w:rPr>
          <w:rFonts w:ascii="Times New Roman" w:eastAsia="Times New Roman" w:hAnsi="Times New Roman" w:cs="Times New Roman"/>
          <w:sz w:val="24"/>
          <w:szCs w:val="24"/>
        </w:rPr>
        <w:t xml:space="preserve">, </w:t>
      </w:r>
      <w:proofErr w:type="spellStart"/>
      <w:r w:rsidRPr="00BB3394">
        <w:rPr>
          <w:rFonts w:ascii="Times New Roman" w:hAnsi="Times New Roman" w:cs="Times New Roman"/>
          <w:sz w:val="24"/>
          <w:szCs w:val="24"/>
        </w:rPr>
        <w:t>manufacturing</w:t>
      </w:r>
      <w:proofErr w:type="spellEnd"/>
      <w:r w:rsidRPr="00BB3394">
        <w:rPr>
          <w:rFonts w:ascii="Times New Roman" w:eastAsia="Times New Roman" w:hAnsi="Times New Roman" w:cs="Times New Roman"/>
          <w:sz w:val="24"/>
          <w:szCs w:val="24"/>
        </w:rPr>
        <w:t xml:space="preserve"> </w:t>
      </w:r>
      <w:proofErr w:type="spellStart"/>
      <w:r w:rsidRPr="00BB3394">
        <w:rPr>
          <w:rFonts w:ascii="Times New Roman" w:eastAsia="Times New Roman" w:hAnsi="Times New Roman" w:cs="Times New Roman"/>
          <w:sz w:val="24"/>
          <w:szCs w:val="24"/>
        </w:rPr>
        <w:t>wages</w:t>
      </w:r>
      <w:proofErr w:type="spellEnd"/>
      <w:r w:rsidRPr="00BB3394">
        <w:rPr>
          <w:rFonts w:ascii="Times New Roman" w:eastAsia="Times New Roman" w:hAnsi="Times New Roman" w:cs="Times New Roman"/>
          <w:sz w:val="24"/>
          <w:szCs w:val="24"/>
        </w:rPr>
        <w:t xml:space="preserve"> in 1914</w:t>
      </w:r>
      <w:r w:rsidRPr="00BB3394">
        <w:rPr>
          <w:rFonts w:ascii="Times New Roman" w:hAnsi="Times New Roman" w:cs="Times New Roman"/>
          <w:sz w:val="24"/>
          <w:szCs w:val="24"/>
        </w:rPr>
        <w:t>, 1920</w:t>
      </w:r>
      <w:r w:rsidRPr="00BB3394">
        <w:rPr>
          <w:rFonts w:ascii="Times New Roman" w:eastAsia="Times New Roman" w:hAnsi="Times New Roman" w:cs="Times New Roman"/>
          <w:sz w:val="24"/>
          <w:szCs w:val="24"/>
        </w:rPr>
        <w:t xml:space="preserve"> and 19</w:t>
      </w:r>
      <w:r w:rsidRPr="00BB3394">
        <w:rPr>
          <w:rFonts w:ascii="Times New Roman" w:hAnsi="Times New Roman" w:cs="Times New Roman"/>
          <w:sz w:val="24"/>
          <w:szCs w:val="24"/>
        </w:rPr>
        <w:t>30</w:t>
      </w:r>
      <w:r w:rsidRPr="00BB3394">
        <w:rPr>
          <w:rFonts w:ascii="Times New Roman" w:eastAsia="Times New Roman" w:hAnsi="Times New Roman" w:cs="Times New Roman"/>
          <w:sz w:val="24"/>
          <w:szCs w:val="24"/>
        </w:rPr>
        <w:t xml:space="preserve"> </w:t>
      </w:r>
      <w:r w:rsidRPr="00BB3394">
        <w:rPr>
          <w:rFonts w:ascii="Times New Roman" w:hAnsi="Times New Roman" w:cs="Times New Roman"/>
          <w:sz w:val="24"/>
          <w:szCs w:val="24"/>
        </w:rPr>
        <w:t xml:space="preserve">come </w:t>
      </w:r>
      <w:proofErr w:type="spellStart"/>
      <w:r w:rsidRPr="00BB3394">
        <w:rPr>
          <w:rFonts w:ascii="Times New Roman" w:hAnsi="Times New Roman" w:cs="Times New Roman"/>
          <w:sz w:val="24"/>
          <w:szCs w:val="24"/>
        </w:rPr>
        <w:t>from</w:t>
      </w:r>
      <w:proofErr w:type="spellEnd"/>
      <w:r w:rsidRPr="00BB3394">
        <w:rPr>
          <w:rFonts w:ascii="Times New Roman" w:eastAsia="Times New Roman" w:hAnsi="Times New Roman" w:cs="Times New Roman"/>
          <w:sz w:val="24"/>
          <w:szCs w:val="24"/>
        </w:rPr>
        <w:t xml:space="preserve"> Ministerio de Trabajo (1927</w:t>
      </w:r>
      <w:r w:rsidRPr="00BB3394">
        <w:rPr>
          <w:rFonts w:ascii="Times New Roman" w:hAnsi="Times New Roman" w:cs="Times New Roman"/>
          <w:sz w:val="24"/>
          <w:szCs w:val="24"/>
        </w:rPr>
        <w:t>, 1931</w:t>
      </w:r>
      <w:r w:rsidRPr="00BB3394">
        <w:rPr>
          <w:rFonts w:ascii="Times New Roman" w:eastAsia="Times New Roman" w:hAnsi="Times New Roman" w:cs="Times New Roman"/>
          <w:sz w:val="24"/>
          <w:szCs w:val="24"/>
        </w:rPr>
        <w:t>)</w:t>
      </w:r>
      <w:r w:rsidRPr="00BB3394">
        <w:rPr>
          <w:rFonts w:ascii="Times New Roman" w:hAnsi="Times New Roman" w:cs="Times New Roman"/>
          <w:sz w:val="24"/>
          <w:szCs w:val="24"/>
        </w:rPr>
        <w:t xml:space="preserve"> </w:t>
      </w:r>
      <w:r w:rsidRPr="00BB3394">
        <w:rPr>
          <w:rFonts w:ascii="Times New Roman" w:eastAsia="Times New Roman" w:hAnsi="Times New Roman" w:cs="Times New Roman"/>
          <w:sz w:val="24"/>
          <w:szCs w:val="24"/>
        </w:rPr>
        <w:t>(</w:t>
      </w:r>
      <w:r w:rsidRPr="00BB3394">
        <w:rPr>
          <w:rFonts w:ascii="Times New Roman" w:eastAsia="Times New Roman" w:hAnsi="Times New Roman" w:cs="Times New Roman"/>
          <w:i/>
          <w:sz w:val="24"/>
          <w:szCs w:val="24"/>
        </w:rPr>
        <w:t>Estadísticas de los Salarios y Jornadas de Trabajo</w:t>
      </w:r>
      <w:r w:rsidRPr="00BB3394">
        <w:rPr>
          <w:rFonts w:ascii="Times New Roman" w:eastAsia="Times New Roman" w:hAnsi="Times New Roman" w:cs="Times New Roman"/>
          <w:sz w:val="24"/>
          <w:szCs w:val="24"/>
        </w:rPr>
        <w:t xml:space="preserve">). </w:t>
      </w:r>
      <w:r w:rsidRPr="00BB3394">
        <w:rPr>
          <w:rFonts w:ascii="Times New Roman" w:eastAsia="Times New Roman" w:hAnsi="Times New Roman" w:cs="Times New Roman"/>
          <w:sz w:val="24"/>
          <w:szCs w:val="24"/>
          <w:lang w:val="en-GB"/>
        </w:rPr>
        <w:t>Th</w:t>
      </w:r>
      <w:r w:rsidRPr="00BB3394">
        <w:rPr>
          <w:rFonts w:ascii="Times New Roman" w:hAnsi="Times New Roman" w:cs="Times New Roman"/>
          <w:sz w:val="24"/>
          <w:szCs w:val="24"/>
          <w:lang w:val="en-GB"/>
        </w:rPr>
        <w:t>ese</w:t>
      </w:r>
      <w:r w:rsidRPr="00BB3394">
        <w:rPr>
          <w:rFonts w:ascii="Times New Roman" w:eastAsia="Times New Roman" w:hAnsi="Times New Roman" w:cs="Times New Roman"/>
          <w:sz w:val="24"/>
          <w:szCs w:val="24"/>
          <w:lang w:val="en-GB"/>
        </w:rPr>
        <w:t xml:space="preserve"> </w:t>
      </w:r>
      <w:r w:rsidRPr="00BB3394">
        <w:rPr>
          <w:rFonts w:ascii="Times New Roman" w:hAnsi="Times New Roman" w:cs="Times New Roman"/>
          <w:sz w:val="24"/>
          <w:szCs w:val="24"/>
          <w:lang w:val="en-GB"/>
        </w:rPr>
        <w:t>publications provide</w:t>
      </w:r>
      <w:r w:rsidRPr="00BB3394">
        <w:rPr>
          <w:rFonts w:ascii="Times New Roman" w:eastAsia="Times New Roman" w:hAnsi="Times New Roman" w:cs="Times New Roman"/>
          <w:sz w:val="24"/>
          <w:szCs w:val="24"/>
          <w:lang w:val="en-GB"/>
        </w:rPr>
        <w:t xml:space="preserve"> data for nominal wage per hour </w:t>
      </w:r>
      <w:r w:rsidRPr="00BB3394">
        <w:rPr>
          <w:rFonts w:ascii="Times New Roman" w:hAnsi="Times New Roman" w:cs="Times New Roman"/>
          <w:sz w:val="24"/>
          <w:szCs w:val="24"/>
          <w:lang w:val="en-GB"/>
        </w:rPr>
        <w:t xml:space="preserve">and the number of workers </w:t>
      </w:r>
      <w:r w:rsidRPr="00BB3394">
        <w:rPr>
          <w:rFonts w:ascii="Times New Roman" w:eastAsia="Times New Roman" w:hAnsi="Times New Roman" w:cs="Times New Roman"/>
          <w:sz w:val="24"/>
          <w:szCs w:val="24"/>
          <w:lang w:val="en-GB"/>
        </w:rPr>
        <w:t xml:space="preserve">in each occupation according to different categories: </w:t>
      </w:r>
      <w:r w:rsidRPr="00BB3394">
        <w:rPr>
          <w:rFonts w:ascii="Times New Roman" w:hAnsi="Times New Roman" w:cs="Times New Roman"/>
          <w:sz w:val="24"/>
          <w:szCs w:val="24"/>
          <w:lang w:val="en-GB"/>
        </w:rPr>
        <w:t xml:space="preserve">we compute the provincial wages as the weighted average for </w:t>
      </w:r>
      <w:r w:rsidRPr="00BB3394">
        <w:rPr>
          <w:rFonts w:ascii="Times New Roman" w:eastAsia="Times New Roman" w:hAnsi="Times New Roman" w:cs="Times New Roman"/>
          <w:sz w:val="24"/>
          <w:szCs w:val="24"/>
          <w:lang w:val="en-GB"/>
        </w:rPr>
        <w:t>skilled male workers</w:t>
      </w:r>
      <w:r w:rsidRPr="00BB3394">
        <w:rPr>
          <w:rFonts w:ascii="Times New Roman" w:hAnsi="Times New Roman" w:cs="Times New Roman"/>
          <w:sz w:val="24"/>
          <w:szCs w:val="24"/>
          <w:lang w:val="en-GB"/>
        </w:rPr>
        <w:t xml:space="preserve"> and </w:t>
      </w:r>
      <w:r w:rsidRPr="00BB3394">
        <w:rPr>
          <w:rFonts w:ascii="Times New Roman" w:eastAsia="Times New Roman" w:hAnsi="Times New Roman" w:cs="Times New Roman"/>
          <w:sz w:val="24"/>
          <w:szCs w:val="24"/>
          <w:lang w:val="en-GB"/>
        </w:rPr>
        <w:t xml:space="preserve">unskilled labourers. For 1930, </w:t>
      </w:r>
      <w:r w:rsidRPr="00BB3394">
        <w:rPr>
          <w:rFonts w:ascii="Times New Roman" w:hAnsi="Times New Roman" w:cs="Times New Roman"/>
          <w:sz w:val="24"/>
          <w:szCs w:val="24"/>
          <w:lang w:val="en-GB"/>
        </w:rPr>
        <w:t xml:space="preserve">the number of workers is assumed to be the same as </w:t>
      </w:r>
      <w:r w:rsidRPr="00BB3394">
        <w:rPr>
          <w:rFonts w:ascii="Times New Roman" w:eastAsia="Times New Roman" w:hAnsi="Times New Roman" w:cs="Times New Roman"/>
          <w:sz w:val="24"/>
          <w:szCs w:val="24"/>
          <w:lang w:val="en-GB"/>
        </w:rPr>
        <w:t>in 1925</w:t>
      </w:r>
      <w:r w:rsidRPr="00BB3394">
        <w:rPr>
          <w:rFonts w:ascii="Times New Roman" w:hAnsi="Times New Roman" w:cs="Times New Roman"/>
          <w:sz w:val="24"/>
          <w:szCs w:val="24"/>
          <w:lang w:val="en-GB"/>
        </w:rPr>
        <w:t>. Finally,</w:t>
      </w:r>
      <w:r w:rsidRPr="00BB3394">
        <w:rPr>
          <w:rFonts w:ascii="Times New Roman" w:eastAsia="Times New Roman" w:hAnsi="Times New Roman" w:cs="Times New Roman"/>
          <w:sz w:val="24"/>
          <w:szCs w:val="24"/>
          <w:lang w:val="en-GB"/>
        </w:rPr>
        <w:t xml:space="preserve"> </w:t>
      </w:r>
      <w:r w:rsidRPr="00BB3394">
        <w:rPr>
          <w:rFonts w:ascii="Times New Roman" w:hAnsi="Times New Roman" w:cs="Times New Roman"/>
          <w:sz w:val="24"/>
          <w:szCs w:val="24"/>
          <w:lang w:val="en-GB"/>
        </w:rPr>
        <w:t>manufacturing</w:t>
      </w:r>
      <w:r w:rsidRPr="00BB3394">
        <w:rPr>
          <w:rFonts w:ascii="Times New Roman" w:eastAsia="Times New Roman" w:hAnsi="Times New Roman" w:cs="Times New Roman"/>
          <w:sz w:val="24"/>
          <w:szCs w:val="24"/>
          <w:lang w:val="en-GB"/>
        </w:rPr>
        <w:t xml:space="preserve"> wages for the Canary Islands</w:t>
      </w:r>
      <w:r w:rsidRPr="00BB3394">
        <w:rPr>
          <w:rFonts w:ascii="Times New Roman" w:hAnsi="Times New Roman" w:cs="Times New Roman"/>
          <w:sz w:val="24"/>
          <w:szCs w:val="24"/>
          <w:lang w:val="en-GB"/>
        </w:rPr>
        <w:t xml:space="preserve"> are not available and have thus to be estimated</w:t>
      </w:r>
      <w:r w:rsidRPr="00BB3394">
        <w:rPr>
          <w:rFonts w:ascii="Times New Roman" w:eastAsia="Times New Roman" w:hAnsi="Times New Roman" w:cs="Times New Roman"/>
          <w:sz w:val="24"/>
          <w:szCs w:val="24"/>
          <w:lang w:val="en-GB"/>
        </w:rPr>
        <w:t xml:space="preserve">. For 1914, it is assumed that the </w:t>
      </w:r>
      <w:r w:rsidRPr="00BB3394">
        <w:rPr>
          <w:rFonts w:ascii="Times New Roman" w:hAnsi="Times New Roman" w:cs="Times New Roman"/>
          <w:sz w:val="24"/>
          <w:szCs w:val="24"/>
          <w:lang w:val="en-GB"/>
        </w:rPr>
        <w:t>manufacturing</w:t>
      </w:r>
      <w:r w:rsidRPr="00BB3394">
        <w:rPr>
          <w:rFonts w:ascii="Times New Roman" w:eastAsia="Times New Roman" w:hAnsi="Times New Roman" w:cs="Times New Roman"/>
          <w:sz w:val="24"/>
          <w:szCs w:val="24"/>
          <w:lang w:val="en-GB"/>
        </w:rPr>
        <w:t xml:space="preserve"> wage in the Canary Islands </w:t>
      </w:r>
      <w:r w:rsidRPr="00BB3394">
        <w:rPr>
          <w:rFonts w:ascii="Times New Roman" w:hAnsi="Times New Roman" w:cs="Times New Roman"/>
          <w:sz w:val="24"/>
          <w:szCs w:val="24"/>
          <w:lang w:val="en-GB"/>
        </w:rPr>
        <w:t>wa</w:t>
      </w:r>
      <w:r w:rsidRPr="00BB3394">
        <w:rPr>
          <w:rFonts w:ascii="Times New Roman" w:eastAsia="Times New Roman" w:hAnsi="Times New Roman" w:cs="Times New Roman"/>
          <w:sz w:val="24"/>
          <w:szCs w:val="24"/>
          <w:lang w:val="en-GB"/>
        </w:rPr>
        <w:t xml:space="preserve">s similar to that of the lowest one among the Spanish provinces (0.28 </w:t>
      </w:r>
      <w:proofErr w:type="spellStart"/>
      <w:r w:rsidRPr="00BB3394">
        <w:rPr>
          <w:rFonts w:ascii="Times New Roman" w:eastAsia="Times New Roman" w:hAnsi="Times New Roman" w:cs="Times New Roman"/>
          <w:sz w:val="24"/>
          <w:szCs w:val="24"/>
          <w:lang w:val="en-GB"/>
        </w:rPr>
        <w:t>ptas</w:t>
      </w:r>
      <w:proofErr w:type="spellEnd"/>
      <w:r w:rsidRPr="00BB3394">
        <w:rPr>
          <w:rFonts w:ascii="Times New Roman" w:eastAsia="Times New Roman" w:hAnsi="Times New Roman" w:cs="Times New Roman"/>
          <w:sz w:val="24"/>
          <w:szCs w:val="24"/>
          <w:lang w:val="en-GB"/>
        </w:rPr>
        <w:t xml:space="preserve"> per hour). For </w:t>
      </w:r>
      <w:r w:rsidRPr="00BB3394">
        <w:rPr>
          <w:rFonts w:ascii="Times New Roman" w:hAnsi="Times New Roman" w:cs="Times New Roman"/>
          <w:sz w:val="24"/>
          <w:szCs w:val="24"/>
          <w:lang w:val="en-GB"/>
        </w:rPr>
        <w:t>the next years</w:t>
      </w:r>
      <w:r w:rsidRPr="00BB3394">
        <w:rPr>
          <w:rFonts w:ascii="Times New Roman" w:eastAsia="Times New Roman" w:hAnsi="Times New Roman" w:cs="Times New Roman"/>
          <w:sz w:val="24"/>
          <w:szCs w:val="24"/>
          <w:lang w:val="en-GB"/>
        </w:rPr>
        <w:t xml:space="preserve">, the increase in the </w:t>
      </w:r>
      <w:r w:rsidRPr="00BB3394">
        <w:rPr>
          <w:rFonts w:ascii="Times New Roman" w:hAnsi="Times New Roman" w:cs="Times New Roman"/>
          <w:sz w:val="24"/>
          <w:szCs w:val="24"/>
          <w:lang w:val="en-GB"/>
        </w:rPr>
        <w:t>manufacturing</w:t>
      </w:r>
      <w:r w:rsidRPr="00BB3394">
        <w:rPr>
          <w:rFonts w:ascii="Times New Roman" w:eastAsia="Times New Roman" w:hAnsi="Times New Roman" w:cs="Times New Roman"/>
          <w:sz w:val="24"/>
          <w:szCs w:val="24"/>
          <w:lang w:val="en-GB"/>
        </w:rPr>
        <w:t xml:space="preserve"> wage is assumed to be similar to that of the Spanish economy as a whole. While this decision may lead to an overestimation of the manufacturing wages in the Canary Islands in 1920 and 1930, its effect on the final average wage is actually small. If we assume an evolution in the manufacturing wages of the Canary Islands similar to that of the less dynamic province, results are virtually the same.</w:t>
      </w:r>
    </w:p>
    <w:p w:rsidR="003907B8" w:rsidRPr="00BB3394" w:rsidRDefault="003907B8" w:rsidP="003907B8">
      <w:pPr>
        <w:spacing w:after="120" w:line="480" w:lineRule="auto"/>
        <w:outlineLvl w:val="0"/>
        <w:rPr>
          <w:rFonts w:ascii="Times New Roman" w:hAnsi="Times New Roman" w:cs="Times New Roman"/>
          <w:b/>
          <w:sz w:val="24"/>
          <w:szCs w:val="24"/>
          <w:lang w:val="en-GB"/>
        </w:rPr>
      </w:pPr>
    </w:p>
    <w:p w:rsidR="003907B8" w:rsidRPr="00BB3394" w:rsidRDefault="003907B8" w:rsidP="003907B8">
      <w:pPr>
        <w:spacing w:after="120" w:line="480" w:lineRule="auto"/>
        <w:outlineLvl w:val="0"/>
        <w:rPr>
          <w:rFonts w:ascii="Times New Roman" w:hAnsi="Times New Roman" w:cs="Times New Roman"/>
          <w:b/>
          <w:sz w:val="24"/>
          <w:szCs w:val="24"/>
          <w:lang w:val="en-GB"/>
        </w:rPr>
      </w:pPr>
      <w:r w:rsidRPr="00BB3394">
        <w:rPr>
          <w:rFonts w:ascii="Times New Roman" w:hAnsi="Times New Roman" w:cs="Times New Roman"/>
          <w:b/>
          <w:sz w:val="24"/>
          <w:szCs w:val="24"/>
          <w:lang w:val="en-GB"/>
        </w:rPr>
        <w:t>Employment and hours worked</w:t>
      </w:r>
    </w:p>
    <w:p w:rsidR="003907B8" w:rsidRDefault="003907B8" w:rsidP="003907B8">
      <w:pPr>
        <w:spacing w:after="120" w:line="480" w:lineRule="auto"/>
        <w:rPr>
          <w:rFonts w:ascii="Times New Roman" w:hAnsi="Times New Roman" w:cs="Times New Roman"/>
          <w:sz w:val="24"/>
          <w:szCs w:val="24"/>
          <w:lang w:val="en-GB"/>
        </w:rPr>
      </w:pPr>
      <w:r w:rsidRPr="00BB3394">
        <w:rPr>
          <w:rFonts w:ascii="Times New Roman" w:hAnsi="Times New Roman" w:cs="Times New Roman"/>
          <w:i/>
          <w:sz w:val="24"/>
          <w:szCs w:val="24"/>
          <w:lang w:val="en-GB"/>
        </w:rPr>
        <w:lastRenderedPageBreak/>
        <w:t>Total male active population by province</w:t>
      </w:r>
      <w:r w:rsidRPr="00BB3394">
        <w:rPr>
          <w:rFonts w:ascii="Times New Roman" w:hAnsi="Times New Roman" w:cs="Times New Roman"/>
          <w:sz w:val="24"/>
          <w:szCs w:val="24"/>
          <w:lang w:val="en-GB"/>
        </w:rPr>
        <w:t xml:space="preserve"> has been compiled from the respective Censuses of Population (1860, 1900, 1910, 1920 and 1930). Due to the lack of consistency regarding the registration of female agrarian population in the period analysed (</w:t>
      </w:r>
      <w:proofErr w:type="spellStart"/>
      <w:r w:rsidRPr="00BB3394">
        <w:rPr>
          <w:rFonts w:ascii="Times New Roman" w:hAnsi="Times New Roman" w:cs="Times New Roman"/>
          <w:sz w:val="24"/>
          <w:szCs w:val="24"/>
          <w:lang w:val="en-GB"/>
        </w:rPr>
        <w:t>Erdozáin</w:t>
      </w:r>
      <w:proofErr w:type="spellEnd"/>
      <w:r w:rsidRPr="00BB3394">
        <w:rPr>
          <w:rFonts w:ascii="Times New Roman" w:hAnsi="Times New Roman" w:cs="Times New Roman"/>
          <w:sz w:val="24"/>
          <w:szCs w:val="24"/>
          <w:lang w:val="en-GB"/>
        </w:rPr>
        <w:t xml:space="preserve"> and </w:t>
      </w:r>
      <w:proofErr w:type="spellStart"/>
      <w:r w:rsidRPr="00BB3394">
        <w:rPr>
          <w:rFonts w:ascii="Times New Roman" w:hAnsi="Times New Roman" w:cs="Times New Roman"/>
          <w:sz w:val="24"/>
          <w:szCs w:val="24"/>
          <w:lang w:val="en-GB"/>
        </w:rPr>
        <w:t>Mikelarena</w:t>
      </w:r>
      <w:proofErr w:type="spellEnd"/>
      <w:r w:rsidRPr="00BB3394">
        <w:rPr>
          <w:rFonts w:ascii="Times New Roman" w:hAnsi="Times New Roman" w:cs="Times New Roman"/>
          <w:sz w:val="24"/>
          <w:szCs w:val="24"/>
          <w:lang w:val="en-GB"/>
        </w:rPr>
        <w:t xml:space="preserve">, 1999; </w:t>
      </w:r>
      <w:proofErr w:type="spellStart"/>
      <w:r w:rsidRPr="00BB3394">
        <w:rPr>
          <w:rFonts w:ascii="Times New Roman" w:hAnsi="Times New Roman" w:cs="Times New Roman"/>
          <w:sz w:val="24"/>
          <w:szCs w:val="24"/>
          <w:lang w:val="en-GB"/>
        </w:rPr>
        <w:t>Nicolau</w:t>
      </w:r>
      <w:proofErr w:type="spellEnd"/>
      <w:r w:rsidRPr="00BB3394">
        <w:rPr>
          <w:rFonts w:ascii="Times New Roman" w:hAnsi="Times New Roman" w:cs="Times New Roman"/>
          <w:sz w:val="24"/>
          <w:szCs w:val="24"/>
          <w:lang w:val="en-GB"/>
        </w:rPr>
        <w:t xml:space="preserve">, 2005), we have only considered the male agrarian population in the calculation of the total active population, a usual procedure both in the Spanish as well as the international historical literature (Van </w:t>
      </w:r>
      <w:proofErr w:type="spellStart"/>
      <w:r w:rsidRPr="00BB3394">
        <w:rPr>
          <w:rFonts w:ascii="Times New Roman" w:hAnsi="Times New Roman" w:cs="Times New Roman"/>
          <w:sz w:val="24"/>
          <w:szCs w:val="24"/>
          <w:lang w:val="en-GB"/>
        </w:rPr>
        <w:t>Zanden</w:t>
      </w:r>
      <w:proofErr w:type="spellEnd"/>
      <w:r w:rsidRPr="00BB3394">
        <w:rPr>
          <w:rFonts w:ascii="Times New Roman" w:hAnsi="Times New Roman" w:cs="Times New Roman"/>
          <w:sz w:val="24"/>
          <w:szCs w:val="24"/>
          <w:lang w:val="en-GB"/>
        </w:rPr>
        <w:t xml:space="preserve"> 1991; O’Brien and </w:t>
      </w:r>
      <w:proofErr w:type="spellStart"/>
      <w:r w:rsidRPr="00BB3394">
        <w:rPr>
          <w:rFonts w:ascii="Times New Roman" w:hAnsi="Times New Roman" w:cs="Times New Roman"/>
          <w:sz w:val="24"/>
          <w:szCs w:val="24"/>
          <w:lang w:val="en-GB"/>
        </w:rPr>
        <w:t>Prados</w:t>
      </w:r>
      <w:proofErr w:type="spellEnd"/>
      <w:r w:rsidRPr="00BB3394">
        <w:rPr>
          <w:rFonts w:ascii="Times New Roman" w:hAnsi="Times New Roman" w:cs="Times New Roman"/>
          <w:sz w:val="24"/>
          <w:szCs w:val="24"/>
          <w:lang w:val="en-GB"/>
        </w:rPr>
        <w:t xml:space="preserve"> de la </w:t>
      </w:r>
      <w:proofErr w:type="spellStart"/>
      <w:r w:rsidRPr="00BB3394">
        <w:rPr>
          <w:rFonts w:ascii="Times New Roman" w:hAnsi="Times New Roman" w:cs="Times New Roman"/>
          <w:sz w:val="24"/>
          <w:szCs w:val="24"/>
          <w:lang w:val="en-GB"/>
        </w:rPr>
        <w:t>Escosura</w:t>
      </w:r>
      <w:proofErr w:type="spellEnd"/>
      <w:r w:rsidRPr="00BB3394">
        <w:rPr>
          <w:rFonts w:ascii="Times New Roman" w:hAnsi="Times New Roman" w:cs="Times New Roman"/>
          <w:sz w:val="24"/>
          <w:szCs w:val="24"/>
          <w:lang w:val="en-GB"/>
        </w:rPr>
        <w:t xml:space="preserve"> 1992; </w:t>
      </w:r>
      <w:proofErr w:type="spellStart"/>
      <w:r w:rsidRPr="00BB3394">
        <w:rPr>
          <w:rFonts w:ascii="Times New Roman" w:hAnsi="Times New Roman" w:cs="Times New Roman"/>
          <w:sz w:val="24"/>
          <w:szCs w:val="24"/>
          <w:lang w:val="en-GB"/>
        </w:rPr>
        <w:t>Prados</w:t>
      </w:r>
      <w:proofErr w:type="spellEnd"/>
      <w:r w:rsidRPr="00BB3394">
        <w:rPr>
          <w:rFonts w:ascii="Times New Roman" w:hAnsi="Times New Roman" w:cs="Times New Roman"/>
          <w:sz w:val="24"/>
          <w:szCs w:val="24"/>
          <w:lang w:val="en-GB"/>
        </w:rPr>
        <w:t xml:space="preserve"> de la </w:t>
      </w:r>
      <w:proofErr w:type="spellStart"/>
      <w:r w:rsidRPr="00BB3394">
        <w:rPr>
          <w:rFonts w:ascii="Times New Roman" w:hAnsi="Times New Roman" w:cs="Times New Roman"/>
          <w:sz w:val="24"/>
          <w:szCs w:val="24"/>
          <w:lang w:val="en-GB"/>
        </w:rPr>
        <w:t>Escosura</w:t>
      </w:r>
      <w:proofErr w:type="spellEnd"/>
      <w:r w:rsidRPr="00BB3394">
        <w:rPr>
          <w:rFonts w:ascii="Times New Roman" w:hAnsi="Times New Roman" w:cs="Times New Roman"/>
          <w:sz w:val="24"/>
          <w:szCs w:val="24"/>
          <w:lang w:val="en-GB"/>
        </w:rPr>
        <w:t xml:space="preserve"> 2008). However, the first Census of Population in this study does not disaggregate agrarian population between male and female actives. The male agrarian workers in 1860 are thus obtained by applying the percentage of the total male agrarian population over total active male population in each province in the closest Census, that of 1877, offered by </w:t>
      </w:r>
      <w:proofErr w:type="spellStart"/>
      <w:r w:rsidRPr="00BB3394">
        <w:rPr>
          <w:rFonts w:ascii="Times New Roman" w:hAnsi="Times New Roman" w:cs="Times New Roman"/>
          <w:sz w:val="24"/>
          <w:szCs w:val="24"/>
          <w:lang w:val="en-GB"/>
        </w:rPr>
        <w:t>Erdozáin</w:t>
      </w:r>
      <w:proofErr w:type="spellEnd"/>
      <w:r w:rsidRPr="00BB3394">
        <w:rPr>
          <w:rFonts w:ascii="Times New Roman" w:hAnsi="Times New Roman" w:cs="Times New Roman"/>
          <w:sz w:val="24"/>
          <w:szCs w:val="24"/>
          <w:lang w:val="en-GB"/>
        </w:rPr>
        <w:t xml:space="preserve"> and </w:t>
      </w:r>
      <w:proofErr w:type="spellStart"/>
      <w:r w:rsidRPr="00BB3394">
        <w:rPr>
          <w:rFonts w:ascii="Times New Roman" w:hAnsi="Times New Roman" w:cs="Times New Roman"/>
          <w:sz w:val="24"/>
          <w:szCs w:val="24"/>
          <w:lang w:val="en-GB"/>
        </w:rPr>
        <w:t>Mikelarena</w:t>
      </w:r>
      <w:proofErr w:type="spellEnd"/>
      <w:r w:rsidRPr="00BB3394">
        <w:rPr>
          <w:rFonts w:ascii="Times New Roman" w:hAnsi="Times New Roman" w:cs="Times New Roman"/>
          <w:sz w:val="24"/>
          <w:szCs w:val="24"/>
          <w:lang w:val="en-GB"/>
        </w:rPr>
        <w:t xml:space="preserve"> (1999). As a robustness test four our results, we have also computed total agrarian population including both males and females, and, considering only agrarian males, adding a fixed proportion of one third for female agrarian workforce (</w:t>
      </w:r>
      <w:proofErr w:type="spellStart"/>
      <w:r w:rsidRPr="00BB3394">
        <w:rPr>
          <w:rFonts w:ascii="Times New Roman" w:hAnsi="Times New Roman" w:cs="Times New Roman"/>
          <w:sz w:val="24"/>
          <w:szCs w:val="24"/>
          <w:lang w:val="en-GB"/>
        </w:rPr>
        <w:t>Prados</w:t>
      </w:r>
      <w:proofErr w:type="spellEnd"/>
      <w:r w:rsidRPr="00BB3394">
        <w:rPr>
          <w:rFonts w:ascii="Times New Roman" w:hAnsi="Times New Roman" w:cs="Times New Roman"/>
          <w:sz w:val="24"/>
          <w:szCs w:val="24"/>
          <w:lang w:val="en-GB"/>
        </w:rPr>
        <w:t xml:space="preserve"> de la </w:t>
      </w:r>
      <w:proofErr w:type="spellStart"/>
      <w:r w:rsidRPr="00BB3394">
        <w:rPr>
          <w:rFonts w:ascii="Times New Roman" w:hAnsi="Times New Roman" w:cs="Times New Roman"/>
          <w:sz w:val="24"/>
          <w:szCs w:val="24"/>
          <w:lang w:val="en-GB"/>
        </w:rPr>
        <w:t>Escosura</w:t>
      </w:r>
      <w:proofErr w:type="spellEnd"/>
      <w:r w:rsidRPr="00BB3394">
        <w:rPr>
          <w:rFonts w:ascii="Times New Roman" w:hAnsi="Times New Roman" w:cs="Times New Roman"/>
          <w:sz w:val="24"/>
          <w:szCs w:val="24"/>
          <w:lang w:val="en-GB"/>
        </w:rPr>
        <w:t xml:space="preserve"> 2008, 322; </w:t>
      </w:r>
      <w:proofErr w:type="spellStart"/>
      <w:r w:rsidRPr="00BB3394">
        <w:rPr>
          <w:rFonts w:ascii="Times New Roman" w:hAnsi="Times New Roman" w:cs="Times New Roman"/>
          <w:sz w:val="24"/>
          <w:szCs w:val="24"/>
          <w:lang w:val="en-GB"/>
        </w:rPr>
        <w:t>Prados</w:t>
      </w:r>
      <w:proofErr w:type="spellEnd"/>
      <w:r w:rsidRPr="00BB3394">
        <w:rPr>
          <w:rFonts w:ascii="Times New Roman" w:hAnsi="Times New Roman" w:cs="Times New Roman"/>
          <w:sz w:val="24"/>
          <w:szCs w:val="24"/>
          <w:lang w:val="en-GB"/>
        </w:rPr>
        <w:t xml:space="preserve"> de la </w:t>
      </w:r>
      <w:proofErr w:type="spellStart"/>
      <w:r w:rsidRPr="00BB3394">
        <w:rPr>
          <w:rFonts w:ascii="Times New Roman" w:hAnsi="Times New Roman" w:cs="Times New Roman"/>
          <w:sz w:val="24"/>
          <w:szCs w:val="24"/>
          <w:lang w:val="en-GB"/>
        </w:rPr>
        <w:t>Escosura</w:t>
      </w:r>
      <w:proofErr w:type="spellEnd"/>
      <w:r w:rsidRPr="00BB3394">
        <w:rPr>
          <w:rFonts w:ascii="Times New Roman" w:hAnsi="Times New Roman" w:cs="Times New Roman"/>
          <w:sz w:val="24"/>
          <w:szCs w:val="24"/>
          <w:lang w:val="en-GB"/>
        </w:rPr>
        <w:t xml:space="preserve"> and Rosés 2009, 1074)</w:t>
      </w:r>
      <w:r w:rsidRPr="00BB3394">
        <w:rPr>
          <w:rStyle w:val="FootnoteReference"/>
          <w:rFonts w:ascii="Times New Roman" w:hAnsi="Times New Roman" w:cs="Times New Roman"/>
          <w:sz w:val="24"/>
          <w:szCs w:val="24"/>
          <w:lang w:val="en-GB"/>
        </w:rPr>
        <w:footnoteReference w:id="4"/>
      </w:r>
      <w:r w:rsidRPr="00BB3394">
        <w:rPr>
          <w:rFonts w:ascii="Times New Roman" w:hAnsi="Times New Roman" w:cs="Times New Roman"/>
          <w:sz w:val="24"/>
          <w:szCs w:val="24"/>
          <w:lang w:val="en-GB"/>
        </w:rPr>
        <w:t>.</w:t>
      </w:r>
    </w:p>
    <w:p w:rsidR="003907B8" w:rsidRPr="00BB3394" w:rsidRDefault="003907B8" w:rsidP="003907B8">
      <w:pPr>
        <w:spacing w:after="120" w:line="480" w:lineRule="auto"/>
        <w:rPr>
          <w:rFonts w:ascii="Times New Roman" w:hAnsi="Times New Roman" w:cs="Times New Roman"/>
          <w:sz w:val="24"/>
          <w:szCs w:val="24"/>
          <w:lang w:val="en-GB"/>
        </w:rPr>
      </w:pPr>
    </w:p>
    <w:p w:rsidR="003907B8" w:rsidRPr="00BB3394" w:rsidRDefault="003907B8" w:rsidP="003907B8">
      <w:pPr>
        <w:spacing w:after="120" w:line="480" w:lineRule="auto"/>
        <w:rPr>
          <w:rFonts w:ascii="Times New Roman" w:hAnsi="Times New Roman" w:cs="Times New Roman"/>
          <w:sz w:val="24"/>
          <w:szCs w:val="24"/>
          <w:lang w:val="en-GB"/>
        </w:rPr>
      </w:pPr>
      <w:r w:rsidRPr="00BB3394">
        <w:rPr>
          <w:rFonts w:ascii="Times New Roman" w:hAnsi="Times New Roman" w:cs="Times New Roman"/>
          <w:sz w:val="24"/>
          <w:szCs w:val="24"/>
          <w:lang w:val="en-GB"/>
        </w:rPr>
        <w:t xml:space="preserve">For the </w:t>
      </w:r>
      <w:r w:rsidRPr="00BB3394">
        <w:rPr>
          <w:rFonts w:ascii="Times New Roman" w:hAnsi="Times New Roman" w:cs="Times New Roman"/>
          <w:i/>
          <w:sz w:val="24"/>
          <w:szCs w:val="24"/>
          <w:lang w:val="en-GB"/>
        </w:rPr>
        <w:t>number of days</w:t>
      </w:r>
      <w:r w:rsidRPr="00BB3394">
        <w:rPr>
          <w:rFonts w:ascii="Times New Roman" w:hAnsi="Times New Roman" w:cs="Times New Roman"/>
          <w:sz w:val="24"/>
          <w:szCs w:val="24"/>
          <w:lang w:val="en-GB"/>
        </w:rPr>
        <w:t xml:space="preserve"> worked throughout the year, we consider, following </w:t>
      </w:r>
      <w:proofErr w:type="spellStart"/>
      <w:r w:rsidRPr="00BB3394">
        <w:rPr>
          <w:rFonts w:ascii="Times New Roman" w:hAnsi="Times New Roman" w:cs="Times New Roman"/>
          <w:sz w:val="24"/>
          <w:szCs w:val="24"/>
          <w:lang w:val="en-GB"/>
        </w:rPr>
        <w:t>Prados</w:t>
      </w:r>
      <w:proofErr w:type="spellEnd"/>
      <w:r w:rsidRPr="00BB3394">
        <w:rPr>
          <w:rFonts w:ascii="Times New Roman" w:hAnsi="Times New Roman" w:cs="Times New Roman"/>
          <w:sz w:val="24"/>
          <w:szCs w:val="24"/>
          <w:lang w:val="en-GB"/>
        </w:rPr>
        <w:t xml:space="preserve"> de la </w:t>
      </w:r>
      <w:proofErr w:type="spellStart"/>
      <w:r w:rsidRPr="00BB3394">
        <w:rPr>
          <w:rFonts w:ascii="Times New Roman" w:hAnsi="Times New Roman" w:cs="Times New Roman"/>
          <w:sz w:val="24"/>
          <w:szCs w:val="24"/>
          <w:lang w:val="en-GB"/>
        </w:rPr>
        <w:t>Escosura</w:t>
      </w:r>
      <w:proofErr w:type="spellEnd"/>
      <w:r w:rsidRPr="00BB3394">
        <w:rPr>
          <w:rFonts w:ascii="Times New Roman" w:hAnsi="Times New Roman" w:cs="Times New Roman"/>
          <w:sz w:val="24"/>
          <w:szCs w:val="24"/>
          <w:lang w:val="en-GB"/>
        </w:rPr>
        <w:t xml:space="preserve"> (2008, 322), that each full-time worker was employed 270 days per annum. To obtain the daily</w:t>
      </w:r>
      <w:r w:rsidRPr="00BB3394">
        <w:rPr>
          <w:rFonts w:ascii="Times New Roman" w:hAnsi="Times New Roman" w:cs="Times New Roman"/>
          <w:i/>
          <w:sz w:val="24"/>
          <w:szCs w:val="24"/>
          <w:lang w:val="en-GB"/>
        </w:rPr>
        <w:t xml:space="preserve"> hours worked</w:t>
      </w:r>
      <w:r w:rsidRPr="00BB3394">
        <w:rPr>
          <w:rFonts w:ascii="Times New Roman" w:hAnsi="Times New Roman" w:cs="Times New Roman"/>
          <w:sz w:val="24"/>
          <w:szCs w:val="24"/>
          <w:lang w:val="en-GB"/>
        </w:rPr>
        <w:t xml:space="preserve">, we take a value of ten hours per day for the manufacturing sector. In the case of the agrarian sector, the same amount of hours is considered.  As </w:t>
      </w:r>
      <w:proofErr w:type="spellStart"/>
      <w:r w:rsidRPr="00BB3394">
        <w:rPr>
          <w:rFonts w:ascii="Times New Roman" w:hAnsi="Times New Roman" w:cs="Times New Roman"/>
          <w:sz w:val="24"/>
          <w:szCs w:val="24"/>
          <w:lang w:val="en-GB"/>
        </w:rPr>
        <w:t>Prados</w:t>
      </w:r>
      <w:proofErr w:type="spellEnd"/>
      <w:r w:rsidRPr="00BB3394">
        <w:rPr>
          <w:rFonts w:ascii="Times New Roman" w:hAnsi="Times New Roman" w:cs="Times New Roman"/>
          <w:sz w:val="24"/>
          <w:szCs w:val="24"/>
          <w:lang w:val="en-GB"/>
        </w:rPr>
        <w:t xml:space="preserve"> de la </w:t>
      </w:r>
      <w:proofErr w:type="spellStart"/>
      <w:r w:rsidRPr="00BB3394">
        <w:rPr>
          <w:rFonts w:ascii="Times New Roman" w:hAnsi="Times New Roman" w:cs="Times New Roman"/>
          <w:sz w:val="24"/>
          <w:szCs w:val="24"/>
          <w:lang w:val="en-GB"/>
        </w:rPr>
        <w:t>Escosura</w:t>
      </w:r>
      <w:proofErr w:type="spellEnd"/>
      <w:r w:rsidRPr="00BB3394">
        <w:rPr>
          <w:rFonts w:ascii="Times New Roman" w:hAnsi="Times New Roman" w:cs="Times New Roman"/>
          <w:sz w:val="24"/>
          <w:szCs w:val="24"/>
          <w:lang w:val="en-GB"/>
        </w:rPr>
        <w:t xml:space="preserve"> (2008, 322) states, “[f]or mid-nineteenth-century agriculture, Caballero (1864) pointed to 10 hours per day while a similar average figure, 9.7 hours, was found in the mid-1950s”.</w:t>
      </w:r>
    </w:p>
    <w:p w:rsidR="003907B8" w:rsidRPr="00BB3394" w:rsidRDefault="003907B8" w:rsidP="003907B8">
      <w:pPr>
        <w:spacing w:after="120" w:line="480" w:lineRule="auto"/>
        <w:outlineLvl w:val="0"/>
        <w:rPr>
          <w:rFonts w:ascii="Times New Roman" w:hAnsi="Times New Roman" w:cs="Times New Roman"/>
          <w:b/>
          <w:sz w:val="24"/>
          <w:szCs w:val="24"/>
          <w:lang w:val="en-GB"/>
        </w:rPr>
      </w:pPr>
      <w:r w:rsidRPr="00BB3394">
        <w:rPr>
          <w:rFonts w:ascii="Times New Roman" w:hAnsi="Times New Roman" w:cs="Times New Roman"/>
          <w:b/>
          <w:sz w:val="24"/>
          <w:szCs w:val="24"/>
          <w:lang w:val="en-GB"/>
        </w:rPr>
        <w:lastRenderedPageBreak/>
        <w:t>Regression variables</w:t>
      </w:r>
    </w:p>
    <w:p w:rsidR="003907B8" w:rsidRPr="00BB3394" w:rsidRDefault="003907B8" w:rsidP="003907B8">
      <w:pPr>
        <w:spacing w:line="480" w:lineRule="auto"/>
        <w:rPr>
          <w:rFonts w:ascii="Times New Roman" w:hAnsi="Times New Roman" w:cs="Times New Roman"/>
          <w:sz w:val="24"/>
          <w:szCs w:val="24"/>
          <w:lang w:val="en-GB"/>
        </w:rPr>
      </w:pPr>
      <w:r w:rsidRPr="00BB3394">
        <w:rPr>
          <w:rFonts w:ascii="Times New Roman" w:hAnsi="Times New Roman" w:cs="Times New Roman"/>
          <w:i/>
          <w:sz w:val="24"/>
          <w:szCs w:val="24"/>
          <w:lang w:val="en-GB"/>
        </w:rPr>
        <w:t>Real GDP</w:t>
      </w:r>
      <w:r w:rsidRPr="00BB3394">
        <w:rPr>
          <w:rFonts w:ascii="Times New Roman" w:hAnsi="Times New Roman" w:cs="Times New Roman"/>
          <w:sz w:val="24"/>
          <w:szCs w:val="24"/>
          <w:lang w:val="en-GB"/>
        </w:rPr>
        <w:t xml:space="preserve"> has been obtained from the five-sector disaggregation of provincial GDP and the deflators at the national level for those sectors provided in </w:t>
      </w:r>
      <w:proofErr w:type="spellStart"/>
      <w:r w:rsidRPr="00BB3394">
        <w:rPr>
          <w:rFonts w:ascii="Times New Roman" w:hAnsi="Times New Roman" w:cs="Times New Roman"/>
          <w:sz w:val="24"/>
          <w:szCs w:val="24"/>
          <w:lang w:val="en-GB"/>
        </w:rPr>
        <w:t>Prados</w:t>
      </w:r>
      <w:proofErr w:type="spellEnd"/>
      <w:r w:rsidRPr="00BB3394">
        <w:rPr>
          <w:rFonts w:ascii="Times New Roman" w:hAnsi="Times New Roman" w:cs="Times New Roman"/>
          <w:sz w:val="24"/>
          <w:szCs w:val="24"/>
          <w:lang w:val="en-GB"/>
        </w:rPr>
        <w:t xml:space="preserve"> de la </w:t>
      </w:r>
      <w:proofErr w:type="spellStart"/>
      <w:r w:rsidRPr="00BB3394">
        <w:rPr>
          <w:rFonts w:ascii="Times New Roman" w:hAnsi="Times New Roman" w:cs="Times New Roman"/>
          <w:sz w:val="24"/>
          <w:szCs w:val="24"/>
          <w:lang w:val="en-GB"/>
        </w:rPr>
        <w:t>Escosura</w:t>
      </w:r>
      <w:proofErr w:type="spellEnd"/>
      <w:r w:rsidRPr="00BB3394">
        <w:rPr>
          <w:rFonts w:ascii="Times New Roman" w:hAnsi="Times New Roman" w:cs="Times New Roman"/>
          <w:sz w:val="24"/>
          <w:szCs w:val="24"/>
          <w:lang w:val="en-GB"/>
        </w:rPr>
        <w:t xml:space="preserve"> (2003). </w:t>
      </w:r>
      <w:proofErr w:type="gramStart"/>
      <w:r w:rsidRPr="00BB3394">
        <w:rPr>
          <w:rFonts w:ascii="Times New Roman" w:hAnsi="Times New Roman" w:cs="Times New Roman"/>
          <w:sz w:val="24"/>
          <w:szCs w:val="24"/>
          <w:lang w:val="en-GB"/>
        </w:rPr>
        <w:t>Urbanisation rates (</w:t>
      </w:r>
      <w:r w:rsidRPr="00BB3394">
        <w:rPr>
          <w:rFonts w:ascii="Times New Roman" w:hAnsi="Times New Roman" w:cs="Times New Roman"/>
          <w:i/>
          <w:sz w:val="24"/>
          <w:szCs w:val="24"/>
          <w:lang w:val="en-GB"/>
        </w:rPr>
        <w:t>urbanisation</w:t>
      </w:r>
      <w:r w:rsidRPr="00BB3394">
        <w:rPr>
          <w:rFonts w:ascii="Times New Roman" w:hAnsi="Times New Roman" w:cs="Times New Roman"/>
          <w:sz w:val="24"/>
          <w:szCs w:val="24"/>
          <w:lang w:val="en-GB"/>
        </w:rPr>
        <w:t>), measured as the percentage of population living in municipalities bigger than 5.000 inhabitants, are</w:t>
      </w:r>
      <w:proofErr w:type="gramEnd"/>
      <w:r w:rsidRPr="00BB3394">
        <w:rPr>
          <w:rFonts w:ascii="Times New Roman" w:hAnsi="Times New Roman" w:cs="Times New Roman"/>
          <w:sz w:val="24"/>
          <w:szCs w:val="24"/>
          <w:lang w:val="en-GB"/>
        </w:rPr>
        <w:t xml:space="preserve"> taken from </w:t>
      </w:r>
      <w:proofErr w:type="spellStart"/>
      <w:r w:rsidRPr="00BB3394">
        <w:rPr>
          <w:rFonts w:ascii="Times New Roman" w:hAnsi="Times New Roman" w:cs="Times New Roman"/>
          <w:sz w:val="24"/>
          <w:szCs w:val="24"/>
          <w:lang w:val="en-GB"/>
        </w:rPr>
        <w:t>Reher</w:t>
      </w:r>
      <w:proofErr w:type="spellEnd"/>
      <w:r w:rsidRPr="00BB3394">
        <w:rPr>
          <w:rFonts w:ascii="Times New Roman" w:hAnsi="Times New Roman" w:cs="Times New Roman"/>
          <w:sz w:val="24"/>
          <w:szCs w:val="24"/>
          <w:lang w:val="en-GB"/>
        </w:rPr>
        <w:t xml:space="preserve"> (1994) and </w:t>
      </w:r>
      <w:proofErr w:type="spellStart"/>
      <w:r w:rsidRPr="00BB3394">
        <w:rPr>
          <w:rFonts w:ascii="Times New Roman" w:hAnsi="Times New Roman" w:cs="Times New Roman"/>
          <w:sz w:val="24"/>
          <w:szCs w:val="24"/>
          <w:lang w:val="en-GB"/>
        </w:rPr>
        <w:t>Tafunell</w:t>
      </w:r>
      <w:proofErr w:type="spellEnd"/>
      <w:r w:rsidRPr="00BB3394">
        <w:rPr>
          <w:rFonts w:ascii="Times New Roman" w:hAnsi="Times New Roman" w:cs="Times New Roman"/>
          <w:sz w:val="24"/>
          <w:szCs w:val="24"/>
          <w:lang w:val="en-GB"/>
        </w:rPr>
        <w:t xml:space="preserve"> (2005). The variable </w:t>
      </w:r>
      <w:r w:rsidRPr="00BB3394">
        <w:rPr>
          <w:rFonts w:ascii="Times New Roman" w:hAnsi="Times New Roman" w:cs="Times New Roman"/>
          <w:i/>
          <w:sz w:val="24"/>
          <w:szCs w:val="24"/>
          <w:lang w:val="en-GB"/>
        </w:rPr>
        <w:t>industrialisation</w:t>
      </w:r>
      <w:r w:rsidRPr="00BB3394">
        <w:rPr>
          <w:rFonts w:ascii="Times New Roman" w:hAnsi="Times New Roman" w:cs="Times New Roman"/>
          <w:sz w:val="24"/>
          <w:szCs w:val="24"/>
          <w:lang w:val="en-GB"/>
        </w:rPr>
        <w:t xml:space="preserve"> is computed as the ratio between the industry GVA and the nominal GDP. In addition, the underlying geographical data for the calculation of the </w:t>
      </w:r>
      <w:r w:rsidRPr="00BB3394">
        <w:rPr>
          <w:rFonts w:ascii="Times New Roman" w:hAnsi="Times New Roman" w:cs="Times New Roman"/>
          <w:i/>
          <w:sz w:val="24"/>
          <w:szCs w:val="24"/>
          <w:lang w:val="en-GB"/>
        </w:rPr>
        <w:t>population density</w:t>
      </w:r>
      <w:r w:rsidRPr="00BB3394">
        <w:rPr>
          <w:rFonts w:ascii="Times New Roman" w:hAnsi="Times New Roman" w:cs="Times New Roman"/>
          <w:sz w:val="24"/>
          <w:szCs w:val="24"/>
          <w:lang w:val="en-GB"/>
        </w:rPr>
        <w:t xml:space="preserve"> (population by square km) in each province are compiled from the Censuses of Population and INE.</w:t>
      </w:r>
      <w:r w:rsidRPr="00BB3394">
        <w:rPr>
          <w:rFonts w:ascii="Times New Roman" w:hAnsi="Times New Roman" w:cs="Times New Roman"/>
          <w:i/>
          <w:sz w:val="24"/>
          <w:szCs w:val="24"/>
          <w:lang w:val="en-GB"/>
        </w:rPr>
        <w:t xml:space="preserve"> Fertility rates</w:t>
      </w:r>
      <w:r w:rsidRPr="00BB3394">
        <w:rPr>
          <w:rFonts w:ascii="Times New Roman" w:hAnsi="Times New Roman" w:cs="Times New Roman"/>
          <w:sz w:val="24"/>
          <w:szCs w:val="24"/>
          <w:lang w:val="en-GB"/>
        </w:rPr>
        <w:t xml:space="preserve"> come from </w:t>
      </w:r>
      <w:proofErr w:type="spellStart"/>
      <w:r w:rsidRPr="00BB3394">
        <w:rPr>
          <w:rFonts w:ascii="Times New Roman" w:hAnsi="Times New Roman" w:cs="Times New Roman"/>
          <w:sz w:val="24"/>
          <w:szCs w:val="24"/>
          <w:lang w:val="en-GB"/>
        </w:rPr>
        <w:t>Livi-Bacci</w:t>
      </w:r>
      <w:proofErr w:type="spellEnd"/>
      <w:r w:rsidRPr="00BB3394">
        <w:rPr>
          <w:rFonts w:ascii="Times New Roman" w:hAnsi="Times New Roman" w:cs="Times New Roman"/>
          <w:sz w:val="24"/>
          <w:szCs w:val="24"/>
          <w:lang w:val="en-GB"/>
        </w:rPr>
        <w:t xml:space="preserve"> (1988). Given the lack of data for 1860, the figures of 1887 are considered instead, thus assuming that fertility rates hardly changed between these two years. The information about </w:t>
      </w:r>
      <w:r w:rsidRPr="00BB3394">
        <w:rPr>
          <w:rFonts w:ascii="Times New Roman" w:hAnsi="Times New Roman" w:cs="Times New Roman"/>
          <w:i/>
          <w:sz w:val="24"/>
          <w:szCs w:val="24"/>
          <w:lang w:val="en-GB"/>
        </w:rPr>
        <w:t>literacy</w:t>
      </w:r>
      <w:r w:rsidRPr="00BB3394">
        <w:rPr>
          <w:rFonts w:ascii="Times New Roman" w:hAnsi="Times New Roman" w:cs="Times New Roman"/>
          <w:sz w:val="24"/>
          <w:szCs w:val="24"/>
          <w:lang w:val="en-GB"/>
        </w:rPr>
        <w:t xml:space="preserve">, calculated as the percentage of the total population over 10 years who was able to read and write, is offered by </w:t>
      </w:r>
      <w:proofErr w:type="spellStart"/>
      <w:r w:rsidRPr="00BB3394">
        <w:rPr>
          <w:rFonts w:ascii="Times New Roman" w:hAnsi="Times New Roman" w:cs="Times New Roman"/>
          <w:sz w:val="24"/>
          <w:szCs w:val="24"/>
          <w:lang w:val="en-GB"/>
        </w:rPr>
        <w:t>Núñez</w:t>
      </w:r>
      <w:proofErr w:type="spellEnd"/>
      <w:r w:rsidRPr="00BB3394">
        <w:rPr>
          <w:rFonts w:ascii="Times New Roman" w:hAnsi="Times New Roman" w:cs="Times New Roman"/>
          <w:sz w:val="24"/>
          <w:szCs w:val="24"/>
          <w:lang w:val="en-GB"/>
        </w:rPr>
        <w:t xml:space="preserve"> (1992). Lastly, the stock of common lands is measured as a fraction over the total provincial area using data from GEHR (1994), </w:t>
      </w:r>
      <w:proofErr w:type="spellStart"/>
      <w:r w:rsidRPr="00BB3394">
        <w:rPr>
          <w:rFonts w:ascii="Times New Roman" w:hAnsi="Times New Roman" w:cs="Times New Roman"/>
          <w:sz w:val="24"/>
          <w:szCs w:val="24"/>
          <w:lang w:val="en-GB"/>
        </w:rPr>
        <w:t>Artiaga</w:t>
      </w:r>
      <w:proofErr w:type="spellEnd"/>
      <w:r w:rsidRPr="00BB3394">
        <w:rPr>
          <w:rFonts w:ascii="Times New Roman" w:hAnsi="Times New Roman" w:cs="Times New Roman"/>
          <w:sz w:val="24"/>
          <w:szCs w:val="24"/>
          <w:lang w:val="en-GB"/>
        </w:rPr>
        <w:t xml:space="preserve"> and Balboa (1992) and </w:t>
      </w:r>
      <w:proofErr w:type="spellStart"/>
      <w:r w:rsidRPr="00BB3394">
        <w:rPr>
          <w:rFonts w:ascii="Times New Roman" w:hAnsi="Times New Roman" w:cs="Times New Roman"/>
          <w:sz w:val="24"/>
          <w:szCs w:val="24"/>
          <w:lang w:val="en-GB"/>
        </w:rPr>
        <w:t>Gallego</w:t>
      </w:r>
      <w:proofErr w:type="spellEnd"/>
      <w:r w:rsidRPr="00BB3394">
        <w:rPr>
          <w:rFonts w:ascii="Times New Roman" w:hAnsi="Times New Roman" w:cs="Times New Roman"/>
          <w:sz w:val="24"/>
          <w:szCs w:val="24"/>
          <w:lang w:val="en-GB"/>
        </w:rPr>
        <w:t xml:space="preserve"> (2007). Unfortunately, there is no information for the three provinces in the Basque Country. Given that no data exist for 1910 and 1920, linear interpolation has been employed instead. </w:t>
      </w:r>
    </w:p>
    <w:p w:rsidR="003907B8" w:rsidRPr="00BB3394" w:rsidRDefault="003907B8" w:rsidP="003907B8">
      <w:pPr>
        <w:spacing w:line="480" w:lineRule="auto"/>
        <w:rPr>
          <w:rFonts w:ascii="Times New Roman" w:hAnsi="Times New Roman" w:cs="Times New Roman"/>
          <w:sz w:val="24"/>
          <w:szCs w:val="24"/>
          <w:lang w:val="en-GB"/>
        </w:rPr>
      </w:pPr>
    </w:p>
    <w:p w:rsidR="003907B8" w:rsidRPr="00BB3394" w:rsidRDefault="003907B8" w:rsidP="003907B8">
      <w:pPr>
        <w:rPr>
          <w:rFonts w:ascii="Times New Roman" w:hAnsi="Times New Roman" w:cs="Times New Roman"/>
          <w:sz w:val="24"/>
          <w:szCs w:val="24"/>
          <w:lang w:val="en-GB"/>
        </w:rPr>
      </w:pPr>
      <w:r w:rsidRPr="00BB3394">
        <w:rPr>
          <w:rFonts w:ascii="Times New Roman" w:hAnsi="Times New Roman" w:cs="Times New Roman"/>
          <w:sz w:val="24"/>
          <w:szCs w:val="24"/>
          <w:lang w:val="en-GB"/>
        </w:rPr>
        <w:br w:type="page"/>
      </w:r>
    </w:p>
    <w:tbl>
      <w:tblPr>
        <w:tblW w:w="8320" w:type="dxa"/>
        <w:tblCellMar>
          <w:left w:w="70" w:type="dxa"/>
          <w:right w:w="70" w:type="dxa"/>
        </w:tblCellMar>
        <w:tblLook w:val="04A0" w:firstRow="1" w:lastRow="0" w:firstColumn="1" w:lastColumn="0" w:noHBand="0" w:noVBand="1"/>
      </w:tblPr>
      <w:tblGrid>
        <w:gridCol w:w="2534"/>
        <w:gridCol w:w="1062"/>
        <w:gridCol w:w="1062"/>
        <w:gridCol w:w="1062"/>
        <w:gridCol w:w="1300"/>
        <w:gridCol w:w="1300"/>
      </w:tblGrid>
      <w:tr w:rsidR="003907B8" w:rsidRPr="0041793E" w:rsidTr="00545003">
        <w:trPr>
          <w:trHeight w:val="340"/>
        </w:trPr>
        <w:tc>
          <w:tcPr>
            <w:tcW w:w="5720" w:type="dxa"/>
            <w:gridSpan w:val="4"/>
            <w:tcBorders>
              <w:top w:val="nil"/>
              <w:left w:val="nil"/>
              <w:bottom w:val="double" w:sz="6" w:space="0" w:color="auto"/>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val="en-US" w:eastAsia="es-ES_tradnl"/>
              </w:rPr>
            </w:pPr>
            <w:r w:rsidRPr="0041793E">
              <w:rPr>
                <w:rFonts w:ascii="Times New Roman" w:eastAsia="Times New Roman" w:hAnsi="Times New Roman" w:cs="Times New Roman"/>
                <w:color w:val="000000"/>
                <w:sz w:val="20"/>
                <w:szCs w:val="20"/>
                <w:lang w:val="en-US" w:eastAsia="es-ES_tradnl"/>
              </w:rPr>
              <w:lastRenderedPageBreak/>
              <w:t>TABLE A1. Williamson Index (y/w) by province, 1860-1930</w:t>
            </w:r>
          </w:p>
        </w:tc>
        <w:tc>
          <w:tcPr>
            <w:tcW w:w="1300" w:type="dxa"/>
            <w:tcBorders>
              <w:top w:val="nil"/>
              <w:left w:val="nil"/>
              <w:bottom w:val="double" w:sz="6" w:space="0" w:color="auto"/>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val="en-US" w:eastAsia="es-ES_tradnl"/>
              </w:rPr>
            </w:pPr>
            <w:r w:rsidRPr="0041793E">
              <w:rPr>
                <w:rFonts w:ascii="Times New Roman" w:eastAsia="Times New Roman" w:hAnsi="Times New Roman" w:cs="Times New Roman"/>
                <w:color w:val="000000"/>
                <w:sz w:val="20"/>
                <w:szCs w:val="20"/>
                <w:lang w:val="en-US" w:eastAsia="es-ES_tradnl"/>
              </w:rPr>
              <w:t> </w:t>
            </w:r>
          </w:p>
        </w:tc>
        <w:tc>
          <w:tcPr>
            <w:tcW w:w="1300" w:type="dxa"/>
            <w:tcBorders>
              <w:top w:val="nil"/>
              <w:left w:val="nil"/>
              <w:bottom w:val="double" w:sz="6" w:space="0" w:color="auto"/>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val="en-US" w:eastAsia="es-ES_tradnl"/>
              </w:rPr>
            </w:pPr>
            <w:r w:rsidRPr="0041793E">
              <w:rPr>
                <w:rFonts w:ascii="Times New Roman" w:eastAsia="Times New Roman" w:hAnsi="Times New Roman" w:cs="Times New Roman"/>
                <w:color w:val="000000"/>
                <w:sz w:val="20"/>
                <w:szCs w:val="20"/>
                <w:lang w:val="en-US" w:eastAsia="es-ES_tradnl"/>
              </w:rPr>
              <w:t> </w:t>
            </w:r>
          </w:p>
        </w:tc>
      </w:tr>
      <w:tr w:rsidR="003907B8" w:rsidRPr="0041793E" w:rsidTr="00545003">
        <w:trPr>
          <w:trHeight w:val="340"/>
        </w:trPr>
        <w:tc>
          <w:tcPr>
            <w:tcW w:w="2534" w:type="dxa"/>
            <w:tcBorders>
              <w:top w:val="nil"/>
              <w:left w:val="nil"/>
              <w:bottom w:val="single" w:sz="4" w:space="0" w:color="auto"/>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val="en-US" w:eastAsia="es-ES_tradnl"/>
              </w:rPr>
            </w:pPr>
            <w:r w:rsidRPr="0041793E">
              <w:rPr>
                <w:rFonts w:ascii="Times New Roman" w:eastAsia="Times New Roman" w:hAnsi="Times New Roman" w:cs="Times New Roman"/>
                <w:color w:val="000000"/>
                <w:sz w:val="20"/>
                <w:szCs w:val="20"/>
                <w:lang w:val="en-US" w:eastAsia="es-ES_tradnl"/>
              </w:rPr>
              <w:t> </w:t>
            </w:r>
          </w:p>
        </w:tc>
        <w:tc>
          <w:tcPr>
            <w:tcW w:w="1062" w:type="dxa"/>
            <w:tcBorders>
              <w:top w:val="nil"/>
              <w:left w:val="nil"/>
              <w:bottom w:val="single" w:sz="4" w:space="0" w:color="auto"/>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b/>
                <w:bCs/>
                <w:color w:val="000000"/>
                <w:sz w:val="20"/>
                <w:szCs w:val="20"/>
                <w:lang w:eastAsia="es-ES_tradnl"/>
              </w:rPr>
            </w:pPr>
            <w:r w:rsidRPr="0041793E">
              <w:rPr>
                <w:rFonts w:ascii="Times New Roman" w:eastAsia="Times New Roman" w:hAnsi="Times New Roman" w:cs="Times New Roman"/>
                <w:b/>
                <w:bCs/>
                <w:color w:val="000000"/>
                <w:sz w:val="20"/>
                <w:szCs w:val="20"/>
                <w:lang w:eastAsia="es-ES_tradnl"/>
              </w:rPr>
              <w:t>1860</w:t>
            </w:r>
          </w:p>
        </w:tc>
        <w:tc>
          <w:tcPr>
            <w:tcW w:w="1062" w:type="dxa"/>
            <w:tcBorders>
              <w:top w:val="nil"/>
              <w:left w:val="nil"/>
              <w:bottom w:val="single" w:sz="4" w:space="0" w:color="auto"/>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b/>
                <w:bCs/>
                <w:color w:val="000000"/>
                <w:sz w:val="20"/>
                <w:szCs w:val="20"/>
                <w:lang w:eastAsia="es-ES_tradnl"/>
              </w:rPr>
            </w:pPr>
            <w:r w:rsidRPr="0041793E">
              <w:rPr>
                <w:rFonts w:ascii="Times New Roman" w:eastAsia="Times New Roman" w:hAnsi="Times New Roman" w:cs="Times New Roman"/>
                <w:b/>
                <w:bCs/>
                <w:color w:val="000000"/>
                <w:sz w:val="20"/>
                <w:szCs w:val="20"/>
                <w:lang w:eastAsia="es-ES_tradnl"/>
              </w:rPr>
              <w:t>1900</w:t>
            </w:r>
          </w:p>
        </w:tc>
        <w:tc>
          <w:tcPr>
            <w:tcW w:w="1062" w:type="dxa"/>
            <w:tcBorders>
              <w:top w:val="nil"/>
              <w:left w:val="nil"/>
              <w:bottom w:val="single" w:sz="4" w:space="0" w:color="auto"/>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b/>
                <w:bCs/>
                <w:color w:val="000000"/>
                <w:sz w:val="20"/>
                <w:szCs w:val="20"/>
                <w:lang w:eastAsia="es-ES_tradnl"/>
              </w:rPr>
            </w:pPr>
            <w:r w:rsidRPr="0041793E">
              <w:rPr>
                <w:rFonts w:ascii="Times New Roman" w:eastAsia="Times New Roman" w:hAnsi="Times New Roman" w:cs="Times New Roman"/>
                <w:b/>
                <w:bCs/>
                <w:color w:val="000000"/>
                <w:sz w:val="20"/>
                <w:szCs w:val="20"/>
                <w:lang w:eastAsia="es-ES_tradnl"/>
              </w:rPr>
              <w:t>1910</w:t>
            </w:r>
          </w:p>
        </w:tc>
        <w:tc>
          <w:tcPr>
            <w:tcW w:w="1300" w:type="dxa"/>
            <w:tcBorders>
              <w:top w:val="nil"/>
              <w:left w:val="nil"/>
              <w:bottom w:val="single" w:sz="4" w:space="0" w:color="auto"/>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b/>
                <w:bCs/>
                <w:color w:val="000000"/>
                <w:sz w:val="20"/>
                <w:szCs w:val="20"/>
                <w:lang w:eastAsia="es-ES_tradnl"/>
              </w:rPr>
            </w:pPr>
            <w:r w:rsidRPr="0041793E">
              <w:rPr>
                <w:rFonts w:ascii="Times New Roman" w:eastAsia="Times New Roman" w:hAnsi="Times New Roman" w:cs="Times New Roman"/>
                <w:b/>
                <w:bCs/>
                <w:color w:val="000000"/>
                <w:sz w:val="20"/>
                <w:szCs w:val="20"/>
                <w:lang w:eastAsia="es-ES_tradnl"/>
              </w:rPr>
              <w:t>1920</w:t>
            </w:r>
          </w:p>
        </w:tc>
        <w:tc>
          <w:tcPr>
            <w:tcW w:w="1300" w:type="dxa"/>
            <w:tcBorders>
              <w:top w:val="nil"/>
              <w:left w:val="nil"/>
              <w:bottom w:val="single" w:sz="4" w:space="0" w:color="auto"/>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b/>
                <w:bCs/>
                <w:color w:val="000000"/>
                <w:sz w:val="20"/>
                <w:szCs w:val="20"/>
                <w:lang w:eastAsia="es-ES_tradnl"/>
              </w:rPr>
            </w:pPr>
            <w:r w:rsidRPr="0041793E">
              <w:rPr>
                <w:rFonts w:ascii="Times New Roman" w:eastAsia="Times New Roman" w:hAnsi="Times New Roman" w:cs="Times New Roman"/>
                <w:b/>
                <w:bCs/>
                <w:color w:val="000000"/>
                <w:sz w:val="20"/>
                <w:szCs w:val="20"/>
                <w:lang w:eastAsia="es-ES_tradnl"/>
              </w:rPr>
              <w:t>1930</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Álava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2,64</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3,64</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2,52</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2,73</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Albacete</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3,19</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3,32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2,75</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3,48</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3,17</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Alicante</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2,57</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2,91</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2,89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2,93</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3,10</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Almería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3,10</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2,81</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2,46</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2,19</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Ávila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2,60</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2,56</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4,85</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2,95</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Badajoz</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2,25</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1,85</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2,02</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3,09</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Baleares</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3,49</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2,82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2,56</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2,77</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3,27</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Barcelona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2,77</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4,85</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4,25</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3,78</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2,82</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Burgos</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2,57</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2,59</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2,09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4,23</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2,27</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Cáceres</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2,40</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2,43</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1,49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2,17</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Cádiz</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4,24</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3,92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4,10</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2,41</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2,65</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Canarias</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2,44</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2,61</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2,54</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3,80</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2,51</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Castellón</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3,42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3,44</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3,01</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1,86</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1,71</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Ciudad Real</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4,43</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2,80</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4,25</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1,77</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Córdoba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2,90</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2,67</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2,36</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1,91</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2,06</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Coruña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2,40</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2,17</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2,57</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2,54</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2,10</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Cuenca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2,17</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2,15</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1,79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2,05</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1,80</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Gerona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2,39</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2,82</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2,29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1,57</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Granada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5,41</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2,65</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4,10</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2,62</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2,53</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Guadalajara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2,47</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2,48</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2,31</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2,29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2,17</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Guipúzcoa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2,47</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5,05</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3,59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3,45</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4,09</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Huelva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2,39</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2,10</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1,47</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2,43</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Huesca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2,37</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2,15</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1,92</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2,53</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2,18</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Jaén</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2,69</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2,48</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2,13</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1,49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1,47</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León</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2,26</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1,96</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1,94</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2,54</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2,44</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lastRenderedPageBreak/>
              <w:t>Lérida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2,09</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2,05</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2,12</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1,73</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1,10</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Logroño</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3,19</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2,77</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2,65</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1,54</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2,28</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Lugo</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0,91</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1,49</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1,52</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1,94</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2,13</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Madrid</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3,77</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4,75</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3,82</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4,28</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6,16</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Málaga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4,00</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2,61</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3,64</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1,65</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2,79</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Murcia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3,48</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2,26</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2,61</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3,03</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Navarra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2,22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2,10</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2,03</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2,19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1,89</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Orense</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1,69</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1,28</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1,78</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1,72</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1,67</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Oviedo</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1,61</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3,06</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1,84</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2,99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2,31</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Palencia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3,47</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3,32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2,93</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2,53</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Pontevedra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1,41</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2,28</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2,20</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1,79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2,59</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Salamanca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4,22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3,17</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5,39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4,89</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Santander</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2,36</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3,13</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2,66</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2,97</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3,46</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Segovia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2,49</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2,57</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2,45</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3,10</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Sevilla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3,45</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3,22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3,07</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2,38</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1,96</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Soria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2,78</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2,32</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3,10</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3,01</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2,02</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Tarragona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2,85</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3,25</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2,76</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2,57</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2,20</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Teruel</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2,78</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2,26</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2,50</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2,33</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1,65</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Toledo</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2,76</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2,80</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2,75</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3,12</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2,29</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Valencia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3,56</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3,47</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4,86</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4,31</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3,81</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Valladolid</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3,83</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2,88</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3,25</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3,30</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3,19</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Vizcaya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2,41</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4,44</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3,31</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5,95</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4,45</w:t>
            </w:r>
          </w:p>
        </w:tc>
      </w:tr>
      <w:tr w:rsidR="003907B8" w:rsidRPr="0041793E" w:rsidTr="00545003">
        <w:trPr>
          <w:trHeight w:val="320"/>
        </w:trPr>
        <w:tc>
          <w:tcPr>
            <w:tcW w:w="2534" w:type="dxa"/>
            <w:tcBorders>
              <w:top w:val="nil"/>
              <w:left w:val="nil"/>
              <w:bottom w:val="nil"/>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Zamora</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3,71</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2,35</w:t>
            </w:r>
          </w:p>
        </w:tc>
        <w:tc>
          <w:tcPr>
            <w:tcW w:w="1062"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2,39</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3,51</w:t>
            </w:r>
          </w:p>
        </w:tc>
        <w:tc>
          <w:tcPr>
            <w:tcW w:w="1300" w:type="dxa"/>
            <w:tcBorders>
              <w:top w:val="nil"/>
              <w:left w:val="nil"/>
              <w:bottom w:val="nil"/>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3,45</w:t>
            </w:r>
          </w:p>
        </w:tc>
      </w:tr>
      <w:tr w:rsidR="003907B8" w:rsidRPr="0041793E" w:rsidTr="00545003">
        <w:trPr>
          <w:trHeight w:val="320"/>
        </w:trPr>
        <w:tc>
          <w:tcPr>
            <w:tcW w:w="2534" w:type="dxa"/>
            <w:tcBorders>
              <w:top w:val="nil"/>
              <w:left w:val="nil"/>
              <w:bottom w:val="single" w:sz="4" w:space="0" w:color="auto"/>
              <w:right w:val="nil"/>
            </w:tcBorders>
            <w:shd w:val="clear" w:color="auto" w:fill="auto"/>
            <w:noWrap/>
            <w:vAlign w:val="bottom"/>
            <w:hideMark/>
          </w:tcPr>
          <w:p w:rsidR="003907B8" w:rsidRPr="0041793E" w:rsidRDefault="003907B8" w:rsidP="00545003">
            <w:pP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Zaragoza</w:t>
            </w:r>
          </w:p>
        </w:tc>
        <w:tc>
          <w:tcPr>
            <w:tcW w:w="1062" w:type="dxa"/>
            <w:tcBorders>
              <w:top w:val="nil"/>
              <w:left w:val="nil"/>
              <w:bottom w:val="single" w:sz="4" w:space="0" w:color="auto"/>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2,72</w:t>
            </w:r>
          </w:p>
        </w:tc>
        <w:tc>
          <w:tcPr>
            <w:tcW w:w="1062" w:type="dxa"/>
            <w:tcBorders>
              <w:top w:val="nil"/>
              <w:left w:val="nil"/>
              <w:bottom w:val="single" w:sz="4" w:space="0" w:color="auto"/>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2,68</w:t>
            </w:r>
          </w:p>
        </w:tc>
        <w:tc>
          <w:tcPr>
            <w:tcW w:w="1062" w:type="dxa"/>
            <w:tcBorders>
              <w:top w:val="nil"/>
              <w:left w:val="nil"/>
              <w:bottom w:val="single" w:sz="4" w:space="0" w:color="auto"/>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2,87</w:t>
            </w:r>
          </w:p>
        </w:tc>
        <w:tc>
          <w:tcPr>
            <w:tcW w:w="1300" w:type="dxa"/>
            <w:tcBorders>
              <w:top w:val="nil"/>
              <w:left w:val="nil"/>
              <w:bottom w:val="single" w:sz="4" w:space="0" w:color="auto"/>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1,70</w:t>
            </w:r>
          </w:p>
        </w:tc>
        <w:tc>
          <w:tcPr>
            <w:tcW w:w="1300" w:type="dxa"/>
            <w:tcBorders>
              <w:top w:val="nil"/>
              <w:left w:val="nil"/>
              <w:bottom w:val="single" w:sz="4" w:space="0" w:color="auto"/>
              <w:right w:val="nil"/>
            </w:tcBorders>
            <w:shd w:val="clear" w:color="auto" w:fill="auto"/>
            <w:noWrap/>
            <w:vAlign w:val="bottom"/>
            <w:hideMark/>
          </w:tcPr>
          <w:p w:rsidR="003907B8" w:rsidRPr="0041793E" w:rsidRDefault="003907B8" w:rsidP="00545003">
            <w:pPr>
              <w:jc w:val="center"/>
              <w:rPr>
                <w:rFonts w:ascii="Times New Roman" w:eastAsia="Times New Roman" w:hAnsi="Times New Roman" w:cs="Times New Roman"/>
                <w:color w:val="000000"/>
                <w:sz w:val="20"/>
                <w:szCs w:val="20"/>
                <w:lang w:eastAsia="es-ES_tradnl"/>
              </w:rPr>
            </w:pPr>
            <w:r w:rsidRPr="0041793E">
              <w:rPr>
                <w:rFonts w:ascii="Times New Roman" w:eastAsia="Times New Roman" w:hAnsi="Times New Roman" w:cs="Times New Roman"/>
                <w:color w:val="000000"/>
                <w:sz w:val="20"/>
                <w:szCs w:val="20"/>
                <w:lang w:eastAsia="es-ES_tradnl"/>
              </w:rPr>
              <w:t>2,28</w:t>
            </w:r>
          </w:p>
        </w:tc>
      </w:tr>
    </w:tbl>
    <w:p w:rsidR="003907B8" w:rsidRDefault="003907B8" w:rsidP="003907B8"/>
    <w:p w:rsidR="003907B8" w:rsidRDefault="003907B8" w:rsidP="003907B8">
      <w:pPr>
        <w:spacing w:line="480" w:lineRule="auto"/>
        <w:rPr>
          <w:rFonts w:ascii="Times New Roman" w:hAnsi="Times New Roman" w:cs="Times New Roman"/>
          <w:b/>
          <w:sz w:val="24"/>
          <w:szCs w:val="24"/>
          <w:lang w:val="en-GB"/>
        </w:rPr>
      </w:pPr>
    </w:p>
    <w:p w:rsidR="003907B8" w:rsidRDefault="003907B8" w:rsidP="003907B8">
      <w:pPr>
        <w:spacing w:line="480" w:lineRule="auto"/>
        <w:rPr>
          <w:rFonts w:ascii="Times New Roman" w:hAnsi="Times New Roman" w:cs="Times New Roman"/>
          <w:b/>
          <w:sz w:val="24"/>
          <w:szCs w:val="24"/>
          <w:lang w:val="en-GB"/>
        </w:rPr>
      </w:pPr>
    </w:p>
    <w:tbl>
      <w:tblPr>
        <w:tblpPr w:leftFromText="141" w:rightFromText="141" w:vertAnchor="text" w:horzAnchor="page" w:tblpX="1772" w:tblpY="122"/>
        <w:tblW w:w="5000" w:type="pct"/>
        <w:tblCellMar>
          <w:left w:w="70" w:type="dxa"/>
          <w:right w:w="70" w:type="dxa"/>
        </w:tblCellMar>
        <w:tblLook w:val="04A0" w:firstRow="1" w:lastRow="0" w:firstColumn="1" w:lastColumn="0" w:noHBand="0" w:noVBand="1"/>
      </w:tblPr>
      <w:tblGrid>
        <w:gridCol w:w="2345"/>
        <w:gridCol w:w="902"/>
        <w:gridCol w:w="983"/>
        <w:gridCol w:w="986"/>
        <w:gridCol w:w="218"/>
        <w:gridCol w:w="983"/>
        <w:gridCol w:w="217"/>
        <w:gridCol w:w="900"/>
        <w:gridCol w:w="983"/>
        <w:gridCol w:w="983"/>
      </w:tblGrid>
      <w:tr w:rsidR="003907B8" w:rsidRPr="00D532DC" w:rsidTr="00545003">
        <w:trPr>
          <w:trHeight w:val="270"/>
        </w:trPr>
        <w:tc>
          <w:tcPr>
            <w:tcW w:w="5000" w:type="pct"/>
            <w:gridSpan w:val="10"/>
            <w:tcBorders>
              <w:top w:val="nil"/>
              <w:left w:val="nil"/>
              <w:bottom w:val="double" w:sz="6" w:space="0" w:color="auto"/>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lastRenderedPageBreak/>
              <w:t>TABLE A</w:t>
            </w:r>
            <w:r>
              <w:rPr>
                <w:rFonts w:ascii="Times New Roman" w:eastAsia="Times New Roman" w:hAnsi="Times New Roman" w:cs="Times New Roman"/>
                <w:color w:val="000000"/>
                <w:sz w:val="20"/>
                <w:szCs w:val="20"/>
                <w:lang w:val="en-GB"/>
              </w:rPr>
              <w:t>2</w:t>
            </w:r>
            <w:r w:rsidRPr="002D2F3D">
              <w:rPr>
                <w:rFonts w:ascii="Times New Roman" w:eastAsia="Times New Roman" w:hAnsi="Times New Roman" w:cs="Times New Roman"/>
                <w:color w:val="000000"/>
                <w:sz w:val="20"/>
                <w:szCs w:val="20"/>
                <w:lang w:val="en-GB"/>
              </w:rPr>
              <w:t>. Determinants of inequality</w:t>
            </w:r>
            <w:r>
              <w:rPr>
                <w:rFonts w:ascii="Times New Roman" w:eastAsia="Times New Roman" w:hAnsi="Times New Roman" w:cs="Times New Roman"/>
                <w:color w:val="000000"/>
                <w:sz w:val="20"/>
                <w:szCs w:val="20"/>
                <w:lang w:val="en-GB"/>
              </w:rPr>
              <w:t xml:space="preserve"> (average wage)</w:t>
            </w:r>
          </w:p>
        </w:tc>
      </w:tr>
      <w:tr w:rsidR="003907B8" w:rsidRPr="00D532DC" w:rsidTr="00545003">
        <w:trPr>
          <w:trHeight w:val="270"/>
        </w:trPr>
        <w:tc>
          <w:tcPr>
            <w:tcW w:w="1260"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rPr>
                <w:rFonts w:ascii="Calibri" w:eastAsia="Times New Roman" w:hAnsi="Calibri" w:cs="Times New Roman"/>
                <w:sz w:val="20"/>
                <w:szCs w:val="20"/>
                <w:lang w:val="en-GB"/>
              </w:rPr>
            </w:pPr>
          </w:p>
        </w:tc>
        <w:tc>
          <w:tcPr>
            <w:tcW w:w="3740" w:type="pct"/>
            <w:gridSpan w:val="9"/>
            <w:tcBorders>
              <w:top w:val="double" w:sz="6" w:space="0" w:color="auto"/>
              <w:left w:val="nil"/>
              <w:bottom w:val="single" w:sz="4" w:space="0" w:color="auto"/>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Dependent variable: Williamson Index (average wage)</w:t>
            </w:r>
          </w:p>
        </w:tc>
      </w:tr>
      <w:tr w:rsidR="003907B8" w:rsidRPr="002D2F3D" w:rsidTr="00545003">
        <w:trPr>
          <w:trHeight w:val="255"/>
        </w:trPr>
        <w:tc>
          <w:tcPr>
            <w:tcW w:w="1260"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rPr>
                <w:rFonts w:ascii="Calibri" w:eastAsia="Times New Roman" w:hAnsi="Calibri" w:cs="Times New Roman"/>
                <w:sz w:val="20"/>
                <w:szCs w:val="20"/>
                <w:lang w:val="en-GB"/>
              </w:rPr>
            </w:pPr>
          </w:p>
        </w:tc>
        <w:tc>
          <w:tcPr>
            <w:tcW w:w="1511" w:type="pct"/>
            <w:gridSpan w:val="3"/>
            <w:tcBorders>
              <w:top w:val="single" w:sz="4" w:space="0" w:color="auto"/>
              <w:left w:val="nil"/>
              <w:bottom w:val="single" w:sz="4" w:space="0" w:color="auto"/>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OLS</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 </w:t>
            </w: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FE</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 </w:t>
            </w:r>
          </w:p>
        </w:tc>
        <w:tc>
          <w:tcPr>
            <w:tcW w:w="1510" w:type="pct"/>
            <w:gridSpan w:val="3"/>
            <w:tcBorders>
              <w:top w:val="single" w:sz="4" w:space="0" w:color="auto"/>
              <w:left w:val="nil"/>
              <w:bottom w:val="single" w:sz="4" w:space="0" w:color="auto"/>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IV</w:t>
            </w:r>
          </w:p>
        </w:tc>
      </w:tr>
      <w:tr w:rsidR="003907B8" w:rsidRPr="002D2F3D" w:rsidTr="00545003">
        <w:trPr>
          <w:trHeight w:val="255"/>
        </w:trPr>
        <w:tc>
          <w:tcPr>
            <w:tcW w:w="1260"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rPr>
                <w:rFonts w:ascii="Calibri" w:eastAsia="Times New Roman" w:hAnsi="Calibri" w:cs="Times New Roman"/>
                <w:sz w:val="20"/>
                <w:szCs w:val="20"/>
                <w:lang w:val="en-GB"/>
              </w:rPr>
            </w:pPr>
            <w:r w:rsidRPr="002D2F3D">
              <w:rPr>
                <w:rFonts w:ascii="Calibri" w:eastAsia="Times New Roman" w:hAnsi="Calibri" w:cs="Times New Roman"/>
                <w:sz w:val="20"/>
                <w:szCs w:val="20"/>
                <w:lang w:val="en-GB"/>
              </w:rPr>
              <w:t> </w:t>
            </w:r>
          </w:p>
        </w:tc>
        <w:tc>
          <w:tcPr>
            <w:tcW w:w="4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w:t>
            </w: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(3)</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(4)</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(5)</w:t>
            </w: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(6)</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(7)</w:t>
            </w:r>
          </w:p>
        </w:tc>
      </w:tr>
      <w:tr w:rsidR="003907B8" w:rsidRPr="002D2F3D" w:rsidTr="00545003">
        <w:trPr>
          <w:trHeight w:val="255"/>
        </w:trPr>
        <w:tc>
          <w:tcPr>
            <w:tcW w:w="1260"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roofErr w:type="spellStart"/>
            <w:r w:rsidRPr="002D2F3D">
              <w:rPr>
                <w:rFonts w:ascii="Times New Roman" w:eastAsia="Times New Roman" w:hAnsi="Times New Roman" w:cs="Times New Roman"/>
                <w:color w:val="000000"/>
                <w:sz w:val="20"/>
                <w:szCs w:val="20"/>
                <w:lang w:val="en-GB"/>
              </w:rPr>
              <w:t>GDPpc</w:t>
            </w:r>
            <w:proofErr w:type="spellEnd"/>
          </w:p>
        </w:tc>
        <w:tc>
          <w:tcPr>
            <w:tcW w:w="4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2.64***</w:t>
            </w: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3.53***</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3.59***</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4.15***</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2.23***</w:t>
            </w: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4.40***</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4.54***</w:t>
            </w:r>
          </w:p>
        </w:tc>
      </w:tr>
      <w:tr w:rsidR="003907B8" w:rsidRPr="002D2F3D" w:rsidTr="00545003">
        <w:trPr>
          <w:trHeight w:val="255"/>
        </w:trPr>
        <w:tc>
          <w:tcPr>
            <w:tcW w:w="1260"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7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(0.41)</w:t>
            </w: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(0.39)</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(0.31)</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(0.44)</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(0.82)</w:t>
            </w: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(1.10)</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(0.78)</w:t>
            </w:r>
          </w:p>
        </w:tc>
      </w:tr>
      <w:tr w:rsidR="003907B8" w:rsidRPr="002D2F3D" w:rsidTr="00545003">
        <w:trPr>
          <w:trHeight w:val="255"/>
        </w:trPr>
        <w:tc>
          <w:tcPr>
            <w:tcW w:w="1260"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roofErr w:type="spellStart"/>
            <w:r w:rsidRPr="002D2F3D">
              <w:rPr>
                <w:rFonts w:ascii="Times New Roman" w:eastAsia="Times New Roman" w:hAnsi="Times New Roman" w:cs="Times New Roman"/>
                <w:color w:val="000000"/>
                <w:sz w:val="20"/>
                <w:szCs w:val="20"/>
                <w:lang w:val="en-GB"/>
              </w:rPr>
              <w:t>GDPpc</w:t>
            </w:r>
            <w:proofErr w:type="spellEnd"/>
            <w:r w:rsidRPr="002D2F3D">
              <w:rPr>
                <w:rFonts w:ascii="Times New Roman" w:eastAsia="Times New Roman" w:hAnsi="Times New Roman" w:cs="Times New Roman"/>
                <w:color w:val="000000"/>
                <w:sz w:val="20"/>
                <w:szCs w:val="20"/>
                <w:lang w:val="en-GB"/>
              </w:rPr>
              <w:t xml:space="preserve"> squared</w:t>
            </w:r>
          </w:p>
        </w:tc>
        <w:tc>
          <w:tcPr>
            <w:tcW w:w="4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-0.63**</w:t>
            </w: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-0.87***</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-0.98***</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-1.44***</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-0.61</w:t>
            </w: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-1.36***</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-1.42***</w:t>
            </w:r>
          </w:p>
        </w:tc>
      </w:tr>
      <w:tr w:rsidR="003907B8" w:rsidRPr="002D2F3D" w:rsidTr="00545003">
        <w:trPr>
          <w:trHeight w:val="255"/>
        </w:trPr>
        <w:tc>
          <w:tcPr>
            <w:tcW w:w="1260"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7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(0.31)</w:t>
            </w: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(0.25)</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(0.20)</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(0.28)</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(0.52)</w:t>
            </w: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(0.45)</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(0.29)</w:t>
            </w:r>
          </w:p>
        </w:tc>
      </w:tr>
      <w:tr w:rsidR="003907B8" w:rsidRPr="002D2F3D" w:rsidTr="00545003">
        <w:trPr>
          <w:trHeight w:val="255"/>
        </w:trPr>
        <w:tc>
          <w:tcPr>
            <w:tcW w:w="1260"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Urbanisation</w:t>
            </w:r>
          </w:p>
        </w:tc>
        <w:tc>
          <w:tcPr>
            <w:tcW w:w="4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-0.22*</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0.00</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0.52</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-0.39**</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-0.10</w:t>
            </w:r>
          </w:p>
        </w:tc>
      </w:tr>
      <w:tr w:rsidR="003907B8" w:rsidRPr="002D2F3D" w:rsidTr="00545003">
        <w:trPr>
          <w:trHeight w:val="255"/>
        </w:trPr>
        <w:tc>
          <w:tcPr>
            <w:tcW w:w="1260"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7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(0.11)</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(0.09)</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(0.54)</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(0.16)</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(0.13)</w:t>
            </w:r>
          </w:p>
        </w:tc>
      </w:tr>
      <w:tr w:rsidR="003907B8" w:rsidRPr="002D2F3D" w:rsidTr="00545003">
        <w:trPr>
          <w:trHeight w:val="255"/>
        </w:trPr>
        <w:tc>
          <w:tcPr>
            <w:tcW w:w="1260"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Industrialisation</w:t>
            </w:r>
          </w:p>
        </w:tc>
        <w:tc>
          <w:tcPr>
            <w:tcW w:w="4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-0.98***</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-1.50***</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-1.10***</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-1.21</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-2.38***</w:t>
            </w:r>
          </w:p>
        </w:tc>
      </w:tr>
      <w:tr w:rsidR="003907B8" w:rsidRPr="002D2F3D" w:rsidTr="00545003">
        <w:trPr>
          <w:trHeight w:val="255"/>
        </w:trPr>
        <w:tc>
          <w:tcPr>
            <w:tcW w:w="1260"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7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(0.32)</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(0.29)</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(0.34)</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(1.06)</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(0.81)</w:t>
            </w:r>
          </w:p>
        </w:tc>
      </w:tr>
      <w:tr w:rsidR="003907B8" w:rsidRPr="002D2F3D" w:rsidTr="00545003">
        <w:trPr>
          <w:trHeight w:val="255"/>
        </w:trPr>
        <w:tc>
          <w:tcPr>
            <w:tcW w:w="1260"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Population density (ln)</w:t>
            </w:r>
          </w:p>
        </w:tc>
        <w:tc>
          <w:tcPr>
            <w:tcW w:w="4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0.14***</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0.14***</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0.41</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0.22***</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0.25***</w:t>
            </w:r>
          </w:p>
        </w:tc>
      </w:tr>
      <w:tr w:rsidR="003907B8" w:rsidRPr="002D2F3D" w:rsidTr="00545003">
        <w:trPr>
          <w:trHeight w:val="255"/>
        </w:trPr>
        <w:tc>
          <w:tcPr>
            <w:tcW w:w="1260"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7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(0.05)</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(0.04)</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(0.27)</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(0.07)</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(0.06)</w:t>
            </w:r>
          </w:p>
        </w:tc>
      </w:tr>
      <w:tr w:rsidR="003907B8" w:rsidRPr="002D2F3D" w:rsidTr="00545003">
        <w:trPr>
          <w:trHeight w:val="255"/>
        </w:trPr>
        <w:tc>
          <w:tcPr>
            <w:tcW w:w="1260"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Fertility</w:t>
            </w:r>
          </w:p>
        </w:tc>
        <w:tc>
          <w:tcPr>
            <w:tcW w:w="4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1.66***</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0.98***</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0.75</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1.99***</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1.43***</w:t>
            </w:r>
          </w:p>
        </w:tc>
      </w:tr>
      <w:tr w:rsidR="003907B8" w:rsidRPr="002D2F3D" w:rsidTr="00545003">
        <w:trPr>
          <w:trHeight w:val="255"/>
        </w:trPr>
        <w:tc>
          <w:tcPr>
            <w:tcW w:w="1260"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7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(0.33)</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(0.31)</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(0.55)</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(0.55)</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(0.43)</w:t>
            </w:r>
          </w:p>
        </w:tc>
      </w:tr>
      <w:tr w:rsidR="003907B8" w:rsidRPr="002D2F3D" w:rsidTr="00545003">
        <w:trPr>
          <w:trHeight w:val="255"/>
        </w:trPr>
        <w:tc>
          <w:tcPr>
            <w:tcW w:w="1260"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Literacy</w:t>
            </w:r>
          </w:p>
        </w:tc>
        <w:tc>
          <w:tcPr>
            <w:tcW w:w="4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-0.50***</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0.20</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0.12</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-0.67**</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0.22</w:t>
            </w:r>
          </w:p>
        </w:tc>
      </w:tr>
      <w:tr w:rsidR="003907B8" w:rsidRPr="002D2F3D" w:rsidTr="00545003">
        <w:trPr>
          <w:trHeight w:val="255"/>
        </w:trPr>
        <w:tc>
          <w:tcPr>
            <w:tcW w:w="1260"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7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(0.13)</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(0.16)</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(0.37)</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(0.30)</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(0.23)</w:t>
            </w:r>
          </w:p>
        </w:tc>
      </w:tr>
      <w:tr w:rsidR="003907B8" w:rsidRPr="002D2F3D" w:rsidTr="00545003">
        <w:trPr>
          <w:trHeight w:val="255"/>
        </w:trPr>
        <w:tc>
          <w:tcPr>
            <w:tcW w:w="1260"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Commons</w:t>
            </w:r>
          </w:p>
        </w:tc>
        <w:tc>
          <w:tcPr>
            <w:tcW w:w="4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-0.71***</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-0.61***</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-0.15</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-0.78***</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-0.80***</w:t>
            </w:r>
          </w:p>
        </w:tc>
      </w:tr>
      <w:tr w:rsidR="003907B8" w:rsidRPr="002D2F3D" w:rsidTr="00545003">
        <w:trPr>
          <w:trHeight w:val="255"/>
        </w:trPr>
        <w:tc>
          <w:tcPr>
            <w:tcW w:w="1260"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7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(0.16)</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(0.13)</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(0.62)</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(0.23)</w:t>
            </w: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(0.19)</w:t>
            </w:r>
          </w:p>
        </w:tc>
      </w:tr>
      <w:tr w:rsidR="003907B8" w:rsidRPr="002D2F3D" w:rsidTr="00545003">
        <w:trPr>
          <w:trHeight w:val="255"/>
        </w:trPr>
        <w:tc>
          <w:tcPr>
            <w:tcW w:w="1260"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d_1900</w:t>
            </w:r>
          </w:p>
        </w:tc>
        <w:tc>
          <w:tcPr>
            <w:tcW w:w="4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0.04</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-0.01</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r>
      <w:tr w:rsidR="003907B8" w:rsidRPr="002D2F3D" w:rsidTr="00545003">
        <w:trPr>
          <w:trHeight w:val="255"/>
        </w:trPr>
        <w:tc>
          <w:tcPr>
            <w:tcW w:w="1260"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7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(0.05)</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(0.10)</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r>
      <w:tr w:rsidR="003907B8" w:rsidRPr="002D2F3D" w:rsidTr="00545003">
        <w:trPr>
          <w:trHeight w:val="255"/>
        </w:trPr>
        <w:tc>
          <w:tcPr>
            <w:tcW w:w="1260"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d_1910</w:t>
            </w:r>
          </w:p>
        </w:tc>
        <w:tc>
          <w:tcPr>
            <w:tcW w:w="4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-0.30***</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-0.39***</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-0.34***</w:t>
            </w:r>
          </w:p>
        </w:tc>
      </w:tr>
      <w:tr w:rsidR="003907B8" w:rsidRPr="002D2F3D" w:rsidTr="00545003">
        <w:trPr>
          <w:trHeight w:val="255"/>
        </w:trPr>
        <w:tc>
          <w:tcPr>
            <w:tcW w:w="1260"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7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(0.05)</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(0.12)</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(0.05)</w:t>
            </w:r>
          </w:p>
        </w:tc>
      </w:tr>
      <w:tr w:rsidR="003907B8" w:rsidRPr="002D2F3D" w:rsidTr="00545003">
        <w:trPr>
          <w:trHeight w:val="255"/>
        </w:trPr>
        <w:tc>
          <w:tcPr>
            <w:tcW w:w="1260"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d_1920</w:t>
            </w:r>
          </w:p>
        </w:tc>
        <w:tc>
          <w:tcPr>
            <w:tcW w:w="4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-0.17**</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-0.28*</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-0.25***</w:t>
            </w:r>
          </w:p>
        </w:tc>
      </w:tr>
      <w:tr w:rsidR="003907B8" w:rsidRPr="002D2F3D" w:rsidTr="00545003">
        <w:trPr>
          <w:trHeight w:val="255"/>
        </w:trPr>
        <w:tc>
          <w:tcPr>
            <w:tcW w:w="1260"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7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(0.07)</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(0.15)</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(0.08)</w:t>
            </w:r>
          </w:p>
        </w:tc>
      </w:tr>
      <w:tr w:rsidR="003907B8" w:rsidRPr="002D2F3D" w:rsidTr="00545003">
        <w:trPr>
          <w:trHeight w:val="255"/>
        </w:trPr>
        <w:tc>
          <w:tcPr>
            <w:tcW w:w="1260"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d_1930</w:t>
            </w:r>
          </w:p>
        </w:tc>
        <w:tc>
          <w:tcPr>
            <w:tcW w:w="4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-0.58***</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-0.71***</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-0.67***</w:t>
            </w:r>
          </w:p>
        </w:tc>
      </w:tr>
      <w:tr w:rsidR="003907B8" w:rsidRPr="002D2F3D" w:rsidTr="00545003">
        <w:trPr>
          <w:trHeight w:val="255"/>
        </w:trPr>
        <w:tc>
          <w:tcPr>
            <w:tcW w:w="1260"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7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(0.08)</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(0.20)</w:t>
            </w:r>
          </w:p>
        </w:tc>
        <w:tc>
          <w:tcPr>
            <w:tcW w:w="101"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9"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(0.09)</w:t>
            </w:r>
          </w:p>
        </w:tc>
      </w:tr>
      <w:tr w:rsidR="003907B8" w:rsidRPr="002D2F3D" w:rsidTr="00545003">
        <w:trPr>
          <w:trHeight w:val="255"/>
        </w:trPr>
        <w:tc>
          <w:tcPr>
            <w:tcW w:w="1260" w:type="pct"/>
            <w:tcBorders>
              <w:top w:val="single" w:sz="4" w:space="0" w:color="auto"/>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Observations</w:t>
            </w:r>
          </w:p>
        </w:tc>
        <w:tc>
          <w:tcPr>
            <w:tcW w:w="474"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245</w:t>
            </w:r>
          </w:p>
        </w:tc>
        <w:tc>
          <w:tcPr>
            <w:tcW w:w="518"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234</w:t>
            </w:r>
          </w:p>
        </w:tc>
        <w:tc>
          <w:tcPr>
            <w:tcW w:w="519"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234</w:t>
            </w:r>
          </w:p>
        </w:tc>
        <w:tc>
          <w:tcPr>
            <w:tcW w:w="101"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 </w:t>
            </w:r>
          </w:p>
        </w:tc>
        <w:tc>
          <w:tcPr>
            <w:tcW w:w="518"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234</w:t>
            </w:r>
          </w:p>
        </w:tc>
        <w:tc>
          <w:tcPr>
            <w:tcW w:w="101"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 </w:t>
            </w:r>
          </w:p>
        </w:tc>
        <w:tc>
          <w:tcPr>
            <w:tcW w:w="473"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196</w:t>
            </w:r>
          </w:p>
        </w:tc>
        <w:tc>
          <w:tcPr>
            <w:tcW w:w="518"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186</w:t>
            </w:r>
          </w:p>
        </w:tc>
        <w:tc>
          <w:tcPr>
            <w:tcW w:w="519"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186</w:t>
            </w:r>
          </w:p>
        </w:tc>
      </w:tr>
      <w:tr w:rsidR="003907B8" w:rsidRPr="002D2F3D" w:rsidTr="00545003">
        <w:trPr>
          <w:trHeight w:val="255"/>
        </w:trPr>
        <w:tc>
          <w:tcPr>
            <w:tcW w:w="1260" w:type="pct"/>
            <w:tcBorders>
              <w:top w:val="nil"/>
              <w:left w:val="nil"/>
              <w:bottom w:val="single" w:sz="4" w:space="0" w:color="auto"/>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R-squared</w:t>
            </w:r>
          </w:p>
        </w:tc>
        <w:tc>
          <w:tcPr>
            <w:tcW w:w="4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0.569</w:t>
            </w: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0.652</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0.771</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0.845</w:t>
            </w:r>
          </w:p>
        </w:tc>
        <w:tc>
          <w:tcPr>
            <w:tcW w:w="101"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0.504</w:t>
            </w:r>
          </w:p>
        </w:tc>
        <w:tc>
          <w:tcPr>
            <w:tcW w:w="518"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0.627</w:t>
            </w:r>
          </w:p>
        </w:tc>
        <w:tc>
          <w:tcPr>
            <w:tcW w:w="519"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0.754</w:t>
            </w:r>
          </w:p>
        </w:tc>
      </w:tr>
      <w:tr w:rsidR="003907B8" w:rsidRPr="002D2F3D" w:rsidTr="00545003">
        <w:trPr>
          <w:trHeight w:val="255"/>
        </w:trPr>
        <w:tc>
          <w:tcPr>
            <w:tcW w:w="5000" w:type="pct"/>
            <w:gridSpan w:val="10"/>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 xml:space="preserve">Robust standard errors between brackets; *, **, or *** denotes significance at 10, 5 or 1 per cent level. For simplicity, the intercept is not reported. </w:t>
            </w:r>
          </w:p>
        </w:tc>
      </w:tr>
    </w:tbl>
    <w:p w:rsidR="003907B8" w:rsidRDefault="003907B8" w:rsidP="003907B8"/>
    <w:p w:rsidR="003907B8" w:rsidRDefault="003907B8" w:rsidP="003907B8">
      <w:pPr>
        <w:spacing w:line="480" w:lineRule="auto"/>
        <w:rPr>
          <w:rFonts w:ascii="Times New Roman" w:hAnsi="Times New Roman" w:cs="Times New Roman"/>
          <w:b/>
          <w:sz w:val="24"/>
          <w:szCs w:val="24"/>
          <w:lang w:val="en-GB"/>
        </w:rPr>
      </w:pPr>
    </w:p>
    <w:p w:rsidR="003907B8" w:rsidRDefault="003907B8" w:rsidP="003907B8">
      <w:pPr>
        <w:spacing w:line="480" w:lineRule="auto"/>
        <w:rPr>
          <w:rFonts w:ascii="Times New Roman" w:hAnsi="Times New Roman" w:cs="Times New Roman"/>
          <w:b/>
          <w:sz w:val="24"/>
          <w:szCs w:val="24"/>
          <w:lang w:val="en-GB"/>
        </w:rPr>
      </w:pPr>
    </w:p>
    <w:p w:rsidR="003907B8" w:rsidRDefault="003907B8" w:rsidP="003907B8">
      <w:pPr>
        <w:spacing w:line="480" w:lineRule="auto"/>
        <w:rPr>
          <w:rFonts w:ascii="Times New Roman" w:hAnsi="Times New Roman" w:cs="Times New Roman"/>
          <w:b/>
          <w:sz w:val="24"/>
          <w:szCs w:val="24"/>
          <w:lang w:val="en-GB"/>
        </w:rPr>
      </w:pPr>
    </w:p>
    <w:p w:rsidR="003907B8" w:rsidRDefault="003907B8" w:rsidP="003907B8">
      <w:pPr>
        <w:spacing w:line="480" w:lineRule="auto"/>
        <w:rPr>
          <w:rFonts w:ascii="Times New Roman" w:hAnsi="Times New Roman" w:cs="Times New Roman"/>
          <w:b/>
          <w:sz w:val="24"/>
          <w:szCs w:val="24"/>
          <w:lang w:val="en-GB"/>
        </w:rPr>
      </w:pPr>
    </w:p>
    <w:p w:rsidR="003907B8" w:rsidRDefault="003907B8" w:rsidP="003907B8">
      <w:pPr>
        <w:spacing w:line="480" w:lineRule="auto"/>
        <w:rPr>
          <w:rFonts w:ascii="Times New Roman" w:hAnsi="Times New Roman" w:cs="Times New Roman"/>
          <w:b/>
          <w:sz w:val="24"/>
          <w:szCs w:val="24"/>
          <w:lang w:val="en-GB"/>
        </w:rPr>
      </w:pPr>
    </w:p>
    <w:p w:rsidR="003907B8" w:rsidRDefault="003907B8" w:rsidP="003907B8">
      <w:pPr>
        <w:spacing w:line="480" w:lineRule="auto"/>
        <w:rPr>
          <w:rFonts w:ascii="Times New Roman" w:hAnsi="Times New Roman" w:cs="Times New Roman"/>
          <w:b/>
          <w:sz w:val="24"/>
          <w:szCs w:val="24"/>
          <w:lang w:val="en-GB"/>
        </w:rPr>
      </w:pPr>
    </w:p>
    <w:tbl>
      <w:tblPr>
        <w:tblW w:w="5000" w:type="pct"/>
        <w:tblCellMar>
          <w:left w:w="70" w:type="dxa"/>
          <w:right w:w="70" w:type="dxa"/>
        </w:tblCellMar>
        <w:tblLook w:val="04A0" w:firstRow="1" w:lastRow="0" w:firstColumn="1" w:lastColumn="0" w:noHBand="0" w:noVBand="1"/>
      </w:tblPr>
      <w:tblGrid>
        <w:gridCol w:w="2365"/>
        <w:gridCol w:w="942"/>
        <w:gridCol w:w="1032"/>
        <w:gridCol w:w="1034"/>
        <w:gridCol w:w="179"/>
        <w:gridCol w:w="898"/>
        <w:gridCol w:w="178"/>
        <w:gridCol w:w="808"/>
        <w:gridCol w:w="1031"/>
        <w:gridCol w:w="1033"/>
      </w:tblGrid>
      <w:tr w:rsidR="003907B8" w:rsidRPr="00DF6C80" w:rsidTr="00545003">
        <w:trPr>
          <w:trHeight w:val="270"/>
        </w:trPr>
        <w:tc>
          <w:tcPr>
            <w:tcW w:w="5000" w:type="pct"/>
            <w:gridSpan w:val="10"/>
            <w:tcBorders>
              <w:top w:val="nil"/>
              <w:left w:val="nil"/>
              <w:bottom w:val="double" w:sz="6" w:space="0" w:color="auto"/>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lastRenderedPageBreak/>
              <w:t>TABLE A</w:t>
            </w:r>
            <w:r>
              <w:rPr>
                <w:rFonts w:ascii="Times New Roman" w:eastAsia="Times New Roman" w:hAnsi="Times New Roman" w:cs="Times New Roman"/>
                <w:color w:val="000000"/>
                <w:sz w:val="20"/>
                <w:szCs w:val="20"/>
                <w:lang w:val="en-GB"/>
              </w:rPr>
              <w:t>3</w:t>
            </w:r>
            <w:r w:rsidRPr="002D2F3D">
              <w:rPr>
                <w:rFonts w:ascii="Times New Roman" w:eastAsia="Times New Roman" w:hAnsi="Times New Roman" w:cs="Times New Roman"/>
                <w:color w:val="000000"/>
                <w:sz w:val="20"/>
                <w:szCs w:val="20"/>
                <w:lang w:val="en-GB"/>
              </w:rPr>
              <w:t>. Determinants of inequality</w:t>
            </w:r>
            <w:r>
              <w:rPr>
                <w:rFonts w:ascii="Times New Roman" w:eastAsia="Times New Roman" w:hAnsi="Times New Roman" w:cs="Times New Roman"/>
                <w:color w:val="000000"/>
                <w:sz w:val="20"/>
                <w:szCs w:val="20"/>
                <w:lang w:val="en-GB"/>
              </w:rPr>
              <w:t xml:space="preserve"> (urbanisation)</w:t>
            </w:r>
          </w:p>
        </w:tc>
      </w:tr>
      <w:tr w:rsidR="003907B8" w:rsidRPr="002D2F3D" w:rsidTr="00545003">
        <w:trPr>
          <w:trHeight w:val="270"/>
        </w:trPr>
        <w:tc>
          <w:tcPr>
            <w:tcW w:w="12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rPr>
                <w:rFonts w:ascii="Calibri" w:eastAsia="Times New Roman" w:hAnsi="Calibri" w:cs="Times New Roman"/>
                <w:sz w:val="20"/>
                <w:szCs w:val="20"/>
                <w:lang w:val="en-GB"/>
              </w:rPr>
            </w:pPr>
          </w:p>
        </w:tc>
        <w:tc>
          <w:tcPr>
            <w:tcW w:w="3726" w:type="pct"/>
            <w:gridSpan w:val="9"/>
            <w:tcBorders>
              <w:top w:val="double" w:sz="6" w:space="0" w:color="auto"/>
              <w:left w:val="nil"/>
              <w:bottom w:val="single" w:sz="4" w:space="0" w:color="auto"/>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Dependent variable: Williamson Index</w:t>
            </w:r>
          </w:p>
        </w:tc>
      </w:tr>
      <w:tr w:rsidR="003907B8" w:rsidRPr="002D2F3D" w:rsidTr="00545003">
        <w:trPr>
          <w:trHeight w:val="255"/>
        </w:trPr>
        <w:tc>
          <w:tcPr>
            <w:tcW w:w="127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rPr>
                <w:rFonts w:ascii="Calibri" w:eastAsia="Times New Roman" w:hAnsi="Calibri" w:cs="Times New Roman"/>
                <w:sz w:val="20"/>
                <w:szCs w:val="20"/>
                <w:lang w:val="en-GB"/>
              </w:rPr>
            </w:pPr>
          </w:p>
        </w:tc>
        <w:tc>
          <w:tcPr>
            <w:tcW w:w="1590" w:type="pct"/>
            <w:gridSpan w:val="3"/>
            <w:tcBorders>
              <w:top w:val="single" w:sz="4" w:space="0" w:color="auto"/>
              <w:left w:val="nil"/>
              <w:bottom w:val="single" w:sz="4" w:space="0" w:color="auto"/>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OLS</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 </w:t>
            </w: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FE</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 </w:t>
            </w:r>
          </w:p>
        </w:tc>
        <w:tc>
          <w:tcPr>
            <w:tcW w:w="1517" w:type="pct"/>
            <w:gridSpan w:val="3"/>
            <w:tcBorders>
              <w:top w:val="single" w:sz="4" w:space="0" w:color="auto"/>
              <w:left w:val="nil"/>
              <w:bottom w:val="single" w:sz="4" w:space="0" w:color="auto"/>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IV</w:t>
            </w:r>
          </w:p>
        </w:tc>
      </w:tr>
      <w:tr w:rsidR="003907B8" w:rsidRPr="002D2F3D" w:rsidTr="00545003">
        <w:trPr>
          <w:trHeight w:val="255"/>
        </w:trPr>
        <w:tc>
          <w:tcPr>
            <w:tcW w:w="1274"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rPr>
                <w:rFonts w:ascii="Calibri" w:eastAsia="Times New Roman" w:hAnsi="Calibri" w:cs="Times New Roman"/>
                <w:sz w:val="20"/>
                <w:szCs w:val="20"/>
                <w:lang w:val="en-GB"/>
              </w:rPr>
            </w:pPr>
            <w:r w:rsidRPr="002D2F3D">
              <w:rPr>
                <w:rFonts w:ascii="Calibri" w:eastAsia="Times New Roman" w:hAnsi="Calibri" w:cs="Times New Roman"/>
                <w:sz w:val="20"/>
                <w:szCs w:val="20"/>
                <w:lang w:val="en-GB"/>
              </w:rPr>
              <w:t> </w:t>
            </w:r>
          </w:p>
        </w:tc>
        <w:tc>
          <w:tcPr>
            <w:tcW w:w="497"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(3)</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(4)</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(5)</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(6)</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(7)</w:t>
            </w:r>
          </w:p>
        </w:tc>
      </w:tr>
      <w:tr w:rsidR="003907B8" w:rsidRPr="002D2F3D" w:rsidTr="00545003">
        <w:trPr>
          <w:trHeight w:val="255"/>
        </w:trPr>
        <w:tc>
          <w:tcPr>
            <w:tcW w:w="1274"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Urbanisation</w:t>
            </w:r>
          </w:p>
        </w:tc>
        <w:tc>
          <w:tcPr>
            <w:tcW w:w="497"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2.46***</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1.13</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2.36***</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2.68</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2.24**</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0.78</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2.15**</w:t>
            </w:r>
          </w:p>
        </w:tc>
      </w:tr>
      <w:tr w:rsidR="003907B8" w:rsidRPr="002D2F3D" w:rsidTr="00545003">
        <w:trPr>
          <w:trHeight w:val="255"/>
        </w:trPr>
        <w:tc>
          <w:tcPr>
            <w:tcW w:w="1274"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97"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(0.80)</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(0.87)</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(0.80)</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(2.18)</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(0.93)</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(0.92)</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(0.95)</w:t>
            </w:r>
          </w:p>
        </w:tc>
      </w:tr>
      <w:tr w:rsidR="003907B8" w:rsidRPr="002D2F3D" w:rsidTr="00545003">
        <w:trPr>
          <w:trHeight w:val="255"/>
        </w:trPr>
        <w:tc>
          <w:tcPr>
            <w:tcW w:w="1274"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Urbanisation squared</w:t>
            </w:r>
          </w:p>
        </w:tc>
        <w:tc>
          <w:tcPr>
            <w:tcW w:w="497"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-1.63</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-0.93</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-1.71*</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-3.67*</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-1.55</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-0.84</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-1.75*</w:t>
            </w:r>
          </w:p>
        </w:tc>
      </w:tr>
      <w:tr w:rsidR="003907B8" w:rsidRPr="002D2F3D" w:rsidTr="00545003">
        <w:trPr>
          <w:trHeight w:val="255"/>
        </w:trPr>
        <w:tc>
          <w:tcPr>
            <w:tcW w:w="1274"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97"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(1.02)</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(1.01)</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(0.89)</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(2.21)</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(1.14)</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(1.04)</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(1.02)</w:t>
            </w:r>
          </w:p>
        </w:tc>
      </w:tr>
      <w:tr w:rsidR="003907B8" w:rsidRPr="002D2F3D" w:rsidTr="00545003">
        <w:trPr>
          <w:trHeight w:val="255"/>
        </w:trPr>
        <w:tc>
          <w:tcPr>
            <w:tcW w:w="1274"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Industrialisation</w:t>
            </w:r>
          </w:p>
        </w:tc>
        <w:tc>
          <w:tcPr>
            <w:tcW w:w="497"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-0.72</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-2.16***</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-1.14</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-0.37</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-2.80**</w:t>
            </w:r>
          </w:p>
        </w:tc>
      </w:tr>
      <w:tr w:rsidR="003907B8" w:rsidRPr="002D2F3D" w:rsidTr="00545003">
        <w:trPr>
          <w:trHeight w:val="255"/>
        </w:trPr>
        <w:tc>
          <w:tcPr>
            <w:tcW w:w="1274"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97"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(0.87)</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(0.82)</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(0.97)</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(1.22)</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(1.32)</w:t>
            </w:r>
          </w:p>
        </w:tc>
      </w:tr>
      <w:tr w:rsidR="003907B8" w:rsidRPr="002D2F3D" w:rsidTr="00545003">
        <w:trPr>
          <w:trHeight w:val="255"/>
        </w:trPr>
        <w:tc>
          <w:tcPr>
            <w:tcW w:w="1274"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Population density</w:t>
            </w:r>
          </w:p>
        </w:tc>
        <w:tc>
          <w:tcPr>
            <w:tcW w:w="497"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0.40***</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0.43***</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1.25*</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0.56***</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0.62***</w:t>
            </w:r>
          </w:p>
        </w:tc>
      </w:tr>
      <w:tr w:rsidR="003907B8" w:rsidRPr="002D2F3D" w:rsidTr="00545003">
        <w:trPr>
          <w:trHeight w:val="255"/>
        </w:trPr>
        <w:tc>
          <w:tcPr>
            <w:tcW w:w="1274"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97"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(0.13)</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(0.11)</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(0.75)</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(0.14)</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(0.14)</w:t>
            </w:r>
          </w:p>
        </w:tc>
      </w:tr>
      <w:tr w:rsidR="003907B8" w:rsidRPr="002D2F3D" w:rsidTr="00545003">
        <w:trPr>
          <w:trHeight w:val="255"/>
        </w:trPr>
        <w:tc>
          <w:tcPr>
            <w:tcW w:w="1274"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Fertility</w:t>
            </w:r>
          </w:p>
        </w:tc>
        <w:tc>
          <w:tcPr>
            <w:tcW w:w="497"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1.52**</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0.33</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0.34</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1.46*</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0.13</w:t>
            </w:r>
          </w:p>
        </w:tc>
      </w:tr>
      <w:tr w:rsidR="003907B8" w:rsidRPr="002D2F3D" w:rsidTr="00545003">
        <w:trPr>
          <w:trHeight w:val="255"/>
        </w:trPr>
        <w:tc>
          <w:tcPr>
            <w:tcW w:w="1274"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97"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(0.59)</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(0.60)</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(1.16)</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(0.77)</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(0.83)</w:t>
            </w:r>
          </w:p>
        </w:tc>
      </w:tr>
      <w:tr w:rsidR="003907B8" w:rsidRPr="002D2F3D" w:rsidTr="00545003">
        <w:trPr>
          <w:trHeight w:val="255"/>
        </w:trPr>
        <w:tc>
          <w:tcPr>
            <w:tcW w:w="1274"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Literacy</w:t>
            </w:r>
          </w:p>
        </w:tc>
        <w:tc>
          <w:tcPr>
            <w:tcW w:w="497"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0.38</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2.35***</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1.90</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1.06***</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2.72***</w:t>
            </w:r>
          </w:p>
        </w:tc>
      </w:tr>
      <w:tr w:rsidR="003907B8" w:rsidRPr="002D2F3D" w:rsidTr="00545003">
        <w:trPr>
          <w:trHeight w:val="255"/>
        </w:trPr>
        <w:tc>
          <w:tcPr>
            <w:tcW w:w="1274"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97"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(0.26)</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(0.37)</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(1.19)</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(0.35)</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(0.51)</w:t>
            </w:r>
          </w:p>
        </w:tc>
      </w:tr>
      <w:tr w:rsidR="003907B8" w:rsidRPr="002D2F3D" w:rsidTr="00545003">
        <w:trPr>
          <w:trHeight w:val="255"/>
        </w:trPr>
        <w:tc>
          <w:tcPr>
            <w:tcW w:w="1274"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Commons</w:t>
            </w:r>
          </w:p>
        </w:tc>
        <w:tc>
          <w:tcPr>
            <w:tcW w:w="497"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-1.83***</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-1.79***</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0.76</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-2.17***</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-2.04***</w:t>
            </w:r>
          </w:p>
        </w:tc>
      </w:tr>
      <w:tr w:rsidR="003907B8" w:rsidRPr="002D2F3D" w:rsidTr="00545003">
        <w:trPr>
          <w:trHeight w:val="255"/>
        </w:trPr>
        <w:tc>
          <w:tcPr>
            <w:tcW w:w="1274"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97"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(0.41)</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(0.38)</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(1.61)</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(0.46)</w:t>
            </w: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(0.47)</w:t>
            </w:r>
          </w:p>
        </w:tc>
      </w:tr>
      <w:tr w:rsidR="003907B8" w:rsidRPr="002D2F3D" w:rsidTr="00545003">
        <w:trPr>
          <w:trHeight w:val="255"/>
        </w:trPr>
        <w:tc>
          <w:tcPr>
            <w:tcW w:w="1274"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d_1900</w:t>
            </w:r>
          </w:p>
        </w:tc>
        <w:tc>
          <w:tcPr>
            <w:tcW w:w="497"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-0.71***</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-0.53*</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r>
      <w:tr w:rsidR="003907B8" w:rsidRPr="002D2F3D" w:rsidTr="00545003">
        <w:trPr>
          <w:trHeight w:val="255"/>
        </w:trPr>
        <w:tc>
          <w:tcPr>
            <w:tcW w:w="1274"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97"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(0.13)</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(0.32)</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r>
      <w:tr w:rsidR="003907B8" w:rsidRPr="002D2F3D" w:rsidTr="00545003">
        <w:trPr>
          <w:trHeight w:val="255"/>
        </w:trPr>
        <w:tc>
          <w:tcPr>
            <w:tcW w:w="1274"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d_1910</w:t>
            </w:r>
          </w:p>
        </w:tc>
        <w:tc>
          <w:tcPr>
            <w:tcW w:w="497"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-0.97***</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-0.77*</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-0.28**</w:t>
            </w:r>
          </w:p>
        </w:tc>
      </w:tr>
      <w:tr w:rsidR="003907B8" w:rsidRPr="002D2F3D" w:rsidTr="00545003">
        <w:trPr>
          <w:trHeight w:val="255"/>
        </w:trPr>
        <w:tc>
          <w:tcPr>
            <w:tcW w:w="1274"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97"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(0.17)</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(0.41)</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(0.12)</w:t>
            </w:r>
          </w:p>
        </w:tc>
      </w:tr>
      <w:tr w:rsidR="003907B8" w:rsidRPr="002D2F3D" w:rsidTr="00545003">
        <w:trPr>
          <w:trHeight w:val="255"/>
        </w:trPr>
        <w:tc>
          <w:tcPr>
            <w:tcW w:w="1274"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d_1920</w:t>
            </w:r>
          </w:p>
        </w:tc>
        <w:tc>
          <w:tcPr>
            <w:tcW w:w="497"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-1.17***</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-0.93*</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-0.56***</w:t>
            </w:r>
          </w:p>
        </w:tc>
      </w:tr>
      <w:tr w:rsidR="003907B8" w:rsidRPr="002D2F3D" w:rsidTr="00545003">
        <w:trPr>
          <w:trHeight w:val="255"/>
        </w:trPr>
        <w:tc>
          <w:tcPr>
            <w:tcW w:w="1274"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97"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(0.21)</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(0.52)</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(0.19)</w:t>
            </w:r>
          </w:p>
        </w:tc>
      </w:tr>
      <w:tr w:rsidR="003907B8" w:rsidRPr="002D2F3D" w:rsidTr="00545003">
        <w:trPr>
          <w:trHeight w:val="255"/>
        </w:trPr>
        <w:tc>
          <w:tcPr>
            <w:tcW w:w="1274" w:type="pct"/>
            <w:vMerge w:val="restart"/>
            <w:tcBorders>
              <w:top w:val="nil"/>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d_1930</w:t>
            </w:r>
          </w:p>
        </w:tc>
        <w:tc>
          <w:tcPr>
            <w:tcW w:w="497"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-1.65***</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-1.39**</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-1.08***</w:t>
            </w:r>
          </w:p>
        </w:tc>
      </w:tr>
      <w:tr w:rsidR="003907B8" w:rsidRPr="002D2F3D" w:rsidTr="00545003">
        <w:trPr>
          <w:trHeight w:val="255"/>
        </w:trPr>
        <w:tc>
          <w:tcPr>
            <w:tcW w:w="1274" w:type="pct"/>
            <w:vMerge/>
            <w:tcBorders>
              <w:top w:val="nil"/>
              <w:left w:val="nil"/>
              <w:bottom w:val="nil"/>
              <w:right w:val="nil"/>
            </w:tcBorders>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p>
        </w:tc>
        <w:tc>
          <w:tcPr>
            <w:tcW w:w="497"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(0.20)</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(0.65)</w:t>
            </w:r>
          </w:p>
        </w:tc>
        <w:tc>
          <w:tcPr>
            <w:tcW w:w="73"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546" w:type="pct"/>
            <w:tcBorders>
              <w:top w:val="nil"/>
              <w:left w:val="nil"/>
              <w:bottom w:val="nil"/>
              <w:right w:val="nil"/>
            </w:tcBorders>
            <w:shd w:val="clear" w:color="auto" w:fill="auto"/>
            <w:noWrap/>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(0.20)</w:t>
            </w:r>
          </w:p>
        </w:tc>
      </w:tr>
      <w:tr w:rsidR="003907B8" w:rsidRPr="002D2F3D" w:rsidTr="00545003">
        <w:trPr>
          <w:trHeight w:val="255"/>
        </w:trPr>
        <w:tc>
          <w:tcPr>
            <w:tcW w:w="1274" w:type="pct"/>
            <w:tcBorders>
              <w:top w:val="single" w:sz="4" w:space="0" w:color="auto"/>
              <w:left w:val="nil"/>
              <w:bottom w:val="nil"/>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Observations</w:t>
            </w:r>
          </w:p>
        </w:tc>
        <w:tc>
          <w:tcPr>
            <w:tcW w:w="497"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245</w:t>
            </w:r>
          </w:p>
        </w:tc>
        <w:tc>
          <w:tcPr>
            <w:tcW w:w="546"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234</w:t>
            </w:r>
          </w:p>
        </w:tc>
        <w:tc>
          <w:tcPr>
            <w:tcW w:w="546"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234</w:t>
            </w:r>
          </w:p>
        </w:tc>
        <w:tc>
          <w:tcPr>
            <w:tcW w:w="73"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 </w:t>
            </w:r>
          </w:p>
        </w:tc>
        <w:tc>
          <w:tcPr>
            <w:tcW w:w="473"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234</w:t>
            </w:r>
          </w:p>
        </w:tc>
        <w:tc>
          <w:tcPr>
            <w:tcW w:w="73"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 </w:t>
            </w:r>
          </w:p>
        </w:tc>
        <w:tc>
          <w:tcPr>
            <w:tcW w:w="424"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196</w:t>
            </w:r>
          </w:p>
        </w:tc>
        <w:tc>
          <w:tcPr>
            <w:tcW w:w="546"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186</w:t>
            </w:r>
          </w:p>
        </w:tc>
        <w:tc>
          <w:tcPr>
            <w:tcW w:w="546" w:type="pct"/>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186</w:t>
            </w:r>
          </w:p>
        </w:tc>
      </w:tr>
      <w:tr w:rsidR="003907B8" w:rsidRPr="002D2F3D" w:rsidTr="00545003">
        <w:trPr>
          <w:trHeight w:val="255"/>
        </w:trPr>
        <w:tc>
          <w:tcPr>
            <w:tcW w:w="1274" w:type="pct"/>
            <w:tcBorders>
              <w:top w:val="nil"/>
              <w:left w:val="nil"/>
              <w:bottom w:val="single" w:sz="4" w:space="0" w:color="auto"/>
              <w:right w:val="nil"/>
            </w:tcBorders>
            <w:shd w:val="clear" w:color="auto" w:fill="auto"/>
            <w:noWrap/>
            <w:vAlign w:val="center"/>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R-squared</w:t>
            </w:r>
          </w:p>
        </w:tc>
        <w:tc>
          <w:tcPr>
            <w:tcW w:w="497"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0.123</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0.211</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0.363</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0.614</w:t>
            </w:r>
          </w:p>
        </w:tc>
        <w:tc>
          <w:tcPr>
            <w:tcW w:w="73"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p>
        </w:tc>
        <w:tc>
          <w:tcPr>
            <w:tcW w:w="424"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0.096</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0.293</w:t>
            </w:r>
          </w:p>
        </w:tc>
        <w:tc>
          <w:tcPr>
            <w:tcW w:w="546" w:type="pct"/>
            <w:tcBorders>
              <w:top w:val="nil"/>
              <w:left w:val="nil"/>
              <w:bottom w:val="nil"/>
              <w:right w:val="nil"/>
            </w:tcBorders>
            <w:shd w:val="clear" w:color="auto" w:fill="auto"/>
            <w:noWrap/>
            <w:vAlign w:val="bottom"/>
            <w:hideMark/>
          </w:tcPr>
          <w:p w:rsidR="003907B8" w:rsidRPr="002D2F3D" w:rsidRDefault="003907B8" w:rsidP="00545003">
            <w:pPr>
              <w:spacing w:after="0" w:line="240" w:lineRule="auto"/>
              <w:jc w:val="center"/>
              <w:rPr>
                <w:rFonts w:ascii="Times New Roman" w:eastAsia="Times New Roman" w:hAnsi="Times New Roman" w:cs="Times New Roman"/>
                <w:sz w:val="20"/>
                <w:szCs w:val="20"/>
                <w:lang w:val="en-GB"/>
              </w:rPr>
            </w:pPr>
            <w:r w:rsidRPr="002D2F3D">
              <w:rPr>
                <w:rFonts w:ascii="Times New Roman" w:eastAsia="Times New Roman" w:hAnsi="Times New Roman" w:cs="Times New Roman"/>
                <w:sz w:val="20"/>
                <w:szCs w:val="20"/>
                <w:lang w:val="en-GB"/>
              </w:rPr>
              <w:t>0.350</w:t>
            </w:r>
          </w:p>
        </w:tc>
      </w:tr>
      <w:tr w:rsidR="003907B8" w:rsidRPr="002D2F3D" w:rsidTr="00545003">
        <w:trPr>
          <w:trHeight w:val="255"/>
        </w:trPr>
        <w:tc>
          <w:tcPr>
            <w:tcW w:w="5000" w:type="pct"/>
            <w:gridSpan w:val="10"/>
            <w:tcBorders>
              <w:top w:val="single" w:sz="4" w:space="0" w:color="auto"/>
              <w:left w:val="nil"/>
              <w:bottom w:val="nil"/>
              <w:right w:val="nil"/>
            </w:tcBorders>
            <w:shd w:val="clear" w:color="auto" w:fill="auto"/>
            <w:noWrap/>
            <w:vAlign w:val="bottom"/>
            <w:hideMark/>
          </w:tcPr>
          <w:p w:rsidR="003907B8" w:rsidRPr="002D2F3D" w:rsidRDefault="003907B8" w:rsidP="00545003">
            <w:pPr>
              <w:spacing w:after="0" w:line="240" w:lineRule="auto"/>
              <w:rPr>
                <w:rFonts w:ascii="Times New Roman" w:eastAsia="Times New Roman" w:hAnsi="Times New Roman" w:cs="Times New Roman"/>
                <w:color w:val="000000"/>
                <w:sz w:val="20"/>
                <w:szCs w:val="20"/>
                <w:lang w:val="en-GB"/>
              </w:rPr>
            </w:pPr>
            <w:r w:rsidRPr="002D2F3D">
              <w:rPr>
                <w:rFonts w:ascii="Times New Roman" w:eastAsia="Times New Roman" w:hAnsi="Times New Roman" w:cs="Times New Roman"/>
                <w:color w:val="000000"/>
                <w:sz w:val="20"/>
                <w:szCs w:val="20"/>
                <w:lang w:val="en-GB"/>
              </w:rPr>
              <w:t xml:space="preserve">Robust standard errors between brackets; *, **, or *** denotes significance at 10, 5 or 1 per cent level. For simplicity, the intercept is not reported. </w:t>
            </w:r>
          </w:p>
        </w:tc>
      </w:tr>
    </w:tbl>
    <w:p w:rsidR="003907B8" w:rsidRDefault="003907B8" w:rsidP="003907B8"/>
    <w:p w:rsidR="003907B8" w:rsidRDefault="003907B8" w:rsidP="003907B8">
      <w:pPr>
        <w:spacing w:line="480" w:lineRule="auto"/>
        <w:rPr>
          <w:rFonts w:ascii="Times New Roman" w:hAnsi="Times New Roman" w:cs="Times New Roman"/>
          <w:b/>
          <w:sz w:val="24"/>
          <w:szCs w:val="24"/>
          <w:lang w:val="en-GB"/>
        </w:rPr>
      </w:pPr>
    </w:p>
    <w:p w:rsidR="003907B8" w:rsidRDefault="003907B8" w:rsidP="003907B8">
      <w:pPr>
        <w:spacing w:line="480" w:lineRule="auto"/>
        <w:rPr>
          <w:rFonts w:ascii="Times New Roman" w:hAnsi="Times New Roman" w:cs="Times New Roman"/>
          <w:b/>
          <w:sz w:val="24"/>
          <w:szCs w:val="24"/>
          <w:lang w:val="en-GB"/>
        </w:rPr>
      </w:pPr>
    </w:p>
    <w:p w:rsidR="003907B8" w:rsidRDefault="003907B8" w:rsidP="003907B8">
      <w:pPr>
        <w:spacing w:line="480" w:lineRule="auto"/>
        <w:rPr>
          <w:rFonts w:ascii="Times New Roman" w:hAnsi="Times New Roman" w:cs="Times New Roman"/>
          <w:b/>
          <w:sz w:val="24"/>
          <w:szCs w:val="24"/>
          <w:lang w:val="en-GB"/>
        </w:rPr>
      </w:pPr>
    </w:p>
    <w:p w:rsidR="003907B8" w:rsidRDefault="003907B8" w:rsidP="003907B8">
      <w:pPr>
        <w:spacing w:line="480" w:lineRule="auto"/>
        <w:rPr>
          <w:rFonts w:ascii="Times New Roman" w:hAnsi="Times New Roman" w:cs="Times New Roman"/>
          <w:b/>
          <w:sz w:val="24"/>
          <w:szCs w:val="24"/>
          <w:lang w:val="en-GB"/>
        </w:rPr>
      </w:pPr>
    </w:p>
    <w:p w:rsidR="003907B8" w:rsidRDefault="003907B8" w:rsidP="003907B8">
      <w:pPr>
        <w:spacing w:line="480" w:lineRule="auto"/>
        <w:rPr>
          <w:rFonts w:ascii="Times New Roman" w:hAnsi="Times New Roman" w:cs="Times New Roman"/>
          <w:b/>
          <w:sz w:val="24"/>
          <w:szCs w:val="24"/>
          <w:lang w:val="en-GB"/>
        </w:rPr>
      </w:pPr>
    </w:p>
    <w:p w:rsidR="003907B8" w:rsidRDefault="003907B8" w:rsidP="003907B8">
      <w:pPr>
        <w:spacing w:line="480" w:lineRule="auto"/>
        <w:rPr>
          <w:rFonts w:ascii="Times New Roman" w:hAnsi="Times New Roman" w:cs="Times New Roman"/>
          <w:b/>
          <w:sz w:val="24"/>
          <w:szCs w:val="24"/>
          <w:lang w:val="en-GB"/>
        </w:rPr>
      </w:pPr>
    </w:p>
    <w:tbl>
      <w:tblPr>
        <w:tblW w:w="0" w:type="auto"/>
        <w:tblLook w:val="04A0" w:firstRow="1" w:lastRow="0" w:firstColumn="1" w:lastColumn="0" w:noHBand="0" w:noVBand="1"/>
      </w:tblPr>
      <w:tblGrid>
        <w:gridCol w:w="1725"/>
        <w:gridCol w:w="1027"/>
        <w:gridCol w:w="1027"/>
        <w:gridCol w:w="1027"/>
        <w:gridCol w:w="331"/>
        <w:gridCol w:w="1027"/>
        <w:gridCol w:w="331"/>
        <w:gridCol w:w="1027"/>
        <w:gridCol w:w="1027"/>
        <w:gridCol w:w="1027"/>
      </w:tblGrid>
      <w:tr w:rsidR="004E7B04" w:rsidRPr="007C06A9" w:rsidTr="00545003">
        <w:trPr>
          <w:trHeight w:val="260"/>
        </w:trPr>
        <w:tc>
          <w:tcPr>
            <w:tcW w:w="0" w:type="auto"/>
            <w:gridSpan w:val="10"/>
            <w:tcBorders>
              <w:top w:val="nil"/>
              <w:left w:val="nil"/>
              <w:bottom w:val="double" w:sz="6"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lastRenderedPageBreak/>
              <w:t>TABLE A</w:t>
            </w:r>
            <w:r>
              <w:rPr>
                <w:rFonts w:ascii="Times New Roman" w:eastAsia="Times New Roman" w:hAnsi="Times New Roman" w:cs="Times New Roman"/>
                <w:color w:val="000000"/>
                <w:sz w:val="20"/>
                <w:szCs w:val="20"/>
                <w:lang w:val="en-GB" w:eastAsia="en-US"/>
              </w:rPr>
              <w:t>4</w:t>
            </w:r>
            <w:r w:rsidRPr="00D579AA">
              <w:rPr>
                <w:rFonts w:ascii="Times New Roman" w:eastAsia="Times New Roman" w:hAnsi="Times New Roman" w:cs="Times New Roman"/>
                <w:color w:val="000000"/>
                <w:sz w:val="20"/>
                <w:szCs w:val="20"/>
                <w:lang w:val="en-GB" w:eastAsia="en-US"/>
              </w:rPr>
              <w:t>. Determinants of inequality (globalisation)</w:t>
            </w:r>
          </w:p>
        </w:tc>
      </w:tr>
      <w:tr w:rsidR="004E7B04" w:rsidRPr="00D579AA" w:rsidTr="00545003">
        <w:trPr>
          <w:trHeight w:val="260"/>
        </w:trPr>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sz w:val="20"/>
                <w:szCs w:val="20"/>
                <w:lang w:val="en-GB" w:eastAsia="en-US"/>
              </w:rPr>
            </w:pPr>
          </w:p>
        </w:tc>
        <w:tc>
          <w:tcPr>
            <w:tcW w:w="0" w:type="auto"/>
            <w:gridSpan w:val="9"/>
            <w:tcBorders>
              <w:top w:val="double" w:sz="6" w:space="0" w:color="auto"/>
              <w:left w:val="nil"/>
              <w:bottom w:val="single" w:sz="4"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Dependent variable: Williamson Index</w:t>
            </w:r>
          </w:p>
        </w:tc>
      </w:tr>
      <w:tr w:rsidR="004E7B04" w:rsidRPr="00D579AA" w:rsidTr="00545003">
        <w:trPr>
          <w:trHeight w:val="240"/>
        </w:trPr>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sz w:val="20"/>
                <w:szCs w:val="20"/>
                <w:lang w:val="en-GB" w:eastAsia="en-US"/>
              </w:rPr>
            </w:pPr>
          </w:p>
        </w:tc>
        <w:tc>
          <w:tcPr>
            <w:tcW w:w="0" w:type="auto"/>
            <w:gridSpan w:val="3"/>
            <w:tcBorders>
              <w:top w:val="single" w:sz="4" w:space="0" w:color="auto"/>
              <w:left w:val="nil"/>
              <w:bottom w:val="single" w:sz="4"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OLS</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FE</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w:t>
            </w:r>
          </w:p>
        </w:tc>
        <w:tc>
          <w:tcPr>
            <w:tcW w:w="0" w:type="auto"/>
            <w:gridSpan w:val="3"/>
            <w:tcBorders>
              <w:top w:val="single" w:sz="4" w:space="0" w:color="auto"/>
              <w:left w:val="nil"/>
              <w:bottom w:val="single" w:sz="4"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IV</w:t>
            </w:r>
          </w:p>
        </w:tc>
      </w:tr>
      <w:tr w:rsidR="004E7B04" w:rsidRPr="00D579AA" w:rsidTr="00545003">
        <w:trPr>
          <w:trHeight w:val="240"/>
        </w:trPr>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 </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(7)</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roofErr w:type="spellStart"/>
            <w:r w:rsidRPr="00D579AA">
              <w:rPr>
                <w:rFonts w:ascii="Times New Roman" w:eastAsia="Times New Roman" w:hAnsi="Times New Roman" w:cs="Times New Roman"/>
                <w:color w:val="000000"/>
                <w:sz w:val="20"/>
                <w:szCs w:val="20"/>
                <w:lang w:val="en-GB" w:eastAsia="en-US"/>
              </w:rPr>
              <w:t>GDPpc</w:t>
            </w:r>
            <w:proofErr w:type="spellEnd"/>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5.10***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6.41***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6.28***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6.63***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6.75***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6.95***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7.13***</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(1.40)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(1.80)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(1.73)</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roofErr w:type="spellStart"/>
            <w:r w:rsidRPr="00D579AA">
              <w:rPr>
                <w:rFonts w:ascii="Times New Roman" w:eastAsia="Times New Roman" w:hAnsi="Times New Roman" w:cs="Times New Roman"/>
                <w:color w:val="000000"/>
                <w:sz w:val="20"/>
                <w:szCs w:val="20"/>
                <w:lang w:val="en-GB" w:eastAsia="en-US"/>
              </w:rPr>
              <w:t>GDPpc</w:t>
            </w:r>
            <w:proofErr w:type="spellEnd"/>
            <w:r w:rsidRPr="00D579AA">
              <w:rPr>
                <w:rFonts w:ascii="Times New Roman" w:eastAsia="Times New Roman" w:hAnsi="Times New Roman" w:cs="Times New Roman"/>
                <w:color w:val="000000"/>
                <w:sz w:val="20"/>
                <w:szCs w:val="20"/>
                <w:lang w:val="en-GB" w:eastAsia="en-US"/>
              </w:rPr>
              <w:t xml:space="preserve"> squared</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-1.64***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-1.95***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-1.94***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-2.02***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-2.78***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-2.89***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-2.61***</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(0.64)</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Urbanisation</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-1.11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-0.02</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(1.20)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(0.26)</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Industrialisation</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-2.67***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-3.28***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-1.20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-2.64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-4.83**</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(1.87)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(1.91)</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xml:space="preserve">Population </w:t>
            </w:r>
          </w:p>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density (ln)</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0.67***</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(0.14)</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Fertility</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4.25***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3.09***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2.07**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2.95***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2.30**</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(0.92)</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Literacy</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-1.12***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0.90*</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(0.46)</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Commons</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-1.24***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-1.29***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-1.75***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-1.61***</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(0.39)</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(1.46)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(0.42)</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d_1910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-0.23*</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(0.13)</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d_1920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-1.26***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-0.53**</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(0.21)</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d_1930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-1.25***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-1.59***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-0.83***</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(0.17)</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Dist. to Mad/</w:t>
            </w:r>
            <w:proofErr w:type="spellStart"/>
            <w:r w:rsidRPr="00D579AA">
              <w:rPr>
                <w:rFonts w:ascii="Times New Roman" w:eastAsia="Times New Roman" w:hAnsi="Times New Roman" w:cs="Times New Roman"/>
                <w:color w:val="000000"/>
                <w:sz w:val="20"/>
                <w:szCs w:val="20"/>
                <w:lang w:val="en-GB" w:eastAsia="en-US"/>
              </w:rPr>
              <w:t>Bcn</w:t>
            </w:r>
            <w:proofErr w:type="spellEnd"/>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ind w:left="333"/>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d_1900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ind w:left="333"/>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ind w:left="333"/>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d_1910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ind w:left="333"/>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ind w:left="333"/>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d_1920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ind w:left="333"/>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ind w:left="333"/>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d_1930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Coast</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0.24</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(0.18)</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ind w:left="333"/>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d_1900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ind w:left="333"/>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(0.19)</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ind w:left="333"/>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d_1910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0.07</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ind w:left="333"/>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(0.20)</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ind w:left="333"/>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d_1920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-0.37</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ind w:left="333"/>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(0.29)</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(0.24)</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ind w:left="333"/>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d_1930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-0.82***</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(0.30)</w:t>
            </w:r>
          </w:p>
        </w:tc>
      </w:tr>
      <w:tr w:rsidR="004E7B04" w:rsidRPr="00D579AA" w:rsidTr="00545003">
        <w:trPr>
          <w:trHeight w:val="240"/>
        </w:trPr>
        <w:tc>
          <w:tcPr>
            <w:tcW w:w="0" w:type="auto"/>
            <w:tcBorders>
              <w:top w:val="single" w:sz="4" w:space="0" w:color="auto"/>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Observations</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245</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234</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234</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 </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234</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 </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196</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186</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186</w:t>
            </w:r>
          </w:p>
        </w:tc>
      </w:tr>
      <w:tr w:rsidR="004E7B04" w:rsidRPr="00D579AA" w:rsidTr="00545003">
        <w:trPr>
          <w:trHeight w:val="240"/>
        </w:trPr>
        <w:tc>
          <w:tcPr>
            <w:tcW w:w="0" w:type="auto"/>
            <w:tcBorders>
              <w:top w:val="nil"/>
              <w:left w:val="nil"/>
              <w:bottom w:val="single" w:sz="4" w:space="0" w:color="auto"/>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R-squared</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0.411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0.546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0.598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0.744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0.433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0.568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0.579</w:t>
            </w:r>
          </w:p>
        </w:tc>
      </w:tr>
      <w:tr w:rsidR="004E7B04" w:rsidRPr="00F30C8F" w:rsidTr="00545003">
        <w:trPr>
          <w:trHeight w:val="240"/>
        </w:trPr>
        <w:tc>
          <w:tcPr>
            <w:tcW w:w="0" w:type="auto"/>
            <w:gridSpan w:val="10"/>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xml:space="preserve">Robust standard errors between brackets; *, **, or *** denotes significance at 10, 5 or 1 per cent level. For simplicity, the intercept is not reported. </w:t>
            </w:r>
          </w:p>
        </w:tc>
      </w:tr>
    </w:tbl>
    <w:p w:rsidR="004E7B04" w:rsidRDefault="004E7B04" w:rsidP="004E7B04"/>
    <w:tbl>
      <w:tblPr>
        <w:tblW w:w="0" w:type="auto"/>
        <w:tblLook w:val="04A0" w:firstRow="1" w:lastRow="0" w:firstColumn="1" w:lastColumn="0" w:noHBand="0" w:noVBand="1"/>
      </w:tblPr>
      <w:tblGrid>
        <w:gridCol w:w="1678"/>
        <w:gridCol w:w="981"/>
        <w:gridCol w:w="1052"/>
        <w:gridCol w:w="1052"/>
        <w:gridCol w:w="338"/>
        <w:gridCol w:w="1052"/>
        <w:gridCol w:w="338"/>
        <w:gridCol w:w="981"/>
        <w:gridCol w:w="1052"/>
        <w:gridCol w:w="1052"/>
      </w:tblGrid>
      <w:tr w:rsidR="004E7B04" w:rsidRPr="005B164B" w:rsidTr="00545003">
        <w:trPr>
          <w:trHeight w:val="260"/>
        </w:trPr>
        <w:tc>
          <w:tcPr>
            <w:tcW w:w="0" w:type="auto"/>
            <w:gridSpan w:val="10"/>
            <w:tcBorders>
              <w:top w:val="nil"/>
              <w:left w:val="nil"/>
              <w:bottom w:val="double" w:sz="6"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lastRenderedPageBreak/>
              <w:t>TABLE A</w:t>
            </w:r>
            <w:r>
              <w:rPr>
                <w:rFonts w:ascii="Times New Roman" w:eastAsia="Times New Roman" w:hAnsi="Times New Roman" w:cs="Times New Roman"/>
                <w:color w:val="000000"/>
                <w:sz w:val="20"/>
                <w:szCs w:val="20"/>
                <w:lang w:val="en-GB" w:eastAsia="en-US"/>
              </w:rPr>
              <w:t>5</w:t>
            </w:r>
            <w:r w:rsidRPr="00D579AA">
              <w:rPr>
                <w:rFonts w:ascii="Times New Roman" w:eastAsia="Times New Roman" w:hAnsi="Times New Roman" w:cs="Times New Roman"/>
                <w:color w:val="000000"/>
                <w:sz w:val="20"/>
                <w:szCs w:val="20"/>
                <w:lang w:val="en-GB" w:eastAsia="en-US"/>
              </w:rPr>
              <w:t>. Determinants of inequality (migration)</w:t>
            </w:r>
          </w:p>
        </w:tc>
      </w:tr>
      <w:tr w:rsidR="004E7B04" w:rsidRPr="00D579AA" w:rsidTr="00545003">
        <w:trPr>
          <w:trHeight w:val="260"/>
        </w:trPr>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sz w:val="20"/>
                <w:szCs w:val="20"/>
                <w:lang w:val="en-GB" w:eastAsia="en-US"/>
              </w:rPr>
            </w:pPr>
          </w:p>
        </w:tc>
        <w:tc>
          <w:tcPr>
            <w:tcW w:w="0" w:type="auto"/>
            <w:gridSpan w:val="9"/>
            <w:tcBorders>
              <w:top w:val="double" w:sz="6" w:space="0" w:color="auto"/>
              <w:left w:val="nil"/>
              <w:bottom w:val="single" w:sz="4"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Dependent variable: Williamson Index</w:t>
            </w:r>
          </w:p>
        </w:tc>
      </w:tr>
      <w:tr w:rsidR="004E7B04" w:rsidRPr="00D579AA" w:rsidTr="00545003">
        <w:trPr>
          <w:trHeight w:val="240"/>
        </w:trPr>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sz w:val="20"/>
                <w:szCs w:val="20"/>
                <w:lang w:val="en-GB" w:eastAsia="en-US"/>
              </w:rPr>
            </w:pPr>
          </w:p>
        </w:tc>
        <w:tc>
          <w:tcPr>
            <w:tcW w:w="0" w:type="auto"/>
            <w:gridSpan w:val="3"/>
            <w:tcBorders>
              <w:top w:val="single" w:sz="4" w:space="0" w:color="auto"/>
              <w:left w:val="nil"/>
              <w:bottom w:val="single" w:sz="4"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OLS</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FE</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w:t>
            </w:r>
          </w:p>
        </w:tc>
        <w:tc>
          <w:tcPr>
            <w:tcW w:w="0" w:type="auto"/>
            <w:gridSpan w:val="3"/>
            <w:tcBorders>
              <w:top w:val="single" w:sz="4" w:space="0" w:color="auto"/>
              <w:left w:val="nil"/>
              <w:bottom w:val="single" w:sz="4"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IV</w:t>
            </w:r>
          </w:p>
        </w:tc>
      </w:tr>
      <w:tr w:rsidR="004E7B04" w:rsidRPr="00D579AA" w:rsidTr="00545003">
        <w:trPr>
          <w:trHeight w:val="240"/>
        </w:trPr>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 </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(7)</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roofErr w:type="spellStart"/>
            <w:r w:rsidRPr="00D579AA">
              <w:rPr>
                <w:rFonts w:ascii="Times New Roman" w:eastAsia="Times New Roman" w:hAnsi="Times New Roman" w:cs="Times New Roman"/>
                <w:color w:val="000000"/>
                <w:sz w:val="20"/>
                <w:szCs w:val="20"/>
                <w:lang w:val="en-GB" w:eastAsia="en-US"/>
              </w:rPr>
              <w:t>GDPpc</w:t>
            </w:r>
            <w:proofErr w:type="spellEnd"/>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3.70***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6.11***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6.13***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6.69***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5.30***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8.07***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7.93***</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(0.99)</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(1.63)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(2.11)</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roofErr w:type="spellStart"/>
            <w:r w:rsidRPr="00D579AA">
              <w:rPr>
                <w:rFonts w:ascii="Times New Roman" w:eastAsia="Times New Roman" w:hAnsi="Times New Roman" w:cs="Times New Roman"/>
                <w:color w:val="000000"/>
                <w:sz w:val="20"/>
                <w:szCs w:val="20"/>
                <w:lang w:val="en-GB" w:eastAsia="en-US"/>
              </w:rPr>
              <w:t>GDPpc</w:t>
            </w:r>
            <w:proofErr w:type="spellEnd"/>
            <w:r w:rsidRPr="00D579AA">
              <w:rPr>
                <w:rFonts w:ascii="Times New Roman" w:eastAsia="Times New Roman" w:hAnsi="Times New Roman" w:cs="Times New Roman"/>
                <w:color w:val="000000"/>
                <w:sz w:val="20"/>
                <w:szCs w:val="20"/>
                <w:lang w:val="en-GB" w:eastAsia="en-US"/>
              </w:rPr>
              <w:t xml:space="preserve"> squared</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-1.24*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-1.80***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-1.90***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-2.14***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-2.41**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-3.23***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-2.86***</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(1.10)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(0.71)</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Urbanisation</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-0.03</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(0.29)</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Industrialisation</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-1.86**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-2.70***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-1.80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-5.24**</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(2.02)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(2.25)</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xml:space="preserve">Population </w:t>
            </w:r>
          </w:p>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density (ln)</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0.65***</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(0.14)</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Fertility</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3.64***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2.55***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2.72**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4.04***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2.57***</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(1.10)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(0.86)</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Literacy</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-1.35***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0.84</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(0.52)</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Commons</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-1.31***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-1.30***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-1.91***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-1.66***</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(1.41)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(0.43)</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d_1910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-0.17</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(0.11)</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d_1920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-0.54***</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(0.39)</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(0.16)</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d_1930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-1.49***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-1.56***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-1.14***</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(0.20)</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Migration</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r>
      <w:tr w:rsidR="004E7B04" w:rsidRPr="00D579AA" w:rsidTr="00545003">
        <w:trPr>
          <w:trHeight w:val="240"/>
        </w:trPr>
        <w:tc>
          <w:tcPr>
            <w:tcW w:w="0" w:type="auto"/>
            <w:tcBorders>
              <w:top w:val="single" w:sz="4" w:space="0" w:color="auto"/>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Observations</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245</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234</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234</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 </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234</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 </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196</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186</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186</w:t>
            </w:r>
          </w:p>
        </w:tc>
      </w:tr>
      <w:tr w:rsidR="004E7B04" w:rsidRPr="00D579AA" w:rsidTr="00545003">
        <w:trPr>
          <w:trHeight w:val="240"/>
        </w:trPr>
        <w:tc>
          <w:tcPr>
            <w:tcW w:w="0" w:type="auto"/>
            <w:tcBorders>
              <w:top w:val="nil"/>
              <w:left w:val="nil"/>
              <w:bottom w:val="single" w:sz="4" w:space="0" w:color="auto"/>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R-squared</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0.312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0.455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0.569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0.733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0.328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0.476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0.524</w:t>
            </w:r>
          </w:p>
        </w:tc>
      </w:tr>
      <w:tr w:rsidR="004E7B04" w:rsidRPr="00F30C8F" w:rsidTr="00545003">
        <w:trPr>
          <w:trHeight w:val="240"/>
        </w:trPr>
        <w:tc>
          <w:tcPr>
            <w:tcW w:w="0" w:type="auto"/>
            <w:gridSpan w:val="10"/>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both"/>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xml:space="preserve">Robust standard errors between brackets; *, **, or *** denotes significance at 10, 5 or 1 per cent level. For simplicity, the intercept is not reported. </w:t>
            </w:r>
          </w:p>
        </w:tc>
      </w:tr>
    </w:tbl>
    <w:p w:rsidR="004E7B04" w:rsidRDefault="004E7B04" w:rsidP="004E7B04"/>
    <w:p w:rsidR="003907B8" w:rsidRDefault="003907B8" w:rsidP="003907B8">
      <w:pPr>
        <w:spacing w:line="480" w:lineRule="auto"/>
        <w:rPr>
          <w:rFonts w:ascii="Times New Roman" w:hAnsi="Times New Roman" w:cs="Times New Roman"/>
          <w:b/>
          <w:sz w:val="24"/>
          <w:szCs w:val="24"/>
          <w:lang w:val="en-GB"/>
        </w:rPr>
      </w:pPr>
    </w:p>
    <w:p w:rsidR="004E7B04" w:rsidRDefault="004E7B04" w:rsidP="003907B8">
      <w:pPr>
        <w:spacing w:line="480" w:lineRule="auto"/>
        <w:rPr>
          <w:rFonts w:ascii="Times New Roman" w:hAnsi="Times New Roman" w:cs="Times New Roman"/>
          <w:b/>
          <w:sz w:val="24"/>
          <w:szCs w:val="24"/>
          <w:lang w:val="en-GB"/>
        </w:rPr>
      </w:pPr>
    </w:p>
    <w:p w:rsidR="004E7B04" w:rsidRDefault="004E7B04" w:rsidP="003907B8">
      <w:pPr>
        <w:spacing w:line="480" w:lineRule="auto"/>
        <w:rPr>
          <w:rFonts w:ascii="Times New Roman" w:hAnsi="Times New Roman" w:cs="Times New Roman"/>
          <w:b/>
          <w:sz w:val="24"/>
          <w:szCs w:val="24"/>
          <w:lang w:val="en-GB"/>
        </w:rPr>
      </w:pPr>
    </w:p>
    <w:p w:rsidR="004E7B04" w:rsidRDefault="004E7B04" w:rsidP="003907B8">
      <w:pPr>
        <w:spacing w:line="480" w:lineRule="auto"/>
        <w:rPr>
          <w:rFonts w:ascii="Times New Roman" w:hAnsi="Times New Roman" w:cs="Times New Roman"/>
          <w:b/>
          <w:sz w:val="24"/>
          <w:szCs w:val="24"/>
          <w:lang w:val="en-GB"/>
        </w:rPr>
      </w:pPr>
    </w:p>
    <w:p w:rsidR="004E7B04" w:rsidRDefault="004E7B04" w:rsidP="003907B8">
      <w:pPr>
        <w:spacing w:line="480" w:lineRule="auto"/>
        <w:rPr>
          <w:rFonts w:ascii="Times New Roman" w:hAnsi="Times New Roman" w:cs="Times New Roman"/>
          <w:b/>
          <w:sz w:val="24"/>
          <w:szCs w:val="24"/>
          <w:lang w:val="en-GB"/>
        </w:rPr>
      </w:pPr>
    </w:p>
    <w:p w:rsidR="004E7B04" w:rsidRDefault="004E7B04" w:rsidP="003907B8">
      <w:pPr>
        <w:spacing w:line="480" w:lineRule="auto"/>
        <w:rPr>
          <w:rFonts w:ascii="Times New Roman" w:hAnsi="Times New Roman" w:cs="Times New Roman"/>
          <w:b/>
          <w:sz w:val="24"/>
          <w:szCs w:val="24"/>
          <w:lang w:val="en-GB"/>
        </w:rPr>
      </w:pPr>
    </w:p>
    <w:tbl>
      <w:tblPr>
        <w:tblW w:w="0" w:type="auto"/>
        <w:tblLook w:val="04A0" w:firstRow="1" w:lastRow="0" w:firstColumn="1" w:lastColumn="0" w:noHBand="0" w:noVBand="1"/>
      </w:tblPr>
      <w:tblGrid>
        <w:gridCol w:w="1619"/>
        <w:gridCol w:w="1041"/>
        <w:gridCol w:w="1041"/>
        <w:gridCol w:w="1041"/>
        <w:gridCol w:w="335"/>
        <w:gridCol w:w="1041"/>
        <w:gridCol w:w="335"/>
        <w:gridCol w:w="1041"/>
        <w:gridCol w:w="1041"/>
        <w:gridCol w:w="1041"/>
      </w:tblGrid>
      <w:tr w:rsidR="004E7B04" w:rsidRPr="00A3736C" w:rsidTr="00545003">
        <w:trPr>
          <w:trHeight w:val="260"/>
        </w:trPr>
        <w:tc>
          <w:tcPr>
            <w:tcW w:w="0" w:type="auto"/>
            <w:gridSpan w:val="10"/>
            <w:tcBorders>
              <w:top w:val="nil"/>
              <w:left w:val="nil"/>
              <w:bottom w:val="double" w:sz="6"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lastRenderedPageBreak/>
              <w:t>TABLE A</w:t>
            </w:r>
            <w:r>
              <w:rPr>
                <w:rFonts w:ascii="Times New Roman" w:eastAsia="Times New Roman" w:hAnsi="Times New Roman" w:cs="Times New Roman"/>
                <w:color w:val="000000"/>
                <w:sz w:val="20"/>
                <w:szCs w:val="20"/>
                <w:lang w:val="en-GB" w:eastAsia="en-US"/>
              </w:rPr>
              <w:t>6</w:t>
            </w:r>
            <w:r w:rsidRPr="00D579AA">
              <w:rPr>
                <w:rFonts w:ascii="Times New Roman" w:eastAsia="Times New Roman" w:hAnsi="Times New Roman" w:cs="Times New Roman"/>
                <w:color w:val="000000"/>
                <w:sz w:val="20"/>
                <w:szCs w:val="20"/>
                <w:lang w:val="en-GB" w:eastAsia="en-US"/>
              </w:rPr>
              <w:t>. Determinants of inequality (wheat prices)</w:t>
            </w:r>
          </w:p>
        </w:tc>
      </w:tr>
      <w:tr w:rsidR="004E7B04" w:rsidRPr="00D579AA" w:rsidTr="00545003">
        <w:trPr>
          <w:trHeight w:val="260"/>
        </w:trPr>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sz w:val="20"/>
                <w:szCs w:val="20"/>
                <w:lang w:val="en-GB" w:eastAsia="en-US"/>
              </w:rPr>
            </w:pPr>
          </w:p>
        </w:tc>
        <w:tc>
          <w:tcPr>
            <w:tcW w:w="0" w:type="auto"/>
            <w:gridSpan w:val="9"/>
            <w:tcBorders>
              <w:top w:val="double" w:sz="6" w:space="0" w:color="auto"/>
              <w:left w:val="nil"/>
              <w:bottom w:val="single" w:sz="4"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Dependent variable: Williamson Index</w:t>
            </w:r>
          </w:p>
        </w:tc>
      </w:tr>
      <w:tr w:rsidR="004E7B04" w:rsidRPr="00D579AA" w:rsidTr="00545003">
        <w:trPr>
          <w:trHeight w:val="240"/>
        </w:trPr>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sz w:val="20"/>
                <w:szCs w:val="20"/>
                <w:lang w:val="en-GB" w:eastAsia="en-US"/>
              </w:rPr>
            </w:pPr>
          </w:p>
        </w:tc>
        <w:tc>
          <w:tcPr>
            <w:tcW w:w="0" w:type="auto"/>
            <w:gridSpan w:val="3"/>
            <w:tcBorders>
              <w:top w:val="single" w:sz="4" w:space="0" w:color="auto"/>
              <w:left w:val="nil"/>
              <w:bottom w:val="single" w:sz="4"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OLS</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FE</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w:t>
            </w:r>
          </w:p>
        </w:tc>
        <w:tc>
          <w:tcPr>
            <w:tcW w:w="0" w:type="auto"/>
            <w:gridSpan w:val="3"/>
            <w:tcBorders>
              <w:top w:val="single" w:sz="4" w:space="0" w:color="auto"/>
              <w:left w:val="nil"/>
              <w:bottom w:val="single" w:sz="4"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IV</w:t>
            </w:r>
          </w:p>
        </w:tc>
      </w:tr>
      <w:tr w:rsidR="004E7B04" w:rsidRPr="00D579AA" w:rsidTr="00545003">
        <w:trPr>
          <w:trHeight w:val="240"/>
        </w:trPr>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 </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(7)</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roofErr w:type="spellStart"/>
            <w:r w:rsidRPr="00D579AA">
              <w:rPr>
                <w:rFonts w:ascii="Times New Roman" w:eastAsia="Times New Roman" w:hAnsi="Times New Roman" w:cs="Times New Roman"/>
                <w:color w:val="000000"/>
                <w:sz w:val="20"/>
                <w:szCs w:val="20"/>
                <w:lang w:val="en-GB" w:eastAsia="en-US"/>
              </w:rPr>
              <w:t>GDPpc</w:t>
            </w:r>
            <w:proofErr w:type="spellEnd"/>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4.84***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6.07***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6.16***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6.46***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6.45***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9.39***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8.30***</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(1.50)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(2.43)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(2.46)</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roofErr w:type="spellStart"/>
            <w:r w:rsidRPr="00D579AA">
              <w:rPr>
                <w:rFonts w:ascii="Times New Roman" w:eastAsia="Times New Roman" w:hAnsi="Times New Roman" w:cs="Times New Roman"/>
                <w:color w:val="000000"/>
                <w:sz w:val="20"/>
                <w:szCs w:val="20"/>
                <w:lang w:val="en-GB" w:eastAsia="en-US"/>
              </w:rPr>
              <w:t>GDPpc</w:t>
            </w:r>
            <w:proofErr w:type="spellEnd"/>
            <w:r w:rsidRPr="00D579AA">
              <w:rPr>
                <w:rFonts w:ascii="Times New Roman" w:eastAsia="Times New Roman" w:hAnsi="Times New Roman" w:cs="Times New Roman"/>
                <w:color w:val="000000"/>
                <w:sz w:val="20"/>
                <w:szCs w:val="20"/>
                <w:lang w:val="en-GB" w:eastAsia="en-US"/>
              </w:rPr>
              <w:t xml:space="preserve"> squared</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-1.56**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-1.69***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-1.95***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-2.14***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-2.71***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-3.56***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-3.00***</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(0.84)</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Urbanisation</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-0.19</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(1.10)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(0.33)</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Industry</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-2.44***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-2.81***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-3.44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-5.54**</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(2.15)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(2.28)</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xml:space="preserve">Population </w:t>
            </w:r>
          </w:p>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density (ln)</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0.68***</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(0.15)</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Fertility</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3.91***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3.02***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2.89***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4.92***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3.06***</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(1.14)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(1.04)</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Literacy</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0.67</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(0.39)</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(0.89)</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(0.62)</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Commons</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-1.46***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-1.43***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-2.11***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-1.80***</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(1.40)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(0.44)</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d_1910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-0.17</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(0.31)</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d_1920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-1.14**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-1.63***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-0.60</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(0.54)</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d_1930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-1.55***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-1.90***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-1.15***</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(0.42)</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Wheat prices</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(0.02)</w:t>
            </w:r>
          </w:p>
        </w:tc>
      </w:tr>
      <w:tr w:rsidR="004E7B04" w:rsidRPr="00D579AA" w:rsidTr="00545003">
        <w:trPr>
          <w:trHeight w:val="240"/>
        </w:trPr>
        <w:tc>
          <w:tcPr>
            <w:tcW w:w="0" w:type="auto"/>
            <w:tcBorders>
              <w:top w:val="single" w:sz="4" w:space="0" w:color="auto"/>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Observations</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242</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231</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231</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 </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231</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 </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194</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184</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184</w:t>
            </w:r>
          </w:p>
        </w:tc>
      </w:tr>
      <w:tr w:rsidR="004E7B04" w:rsidRPr="00D579AA" w:rsidTr="00545003">
        <w:trPr>
          <w:trHeight w:val="240"/>
        </w:trPr>
        <w:tc>
          <w:tcPr>
            <w:tcW w:w="0" w:type="auto"/>
            <w:tcBorders>
              <w:top w:val="nil"/>
              <w:left w:val="nil"/>
              <w:bottom w:val="single" w:sz="4" w:space="0" w:color="auto"/>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R-squared</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0.370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0.496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0.577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0.733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0.360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0.468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0.518</w:t>
            </w:r>
          </w:p>
        </w:tc>
      </w:tr>
      <w:tr w:rsidR="004E7B04" w:rsidRPr="00F30C8F" w:rsidTr="00545003">
        <w:trPr>
          <w:trHeight w:val="240"/>
        </w:trPr>
        <w:tc>
          <w:tcPr>
            <w:tcW w:w="0" w:type="auto"/>
            <w:gridSpan w:val="10"/>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both"/>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xml:space="preserve">Robust standard errors between brackets; *, **, or *** denotes significance at 10, 5 or 1 per cent level. For simplicity, the intercept is not reported. </w:t>
            </w:r>
          </w:p>
        </w:tc>
      </w:tr>
    </w:tbl>
    <w:p w:rsidR="004E7B04" w:rsidRDefault="004E7B04" w:rsidP="004E7B04"/>
    <w:p w:rsidR="004E7B04" w:rsidRDefault="004E7B04" w:rsidP="003907B8">
      <w:pPr>
        <w:spacing w:line="480" w:lineRule="auto"/>
        <w:rPr>
          <w:rFonts w:ascii="Times New Roman" w:hAnsi="Times New Roman" w:cs="Times New Roman"/>
          <w:b/>
          <w:sz w:val="24"/>
          <w:szCs w:val="24"/>
          <w:lang w:val="en-GB"/>
        </w:rPr>
      </w:pPr>
    </w:p>
    <w:p w:rsidR="004E7B04" w:rsidRDefault="004E7B04" w:rsidP="003907B8">
      <w:pPr>
        <w:spacing w:line="480" w:lineRule="auto"/>
        <w:rPr>
          <w:rFonts w:ascii="Times New Roman" w:hAnsi="Times New Roman" w:cs="Times New Roman"/>
          <w:b/>
          <w:sz w:val="24"/>
          <w:szCs w:val="24"/>
          <w:lang w:val="en-GB"/>
        </w:rPr>
      </w:pPr>
    </w:p>
    <w:p w:rsidR="004E7B04" w:rsidRDefault="004E7B04" w:rsidP="003907B8">
      <w:pPr>
        <w:spacing w:line="480" w:lineRule="auto"/>
        <w:rPr>
          <w:rFonts w:ascii="Times New Roman" w:hAnsi="Times New Roman" w:cs="Times New Roman"/>
          <w:b/>
          <w:sz w:val="24"/>
          <w:szCs w:val="24"/>
          <w:lang w:val="en-GB"/>
        </w:rPr>
      </w:pPr>
    </w:p>
    <w:p w:rsidR="004E7B04" w:rsidRDefault="004E7B04" w:rsidP="003907B8">
      <w:pPr>
        <w:spacing w:line="480" w:lineRule="auto"/>
        <w:rPr>
          <w:rFonts w:ascii="Times New Roman" w:hAnsi="Times New Roman" w:cs="Times New Roman"/>
          <w:b/>
          <w:sz w:val="24"/>
          <w:szCs w:val="24"/>
          <w:lang w:val="en-GB"/>
        </w:rPr>
      </w:pPr>
    </w:p>
    <w:p w:rsidR="004E7B04" w:rsidRDefault="004E7B04" w:rsidP="003907B8">
      <w:pPr>
        <w:spacing w:line="480" w:lineRule="auto"/>
        <w:rPr>
          <w:rFonts w:ascii="Times New Roman" w:hAnsi="Times New Roman" w:cs="Times New Roman"/>
          <w:b/>
          <w:sz w:val="24"/>
          <w:szCs w:val="24"/>
          <w:lang w:val="en-GB"/>
        </w:rPr>
      </w:pPr>
    </w:p>
    <w:p w:rsidR="004E7B04" w:rsidRDefault="004E7B04" w:rsidP="003907B8">
      <w:pPr>
        <w:spacing w:line="480" w:lineRule="auto"/>
        <w:rPr>
          <w:rFonts w:ascii="Times New Roman" w:hAnsi="Times New Roman" w:cs="Times New Roman"/>
          <w:b/>
          <w:sz w:val="24"/>
          <w:szCs w:val="24"/>
          <w:lang w:val="en-GB"/>
        </w:rPr>
      </w:pPr>
    </w:p>
    <w:tbl>
      <w:tblPr>
        <w:tblW w:w="0" w:type="auto"/>
        <w:tblLook w:val="04A0" w:firstRow="1" w:lastRow="0" w:firstColumn="1" w:lastColumn="0" w:noHBand="0" w:noVBand="1"/>
      </w:tblPr>
      <w:tblGrid>
        <w:gridCol w:w="1619"/>
        <w:gridCol w:w="1041"/>
        <w:gridCol w:w="1041"/>
        <w:gridCol w:w="1041"/>
        <w:gridCol w:w="335"/>
        <w:gridCol w:w="1041"/>
        <w:gridCol w:w="335"/>
        <w:gridCol w:w="1041"/>
        <w:gridCol w:w="1041"/>
        <w:gridCol w:w="1041"/>
      </w:tblGrid>
      <w:tr w:rsidR="004E7B04" w:rsidRPr="00750206" w:rsidTr="00545003">
        <w:trPr>
          <w:trHeight w:val="260"/>
        </w:trPr>
        <w:tc>
          <w:tcPr>
            <w:tcW w:w="0" w:type="auto"/>
            <w:gridSpan w:val="10"/>
            <w:tcBorders>
              <w:top w:val="nil"/>
              <w:left w:val="nil"/>
              <w:bottom w:val="double" w:sz="6"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lastRenderedPageBreak/>
              <w:t>TABLE A</w:t>
            </w:r>
            <w:r>
              <w:rPr>
                <w:rFonts w:ascii="Times New Roman" w:eastAsia="Times New Roman" w:hAnsi="Times New Roman" w:cs="Times New Roman"/>
                <w:color w:val="000000"/>
                <w:sz w:val="20"/>
                <w:szCs w:val="20"/>
                <w:lang w:val="en-GB" w:eastAsia="en-US"/>
              </w:rPr>
              <w:t>7</w:t>
            </w:r>
            <w:r w:rsidRPr="00D579AA">
              <w:rPr>
                <w:rFonts w:ascii="Times New Roman" w:eastAsia="Times New Roman" w:hAnsi="Times New Roman" w:cs="Times New Roman"/>
                <w:color w:val="000000"/>
                <w:sz w:val="20"/>
                <w:szCs w:val="20"/>
                <w:lang w:val="en-GB" w:eastAsia="en-US"/>
              </w:rPr>
              <w:t>. Determinants of inequality (South)</w:t>
            </w:r>
          </w:p>
        </w:tc>
      </w:tr>
      <w:tr w:rsidR="004E7B04" w:rsidRPr="00D579AA" w:rsidTr="00545003">
        <w:trPr>
          <w:trHeight w:val="260"/>
        </w:trPr>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sz w:val="20"/>
                <w:szCs w:val="20"/>
                <w:lang w:val="en-GB" w:eastAsia="en-US"/>
              </w:rPr>
            </w:pPr>
          </w:p>
        </w:tc>
        <w:tc>
          <w:tcPr>
            <w:tcW w:w="0" w:type="auto"/>
            <w:gridSpan w:val="9"/>
            <w:tcBorders>
              <w:top w:val="double" w:sz="6" w:space="0" w:color="auto"/>
              <w:left w:val="nil"/>
              <w:bottom w:val="single" w:sz="4"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Dependent variable: Williamson Index</w:t>
            </w:r>
          </w:p>
        </w:tc>
      </w:tr>
      <w:tr w:rsidR="004E7B04" w:rsidRPr="00D579AA" w:rsidTr="00545003">
        <w:trPr>
          <w:trHeight w:val="240"/>
        </w:trPr>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sz w:val="20"/>
                <w:szCs w:val="20"/>
                <w:lang w:val="en-GB" w:eastAsia="en-US"/>
              </w:rPr>
            </w:pPr>
          </w:p>
        </w:tc>
        <w:tc>
          <w:tcPr>
            <w:tcW w:w="0" w:type="auto"/>
            <w:gridSpan w:val="3"/>
            <w:tcBorders>
              <w:top w:val="single" w:sz="4" w:space="0" w:color="auto"/>
              <w:left w:val="nil"/>
              <w:bottom w:val="single" w:sz="4"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OLS</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FE</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w:t>
            </w:r>
          </w:p>
        </w:tc>
        <w:tc>
          <w:tcPr>
            <w:tcW w:w="0" w:type="auto"/>
            <w:gridSpan w:val="3"/>
            <w:tcBorders>
              <w:top w:val="single" w:sz="4" w:space="0" w:color="auto"/>
              <w:left w:val="nil"/>
              <w:bottom w:val="single" w:sz="4" w:space="0" w:color="auto"/>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IV</w:t>
            </w:r>
          </w:p>
        </w:tc>
      </w:tr>
      <w:tr w:rsidR="004E7B04" w:rsidRPr="00D579AA" w:rsidTr="00545003">
        <w:trPr>
          <w:trHeight w:val="240"/>
        </w:trPr>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 </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(7)</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roofErr w:type="spellStart"/>
            <w:r w:rsidRPr="00D579AA">
              <w:rPr>
                <w:rFonts w:ascii="Times New Roman" w:eastAsia="Times New Roman" w:hAnsi="Times New Roman" w:cs="Times New Roman"/>
                <w:color w:val="000000"/>
                <w:sz w:val="20"/>
                <w:szCs w:val="20"/>
                <w:lang w:val="en-GB" w:eastAsia="en-US"/>
              </w:rPr>
              <w:t>GDPpc</w:t>
            </w:r>
            <w:proofErr w:type="spellEnd"/>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3.95***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5.51***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6.23***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6.79***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5.34***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7.37***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7.81***</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(1.52)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(2.20)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(2.01)</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roofErr w:type="spellStart"/>
            <w:r w:rsidRPr="00D579AA">
              <w:rPr>
                <w:rFonts w:ascii="Times New Roman" w:eastAsia="Times New Roman" w:hAnsi="Times New Roman" w:cs="Times New Roman"/>
                <w:color w:val="000000"/>
                <w:sz w:val="20"/>
                <w:szCs w:val="20"/>
                <w:lang w:val="en-GB" w:eastAsia="en-US"/>
              </w:rPr>
              <w:t>GDPpc</w:t>
            </w:r>
            <w:proofErr w:type="spellEnd"/>
            <w:r w:rsidRPr="00D579AA">
              <w:rPr>
                <w:rFonts w:ascii="Times New Roman" w:eastAsia="Times New Roman" w:hAnsi="Times New Roman" w:cs="Times New Roman"/>
                <w:color w:val="000000"/>
                <w:sz w:val="20"/>
                <w:szCs w:val="20"/>
                <w:lang w:val="en-GB" w:eastAsia="en-US"/>
              </w:rPr>
              <w:t xml:space="preserve"> squared</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-1.59**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-2.08***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-2.49***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-2.10**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-3.03***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-2.94***</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(0.89)</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(0.72)</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Urbanisation</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-0.31</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(1.09)</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(0.30)</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Industry</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-2.44***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-2.67***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-2.43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-4.84**</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(2.06)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(2.08)</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xml:space="preserve">Population </w:t>
            </w:r>
          </w:p>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density (ln)</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1.12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0.68***</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(0.69)</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(0.14)</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Fertility</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3.21***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1.98*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3.23***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2.39***</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(1.12)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(0.86)</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Literacy</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-1.16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0.99*</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(0.56)</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Commons</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-1.57***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-1.26***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-1.98***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-1.63***</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(1.52)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(0.45)</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d_1910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-0.24*</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(0.15)</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d_1920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-0.44**</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(0.21)</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d_1930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-1.46***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-1.05***</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(0.24)</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roofErr w:type="spellStart"/>
            <w:r w:rsidRPr="00D579AA">
              <w:rPr>
                <w:rFonts w:ascii="Times New Roman" w:eastAsia="Times New Roman" w:hAnsi="Times New Roman" w:cs="Times New Roman"/>
                <w:color w:val="000000"/>
                <w:sz w:val="20"/>
                <w:szCs w:val="20"/>
                <w:lang w:val="en-GB" w:eastAsia="en-US"/>
              </w:rPr>
              <w:t>d_South</w:t>
            </w:r>
            <w:proofErr w:type="spellEnd"/>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0.23</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(0.16)</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ind w:left="284"/>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d_1900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ind w:left="284"/>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(0.19)</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(0.23)</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ind w:left="284"/>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d_1910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-0.03</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-0.00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0.16</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ind w:left="284"/>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(0.19)</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(0.22)</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(0.14)</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(0.15)</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(0.19)</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ind w:left="284"/>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d_1920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-0.89***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-0.65**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-0.44**</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-0.39**</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-0.23</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ind w:left="284"/>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(0.26)</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(0.19)</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(0.23)</w:t>
            </w:r>
          </w:p>
        </w:tc>
      </w:tr>
      <w:tr w:rsidR="004E7B04" w:rsidRPr="00D579AA" w:rsidTr="00545003">
        <w:trPr>
          <w:trHeight w:val="240"/>
        </w:trPr>
        <w:tc>
          <w:tcPr>
            <w:tcW w:w="0" w:type="auto"/>
            <w:vMerge w:val="restart"/>
            <w:tcBorders>
              <w:top w:val="nil"/>
              <w:left w:val="nil"/>
              <w:bottom w:val="nil"/>
              <w:right w:val="nil"/>
            </w:tcBorders>
            <w:shd w:val="clear" w:color="auto" w:fill="auto"/>
            <w:noWrap/>
            <w:vAlign w:val="center"/>
            <w:hideMark/>
          </w:tcPr>
          <w:p w:rsidR="004E7B04" w:rsidRPr="00D579AA" w:rsidRDefault="004E7B04" w:rsidP="00545003">
            <w:pPr>
              <w:spacing w:after="0" w:line="240" w:lineRule="auto"/>
              <w:ind w:left="284"/>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 d_1930</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-1.17***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-0.98***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-0.72***</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-0.71***</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-0.19</w:t>
            </w:r>
          </w:p>
        </w:tc>
      </w:tr>
      <w:tr w:rsidR="004E7B04" w:rsidRPr="00D579AA" w:rsidTr="00545003">
        <w:trPr>
          <w:trHeight w:val="240"/>
        </w:trPr>
        <w:tc>
          <w:tcPr>
            <w:tcW w:w="0" w:type="auto"/>
            <w:vMerge/>
            <w:tcBorders>
              <w:top w:val="nil"/>
              <w:left w:val="nil"/>
              <w:bottom w:val="nil"/>
              <w:right w:val="nil"/>
            </w:tcBorders>
            <w:vAlign w:val="center"/>
            <w:hideMark/>
          </w:tcPr>
          <w:p w:rsidR="004E7B04" w:rsidRPr="00D579AA" w:rsidRDefault="004E7B04" w:rsidP="00545003">
            <w:pPr>
              <w:spacing w:after="0" w:line="240" w:lineRule="auto"/>
              <w:rPr>
                <w:rFonts w:ascii="Times New Roman" w:eastAsia="Times New Roman" w:hAnsi="Times New Roman" w:cs="Times New Roman"/>
                <w:color w:val="000000"/>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(0.21)</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(0.27)</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(0.29)</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(0.18)</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(0.20)</w:t>
            </w:r>
          </w:p>
        </w:tc>
        <w:tc>
          <w:tcPr>
            <w:tcW w:w="0" w:type="auto"/>
            <w:tcBorders>
              <w:top w:val="nil"/>
              <w:left w:val="nil"/>
              <w:bottom w:val="nil"/>
              <w:right w:val="nil"/>
            </w:tcBorders>
            <w:shd w:val="clear" w:color="auto" w:fill="auto"/>
            <w:noWrap/>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(0.23)</w:t>
            </w:r>
          </w:p>
        </w:tc>
      </w:tr>
      <w:tr w:rsidR="004E7B04" w:rsidRPr="00D579AA" w:rsidTr="00545003">
        <w:trPr>
          <w:trHeight w:val="240"/>
        </w:trPr>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Observations</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245</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234</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234</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 </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234</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 </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196</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186</w:t>
            </w:r>
          </w:p>
        </w:tc>
        <w:tc>
          <w:tcPr>
            <w:tcW w:w="0" w:type="auto"/>
            <w:tcBorders>
              <w:top w:val="single" w:sz="4" w:space="0" w:color="auto"/>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186</w:t>
            </w:r>
          </w:p>
        </w:tc>
      </w:tr>
      <w:tr w:rsidR="004E7B04" w:rsidRPr="00D579AA" w:rsidTr="00545003">
        <w:trPr>
          <w:trHeight w:val="240"/>
        </w:trPr>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R-squared</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0.397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0.507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0.578</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0.736</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0.395</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0.517</w:t>
            </w:r>
          </w:p>
        </w:tc>
        <w:tc>
          <w:tcPr>
            <w:tcW w:w="0" w:type="auto"/>
            <w:tcBorders>
              <w:top w:val="nil"/>
              <w:left w:val="nil"/>
              <w:bottom w:val="nil"/>
              <w:right w:val="nil"/>
            </w:tcBorders>
            <w:shd w:val="clear" w:color="auto" w:fill="auto"/>
            <w:noWrap/>
            <w:vAlign w:val="bottom"/>
            <w:hideMark/>
          </w:tcPr>
          <w:p w:rsidR="004E7B04" w:rsidRPr="00D579AA" w:rsidRDefault="004E7B04" w:rsidP="00545003">
            <w:pPr>
              <w:spacing w:after="0" w:line="240" w:lineRule="auto"/>
              <w:jc w:val="center"/>
              <w:rPr>
                <w:rFonts w:ascii="Times New Roman" w:eastAsia="Times New Roman" w:hAnsi="Times New Roman" w:cs="Times New Roman"/>
                <w:sz w:val="20"/>
                <w:szCs w:val="20"/>
                <w:lang w:val="en-GB" w:eastAsia="en-US"/>
              </w:rPr>
            </w:pPr>
            <w:r w:rsidRPr="00D579AA">
              <w:rPr>
                <w:rFonts w:ascii="Times New Roman" w:eastAsia="Times New Roman" w:hAnsi="Times New Roman" w:cs="Times New Roman"/>
                <w:sz w:val="20"/>
                <w:szCs w:val="20"/>
                <w:lang w:val="en-GB" w:eastAsia="en-US"/>
              </w:rPr>
              <w:t>0.542</w:t>
            </w:r>
          </w:p>
        </w:tc>
      </w:tr>
      <w:tr w:rsidR="004E7B04" w:rsidRPr="00A3044F" w:rsidTr="00545003">
        <w:trPr>
          <w:trHeight w:val="240"/>
        </w:trPr>
        <w:tc>
          <w:tcPr>
            <w:tcW w:w="0" w:type="auto"/>
            <w:gridSpan w:val="10"/>
            <w:tcBorders>
              <w:top w:val="single" w:sz="4" w:space="0" w:color="auto"/>
              <w:left w:val="nil"/>
              <w:bottom w:val="nil"/>
              <w:right w:val="nil"/>
            </w:tcBorders>
            <w:shd w:val="clear" w:color="auto" w:fill="auto"/>
            <w:noWrap/>
            <w:vAlign w:val="bottom"/>
            <w:hideMark/>
          </w:tcPr>
          <w:p w:rsidR="004E7B04" w:rsidRPr="00A3044F" w:rsidRDefault="004E7B04" w:rsidP="00545003">
            <w:pPr>
              <w:spacing w:after="0" w:line="240" w:lineRule="auto"/>
              <w:jc w:val="both"/>
              <w:rPr>
                <w:rFonts w:ascii="Times New Roman" w:eastAsia="Times New Roman" w:hAnsi="Times New Roman" w:cs="Times New Roman"/>
                <w:color w:val="000000"/>
                <w:sz w:val="20"/>
                <w:szCs w:val="20"/>
                <w:lang w:val="en-GB" w:eastAsia="en-US"/>
              </w:rPr>
            </w:pPr>
            <w:r w:rsidRPr="00D579AA">
              <w:rPr>
                <w:rFonts w:ascii="Times New Roman" w:eastAsia="Times New Roman" w:hAnsi="Times New Roman" w:cs="Times New Roman"/>
                <w:color w:val="000000"/>
                <w:sz w:val="20"/>
                <w:szCs w:val="20"/>
                <w:lang w:val="en-GB" w:eastAsia="en-US"/>
              </w:rPr>
              <w:t>Robust standard errors between brackets; *, **, or *** denotes significance at 10, 5 or 1 per cent level. For simplicity, the intercept is not reported.</w:t>
            </w:r>
            <w:r w:rsidRPr="00A3044F">
              <w:rPr>
                <w:rFonts w:ascii="Times New Roman" w:eastAsia="Times New Roman" w:hAnsi="Times New Roman" w:cs="Times New Roman"/>
                <w:color w:val="000000"/>
                <w:sz w:val="20"/>
                <w:szCs w:val="20"/>
                <w:lang w:val="en-GB" w:eastAsia="en-US"/>
              </w:rPr>
              <w:t xml:space="preserve"> </w:t>
            </w:r>
          </w:p>
        </w:tc>
      </w:tr>
    </w:tbl>
    <w:p w:rsidR="004E7B04" w:rsidRDefault="004E7B04" w:rsidP="004E7B04"/>
    <w:p w:rsidR="004E7B04" w:rsidRDefault="004E7B04" w:rsidP="003907B8">
      <w:pPr>
        <w:spacing w:line="480" w:lineRule="auto"/>
        <w:rPr>
          <w:rFonts w:ascii="Times New Roman" w:hAnsi="Times New Roman" w:cs="Times New Roman"/>
          <w:b/>
          <w:sz w:val="24"/>
          <w:szCs w:val="24"/>
          <w:lang w:val="en-GB"/>
        </w:rPr>
      </w:pPr>
    </w:p>
    <w:p w:rsidR="004E7B04" w:rsidRPr="003907B8" w:rsidRDefault="004E7B04" w:rsidP="003907B8">
      <w:pPr>
        <w:spacing w:line="480" w:lineRule="auto"/>
        <w:rPr>
          <w:rFonts w:ascii="Times New Roman" w:hAnsi="Times New Roman" w:cs="Times New Roman"/>
          <w:b/>
          <w:sz w:val="24"/>
          <w:szCs w:val="24"/>
          <w:lang w:val="en-GB"/>
        </w:rPr>
      </w:pPr>
    </w:p>
    <w:sectPr w:rsidR="004E7B04" w:rsidRPr="003907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BA9" w:rsidRDefault="00066BA9" w:rsidP="003907B8">
      <w:pPr>
        <w:spacing w:after="0" w:line="240" w:lineRule="auto"/>
      </w:pPr>
      <w:r>
        <w:separator/>
      </w:r>
    </w:p>
  </w:endnote>
  <w:endnote w:type="continuationSeparator" w:id="0">
    <w:p w:rsidR="00066BA9" w:rsidRDefault="00066BA9" w:rsidP="0039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BA9" w:rsidRDefault="00066BA9" w:rsidP="003907B8">
      <w:pPr>
        <w:spacing w:after="0" w:line="240" w:lineRule="auto"/>
      </w:pPr>
      <w:r>
        <w:separator/>
      </w:r>
    </w:p>
  </w:footnote>
  <w:footnote w:type="continuationSeparator" w:id="0">
    <w:p w:rsidR="00066BA9" w:rsidRDefault="00066BA9" w:rsidP="003907B8">
      <w:pPr>
        <w:spacing w:after="0" w:line="240" w:lineRule="auto"/>
      </w:pPr>
      <w:r>
        <w:continuationSeparator/>
      </w:r>
    </w:p>
  </w:footnote>
  <w:footnote w:id="1">
    <w:p w:rsidR="003907B8" w:rsidRPr="00BB3394" w:rsidRDefault="003907B8" w:rsidP="003907B8">
      <w:pPr>
        <w:pStyle w:val="FootnoteText"/>
        <w:jc w:val="both"/>
        <w:rPr>
          <w:rFonts w:ascii="Times New Roman" w:hAnsi="Times New Roman" w:cs="Times New Roman"/>
          <w:lang w:val="en-US"/>
        </w:rPr>
      </w:pPr>
      <w:r w:rsidRPr="00BB3394">
        <w:rPr>
          <w:rStyle w:val="FootnoteReference"/>
          <w:rFonts w:ascii="Times New Roman" w:hAnsi="Times New Roman" w:cs="Times New Roman"/>
        </w:rPr>
        <w:footnoteRef/>
      </w:r>
      <w:r w:rsidRPr="00BB3394">
        <w:rPr>
          <w:rFonts w:ascii="Times New Roman" w:hAnsi="Times New Roman" w:cs="Times New Roman"/>
          <w:lang w:val="en-US"/>
        </w:rPr>
        <w:t xml:space="preserve"> </w:t>
      </w:r>
      <w:r w:rsidRPr="00BB3394">
        <w:rPr>
          <w:rFonts w:ascii="Times New Roman" w:eastAsia="Times New Roman" w:hAnsi="Times New Roman" w:cs="Times New Roman"/>
          <w:lang w:val="en-GB"/>
        </w:rPr>
        <w:t xml:space="preserve">Here we use construction wages to proxy industrial wages. To check whether this is a reasonable assumption we take the data available in the closest years (1914-1925), offered by the </w:t>
      </w:r>
      <w:proofErr w:type="spellStart"/>
      <w:r w:rsidRPr="00BB3394">
        <w:rPr>
          <w:rFonts w:ascii="Times New Roman" w:eastAsia="Times New Roman" w:hAnsi="Times New Roman" w:cs="Times New Roman"/>
          <w:lang w:val="en-GB"/>
        </w:rPr>
        <w:t>Ministerio</w:t>
      </w:r>
      <w:proofErr w:type="spellEnd"/>
      <w:r w:rsidRPr="00BB3394">
        <w:rPr>
          <w:rFonts w:ascii="Times New Roman" w:eastAsia="Times New Roman" w:hAnsi="Times New Roman" w:cs="Times New Roman"/>
          <w:lang w:val="en-GB"/>
        </w:rPr>
        <w:t xml:space="preserve"> de </w:t>
      </w:r>
      <w:proofErr w:type="spellStart"/>
      <w:r w:rsidRPr="00BB3394">
        <w:rPr>
          <w:rFonts w:ascii="Times New Roman" w:eastAsia="Times New Roman" w:hAnsi="Times New Roman" w:cs="Times New Roman"/>
          <w:lang w:val="en-GB"/>
        </w:rPr>
        <w:t>Trabajo</w:t>
      </w:r>
      <w:proofErr w:type="spellEnd"/>
      <w:r w:rsidRPr="00BB3394">
        <w:rPr>
          <w:rFonts w:ascii="Times New Roman" w:eastAsia="Times New Roman" w:hAnsi="Times New Roman" w:cs="Times New Roman"/>
          <w:lang w:val="en-GB"/>
        </w:rPr>
        <w:t xml:space="preserve"> (1927, 1931). The data show that construction wages on those years were similar to the average industrial wage.</w:t>
      </w:r>
      <w:r w:rsidRPr="00BB3394">
        <w:rPr>
          <w:rFonts w:ascii="Times New Roman" w:hAnsi="Times New Roman" w:cs="Times New Roman"/>
          <w:lang w:val="en-US"/>
        </w:rPr>
        <w:t xml:space="preserve"> </w:t>
      </w:r>
    </w:p>
  </w:footnote>
  <w:footnote w:id="2">
    <w:p w:rsidR="003907B8" w:rsidRPr="00BB3394" w:rsidRDefault="003907B8" w:rsidP="003907B8">
      <w:pPr>
        <w:pStyle w:val="FootnoteText"/>
        <w:jc w:val="both"/>
        <w:rPr>
          <w:rFonts w:ascii="Times New Roman" w:eastAsia="Times New Roman" w:hAnsi="Times New Roman" w:cs="Times New Roman"/>
          <w:lang w:val="en-GB"/>
        </w:rPr>
      </w:pPr>
      <w:r w:rsidRPr="00BB3394">
        <w:rPr>
          <w:rStyle w:val="FootnoteReference"/>
          <w:rFonts w:ascii="Times New Roman" w:eastAsia="Times New Roman" w:hAnsi="Times New Roman" w:cs="Times New Roman"/>
        </w:rPr>
        <w:footnoteRef/>
      </w:r>
      <w:r w:rsidRPr="00BB3394">
        <w:rPr>
          <w:rFonts w:ascii="Times New Roman" w:eastAsia="Times New Roman" w:hAnsi="Times New Roman" w:cs="Times New Roman"/>
          <w:lang w:val="en-GB"/>
        </w:rPr>
        <w:t xml:space="preserve"> Here we aim to obtain the highest degree of homogeneity with the wages </w:t>
      </w:r>
      <w:r w:rsidRPr="00BB3394">
        <w:rPr>
          <w:rFonts w:ascii="Times New Roman" w:hAnsi="Times New Roman" w:cs="Times New Roman"/>
          <w:lang w:val="en-GB"/>
        </w:rPr>
        <w:t>available for</w:t>
      </w:r>
      <w:r w:rsidRPr="00BB3394">
        <w:rPr>
          <w:rFonts w:ascii="Times New Roman" w:eastAsia="Times New Roman" w:hAnsi="Times New Roman" w:cs="Times New Roman"/>
          <w:lang w:val="en-GB"/>
        </w:rPr>
        <w:t xml:space="preserve"> </w:t>
      </w:r>
      <w:r w:rsidRPr="00BB3394">
        <w:rPr>
          <w:rFonts w:ascii="Times New Roman" w:hAnsi="Times New Roman" w:cs="Times New Roman"/>
          <w:lang w:val="en-GB"/>
        </w:rPr>
        <w:t>1900 and 1910-30</w:t>
      </w:r>
      <w:r w:rsidRPr="00BB3394">
        <w:rPr>
          <w:rFonts w:ascii="Times New Roman" w:eastAsia="Times New Roman" w:hAnsi="Times New Roman" w:cs="Times New Roman"/>
          <w:lang w:val="en-GB"/>
        </w:rPr>
        <w:t>. Given that no data on active population in each occupation is available, the average cannot be weighted and a simple average is used.</w:t>
      </w:r>
    </w:p>
  </w:footnote>
  <w:footnote w:id="3">
    <w:p w:rsidR="003907B8" w:rsidRPr="00BB3394" w:rsidRDefault="003907B8" w:rsidP="003907B8">
      <w:pPr>
        <w:pStyle w:val="FootnoteText"/>
        <w:jc w:val="both"/>
        <w:rPr>
          <w:rFonts w:ascii="Times New Roman" w:eastAsia="Times New Roman" w:hAnsi="Times New Roman" w:cs="Times New Roman"/>
          <w:lang w:val="en-GB"/>
        </w:rPr>
      </w:pPr>
      <w:r w:rsidRPr="00BB3394">
        <w:rPr>
          <w:rStyle w:val="FootnoteReference"/>
          <w:rFonts w:ascii="Times New Roman" w:eastAsia="Times New Roman" w:hAnsi="Times New Roman" w:cs="Times New Roman"/>
        </w:rPr>
        <w:footnoteRef/>
      </w:r>
      <w:r w:rsidRPr="00BB3394">
        <w:rPr>
          <w:rFonts w:ascii="Times New Roman" w:eastAsia="Times New Roman" w:hAnsi="Times New Roman" w:cs="Times New Roman"/>
          <w:lang w:val="en-GB"/>
        </w:rPr>
        <w:t xml:space="preserve"> As a test for this result, we use wages in 1897, the closest available date. In that year, the industrial wage in Navarre was 3% higher than the Spanish average weighted by the industrial population. If this percentage is applied to the Spanish value for 1860, the figure obtained almost coincides with the one previously calculated.</w:t>
      </w:r>
    </w:p>
  </w:footnote>
  <w:footnote w:id="4">
    <w:p w:rsidR="003907B8" w:rsidRPr="00BB3394" w:rsidRDefault="003907B8" w:rsidP="003907B8">
      <w:pPr>
        <w:pStyle w:val="FootnoteText"/>
        <w:jc w:val="both"/>
        <w:rPr>
          <w:rFonts w:ascii="Times New Roman" w:hAnsi="Times New Roman" w:cs="Times New Roman"/>
          <w:lang w:val="en-GB"/>
        </w:rPr>
      </w:pPr>
      <w:r w:rsidRPr="00BB3394">
        <w:rPr>
          <w:rStyle w:val="FootnoteReference"/>
          <w:rFonts w:ascii="Times New Roman" w:hAnsi="Times New Roman" w:cs="Times New Roman"/>
          <w:lang w:val="en-GB"/>
        </w:rPr>
        <w:footnoteRef/>
      </w:r>
      <w:r w:rsidRPr="00BB3394">
        <w:rPr>
          <w:rFonts w:ascii="Times New Roman" w:hAnsi="Times New Roman" w:cs="Times New Roman"/>
          <w:lang w:val="en-GB"/>
        </w:rPr>
        <w:t xml:space="preserve"> In this sense, “since female EAP figures for agriculture are inconsistent across censuses, women in agriculture were assumed to allocate their time in a way that made female </w:t>
      </w:r>
      <w:proofErr w:type="spellStart"/>
      <w:r w:rsidRPr="00BB3394">
        <w:rPr>
          <w:rFonts w:ascii="Times New Roman" w:hAnsi="Times New Roman" w:cs="Times New Roman"/>
          <w:lang w:val="en-GB"/>
        </w:rPr>
        <w:t>labor</w:t>
      </w:r>
      <w:proofErr w:type="spellEnd"/>
      <w:r w:rsidRPr="00BB3394">
        <w:rPr>
          <w:rFonts w:ascii="Times New Roman" w:hAnsi="Times New Roman" w:cs="Times New Roman"/>
          <w:lang w:val="en-GB"/>
        </w:rPr>
        <w:t xml:space="preserve"> a fixed fraction of male </w:t>
      </w:r>
      <w:proofErr w:type="spellStart"/>
      <w:r w:rsidRPr="00BB3394">
        <w:rPr>
          <w:rFonts w:ascii="Times New Roman" w:hAnsi="Times New Roman" w:cs="Times New Roman"/>
          <w:lang w:val="en-GB"/>
        </w:rPr>
        <w:t>labor</w:t>
      </w:r>
      <w:proofErr w:type="spellEnd"/>
      <w:r w:rsidRPr="00BB3394">
        <w:rPr>
          <w:rFonts w:ascii="Times New Roman" w:hAnsi="Times New Roman" w:cs="Times New Roman"/>
          <w:lang w:val="en-GB"/>
        </w:rPr>
        <w:t xml:space="preserve"> in the agricultural sector” (</w:t>
      </w:r>
      <w:proofErr w:type="spellStart"/>
      <w:r w:rsidRPr="00BB3394">
        <w:rPr>
          <w:rFonts w:ascii="Times New Roman" w:hAnsi="Times New Roman" w:cs="Times New Roman"/>
          <w:lang w:val="en-GB"/>
        </w:rPr>
        <w:t>Prados</w:t>
      </w:r>
      <w:proofErr w:type="spellEnd"/>
      <w:r w:rsidRPr="00BB3394">
        <w:rPr>
          <w:rFonts w:ascii="Times New Roman" w:hAnsi="Times New Roman" w:cs="Times New Roman"/>
          <w:lang w:val="en-GB"/>
        </w:rPr>
        <w:t xml:space="preserve"> de la </w:t>
      </w:r>
      <w:proofErr w:type="spellStart"/>
      <w:r w:rsidRPr="00BB3394">
        <w:rPr>
          <w:rFonts w:ascii="Times New Roman" w:hAnsi="Times New Roman" w:cs="Times New Roman"/>
          <w:lang w:val="en-GB"/>
        </w:rPr>
        <w:t>Escosura</w:t>
      </w:r>
      <w:proofErr w:type="spellEnd"/>
      <w:r w:rsidRPr="00BB3394">
        <w:rPr>
          <w:rFonts w:ascii="Times New Roman" w:hAnsi="Times New Roman" w:cs="Times New Roman"/>
          <w:lang w:val="en-GB"/>
        </w:rPr>
        <w:t xml:space="preserve"> and Rosés 2009, 1074).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B8"/>
    <w:rsid w:val="00066BA9"/>
    <w:rsid w:val="003907B8"/>
    <w:rsid w:val="004E7B04"/>
    <w:rsid w:val="006B15D9"/>
    <w:rsid w:val="00BD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7B8"/>
    <w:pPr>
      <w:spacing w:after="200" w:line="276" w:lineRule="auto"/>
    </w:pPr>
    <w:rPr>
      <w:rFonts w:eastAsiaTheme="minorEastAsia"/>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D3175"/>
    <w:pPr>
      <w:framePr w:w="7920" w:h="1980" w:hRule="exact" w:hSpace="180" w:wrap="auto" w:hAnchor="page" w:xAlign="center" w:yAlign="bottom"/>
      <w:spacing w:after="0" w:line="240" w:lineRule="auto"/>
      <w:ind w:left="2880"/>
    </w:pPr>
    <w:rPr>
      <w:rFonts w:ascii="Calibri" w:eastAsiaTheme="majorEastAsia" w:hAnsi="Calibri" w:cs="Times New Roman"/>
      <w:sz w:val="28"/>
      <w:szCs w:val="24"/>
      <w:lang w:val="en-US" w:eastAsia="en-US"/>
    </w:rPr>
  </w:style>
  <w:style w:type="paragraph" w:styleId="FootnoteText">
    <w:name w:val="footnote text"/>
    <w:basedOn w:val="Normal"/>
    <w:link w:val="FootnoteTextChar"/>
    <w:unhideWhenUsed/>
    <w:rsid w:val="003907B8"/>
    <w:pPr>
      <w:spacing w:after="0" w:line="240" w:lineRule="auto"/>
    </w:pPr>
    <w:rPr>
      <w:sz w:val="20"/>
      <w:szCs w:val="20"/>
    </w:rPr>
  </w:style>
  <w:style w:type="character" w:customStyle="1" w:styleId="FootnoteTextChar">
    <w:name w:val="Footnote Text Char"/>
    <w:basedOn w:val="DefaultParagraphFont"/>
    <w:link w:val="FootnoteText"/>
    <w:rsid w:val="003907B8"/>
    <w:rPr>
      <w:rFonts w:eastAsiaTheme="minorEastAsia"/>
      <w:sz w:val="20"/>
      <w:szCs w:val="20"/>
      <w:lang w:val="es-ES" w:eastAsia="es-ES"/>
    </w:rPr>
  </w:style>
  <w:style w:type="character" w:styleId="FootnoteReference">
    <w:name w:val="footnote reference"/>
    <w:basedOn w:val="DefaultParagraphFont"/>
    <w:unhideWhenUsed/>
    <w:rsid w:val="003907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7B8"/>
    <w:pPr>
      <w:spacing w:after="200" w:line="276" w:lineRule="auto"/>
    </w:pPr>
    <w:rPr>
      <w:rFonts w:eastAsiaTheme="minorEastAsia"/>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D3175"/>
    <w:pPr>
      <w:framePr w:w="7920" w:h="1980" w:hRule="exact" w:hSpace="180" w:wrap="auto" w:hAnchor="page" w:xAlign="center" w:yAlign="bottom"/>
      <w:spacing w:after="0" w:line="240" w:lineRule="auto"/>
      <w:ind w:left="2880"/>
    </w:pPr>
    <w:rPr>
      <w:rFonts w:ascii="Calibri" w:eastAsiaTheme="majorEastAsia" w:hAnsi="Calibri" w:cs="Times New Roman"/>
      <w:sz w:val="28"/>
      <w:szCs w:val="24"/>
      <w:lang w:val="en-US" w:eastAsia="en-US"/>
    </w:rPr>
  </w:style>
  <w:style w:type="paragraph" w:styleId="FootnoteText">
    <w:name w:val="footnote text"/>
    <w:basedOn w:val="Normal"/>
    <w:link w:val="FootnoteTextChar"/>
    <w:unhideWhenUsed/>
    <w:rsid w:val="003907B8"/>
    <w:pPr>
      <w:spacing w:after="0" w:line="240" w:lineRule="auto"/>
    </w:pPr>
    <w:rPr>
      <w:sz w:val="20"/>
      <w:szCs w:val="20"/>
    </w:rPr>
  </w:style>
  <w:style w:type="character" w:customStyle="1" w:styleId="FootnoteTextChar">
    <w:name w:val="Footnote Text Char"/>
    <w:basedOn w:val="DefaultParagraphFont"/>
    <w:link w:val="FootnoteText"/>
    <w:rsid w:val="003907B8"/>
    <w:rPr>
      <w:rFonts w:eastAsiaTheme="minorEastAsia"/>
      <w:sz w:val="20"/>
      <w:szCs w:val="20"/>
      <w:lang w:val="es-ES" w:eastAsia="es-ES"/>
    </w:rPr>
  </w:style>
  <w:style w:type="character" w:styleId="FootnoteReference">
    <w:name w:val="footnote reference"/>
    <w:basedOn w:val="DefaultParagraphFont"/>
    <w:unhideWhenUsed/>
    <w:rsid w:val="003907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2019-10-11T20:24:00Z</dcterms:created>
  <dcterms:modified xsi:type="dcterms:W3CDTF">2019-10-11T20:30:00Z</dcterms:modified>
</cp:coreProperties>
</file>