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51E" w:rsidRPr="00F9565C" w:rsidRDefault="00935CD6" w:rsidP="00F9565C">
      <w:pPr>
        <w:jc w:val="center"/>
        <w:rPr>
          <w:b/>
          <w:sz w:val="32"/>
          <w:szCs w:val="32"/>
        </w:rPr>
      </w:pPr>
      <w:r>
        <w:rPr>
          <w:b/>
          <w:sz w:val="32"/>
          <w:szCs w:val="32"/>
        </w:rPr>
        <w:t xml:space="preserve">Real </w:t>
      </w:r>
      <w:r w:rsidR="00D566A0">
        <w:rPr>
          <w:b/>
          <w:sz w:val="32"/>
          <w:szCs w:val="32"/>
        </w:rPr>
        <w:t>W</w:t>
      </w:r>
      <w:r w:rsidR="0010751E" w:rsidRPr="0010751E">
        <w:rPr>
          <w:b/>
          <w:sz w:val="32"/>
          <w:szCs w:val="32"/>
        </w:rPr>
        <w:t xml:space="preserve">ages </w:t>
      </w:r>
      <w:r w:rsidR="00F9565C">
        <w:rPr>
          <w:b/>
          <w:sz w:val="32"/>
          <w:szCs w:val="32"/>
        </w:rPr>
        <w:t>and Skill Premiums in Latin America</w:t>
      </w:r>
      <w:r w:rsidR="00F6295D">
        <w:rPr>
          <w:b/>
          <w:sz w:val="32"/>
          <w:szCs w:val="32"/>
        </w:rPr>
        <w:t>, 1900-2011</w:t>
      </w:r>
    </w:p>
    <w:p w:rsidR="006D42B2" w:rsidRPr="006D0CD8" w:rsidRDefault="006D42B2" w:rsidP="00F746C1">
      <w:pPr>
        <w:spacing w:before="240" w:line="360" w:lineRule="auto"/>
        <w:jc w:val="center"/>
        <w:rPr>
          <w:b/>
          <w:sz w:val="32"/>
          <w:szCs w:val="32"/>
          <w:lang w:val="es-ES"/>
        </w:rPr>
      </w:pPr>
      <w:r w:rsidRPr="006D0CD8">
        <w:rPr>
          <w:b/>
          <w:sz w:val="32"/>
          <w:szCs w:val="32"/>
          <w:lang w:val="es-ES"/>
        </w:rPr>
        <w:t>Online Annex</w:t>
      </w:r>
    </w:p>
    <w:p w:rsidR="006D42B2" w:rsidRPr="00F746C1" w:rsidRDefault="006D42B2" w:rsidP="008179E2">
      <w:pPr>
        <w:jc w:val="center"/>
        <w:rPr>
          <w:sz w:val="20"/>
          <w:szCs w:val="20"/>
          <w:lang w:val="es-ES"/>
        </w:rPr>
      </w:pPr>
    </w:p>
    <w:p w:rsidR="009B5C85" w:rsidRPr="00287ABC" w:rsidRDefault="009B5C85" w:rsidP="008179E2">
      <w:pPr>
        <w:jc w:val="center"/>
        <w:rPr>
          <w:sz w:val="28"/>
          <w:szCs w:val="28"/>
          <w:lang w:val="es-ES"/>
        </w:rPr>
      </w:pPr>
      <w:r w:rsidRPr="00287ABC">
        <w:rPr>
          <w:sz w:val="28"/>
          <w:szCs w:val="28"/>
          <w:lang w:val="es-ES"/>
        </w:rPr>
        <w:t xml:space="preserve">Pablo Astorga </w:t>
      </w:r>
      <w:bookmarkStart w:id="0" w:name="_GoBack"/>
      <w:bookmarkEnd w:id="0"/>
    </w:p>
    <w:p w:rsidR="009B5C85" w:rsidRDefault="00CF5BF3" w:rsidP="008179E2">
      <w:pPr>
        <w:jc w:val="center"/>
        <w:rPr>
          <w:i/>
          <w:sz w:val="28"/>
          <w:szCs w:val="28"/>
          <w:lang w:val="es-ES"/>
        </w:rPr>
      </w:pPr>
      <w:r w:rsidRPr="00CF5BF3">
        <w:rPr>
          <w:i/>
          <w:sz w:val="28"/>
          <w:szCs w:val="28"/>
          <w:lang w:val="es-ES"/>
        </w:rPr>
        <w:t>Institut Barcelona d'Estudis Internacionals</w:t>
      </w:r>
      <w:r w:rsidR="009B5C85" w:rsidRPr="00B01F33">
        <w:rPr>
          <w:i/>
          <w:sz w:val="28"/>
          <w:szCs w:val="28"/>
          <w:lang w:val="es-ES"/>
        </w:rPr>
        <w:t xml:space="preserve"> (IBEI)</w:t>
      </w:r>
    </w:p>
    <w:p w:rsidR="009B5C85" w:rsidRPr="00657ED8" w:rsidRDefault="007C56E7" w:rsidP="008179E2">
      <w:pPr>
        <w:jc w:val="center"/>
        <w:rPr>
          <w:i/>
          <w:sz w:val="28"/>
          <w:szCs w:val="28"/>
        </w:rPr>
      </w:pPr>
      <w:r>
        <w:rPr>
          <w:i/>
          <w:szCs w:val="22"/>
        </w:rPr>
        <w:t>pastorga</w:t>
      </w:r>
      <w:r w:rsidR="00E37549" w:rsidRPr="004F23F2">
        <w:rPr>
          <w:i/>
          <w:szCs w:val="22"/>
        </w:rPr>
        <w:t>@</w:t>
      </w:r>
      <w:r>
        <w:rPr>
          <w:i/>
          <w:szCs w:val="22"/>
        </w:rPr>
        <w:t>ibei.org</w:t>
      </w:r>
    </w:p>
    <w:p w:rsidR="00037628" w:rsidRPr="006D0CD8" w:rsidRDefault="00037628" w:rsidP="008179E2">
      <w:pPr>
        <w:jc w:val="center"/>
        <w:rPr>
          <w:i/>
          <w:sz w:val="28"/>
          <w:szCs w:val="28"/>
        </w:rPr>
      </w:pPr>
    </w:p>
    <w:p w:rsidR="009B5C85" w:rsidRDefault="009A59D6" w:rsidP="00697D7E">
      <w:pPr>
        <w:spacing w:line="360" w:lineRule="auto"/>
        <w:jc w:val="center"/>
        <w:rPr>
          <w:szCs w:val="22"/>
        </w:rPr>
      </w:pPr>
      <w:r>
        <w:rPr>
          <w:szCs w:val="22"/>
        </w:rPr>
        <w:t>September</w:t>
      </w:r>
      <w:r w:rsidR="007B3572">
        <w:rPr>
          <w:szCs w:val="22"/>
        </w:rPr>
        <w:t xml:space="preserve"> 201</w:t>
      </w:r>
      <w:r w:rsidR="001F3EEC">
        <w:rPr>
          <w:szCs w:val="22"/>
        </w:rPr>
        <w:t>7</w:t>
      </w:r>
    </w:p>
    <w:p w:rsidR="00F9565C" w:rsidRDefault="00F9565C" w:rsidP="00E47167">
      <w:pPr>
        <w:jc w:val="center"/>
        <w:rPr>
          <w:sz w:val="28"/>
          <w:szCs w:val="28"/>
          <w:u w:val="single"/>
        </w:rPr>
      </w:pPr>
    </w:p>
    <w:p w:rsidR="00424EAC" w:rsidRDefault="00776685" w:rsidP="00EF6665">
      <w:pPr>
        <w:spacing w:line="276" w:lineRule="auto"/>
      </w:pPr>
      <w:r w:rsidRPr="00B21CBF">
        <w:t>T</w:t>
      </w:r>
      <w:r w:rsidR="009D44FC" w:rsidRPr="00B21CBF">
        <w:t>his</w:t>
      </w:r>
      <w:r w:rsidRPr="00B21CBF">
        <w:t xml:space="preserve"> annex </w:t>
      </w:r>
      <w:r w:rsidR="006F79A2" w:rsidRPr="00B21CBF">
        <w:t>describe</w:t>
      </w:r>
      <w:r w:rsidRPr="00B21CBF">
        <w:t>s</w:t>
      </w:r>
      <w:r w:rsidR="006F79A2" w:rsidRPr="00B21CBF">
        <w:t xml:space="preserve"> the sources </w:t>
      </w:r>
      <w:r w:rsidR="00FB1195" w:rsidRPr="00B21CBF">
        <w:t xml:space="preserve">used </w:t>
      </w:r>
      <w:r w:rsidR="006F79A2" w:rsidRPr="00B21CBF">
        <w:t>and the assum</w:t>
      </w:r>
      <w:r w:rsidR="00B04613" w:rsidRPr="00B21CBF">
        <w:t xml:space="preserve">ptions made in constructing </w:t>
      </w:r>
      <w:r w:rsidR="006F79A2" w:rsidRPr="00B21CBF">
        <w:t>wage series</w:t>
      </w:r>
      <w:r w:rsidR="00B04613" w:rsidRPr="00B21CBF">
        <w:t xml:space="preserve"> for skilled, semi-skilled, and unskilled labour </w:t>
      </w:r>
      <w:r w:rsidR="006F79A2" w:rsidRPr="00B21CBF">
        <w:t xml:space="preserve">for </w:t>
      </w:r>
      <w:r w:rsidR="00B03CC4" w:rsidRPr="00B21CBF">
        <w:t xml:space="preserve">Argentina, </w:t>
      </w:r>
      <w:r w:rsidR="00F9565C">
        <w:t>Brazil, Chile, Colombia, Mexico</w:t>
      </w:r>
      <w:r w:rsidR="00B03CC4" w:rsidRPr="00B21CBF">
        <w:t xml:space="preserve"> and Venezuela</w:t>
      </w:r>
      <w:r w:rsidR="006F79A2" w:rsidRPr="00B21CBF">
        <w:t xml:space="preserve">. </w:t>
      </w:r>
      <w:r w:rsidR="00424EAC">
        <w:t>It also includes details on sources and procedure used to calculate series of income per worker.</w:t>
      </w:r>
    </w:p>
    <w:p w:rsidR="00424EAC" w:rsidRDefault="00424EAC" w:rsidP="00424EAC">
      <w:pPr>
        <w:spacing w:line="276" w:lineRule="auto"/>
      </w:pPr>
    </w:p>
    <w:p w:rsidR="00424EAC" w:rsidRPr="00424EAC" w:rsidRDefault="00424EAC" w:rsidP="00424EAC">
      <w:pPr>
        <w:pStyle w:val="ListParagraph"/>
        <w:numPr>
          <w:ilvl w:val="0"/>
          <w:numId w:val="34"/>
        </w:numPr>
        <w:spacing w:line="276" w:lineRule="auto"/>
        <w:rPr>
          <w:b/>
          <w:sz w:val="26"/>
          <w:szCs w:val="26"/>
        </w:rPr>
      </w:pPr>
      <w:r w:rsidRPr="00424EAC">
        <w:rPr>
          <w:b/>
          <w:sz w:val="26"/>
          <w:szCs w:val="26"/>
        </w:rPr>
        <w:t xml:space="preserve">Real wages </w:t>
      </w:r>
    </w:p>
    <w:p w:rsidR="00B92056" w:rsidRPr="00B21CBF" w:rsidRDefault="00B92056" w:rsidP="00EF6665">
      <w:pPr>
        <w:spacing w:line="276" w:lineRule="auto"/>
      </w:pPr>
      <w:r w:rsidRPr="00B21CBF">
        <w:t xml:space="preserve">To assemble the series as comparable as possible across countries, wage levels are set in a given period (usually </w:t>
      </w:r>
      <w:r w:rsidR="00112CDA" w:rsidRPr="00B21CBF">
        <w:t xml:space="preserve">within </w:t>
      </w:r>
      <w:r w:rsidRPr="00B21CBF">
        <w:t>1965-1980) using the following procedure</w:t>
      </w:r>
      <w:r w:rsidR="00EB3CA7">
        <w:t>:</w:t>
      </w:r>
      <w:r w:rsidR="00D02F07">
        <w:t xml:space="preserve"> </w:t>
      </w:r>
    </w:p>
    <w:p w:rsidR="00C36197" w:rsidRPr="00B21CBF" w:rsidRDefault="00B92056" w:rsidP="00776685">
      <w:pPr>
        <w:pStyle w:val="ListParagraph"/>
        <w:numPr>
          <w:ilvl w:val="0"/>
          <w:numId w:val="31"/>
        </w:numPr>
        <w:spacing w:line="276" w:lineRule="auto"/>
      </w:pPr>
      <w:r w:rsidRPr="00B21CBF">
        <w:rPr>
          <w:i/>
        </w:rPr>
        <w:t>Unskilled wage level</w:t>
      </w:r>
      <w:r w:rsidRPr="00B21CBF">
        <w:t>. This is calculated as a weighted average of the real wage for the unskilled rural and urban workers. In general, I rely on comparable series of unskilled wages in agriculture and the urban minimum wage from PREALC (1982). Both series are in monthly terms and in local currencies at 1970 prices. In each case</w:t>
      </w:r>
      <w:r w:rsidR="00500D2A">
        <w:t>,</w:t>
      </w:r>
      <w:r w:rsidRPr="00B21CBF">
        <w:t xml:space="preserve"> the weight for the unskilled rural wage (</w:t>
      </w:r>
      <w:r w:rsidR="004F2FC7">
        <w:rPr>
          <w:i/>
        </w:rPr>
        <w:t>RU%</w:t>
      </w:r>
      <w:r w:rsidRPr="00B21CBF">
        <w:t xml:space="preserve">) is calculated as the share of the traditional agricultural sector in the low-income </w:t>
      </w:r>
      <w:r w:rsidR="00C36197" w:rsidRPr="00B21CBF">
        <w:t>economically active population (</w:t>
      </w:r>
      <w:r w:rsidRPr="00B21CBF">
        <w:t>EAP</w:t>
      </w:r>
      <w:r w:rsidR="00C36197" w:rsidRPr="00B21CBF">
        <w:t>)</w:t>
      </w:r>
      <w:r w:rsidRPr="00B21CBF">
        <w:t xml:space="preserve"> using data circa 1970 from the same source.</w:t>
      </w:r>
      <w:r w:rsidRPr="00B21CBF">
        <w:rPr>
          <w:rStyle w:val="FootnoteReference"/>
        </w:rPr>
        <w:footnoteReference w:id="1"/>
      </w:r>
      <w:r w:rsidRPr="00B21CBF">
        <w:t xml:space="preserve"> The weight of the unskilled urban wage is the complement of </w:t>
      </w:r>
      <w:r w:rsidR="004F2FC7">
        <w:rPr>
          <w:i/>
        </w:rPr>
        <w:t>RU%</w:t>
      </w:r>
      <w:r w:rsidRPr="00B21CBF">
        <w:t xml:space="preserve">. </w:t>
      </w:r>
    </w:p>
    <w:p w:rsidR="00B92056" w:rsidRPr="00B21CBF" w:rsidRDefault="00B92056" w:rsidP="00776685">
      <w:pPr>
        <w:pStyle w:val="ListParagraph"/>
        <w:numPr>
          <w:ilvl w:val="0"/>
          <w:numId w:val="31"/>
        </w:numPr>
        <w:spacing w:line="276" w:lineRule="auto"/>
      </w:pPr>
      <w:r w:rsidRPr="00B21CBF">
        <w:rPr>
          <w:i/>
        </w:rPr>
        <w:t>Semi- skilled wage level</w:t>
      </w:r>
      <w:r w:rsidRPr="00B21CBF">
        <w:t>. The basic data are hourly wages of adult males in seven occupations in the construction industry (bricklayers and masons, structural iron workers, concrete workers, carpenters and joiners, painters, plumbers, and electrical fitters) collected in</w:t>
      </w:r>
      <w:r w:rsidR="00294BD9">
        <w:t xml:space="preserve"> the</w:t>
      </w:r>
      <w:r w:rsidRPr="00B21CBF">
        <w:t xml:space="preserve"> I</w:t>
      </w:r>
      <w:r w:rsidR="00294BD9">
        <w:t xml:space="preserve">nternational </w:t>
      </w:r>
      <w:r w:rsidRPr="00B21CBF">
        <w:t>L</w:t>
      </w:r>
      <w:r w:rsidR="00294BD9">
        <w:t xml:space="preserve">abour </w:t>
      </w:r>
      <w:r w:rsidRPr="00B21CBF">
        <w:t>O</w:t>
      </w:r>
      <w:r w:rsidR="00294BD9">
        <w:t>rganization</w:t>
      </w:r>
      <w:r w:rsidRPr="00B21CBF">
        <w:t>’s October Inquiry/Part I (ILO/OI1)</w:t>
      </w:r>
      <w:r w:rsidR="00312CC7">
        <w:t xml:space="preserve"> – ILO (1936-1964)</w:t>
      </w:r>
      <w:r w:rsidRPr="00B21CBF">
        <w:t>.</w:t>
      </w:r>
      <w:r w:rsidRPr="00B21CBF">
        <w:rPr>
          <w:rStyle w:val="FootnoteReference"/>
        </w:rPr>
        <w:footnoteReference w:id="2"/>
      </w:r>
      <w:r w:rsidRPr="00B21CBF">
        <w:t xml:space="preserve"> In order to improve consistency across countries, I calculate ratios of the average semi-skilled wage in the construction industry to the unskilled wage in four sectors (construction, textiles, electricity generation and local government</w:t>
      </w:r>
      <w:r w:rsidR="00776685" w:rsidRPr="00B21CBF">
        <w:t>)</w:t>
      </w:r>
      <w:r w:rsidRPr="00B21CBF">
        <w:t xml:space="preserve"> from the same source, both in hourly terms and at current local currencies. Those ratios are then applied to the unskilled urban monthly wages at 1970 prices sourced from PREALC (1982). In this way</w:t>
      </w:r>
      <w:r w:rsidR="00776685" w:rsidRPr="00B21CBF">
        <w:t>,</w:t>
      </w:r>
      <w:r w:rsidRPr="00B21CBF">
        <w:t xml:space="preserve"> hourly current wage data are </w:t>
      </w:r>
      <w:r w:rsidR="00C36197" w:rsidRPr="00B21CBF">
        <w:t>converted</w:t>
      </w:r>
      <w:r w:rsidRPr="00B21CBF">
        <w:t xml:space="preserve"> into monthly values at constant prices, which can be directly compared to the calculated unskilled wages.</w:t>
      </w:r>
    </w:p>
    <w:p w:rsidR="00B92056" w:rsidRPr="00B21CBF" w:rsidRDefault="00B92056" w:rsidP="00776685">
      <w:pPr>
        <w:pStyle w:val="ListParagraph"/>
        <w:numPr>
          <w:ilvl w:val="0"/>
          <w:numId w:val="31"/>
        </w:numPr>
        <w:spacing w:line="276" w:lineRule="auto"/>
      </w:pPr>
      <w:r w:rsidRPr="00B21CBF">
        <w:rPr>
          <w:i/>
        </w:rPr>
        <w:t>Skilled wage level</w:t>
      </w:r>
      <w:r w:rsidRPr="00B21CBF">
        <w:t>. I use monthly wages for clerks (usually an average of bank tellers and accountants) sourced from</w:t>
      </w:r>
      <w:r w:rsidR="00294BD9">
        <w:t xml:space="preserve"> the</w:t>
      </w:r>
      <w:r w:rsidRPr="00B21CBF">
        <w:t xml:space="preserve"> </w:t>
      </w:r>
      <w:r w:rsidR="00D47054" w:rsidRPr="00B21CBF">
        <w:t>I</w:t>
      </w:r>
      <w:r w:rsidR="00D47054">
        <w:t xml:space="preserve">nternational </w:t>
      </w:r>
      <w:r w:rsidR="00D47054" w:rsidRPr="00B21CBF">
        <w:t>L</w:t>
      </w:r>
      <w:r w:rsidR="00D47054">
        <w:t xml:space="preserve">abour </w:t>
      </w:r>
      <w:r w:rsidR="00D47054" w:rsidRPr="00B21CBF">
        <w:t>O</w:t>
      </w:r>
      <w:r w:rsidR="00D47054">
        <w:t>rganization</w:t>
      </w:r>
      <w:r w:rsidRPr="00B21CBF">
        <w:t xml:space="preserve">’s October Inquiry/Part II </w:t>
      </w:r>
      <w:r w:rsidRPr="00B21CBF">
        <w:lastRenderedPageBreak/>
        <w:t>(ILO/OI2)</w:t>
      </w:r>
      <w:r w:rsidR="00312CC7" w:rsidRPr="00312CC7">
        <w:t xml:space="preserve"> </w:t>
      </w:r>
      <w:r w:rsidR="00312CC7">
        <w:t>- ILO (1964-1982) -</w:t>
      </w:r>
      <w:r w:rsidRPr="00B21CBF">
        <w:t xml:space="preserve"> as representative of relatively skilled workers. These data are in local currencies and current prices. To obtain levels in con</w:t>
      </w:r>
      <w:r w:rsidR="00C66F01" w:rsidRPr="00B21CBF">
        <w:t>stant values consistent with my</w:t>
      </w:r>
      <w:r w:rsidRPr="00B21CBF">
        <w:t xml:space="preserve"> previous two series, I calculate the ratio of t</w:t>
      </w:r>
      <w:r w:rsidR="00C66F01" w:rsidRPr="00B21CBF">
        <w:t>he average monthly wage</w:t>
      </w:r>
      <w:r w:rsidRPr="00B21CBF">
        <w:t xml:space="preserve"> for clerks to the unskilled average wage </w:t>
      </w:r>
      <w:r w:rsidR="00376384" w:rsidRPr="00B21CBF">
        <w:t xml:space="preserve">(over four sectors) </w:t>
      </w:r>
      <w:r w:rsidRPr="00B21CBF">
        <w:t>from ILO/OI1.</w:t>
      </w:r>
      <w:r w:rsidRPr="00B21CBF">
        <w:rPr>
          <w:rStyle w:val="FootnoteReference"/>
        </w:rPr>
        <w:footnoteReference w:id="3"/>
      </w:r>
      <w:r w:rsidRPr="00B21CBF">
        <w:t xml:space="preserve"> Such ratios are then applied to the minimum monthly urban wage at 1970 prices. I also compare, when available, the resulting monthly values with the average wage in manufacturing from PREALC (1982). And when there is a significant gap between the two</w:t>
      </w:r>
      <w:r w:rsidR="003C2369">
        <w:t xml:space="preserve"> figures</w:t>
      </w:r>
      <w:r w:rsidRPr="00B21CBF">
        <w:t xml:space="preserve"> a level adjustment is made</w:t>
      </w:r>
      <w:r w:rsidR="003C2369">
        <w:t xml:space="preserve"> to reduce it</w:t>
      </w:r>
      <w:r w:rsidRPr="00B21CBF">
        <w:t>.</w:t>
      </w:r>
    </w:p>
    <w:p w:rsidR="00B92056" w:rsidRDefault="00EB3CA7" w:rsidP="00EF6665">
      <w:pPr>
        <w:spacing w:line="276" w:lineRule="auto"/>
      </w:pPr>
      <w:r w:rsidRPr="004F01F2">
        <w:t>Table OA-1 below</w:t>
      </w:r>
      <w:r>
        <w:t xml:space="preserve"> summarises the procedure and offers representative values by country for each of the series, together with sources, </w:t>
      </w:r>
      <w:r w:rsidR="00500D2A">
        <w:t xml:space="preserve">and the </w:t>
      </w:r>
      <w:r>
        <w:t>units of the original data used in each case.</w:t>
      </w:r>
    </w:p>
    <w:p w:rsidR="00EB3CA7" w:rsidRDefault="00EB3CA7" w:rsidP="00EF6665">
      <w:pPr>
        <w:spacing w:line="276" w:lineRule="auto"/>
        <w:rPr>
          <w:lang w:val="en-US"/>
        </w:rPr>
      </w:pPr>
    </w:p>
    <w:p w:rsidR="00BA7907" w:rsidRPr="00FB48EB" w:rsidRDefault="00D251B1" w:rsidP="005B0B5E">
      <w:pPr>
        <w:spacing w:line="276" w:lineRule="auto"/>
        <w:jc w:val="center"/>
        <w:rPr>
          <w:sz w:val="22"/>
          <w:szCs w:val="22"/>
        </w:rPr>
      </w:pPr>
      <w:r w:rsidRPr="00D251B1">
        <w:rPr>
          <w:b/>
          <w:lang w:val="en-US"/>
        </w:rPr>
        <w:t>Table</w:t>
      </w:r>
      <w:r>
        <w:rPr>
          <w:b/>
          <w:lang w:val="en-US"/>
        </w:rPr>
        <w:t xml:space="preserve"> OA-1: Procedure </w:t>
      </w:r>
      <w:r w:rsidR="005B0B5E">
        <w:rPr>
          <w:b/>
          <w:lang w:val="en-US"/>
        </w:rPr>
        <w:t xml:space="preserve">used </w:t>
      </w:r>
      <w:r>
        <w:rPr>
          <w:b/>
          <w:lang w:val="en-US"/>
        </w:rPr>
        <w:t xml:space="preserve">to set </w:t>
      </w:r>
      <w:r w:rsidRPr="00D251B1">
        <w:rPr>
          <w:b/>
          <w:lang w:val="en-US"/>
        </w:rPr>
        <w:t>wage levels</w:t>
      </w:r>
      <w:r w:rsidR="003A2FEE">
        <w:rPr>
          <w:sz w:val="22"/>
          <w:szCs w:val="22"/>
          <w:lang w:val="en-US"/>
        </w:rPr>
        <w:t xml:space="preserve">       </w:t>
      </w:r>
      <w:r w:rsidR="00FB48EB" w:rsidRPr="00FB48EB">
        <w:rPr>
          <w:noProof/>
          <w:lang w:val="es-ES" w:eastAsia="es-ES"/>
        </w:rPr>
        <w:drawing>
          <wp:inline distT="0" distB="0" distL="0" distR="0">
            <wp:extent cx="6197600" cy="3738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8446" cy="3738755"/>
                    </a:xfrm>
                    <a:prstGeom prst="rect">
                      <a:avLst/>
                    </a:prstGeom>
                    <a:noFill/>
                    <a:ln>
                      <a:noFill/>
                    </a:ln>
                  </pic:spPr>
                </pic:pic>
              </a:graphicData>
            </a:graphic>
          </wp:inline>
        </w:drawing>
      </w:r>
    </w:p>
    <w:p w:rsidR="00C42706" w:rsidRPr="00F746C1" w:rsidRDefault="0061178C" w:rsidP="00F746C1">
      <w:pPr>
        <w:rPr>
          <w:sz w:val="20"/>
          <w:szCs w:val="20"/>
          <w:lang w:val="en-US"/>
        </w:rPr>
      </w:pPr>
      <w:r w:rsidRPr="0088794E">
        <w:rPr>
          <w:sz w:val="20"/>
          <w:szCs w:val="20"/>
          <w:lang w:val="en-US"/>
        </w:rPr>
        <w:t>Notes:</w:t>
      </w:r>
      <w:r w:rsidR="006D0A54" w:rsidRPr="0088794E">
        <w:rPr>
          <w:sz w:val="20"/>
          <w:szCs w:val="20"/>
          <w:lang w:val="en-US"/>
        </w:rPr>
        <w:t xml:space="preserve"> </w:t>
      </w:r>
      <w:r w:rsidR="005B0B5E">
        <w:rPr>
          <w:sz w:val="20"/>
          <w:szCs w:val="20"/>
          <w:lang w:val="en-US"/>
        </w:rPr>
        <w:t>RU%</w:t>
      </w:r>
      <w:r w:rsidR="00A01564" w:rsidRPr="0088794E">
        <w:rPr>
          <w:sz w:val="20"/>
          <w:szCs w:val="20"/>
          <w:lang w:val="en-US"/>
        </w:rPr>
        <w:t xml:space="preserve">= rural share of low-skilled labour; LC= local currencies; </w:t>
      </w:r>
      <w:r w:rsidR="006D0A54" w:rsidRPr="0088794E">
        <w:rPr>
          <w:sz w:val="20"/>
          <w:szCs w:val="20"/>
          <w:lang w:val="en-US"/>
        </w:rPr>
        <w:t>u</w:t>
      </w:r>
      <w:r w:rsidR="006829E2">
        <w:rPr>
          <w:sz w:val="20"/>
          <w:szCs w:val="20"/>
          <w:lang w:val="en-US"/>
        </w:rPr>
        <w:t>rb.off.</w:t>
      </w:r>
      <w:r w:rsidR="006D0A54" w:rsidRPr="0088794E">
        <w:rPr>
          <w:sz w:val="20"/>
          <w:szCs w:val="20"/>
          <w:lang w:val="en-US"/>
        </w:rPr>
        <w:t>m</w:t>
      </w:r>
      <w:r w:rsidR="006829E2">
        <w:rPr>
          <w:sz w:val="20"/>
          <w:szCs w:val="20"/>
          <w:lang w:val="en-US"/>
        </w:rPr>
        <w:t>inimum</w:t>
      </w:r>
      <w:r w:rsidR="006D0A54" w:rsidRPr="0088794E">
        <w:rPr>
          <w:sz w:val="20"/>
          <w:szCs w:val="20"/>
          <w:lang w:val="en-US"/>
        </w:rPr>
        <w:t>= urban official minimum, m= monthly, d=</w:t>
      </w:r>
      <w:r w:rsidR="00A01564" w:rsidRPr="0088794E">
        <w:rPr>
          <w:sz w:val="20"/>
          <w:szCs w:val="20"/>
          <w:lang w:val="en-US"/>
        </w:rPr>
        <w:t>daily</w:t>
      </w:r>
      <w:r w:rsidR="006829E2">
        <w:rPr>
          <w:sz w:val="20"/>
          <w:szCs w:val="20"/>
          <w:lang w:val="en-US"/>
        </w:rPr>
        <w:t>, h=hour</w:t>
      </w:r>
      <w:r w:rsidR="00A01564" w:rsidRPr="0088794E">
        <w:rPr>
          <w:sz w:val="20"/>
          <w:szCs w:val="20"/>
          <w:lang w:val="en-US"/>
        </w:rPr>
        <w:t xml:space="preserve">; </w:t>
      </w:r>
      <w:r w:rsidR="00313D15">
        <w:rPr>
          <w:sz w:val="20"/>
          <w:szCs w:val="20"/>
          <w:lang w:val="en-US"/>
        </w:rPr>
        <w:t>calc.</w:t>
      </w:r>
      <w:r w:rsidR="00330B13">
        <w:rPr>
          <w:sz w:val="20"/>
          <w:szCs w:val="20"/>
          <w:lang w:val="en-US"/>
        </w:rPr>
        <w:t>= calculated values</w:t>
      </w:r>
      <w:r w:rsidR="00250429">
        <w:rPr>
          <w:sz w:val="20"/>
          <w:szCs w:val="20"/>
          <w:lang w:val="en-US"/>
        </w:rPr>
        <w:t>; n.a.= not available</w:t>
      </w:r>
      <w:r w:rsidR="00330B13">
        <w:rPr>
          <w:sz w:val="20"/>
          <w:szCs w:val="20"/>
          <w:lang w:val="en-US"/>
        </w:rPr>
        <w:t>.</w:t>
      </w:r>
      <w:r w:rsidR="006134DB">
        <w:rPr>
          <w:sz w:val="20"/>
          <w:szCs w:val="20"/>
          <w:lang w:val="en-US"/>
        </w:rPr>
        <w:t xml:space="preserve"> V</w:t>
      </w:r>
      <w:r w:rsidR="00330B13">
        <w:rPr>
          <w:sz w:val="20"/>
          <w:szCs w:val="20"/>
          <w:lang w:val="en-US"/>
        </w:rPr>
        <w:t>alues in (10)</w:t>
      </w:r>
      <w:r w:rsidR="005F7A44">
        <w:rPr>
          <w:sz w:val="20"/>
          <w:szCs w:val="20"/>
          <w:lang w:val="en-US"/>
        </w:rPr>
        <w:t xml:space="preserve"> are originally hourly</w:t>
      </w:r>
      <w:r w:rsidR="00330B13">
        <w:rPr>
          <w:sz w:val="20"/>
          <w:szCs w:val="20"/>
          <w:lang w:val="en-US"/>
        </w:rPr>
        <w:t xml:space="preserve"> wages. M</w:t>
      </w:r>
      <w:r w:rsidR="00E14A55" w:rsidRPr="0088794E">
        <w:rPr>
          <w:sz w:val="20"/>
          <w:szCs w:val="20"/>
          <w:lang w:val="en-US"/>
        </w:rPr>
        <w:t xml:space="preserve">anufacturing wage </w:t>
      </w:r>
      <w:r w:rsidR="00330B13">
        <w:rPr>
          <w:sz w:val="20"/>
          <w:szCs w:val="20"/>
          <w:lang w:val="en-US"/>
        </w:rPr>
        <w:t xml:space="preserve">in Argentina refers to </w:t>
      </w:r>
      <w:r w:rsidR="00E14A55" w:rsidRPr="0088794E">
        <w:rPr>
          <w:sz w:val="20"/>
          <w:szCs w:val="20"/>
          <w:lang w:val="en-US"/>
        </w:rPr>
        <w:t>“</w:t>
      </w:r>
      <w:r w:rsidR="00E14A55" w:rsidRPr="0088794E">
        <w:rPr>
          <w:i/>
          <w:sz w:val="20"/>
          <w:szCs w:val="20"/>
          <w:lang w:val="en-US"/>
        </w:rPr>
        <w:t>nacional pagado</w:t>
      </w:r>
      <w:r w:rsidR="00E14A55" w:rsidRPr="0088794E">
        <w:rPr>
          <w:sz w:val="20"/>
          <w:szCs w:val="20"/>
          <w:lang w:val="en-US"/>
        </w:rPr>
        <w:t>”.</w:t>
      </w:r>
      <w:r w:rsidR="00F746C1">
        <w:rPr>
          <w:sz w:val="20"/>
          <w:szCs w:val="20"/>
          <w:lang w:val="en-US"/>
        </w:rPr>
        <w:t xml:space="preserve"> </w:t>
      </w:r>
      <w:r w:rsidR="006829E2">
        <w:rPr>
          <w:sz w:val="20"/>
          <w:szCs w:val="20"/>
          <w:lang w:val="en-US"/>
        </w:rPr>
        <w:t>Adjustment</w:t>
      </w:r>
      <w:r w:rsidR="00723D6E" w:rsidRPr="00F746C1">
        <w:rPr>
          <w:sz w:val="20"/>
          <w:szCs w:val="20"/>
          <w:lang w:val="en-US"/>
        </w:rPr>
        <w:t xml:space="preserve"> factor</w:t>
      </w:r>
      <w:r w:rsidR="006D0A54" w:rsidRPr="00F746C1">
        <w:rPr>
          <w:sz w:val="20"/>
          <w:szCs w:val="20"/>
          <w:lang w:val="en-US"/>
        </w:rPr>
        <w:t>s applied</w:t>
      </w:r>
      <w:r w:rsidR="00374F79">
        <w:rPr>
          <w:sz w:val="20"/>
          <w:szCs w:val="20"/>
          <w:lang w:val="en-US"/>
        </w:rPr>
        <w:t xml:space="preserve"> are</w:t>
      </w:r>
      <w:r w:rsidR="006D0A54" w:rsidRPr="00F746C1">
        <w:rPr>
          <w:sz w:val="20"/>
          <w:szCs w:val="20"/>
          <w:lang w:val="en-US"/>
        </w:rPr>
        <w:t>:</w:t>
      </w:r>
      <w:r w:rsidR="00723D6E" w:rsidRPr="00F746C1">
        <w:rPr>
          <w:sz w:val="20"/>
          <w:szCs w:val="20"/>
          <w:lang w:val="en-US"/>
        </w:rPr>
        <w:t xml:space="preserve"> 1.1 for semi-skilled wages and 1.15 for skilled wages in Argentina; 1.1 for semi-skilled wages and 1.05 for skilled wages in Chile; 1.1 for skilled wages in Colombia. </w:t>
      </w:r>
    </w:p>
    <w:p w:rsidR="00F44CD1" w:rsidRDefault="00F44CD1" w:rsidP="00EF6665">
      <w:pPr>
        <w:spacing w:line="276" w:lineRule="auto"/>
        <w:rPr>
          <w:sz w:val="22"/>
          <w:szCs w:val="22"/>
          <w:lang w:val="en-US"/>
        </w:rPr>
      </w:pPr>
    </w:p>
    <w:p w:rsidR="00F746C1" w:rsidRPr="00BF43B7" w:rsidRDefault="00F746C1" w:rsidP="00C74E43">
      <w:pPr>
        <w:spacing w:line="276" w:lineRule="auto"/>
        <w:ind w:firstLine="567"/>
      </w:pPr>
      <w:r>
        <w:t>Outside the core period I</w:t>
      </w:r>
      <w:r w:rsidRPr="00BF43B7">
        <w:t xml:space="preserve"> use the rate of growth of </w:t>
      </w:r>
      <w:r w:rsidR="00500D2A">
        <w:t>wage series from various sources</w:t>
      </w:r>
      <w:r w:rsidRPr="00BF43B7">
        <w:t>.</w:t>
      </w:r>
      <w:r w:rsidRPr="00712E41">
        <w:rPr>
          <w:lang w:val="en-US"/>
        </w:rPr>
        <w:t xml:space="preserve"> </w:t>
      </w:r>
      <w:r w:rsidRPr="00BF43B7">
        <w:rPr>
          <w:lang w:val="en-US"/>
        </w:rPr>
        <w:t xml:space="preserve">When necessary two interpolations procedures </w:t>
      </w:r>
      <w:r>
        <w:rPr>
          <w:lang w:val="en-US"/>
        </w:rPr>
        <w:t xml:space="preserve">are employed </w:t>
      </w:r>
      <w:r w:rsidRPr="00BF43B7">
        <w:rPr>
          <w:lang w:val="en-US"/>
        </w:rPr>
        <w:t>to fill the gap between</w:t>
      </w:r>
      <w:r>
        <w:rPr>
          <w:lang w:val="en-US"/>
        </w:rPr>
        <w:t xml:space="preserve"> two </w:t>
      </w:r>
      <w:r w:rsidR="00726203">
        <w:rPr>
          <w:lang w:val="en-US"/>
        </w:rPr>
        <w:t xml:space="preserve">given </w:t>
      </w:r>
      <w:r>
        <w:rPr>
          <w:lang w:val="en-US"/>
        </w:rPr>
        <w:t>data points</w:t>
      </w:r>
      <w:r w:rsidRPr="00BF43B7">
        <w:rPr>
          <w:lang w:val="en-US"/>
        </w:rPr>
        <w:t xml:space="preserve"> </w:t>
      </w:r>
      <w:r w:rsidRPr="00BF43B7">
        <w:rPr>
          <w:i/>
          <w:lang w:val="en-US"/>
        </w:rPr>
        <w:t>y</w:t>
      </w:r>
      <w:r w:rsidRPr="00BF43B7">
        <w:rPr>
          <w:i/>
          <w:vertAlign w:val="subscript"/>
          <w:lang w:val="en-US"/>
        </w:rPr>
        <w:t xml:space="preserve">0 </w:t>
      </w:r>
      <w:r w:rsidRPr="00BF43B7">
        <w:rPr>
          <w:lang w:val="en-US"/>
        </w:rPr>
        <w:t xml:space="preserve">and </w:t>
      </w:r>
      <w:r w:rsidRPr="00BF43B7">
        <w:rPr>
          <w:i/>
          <w:lang w:val="en-US"/>
        </w:rPr>
        <w:t>y</w:t>
      </w:r>
      <w:r w:rsidRPr="00BF43B7">
        <w:rPr>
          <w:i/>
          <w:vertAlign w:val="subscript"/>
          <w:lang w:val="en-US"/>
        </w:rPr>
        <w:t>n</w:t>
      </w:r>
      <w:r w:rsidR="003218B8">
        <w:rPr>
          <w:lang w:val="en-US"/>
        </w:rPr>
        <w:t xml:space="preserve"> in a series </w:t>
      </w:r>
      <w:r w:rsidR="003218B8" w:rsidRPr="003218B8">
        <w:rPr>
          <w:i/>
          <w:lang w:val="en-US"/>
        </w:rPr>
        <w:t>y</w:t>
      </w:r>
      <w:r w:rsidR="003218B8">
        <w:rPr>
          <w:lang w:val="en-US"/>
        </w:rPr>
        <w:t xml:space="preserve">: </w:t>
      </w:r>
      <w:r w:rsidRPr="006E4995">
        <w:rPr>
          <w:lang w:val="en-US"/>
        </w:rPr>
        <w:t>linear interpolation,</w:t>
      </w:r>
      <w:r w:rsidRPr="00BF43B7">
        <w:rPr>
          <w:lang w:val="en-US"/>
        </w:rPr>
        <w:t xml:space="preserve"> and pattern interpolation</w:t>
      </w:r>
      <w:r w:rsidRPr="00BF43B7">
        <w:t xml:space="preserve"> </w:t>
      </w:r>
      <w:r w:rsidRPr="00BF43B7">
        <w:rPr>
          <w:lang w:val="en-US"/>
        </w:rPr>
        <w:t xml:space="preserve">which uses information of a known series </w:t>
      </w:r>
      <w:r w:rsidRPr="00BF43B7">
        <w:rPr>
          <w:i/>
          <w:lang w:val="en-US"/>
        </w:rPr>
        <w:t>x</w:t>
      </w:r>
      <w:r w:rsidRPr="00BF43B7">
        <w:rPr>
          <w:lang w:val="en-US"/>
        </w:rPr>
        <w:t xml:space="preserve"> to fill the gap in </w:t>
      </w:r>
      <w:r w:rsidRPr="00BF43B7">
        <w:rPr>
          <w:i/>
          <w:lang w:val="en-US"/>
        </w:rPr>
        <w:t>y</w:t>
      </w:r>
      <w:r w:rsidRPr="00BF43B7">
        <w:rPr>
          <w:lang w:val="en-US"/>
        </w:rPr>
        <w:t>.</w:t>
      </w:r>
      <w:r w:rsidRPr="00BF43B7">
        <w:rPr>
          <w:rStyle w:val="FootnoteReference"/>
          <w:lang w:val="en-US"/>
        </w:rPr>
        <w:footnoteReference w:id="4"/>
      </w:r>
      <w:r w:rsidRPr="00BF43B7">
        <w:rPr>
          <w:lang w:val="en-US"/>
        </w:rPr>
        <w:t xml:space="preserve"> </w:t>
      </w:r>
      <w:r>
        <w:rPr>
          <w:lang w:val="en-US"/>
        </w:rPr>
        <w:t>Unless otherwise indicated, linear interpolation is the default procedure. When</w:t>
      </w:r>
      <w:r w:rsidRPr="006971B5">
        <w:rPr>
          <w:lang w:val="en-US"/>
        </w:rPr>
        <w:t xml:space="preserve"> the original w</w:t>
      </w:r>
      <w:r>
        <w:rPr>
          <w:lang w:val="en-US"/>
        </w:rPr>
        <w:t xml:space="preserve">age data are in nominal terms, the consumer price index (CPI) is </w:t>
      </w:r>
      <w:r>
        <w:rPr>
          <w:lang w:val="en-US"/>
        </w:rPr>
        <w:lastRenderedPageBreak/>
        <w:t xml:space="preserve">usually used as a </w:t>
      </w:r>
      <w:r w:rsidRPr="006971B5">
        <w:rPr>
          <w:lang w:val="en-US"/>
        </w:rPr>
        <w:t>deflator</w:t>
      </w:r>
      <w:r>
        <w:rPr>
          <w:lang w:val="en-US"/>
        </w:rPr>
        <w:t xml:space="preserve">. Full details are given at the end of each country section. </w:t>
      </w:r>
      <w:r w:rsidR="00D9764B" w:rsidRPr="00D9764B">
        <w:rPr>
          <w:lang w:val="en-US"/>
        </w:rPr>
        <w:t>An overriding constraint is that the three wage series of a given country cannot cross over time as this would imply negative returns to skills</w:t>
      </w:r>
      <w:r w:rsidR="00D9764B">
        <w:rPr>
          <w:lang w:val="en-US"/>
        </w:rPr>
        <w:t xml:space="preserve">. </w:t>
      </w:r>
      <w:r>
        <w:rPr>
          <w:lang w:val="en-US"/>
        </w:rPr>
        <w:t>T</w:t>
      </w:r>
      <w:r w:rsidRPr="00BF43B7">
        <w:t>o have wages in a sin</w:t>
      </w:r>
      <w:r>
        <w:t>gle currency across countries I</w:t>
      </w:r>
      <w:r w:rsidRPr="00BF43B7">
        <w:t xml:space="preserve"> calculate</w:t>
      </w:r>
      <w:r>
        <w:t xml:space="preserve"> purchasing power parity values (</w:t>
      </w:r>
      <w:r w:rsidRPr="00BF43B7">
        <w:t>PPP$</w:t>
      </w:r>
      <w:r>
        <w:t>)</w:t>
      </w:r>
      <w:r w:rsidRPr="00BF43B7">
        <w:t xml:space="preserve"> using the PPP exchange rates to the US dollar available for </w:t>
      </w:r>
      <w:r>
        <w:t xml:space="preserve">circa </w:t>
      </w:r>
      <w:r w:rsidRPr="00BF43B7">
        <w:t>1970 (ECLA, 1978).</w:t>
      </w:r>
    </w:p>
    <w:p w:rsidR="00F746C1" w:rsidRPr="00F746C1" w:rsidRDefault="00F746C1" w:rsidP="00EF6665">
      <w:pPr>
        <w:spacing w:line="276" w:lineRule="auto"/>
        <w:rPr>
          <w:sz w:val="22"/>
          <w:szCs w:val="22"/>
        </w:rPr>
      </w:pPr>
    </w:p>
    <w:p w:rsidR="00A77994" w:rsidRDefault="00A77994" w:rsidP="00EF6665">
      <w:pPr>
        <w:spacing w:line="276" w:lineRule="auto"/>
      </w:pPr>
      <w:r w:rsidRPr="00581D29">
        <w:t>The period</w:t>
      </w:r>
      <w:r w:rsidR="00927F61">
        <w:t>s</w:t>
      </w:r>
      <w:r w:rsidRPr="00581D29">
        <w:t xml:space="preserve"> used to set the levels are </w:t>
      </w:r>
      <w:r w:rsidR="00883614" w:rsidRPr="00581D29">
        <w:t>preceded by an asterisk</w:t>
      </w:r>
      <w:r w:rsidRPr="00581D29">
        <w:t>.</w:t>
      </w:r>
      <w:r w:rsidRPr="00BF43B7">
        <w:t xml:space="preserve"> </w:t>
      </w:r>
    </w:p>
    <w:p w:rsidR="001F1044" w:rsidRPr="00A77994" w:rsidRDefault="001F1044" w:rsidP="006F79A2">
      <w:pPr>
        <w:rPr>
          <w:sz w:val="22"/>
          <w:szCs w:val="22"/>
        </w:rPr>
      </w:pPr>
    </w:p>
    <w:p w:rsidR="006F79A2" w:rsidRPr="00F41D01" w:rsidRDefault="006F79A2" w:rsidP="00F41D01">
      <w:pPr>
        <w:spacing w:before="100"/>
        <w:rPr>
          <w:b/>
          <w:sz w:val="26"/>
          <w:szCs w:val="26"/>
        </w:rPr>
      </w:pPr>
      <w:r w:rsidRPr="00F41D01">
        <w:rPr>
          <w:b/>
          <w:sz w:val="26"/>
          <w:szCs w:val="26"/>
        </w:rPr>
        <w:t>Argentina</w:t>
      </w:r>
    </w:p>
    <w:p w:rsidR="006F79A2" w:rsidRPr="00B21CBF" w:rsidRDefault="008829B7" w:rsidP="00F41D01">
      <w:pPr>
        <w:spacing w:before="100"/>
        <w:rPr>
          <w:i/>
        </w:rPr>
      </w:pPr>
      <w:r w:rsidRPr="00B21CBF">
        <w:rPr>
          <w:i/>
        </w:rPr>
        <w:t>Unskilled</w:t>
      </w:r>
      <w:r w:rsidR="006F79A2" w:rsidRPr="00B21CBF">
        <w:rPr>
          <w:i/>
        </w:rPr>
        <w:t xml:space="preserve"> wages (</w:t>
      </w:r>
      <w:r w:rsidR="00C1289C" w:rsidRPr="00B21CBF">
        <w:rPr>
          <w:i/>
        </w:rPr>
        <w:t>w</w:t>
      </w:r>
      <w:r w:rsidR="00C1289C" w:rsidRPr="00B21CBF">
        <w:rPr>
          <w:i/>
          <w:vertAlign w:val="subscript"/>
        </w:rPr>
        <w:t>4</w:t>
      </w:r>
      <w:r w:rsidR="006F79A2" w:rsidRPr="00B21CBF">
        <w:rPr>
          <w:i/>
        </w:rPr>
        <w:t xml:space="preserve">): </w:t>
      </w:r>
    </w:p>
    <w:p w:rsidR="006F79A2" w:rsidRPr="005806BF" w:rsidRDefault="00E64B35" w:rsidP="006061AD">
      <w:pPr>
        <w:rPr>
          <w:lang w:val="en-US"/>
        </w:rPr>
      </w:pPr>
      <w:r w:rsidRPr="00B21CBF">
        <w:rPr>
          <w:lang w:val="en-US"/>
        </w:rPr>
        <w:t>1900-1914</w:t>
      </w:r>
      <w:r w:rsidR="006F79A2" w:rsidRPr="00B21CBF">
        <w:rPr>
          <w:lang w:val="en-US"/>
        </w:rPr>
        <w:t xml:space="preserve">: real salaries </w:t>
      </w:r>
      <w:r w:rsidR="00BA333B" w:rsidRPr="00B21CBF">
        <w:rPr>
          <w:lang w:val="en-US"/>
        </w:rPr>
        <w:t>for</w:t>
      </w:r>
      <w:r w:rsidR="003A5E31" w:rsidRPr="00B21CBF">
        <w:rPr>
          <w:lang w:val="en-US"/>
        </w:rPr>
        <w:t xml:space="preserve"> unskilled workers in government</w:t>
      </w:r>
      <w:r w:rsidR="00BA333B" w:rsidRPr="00B21CBF">
        <w:rPr>
          <w:lang w:val="en-US"/>
        </w:rPr>
        <w:t xml:space="preserve"> (</w:t>
      </w:r>
      <w:r w:rsidR="00BA333B" w:rsidRPr="00B21CBF">
        <w:rPr>
          <w:i/>
          <w:lang w:val="en-US"/>
        </w:rPr>
        <w:t>peones de policia</w:t>
      </w:r>
      <w:r w:rsidR="00BA333B" w:rsidRPr="00B21CBF">
        <w:rPr>
          <w:lang w:val="en-US"/>
        </w:rPr>
        <w:t>)</w:t>
      </w:r>
      <w:r w:rsidR="003A5E31" w:rsidRPr="00B21CBF">
        <w:rPr>
          <w:lang w:val="en-US"/>
        </w:rPr>
        <w:t xml:space="preserve"> </w:t>
      </w:r>
      <w:r w:rsidR="000F7798" w:rsidRPr="00B21CBF">
        <w:rPr>
          <w:lang w:val="en-US"/>
        </w:rPr>
        <w:t xml:space="preserve">at </w:t>
      </w:r>
      <w:r w:rsidR="00C42706" w:rsidRPr="00B21CBF">
        <w:rPr>
          <w:lang w:val="en-US"/>
        </w:rPr>
        <w:t xml:space="preserve">1903 prices </w:t>
      </w:r>
      <w:r w:rsidR="006F79A2" w:rsidRPr="00B21CBF">
        <w:rPr>
          <w:lang w:val="en-US"/>
        </w:rPr>
        <w:t>from Cortes-Conde (1979). In order to allow for the spli</w:t>
      </w:r>
      <w:r w:rsidR="00991AB0" w:rsidRPr="00B21CBF">
        <w:rPr>
          <w:lang w:val="en-US"/>
        </w:rPr>
        <w:t xml:space="preserve">cing with the following series, figures </w:t>
      </w:r>
      <w:r w:rsidR="00991AB0" w:rsidRPr="00FF7FD4">
        <w:rPr>
          <w:lang w:val="en-US"/>
        </w:rPr>
        <w:t>in</w:t>
      </w:r>
      <w:r w:rsidR="006F79A2" w:rsidRPr="00FF7FD4">
        <w:rPr>
          <w:lang w:val="en-US"/>
        </w:rPr>
        <w:t xml:space="preserve"> 1913</w:t>
      </w:r>
      <w:r w:rsidR="006F79A2" w:rsidRPr="00B21CBF">
        <w:rPr>
          <w:lang w:val="en-US"/>
        </w:rPr>
        <w:t xml:space="preserve"> </w:t>
      </w:r>
      <w:r w:rsidRPr="00B21CBF">
        <w:rPr>
          <w:lang w:val="en-US"/>
        </w:rPr>
        <w:t>and 1914 are</w:t>
      </w:r>
      <w:r w:rsidR="006F79A2" w:rsidRPr="00B21CBF">
        <w:rPr>
          <w:lang w:val="en-US"/>
        </w:rPr>
        <w:t xml:space="preserve"> </w:t>
      </w:r>
      <w:r w:rsidR="006C17FF" w:rsidRPr="00B21CBF">
        <w:rPr>
          <w:lang w:val="en-US"/>
        </w:rPr>
        <w:t xml:space="preserve">calculated using the growth rate of real GDP per </w:t>
      </w:r>
      <w:r w:rsidR="006C17FF" w:rsidRPr="005806BF">
        <w:rPr>
          <w:lang w:val="en-US"/>
        </w:rPr>
        <w:t xml:space="preserve">capita (Bértola and Ocampo, 2012). </w:t>
      </w:r>
    </w:p>
    <w:p w:rsidR="00EA290D" w:rsidRPr="005806BF" w:rsidRDefault="009B3E24" w:rsidP="00EA290D">
      <w:pPr>
        <w:rPr>
          <w:lang w:val="en-US"/>
        </w:rPr>
      </w:pPr>
      <w:r w:rsidRPr="005806BF">
        <w:rPr>
          <w:lang w:val="en-US"/>
        </w:rPr>
        <w:t>1914</w:t>
      </w:r>
      <w:r w:rsidR="00654E81" w:rsidRPr="005806BF">
        <w:rPr>
          <w:lang w:val="en-US"/>
        </w:rPr>
        <w:t>-1926</w:t>
      </w:r>
      <w:r w:rsidR="00EA290D" w:rsidRPr="005806BF">
        <w:rPr>
          <w:lang w:val="en-US"/>
        </w:rPr>
        <w:t>:</w:t>
      </w:r>
      <w:r w:rsidR="00914CBB" w:rsidRPr="005806BF">
        <w:rPr>
          <w:lang w:val="en-US"/>
        </w:rPr>
        <w:t xml:space="preserve"> a simple average of </w:t>
      </w:r>
      <w:r w:rsidR="00EA290D" w:rsidRPr="005806BF">
        <w:rPr>
          <w:lang w:val="en-US"/>
        </w:rPr>
        <w:t>real salaries</w:t>
      </w:r>
      <w:r w:rsidR="00914CBB" w:rsidRPr="005806BF">
        <w:rPr>
          <w:lang w:val="en-US"/>
        </w:rPr>
        <w:t xml:space="preserve"> and wages</w:t>
      </w:r>
      <w:r w:rsidR="0080543E" w:rsidRPr="005806BF">
        <w:rPr>
          <w:lang w:val="en-US"/>
        </w:rPr>
        <w:t xml:space="preserve"> for unskilled men from Shi</w:t>
      </w:r>
      <w:r w:rsidR="00EA290D" w:rsidRPr="005806BF">
        <w:rPr>
          <w:lang w:val="en-US"/>
        </w:rPr>
        <w:t xml:space="preserve">pley (1977). Data points in 1914, 1917, </w:t>
      </w:r>
      <w:r w:rsidR="00F37695" w:rsidRPr="005806BF">
        <w:rPr>
          <w:lang w:val="en-US"/>
        </w:rPr>
        <w:t>1921-22, 1926</w:t>
      </w:r>
      <w:r w:rsidR="00EA290D" w:rsidRPr="005806BF">
        <w:rPr>
          <w:lang w:val="en-US"/>
        </w:rPr>
        <w:t xml:space="preserve">. </w:t>
      </w:r>
    </w:p>
    <w:p w:rsidR="006F79A2" w:rsidRPr="005806BF" w:rsidRDefault="009B3E24" w:rsidP="006F79A2">
      <w:pPr>
        <w:rPr>
          <w:lang w:val="en-US"/>
        </w:rPr>
      </w:pPr>
      <w:r w:rsidRPr="005806BF">
        <w:rPr>
          <w:lang w:val="en-US"/>
        </w:rPr>
        <w:t>1926</w:t>
      </w:r>
      <w:r w:rsidR="00F815BA" w:rsidRPr="005806BF">
        <w:rPr>
          <w:lang w:val="en-US"/>
        </w:rPr>
        <w:t>-1936</w:t>
      </w:r>
      <w:r w:rsidR="006F79A2" w:rsidRPr="005806BF">
        <w:rPr>
          <w:lang w:val="en-US"/>
        </w:rPr>
        <w:t>: average real wage in agriculture from IEERAL(1986)</w:t>
      </w:r>
      <w:r w:rsidR="00FF7FD4" w:rsidRPr="005806BF">
        <w:rPr>
          <w:i/>
          <w:lang w:val="en-US"/>
        </w:rPr>
        <w:t xml:space="preserve"> in australes of 1960</w:t>
      </w:r>
      <w:r w:rsidR="006F79A2" w:rsidRPr="005806BF">
        <w:rPr>
          <w:lang w:val="en-US"/>
        </w:rPr>
        <w:t>.</w:t>
      </w:r>
    </w:p>
    <w:p w:rsidR="00DF3840" w:rsidRPr="00B21CBF" w:rsidRDefault="009B3E24" w:rsidP="006F79A2">
      <w:pPr>
        <w:rPr>
          <w:lang w:val="en-US"/>
        </w:rPr>
      </w:pPr>
      <w:r w:rsidRPr="005806BF">
        <w:rPr>
          <w:lang w:val="en-US"/>
        </w:rPr>
        <w:t>1936</w:t>
      </w:r>
      <w:r w:rsidR="0007616A" w:rsidRPr="005806BF">
        <w:rPr>
          <w:lang w:val="en-US"/>
        </w:rPr>
        <w:t>-1965</w:t>
      </w:r>
      <w:r w:rsidR="00DF3840" w:rsidRPr="005806BF">
        <w:rPr>
          <w:lang w:val="en-US"/>
        </w:rPr>
        <w:t xml:space="preserve">: weighted average of </w:t>
      </w:r>
      <w:r w:rsidR="009C586E" w:rsidRPr="005806BF">
        <w:rPr>
          <w:lang w:val="en-US"/>
        </w:rPr>
        <w:t xml:space="preserve">two series: i) </w:t>
      </w:r>
      <w:r w:rsidR="00F815BA" w:rsidRPr="005806BF">
        <w:rPr>
          <w:lang w:val="en-US"/>
        </w:rPr>
        <w:t>average real wage in agriculture from IEERAL(1986)</w:t>
      </w:r>
      <w:r w:rsidR="0067073E" w:rsidRPr="005806BF">
        <w:rPr>
          <w:i/>
          <w:lang w:val="en-US"/>
        </w:rPr>
        <w:t xml:space="preserve"> in australes of 1960</w:t>
      </w:r>
      <w:r w:rsidR="009C586E" w:rsidRPr="005806BF">
        <w:rPr>
          <w:lang w:val="en-US"/>
        </w:rPr>
        <w:t xml:space="preserve">; </w:t>
      </w:r>
      <w:r w:rsidR="00363981" w:rsidRPr="005806BF">
        <w:rPr>
          <w:lang w:val="en-US"/>
        </w:rPr>
        <w:t xml:space="preserve">and </w:t>
      </w:r>
      <w:r w:rsidR="009C586E" w:rsidRPr="005806BF">
        <w:rPr>
          <w:lang w:val="en-US"/>
        </w:rPr>
        <w:t xml:space="preserve">ii) </w:t>
      </w:r>
      <w:r w:rsidR="00363981" w:rsidRPr="005806BF">
        <w:rPr>
          <w:lang w:val="en-US"/>
        </w:rPr>
        <w:t>the average of unskilled wages in four industries (construction, textiles, electricity, city council)</w:t>
      </w:r>
      <w:r w:rsidR="00DF3840" w:rsidRPr="005806BF">
        <w:rPr>
          <w:lang w:val="en-US"/>
        </w:rPr>
        <w:t xml:space="preserve"> </w:t>
      </w:r>
      <w:r w:rsidR="00363981" w:rsidRPr="005806BF">
        <w:rPr>
          <w:lang w:val="en-US"/>
        </w:rPr>
        <w:t>from ILO</w:t>
      </w:r>
      <w:r w:rsidR="00F815BA" w:rsidRPr="005806BF">
        <w:rPr>
          <w:lang w:val="en-US"/>
        </w:rPr>
        <w:t>/OI1</w:t>
      </w:r>
      <w:r w:rsidR="00DF3840" w:rsidRPr="005806BF">
        <w:rPr>
          <w:lang w:val="en-US"/>
        </w:rPr>
        <w:t xml:space="preserve">. </w:t>
      </w:r>
      <w:r w:rsidR="00122FB5" w:rsidRPr="005806BF">
        <w:rPr>
          <w:lang w:val="en-US"/>
        </w:rPr>
        <w:t xml:space="preserve">Data points in </w:t>
      </w:r>
      <w:r w:rsidR="0029025A" w:rsidRPr="005806BF">
        <w:rPr>
          <w:lang w:val="en-US"/>
        </w:rPr>
        <w:t xml:space="preserve">1936-37, 1939-51, 1943, 1947, 1951, 1954-65. </w:t>
      </w:r>
      <w:r w:rsidR="00F815BA" w:rsidRPr="005806BF">
        <w:rPr>
          <w:lang w:val="en-US"/>
        </w:rPr>
        <w:t xml:space="preserve">To estimates the weights, I adjust the </w:t>
      </w:r>
      <w:r w:rsidR="004F2FC7" w:rsidRPr="005806BF">
        <w:rPr>
          <w:i/>
          <w:lang w:val="en-US"/>
        </w:rPr>
        <w:t>RU%</w:t>
      </w:r>
      <w:r w:rsidR="00F815BA" w:rsidRPr="005806BF">
        <w:rPr>
          <w:lang w:val="en-US"/>
        </w:rPr>
        <w:t xml:space="preserve"> in 1970 (see below) in line with changes in the rural population (this procedure results in a </w:t>
      </w:r>
      <w:r w:rsidR="004F2FC7" w:rsidRPr="005806BF">
        <w:rPr>
          <w:i/>
          <w:lang w:val="en-US"/>
        </w:rPr>
        <w:t>RU%</w:t>
      </w:r>
      <w:r w:rsidR="00F815BA" w:rsidRPr="005806BF">
        <w:rPr>
          <w:lang w:val="en-US"/>
        </w:rPr>
        <w:t xml:space="preserve"> in 195</w:t>
      </w:r>
      <w:r w:rsidR="00A74FD5" w:rsidRPr="005806BF">
        <w:rPr>
          <w:lang w:val="en-US"/>
        </w:rPr>
        <w:t xml:space="preserve">0 = </w:t>
      </w:r>
      <w:r w:rsidR="00F815BA" w:rsidRPr="005806BF">
        <w:rPr>
          <w:lang w:val="en-US"/>
        </w:rPr>
        <w:t>0.55).</w:t>
      </w:r>
    </w:p>
    <w:p w:rsidR="006F79A2" w:rsidRPr="00B21CBF" w:rsidRDefault="00883614" w:rsidP="006F79A2">
      <w:pPr>
        <w:rPr>
          <w:lang w:val="en-US"/>
        </w:rPr>
      </w:pPr>
      <w:r w:rsidRPr="00B21CBF">
        <w:rPr>
          <w:lang w:val="en-US"/>
        </w:rPr>
        <w:t>*</w:t>
      </w:r>
      <w:r w:rsidR="007A2806" w:rsidRPr="00B21CBF">
        <w:rPr>
          <w:lang w:val="en-US"/>
        </w:rPr>
        <w:t>1965-1978</w:t>
      </w:r>
      <w:r w:rsidR="00D14B65" w:rsidRPr="00B21CBF">
        <w:rPr>
          <w:lang w:val="en-US"/>
        </w:rPr>
        <w:t xml:space="preserve"> (in levels)</w:t>
      </w:r>
      <w:r w:rsidR="007A2806" w:rsidRPr="00B21CBF">
        <w:rPr>
          <w:lang w:val="en-US"/>
        </w:rPr>
        <w:t>: weighted</w:t>
      </w:r>
      <w:r w:rsidR="006F79A2" w:rsidRPr="00B21CBF">
        <w:rPr>
          <w:lang w:val="en-US"/>
        </w:rPr>
        <w:t xml:space="preserve"> average of the real wage for the unskilled worker in agriculture (national level) and the minimum </w:t>
      </w:r>
      <w:r w:rsidR="00611B31" w:rsidRPr="00B21CBF">
        <w:rPr>
          <w:lang w:val="en-US"/>
        </w:rPr>
        <w:t xml:space="preserve">urban real wage. Both series in </w:t>
      </w:r>
      <w:r w:rsidR="006F79A2" w:rsidRPr="00B21CBF">
        <w:rPr>
          <w:lang w:val="en-US"/>
        </w:rPr>
        <w:t>pesos</w:t>
      </w:r>
      <w:r w:rsidR="00D14B65" w:rsidRPr="00B21CBF">
        <w:rPr>
          <w:lang w:val="en-US"/>
        </w:rPr>
        <w:t xml:space="preserve"> of 1970 from PREALC</w:t>
      </w:r>
      <w:r w:rsidR="0067073E">
        <w:rPr>
          <w:lang w:val="en-US"/>
        </w:rPr>
        <w:t xml:space="preserve"> (1982)</w:t>
      </w:r>
      <w:r w:rsidR="00D14B65" w:rsidRPr="00B21CBF">
        <w:rPr>
          <w:lang w:val="en-US"/>
        </w:rPr>
        <w:t>.</w:t>
      </w:r>
      <w:r w:rsidR="007A2806" w:rsidRPr="00B21CBF">
        <w:rPr>
          <w:lang w:val="en-US"/>
        </w:rPr>
        <w:t xml:space="preserve"> The weight </w:t>
      </w:r>
      <w:r w:rsidR="00115030" w:rsidRPr="00B21CBF">
        <w:rPr>
          <w:lang w:val="en-US"/>
        </w:rPr>
        <w:t xml:space="preserve">for </w:t>
      </w:r>
      <w:r w:rsidR="004F2FC7">
        <w:rPr>
          <w:i/>
          <w:lang w:val="en-US"/>
        </w:rPr>
        <w:t>RU%</w:t>
      </w:r>
      <w:r w:rsidR="00115030" w:rsidRPr="00B21CBF">
        <w:rPr>
          <w:lang w:val="en-US"/>
        </w:rPr>
        <w:t xml:space="preserve"> </w:t>
      </w:r>
      <w:r w:rsidR="00FC3A25">
        <w:rPr>
          <w:lang w:val="en-US"/>
        </w:rPr>
        <w:t>in</w:t>
      </w:r>
      <w:r w:rsidR="00883BCC" w:rsidRPr="00B21CBF">
        <w:rPr>
          <w:lang w:val="en-US"/>
        </w:rPr>
        <w:t xml:space="preserve"> 1970 </w:t>
      </w:r>
      <w:r w:rsidR="00115030" w:rsidRPr="00B21CBF">
        <w:rPr>
          <w:lang w:val="en-US"/>
        </w:rPr>
        <w:t>= 0.38</w:t>
      </w:r>
      <w:r w:rsidR="007A2806" w:rsidRPr="00B21CBF">
        <w:rPr>
          <w:lang w:val="en-US"/>
        </w:rPr>
        <w:t>.</w:t>
      </w:r>
    </w:p>
    <w:p w:rsidR="006F79A2" w:rsidRPr="003A2FEE" w:rsidRDefault="0007616A" w:rsidP="006F79A2">
      <w:pPr>
        <w:rPr>
          <w:lang w:val="es-ES"/>
        </w:rPr>
      </w:pPr>
      <w:r w:rsidRPr="003A2FEE">
        <w:rPr>
          <w:lang w:val="es-ES"/>
        </w:rPr>
        <w:t>1978</w:t>
      </w:r>
      <w:r w:rsidR="006F79A2" w:rsidRPr="003A2FEE">
        <w:rPr>
          <w:lang w:val="es-ES"/>
        </w:rPr>
        <w:t xml:space="preserve">-2000: real </w:t>
      </w:r>
      <w:r w:rsidR="003A2FEE" w:rsidRPr="003A2FEE">
        <w:rPr>
          <w:lang w:val="es-ES"/>
        </w:rPr>
        <w:t xml:space="preserve">unskilled wage index </w:t>
      </w:r>
      <w:r w:rsidR="006F79A2" w:rsidRPr="003A2FEE">
        <w:rPr>
          <w:lang w:val="es-ES"/>
        </w:rPr>
        <w:t>(</w:t>
      </w:r>
      <w:r w:rsidR="006F79A2" w:rsidRPr="003A2FEE">
        <w:rPr>
          <w:i/>
          <w:lang w:val="es-ES"/>
        </w:rPr>
        <w:t>salarios básicos de convenio</w:t>
      </w:r>
      <w:r w:rsidR="003A2FEE">
        <w:rPr>
          <w:lang w:val="es-ES"/>
        </w:rPr>
        <w:t xml:space="preserve">) </w:t>
      </w:r>
      <w:r w:rsidR="006F79A2" w:rsidRPr="003A2FEE">
        <w:rPr>
          <w:lang w:val="es-ES"/>
        </w:rPr>
        <w:t>from González (2004).</w:t>
      </w:r>
    </w:p>
    <w:p w:rsidR="006F79A2" w:rsidRPr="00B21CBF" w:rsidRDefault="005B389F" w:rsidP="006F79A2">
      <w:pPr>
        <w:rPr>
          <w:lang w:val="en-US"/>
        </w:rPr>
      </w:pPr>
      <w:r w:rsidRPr="00B21CBF">
        <w:rPr>
          <w:lang w:val="en-US"/>
        </w:rPr>
        <w:t>200</w:t>
      </w:r>
      <w:r w:rsidR="00481C18" w:rsidRPr="00B21CBF">
        <w:rPr>
          <w:lang w:val="en-US"/>
        </w:rPr>
        <w:t>1</w:t>
      </w:r>
      <w:r w:rsidR="006F79A2" w:rsidRPr="00B21CBF">
        <w:rPr>
          <w:lang w:val="en-US"/>
        </w:rPr>
        <w:t xml:space="preserve">-2011: nominal monthly earnings in retailing from </w:t>
      </w:r>
      <w:r w:rsidR="006F79A2" w:rsidRPr="00B21CBF">
        <w:rPr>
          <w:i/>
          <w:lang w:val="en-US"/>
        </w:rPr>
        <w:t>Ministerio del Trabajo</w:t>
      </w:r>
      <w:r w:rsidR="00BC3141">
        <w:rPr>
          <w:i/>
          <w:lang w:val="en-US"/>
        </w:rPr>
        <w:t>, Empleo y Seguridad Social</w:t>
      </w:r>
      <w:r w:rsidR="006F79A2" w:rsidRPr="00B21CBF">
        <w:rPr>
          <w:lang w:val="en-US"/>
        </w:rPr>
        <w:t xml:space="preserve"> website.</w:t>
      </w:r>
    </w:p>
    <w:p w:rsidR="006D649E" w:rsidRPr="00B21CBF" w:rsidRDefault="006D649E" w:rsidP="006F79A2">
      <w:pPr>
        <w:rPr>
          <w:highlight w:val="yellow"/>
          <w:lang w:val="en-US"/>
        </w:rPr>
      </w:pPr>
    </w:p>
    <w:p w:rsidR="006F79A2" w:rsidRPr="00B21CBF" w:rsidRDefault="006F79A2" w:rsidP="006F79A2">
      <w:pPr>
        <w:rPr>
          <w:i/>
          <w:lang w:val="en-US"/>
        </w:rPr>
      </w:pPr>
      <w:r w:rsidRPr="00B21CBF">
        <w:rPr>
          <w:i/>
          <w:lang w:val="en-US"/>
        </w:rPr>
        <w:t>Semi-skil</w:t>
      </w:r>
      <w:r w:rsidR="008829B7" w:rsidRPr="00B21CBF">
        <w:rPr>
          <w:i/>
          <w:lang w:val="en-US"/>
        </w:rPr>
        <w:t xml:space="preserve">led </w:t>
      </w:r>
      <w:r w:rsidRPr="00B21CBF">
        <w:rPr>
          <w:i/>
          <w:lang w:val="en-US"/>
        </w:rPr>
        <w:t>wages (</w:t>
      </w:r>
      <w:r w:rsidR="00C1289C" w:rsidRPr="00B21CBF">
        <w:rPr>
          <w:i/>
        </w:rPr>
        <w:t>w</w:t>
      </w:r>
      <w:r w:rsidR="00C1289C" w:rsidRPr="00B21CBF">
        <w:rPr>
          <w:i/>
          <w:vertAlign w:val="subscript"/>
        </w:rPr>
        <w:t>3</w:t>
      </w:r>
      <w:r w:rsidRPr="00B21CBF">
        <w:rPr>
          <w:i/>
        </w:rPr>
        <w:t>)</w:t>
      </w:r>
      <w:r w:rsidRPr="00B21CBF">
        <w:rPr>
          <w:i/>
          <w:lang w:val="en-US"/>
        </w:rPr>
        <w:t>:</w:t>
      </w:r>
    </w:p>
    <w:p w:rsidR="00547488" w:rsidRPr="00B21CBF" w:rsidRDefault="00547488" w:rsidP="006F79A2">
      <w:pPr>
        <w:rPr>
          <w:lang w:val="en-US"/>
        </w:rPr>
      </w:pPr>
      <w:r w:rsidRPr="00B21CBF">
        <w:rPr>
          <w:lang w:val="en-US"/>
        </w:rPr>
        <w:t>1900-1903: real salaries for blue collar workers (</w:t>
      </w:r>
      <w:r w:rsidRPr="00B21CBF">
        <w:rPr>
          <w:i/>
          <w:lang w:val="en-US"/>
        </w:rPr>
        <w:t>obreros</w:t>
      </w:r>
      <w:r w:rsidRPr="00B21CBF">
        <w:t>)</w:t>
      </w:r>
      <w:r w:rsidRPr="00B21CBF">
        <w:rPr>
          <w:lang w:val="en-US"/>
        </w:rPr>
        <w:t xml:space="preserve"> of the food-processing firm Bagley (Buenos Aires) </w:t>
      </w:r>
      <w:r w:rsidR="0079443C" w:rsidRPr="00B21CBF">
        <w:rPr>
          <w:lang w:val="en-US"/>
        </w:rPr>
        <w:t>at prices of 1903</w:t>
      </w:r>
      <w:r w:rsidR="0079443C">
        <w:rPr>
          <w:lang w:val="en-US"/>
        </w:rPr>
        <w:t xml:space="preserve"> </w:t>
      </w:r>
      <w:r w:rsidRPr="00B21CBF">
        <w:rPr>
          <w:lang w:val="en-US"/>
        </w:rPr>
        <w:t>from Cortes-Conde (1979).</w:t>
      </w:r>
    </w:p>
    <w:p w:rsidR="006F79A2" w:rsidRPr="00B21CBF" w:rsidRDefault="00BF7AE6" w:rsidP="006F79A2">
      <w:pPr>
        <w:rPr>
          <w:lang w:val="en-US"/>
        </w:rPr>
      </w:pPr>
      <w:r>
        <w:rPr>
          <w:lang w:val="en-US"/>
        </w:rPr>
        <w:t>1903-1915</w:t>
      </w:r>
      <w:r w:rsidR="006F79A2" w:rsidRPr="00B21CBF">
        <w:rPr>
          <w:lang w:val="en-US"/>
        </w:rPr>
        <w:t xml:space="preserve">: </w:t>
      </w:r>
      <w:r w:rsidR="00547488" w:rsidRPr="00B21CBF">
        <w:rPr>
          <w:lang w:val="en-US"/>
        </w:rPr>
        <w:t xml:space="preserve">simple average of two series: i) </w:t>
      </w:r>
      <w:r w:rsidR="004210B3" w:rsidRPr="00B21CBF">
        <w:rPr>
          <w:lang w:val="en-US"/>
        </w:rPr>
        <w:t>wages</w:t>
      </w:r>
      <w:r w:rsidR="006F79A2" w:rsidRPr="00B21CBF">
        <w:rPr>
          <w:lang w:val="en-US"/>
        </w:rPr>
        <w:t xml:space="preserve"> for </w:t>
      </w:r>
      <w:r w:rsidR="00701D66" w:rsidRPr="00B21CBF">
        <w:rPr>
          <w:lang w:val="en-US"/>
        </w:rPr>
        <w:t>masons;</w:t>
      </w:r>
      <w:r w:rsidR="00547488" w:rsidRPr="00B21CBF">
        <w:rPr>
          <w:lang w:val="en-US"/>
        </w:rPr>
        <w:t xml:space="preserve"> and </w:t>
      </w:r>
      <w:r w:rsidR="008C69F4" w:rsidRPr="00B21CBF">
        <w:rPr>
          <w:lang w:val="en-US"/>
        </w:rPr>
        <w:t xml:space="preserve">ii) </w:t>
      </w:r>
      <w:r w:rsidR="00547488" w:rsidRPr="00B21CBF">
        <w:rPr>
          <w:i/>
          <w:lang w:val="en-US"/>
        </w:rPr>
        <w:t>obreros</w:t>
      </w:r>
      <w:r w:rsidR="00793B5A" w:rsidRPr="00B21CBF">
        <w:t xml:space="preserve"> </w:t>
      </w:r>
      <w:r w:rsidR="00793B5A" w:rsidRPr="00B21CBF">
        <w:rPr>
          <w:lang w:val="en-US"/>
        </w:rPr>
        <w:t xml:space="preserve">in </w:t>
      </w:r>
      <w:r w:rsidR="00547488" w:rsidRPr="00B21CBF">
        <w:rPr>
          <w:lang w:val="en-US"/>
        </w:rPr>
        <w:t xml:space="preserve">Bagley (Buenos Aires). Both at prices of 1903 from Cortes-Conde (1979). </w:t>
      </w:r>
      <w:r w:rsidR="00CB2E4A" w:rsidRPr="00B21CBF">
        <w:rPr>
          <w:lang w:val="en-US"/>
        </w:rPr>
        <w:t>In order to allow for the splicing with the following series, the 1913 and 1914 figures are calculated using the growth rate of real GDP per capita (Bértola and Ocampo, 2012)</w:t>
      </w:r>
      <w:r w:rsidR="006F79A2" w:rsidRPr="00B21CBF">
        <w:rPr>
          <w:lang w:val="en-US"/>
        </w:rPr>
        <w:t>.</w:t>
      </w:r>
    </w:p>
    <w:p w:rsidR="006F79A2" w:rsidRPr="00B21CBF" w:rsidRDefault="00F47E38" w:rsidP="006F79A2">
      <w:pPr>
        <w:rPr>
          <w:lang w:val="en-US"/>
        </w:rPr>
      </w:pPr>
      <w:r w:rsidRPr="00B21CBF">
        <w:rPr>
          <w:lang w:val="en-US"/>
        </w:rPr>
        <w:t>1915</w:t>
      </w:r>
      <w:r w:rsidR="003035B3" w:rsidRPr="00B21CBF">
        <w:rPr>
          <w:lang w:val="en-US"/>
        </w:rPr>
        <w:t>-</w:t>
      </w:r>
      <w:r w:rsidR="00C510B6">
        <w:rPr>
          <w:lang w:val="en-US"/>
        </w:rPr>
        <w:t>1954</w:t>
      </w:r>
      <w:r w:rsidR="006F79A2" w:rsidRPr="00B21CBF">
        <w:rPr>
          <w:lang w:val="en-US"/>
        </w:rPr>
        <w:t xml:space="preserve">: real average wage </w:t>
      </w:r>
      <w:r w:rsidR="0079443C" w:rsidRPr="00B21CBF">
        <w:rPr>
          <w:lang w:val="en-US"/>
        </w:rPr>
        <w:t xml:space="preserve">excluding agriculture and government </w:t>
      </w:r>
      <w:r w:rsidR="00FF7FD4">
        <w:rPr>
          <w:lang w:val="en-US"/>
        </w:rPr>
        <w:t>in australes of</w:t>
      </w:r>
      <w:r w:rsidR="0079443C">
        <w:rPr>
          <w:lang w:val="en-US"/>
        </w:rPr>
        <w:t xml:space="preserve"> 1960</w:t>
      </w:r>
      <w:r w:rsidR="006F79A2" w:rsidRPr="00B21CBF">
        <w:rPr>
          <w:lang w:val="en-US"/>
        </w:rPr>
        <w:t xml:space="preserve"> from IEERAL</w:t>
      </w:r>
      <w:r w:rsidR="00FC3A25">
        <w:rPr>
          <w:lang w:val="en-US"/>
        </w:rPr>
        <w:t xml:space="preserve"> (1986)</w:t>
      </w:r>
      <w:r w:rsidR="006F79A2" w:rsidRPr="00B21CBF">
        <w:rPr>
          <w:lang w:val="en-US"/>
        </w:rPr>
        <w:t>.</w:t>
      </w:r>
    </w:p>
    <w:p w:rsidR="00FD1679" w:rsidRPr="00B21CBF" w:rsidRDefault="00C510B6" w:rsidP="006F79A2">
      <w:pPr>
        <w:rPr>
          <w:lang w:val="en-US"/>
        </w:rPr>
      </w:pPr>
      <w:r>
        <w:rPr>
          <w:lang w:val="en-US"/>
        </w:rPr>
        <w:t>1954</w:t>
      </w:r>
      <w:r w:rsidR="00FD1679" w:rsidRPr="00B21CBF">
        <w:rPr>
          <w:lang w:val="en-US"/>
        </w:rPr>
        <w:t>-</w:t>
      </w:r>
      <w:r w:rsidR="0007616A" w:rsidRPr="00B21CBF">
        <w:rPr>
          <w:lang w:val="en-US"/>
        </w:rPr>
        <w:t>1967</w:t>
      </w:r>
      <w:r w:rsidR="00FD1679" w:rsidRPr="00B21CBF">
        <w:rPr>
          <w:lang w:val="en-US"/>
        </w:rPr>
        <w:t>: average hourly wage in seven occupations in the construction industry sourced from ILO/OI1.</w:t>
      </w:r>
      <w:r w:rsidR="00701D66" w:rsidRPr="00B21CBF">
        <w:rPr>
          <w:lang w:val="en-US"/>
        </w:rPr>
        <w:t xml:space="preserve"> Data points in 1936-43, 1947, 1951, 19</w:t>
      </w:r>
      <w:r w:rsidR="00F664A1" w:rsidRPr="00B21CBF">
        <w:rPr>
          <w:lang w:val="en-US"/>
        </w:rPr>
        <w:t>54-67</w:t>
      </w:r>
      <w:r w:rsidR="00701D66" w:rsidRPr="00B21CBF">
        <w:rPr>
          <w:lang w:val="en-US"/>
        </w:rPr>
        <w:t>.</w:t>
      </w:r>
    </w:p>
    <w:p w:rsidR="006F79A2" w:rsidRPr="00B21CBF" w:rsidRDefault="004210B3" w:rsidP="006F79A2">
      <w:pPr>
        <w:rPr>
          <w:lang w:val="en-US"/>
        </w:rPr>
      </w:pPr>
      <w:r w:rsidRPr="00B21CBF">
        <w:rPr>
          <w:lang w:val="en-US"/>
        </w:rPr>
        <w:t>*</w:t>
      </w:r>
      <w:r w:rsidR="00F664A1" w:rsidRPr="00B21CBF">
        <w:rPr>
          <w:lang w:val="en-US"/>
        </w:rPr>
        <w:t>1967</w:t>
      </w:r>
      <w:r w:rsidR="006F79A2" w:rsidRPr="00B21CBF">
        <w:rPr>
          <w:lang w:val="en-US"/>
        </w:rPr>
        <w:t>-1974</w:t>
      </w:r>
      <w:r w:rsidR="008C69F4" w:rsidRPr="00B21CBF">
        <w:rPr>
          <w:lang w:val="en-US"/>
        </w:rPr>
        <w:t xml:space="preserve"> (in levels)</w:t>
      </w:r>
      <w:r w:rsidR="006F79A2" w:rsidRPr="00B21CBF">
        <w:rPr>
          <w:lang w:val="en-US"/>
        </w:rPr>
        <w:t xml:space="preserve">: </w:t>
      </w:r>
      <w:r w:rsidR="0069436F" w:rsidRPr="00B21CBF">
        <w:rPr>
          <w:lang w:val="en-US"/>
        </w:rPr>
        <w:t>uses the a</w:t>
      </w:r>
      <w:r w:rsidR="006F79A2" w:rsidRPr="00B21CBF">
        <w:rPr>
          <w:lang w:val="en-US"/>
        </w:rPr>
        <w:t xml:space="preserve">verage </w:t>
      </w:r>
      <w:r w:rsidR="0069436F" w:rsidRPr="00B21CBF">
        <w:rPr>
          <w:lang w:val="en-US"/>
        </w:rPr>
        <w:t>hourly wage in</w:t>
      </w:r>
      <w:r w:rsidR="006F79A2" w:rsidRPr="00B21CBF">
        <w:rPr>
          <w:lang w:val="en-US"/>
        </w:rPr>
        <w:t xml:space="preserve"> seven occupations in the construction industry</w:t>
      </w:r>
      <w:r w:rsidR="0069436F" w:rsidRPr="00B21CBF">
        <w:rPr>
          <w:lang w:val="en-US"/>
        </w:rPr>
        <w:t xml:space="preserve"> sourced from </w:t>
      </w:r>
      <w:r w:rsidR="00FD1679" w:rsidRPr="00B21CBF">
        <w:rPr>
          <w:lang w:val="en-US"/>
        </w:rPr>
        <w:t>ILO/OI1</w:t>
      </w:r>
      <w:r w:rsidR="006F79A2" w:rsidRPr="00B21CBF">
        <w:rPr>
          <w:lang w:val="en-US"/>
        </w:rPr>
        <w:t>.</w:t>
      </w:r>
    </w:p>
    <w:p w:rsidR="006F79A2" w:rsidRPr="00B21CBF" w:rsidRDefault="00FF7FD4" w:rsidP="006F79A2">
      <w:pPr>
        <w:rPr>
          <w:lang w:val="en-US"/>
        </w:rPr>
      </w:pPr>
      <w:r>
        <w:rPr>
          <w:lang w:val="en-US"/>
        </w:rPr>
        <w:t xml:space="preserve">1974-1984: real average wage </w:t>
      </w:r>
      <w:r w:rsidR="0079443C" w:rsidRPr="00B21CBF">
        <w:rPr>
          <w:lang w:val="en-US"/>
        </w:rPr>
        <w:t xml:space="preserve">excluding agriculture and government </w:t>
      </w:r>
      <w:r>
        <w:rPr>
          <w:lang w:val="en-US"/>
        </w:rPr>
        <w:t>in australes of</w:t>
      </w:r>
      <w:r w:rsidR="0079443C">
        <w:rPr>
          <w:lang w:val="en-US"/>
        </w:rPr>
        <w:t xml:space="preserve"> 1960</w:t>
      </w:r>
      <w:r w:rsidR="006F79A2" w:rsidRPr="00B21CBF">
        <w:rPr>
          <w:lang w:val="en-US"/>
        </w:rPr>
        <w:t xml:space="preserve"> from IEERAL</w:t>
      </w:r>
      <w:r w:rsidR="00E80726">
        <w:rPr>
          <w:lang w:val="en-US"/>
        </w:rPr>
        <w:t xml:space="preserve"> (1986)</w:t>
      </w:r>
      <w:r w:rsidR="006F79A2" w:rsidRPr="00B21CBF">
        <w:rPr>
          <w:lang w:val="en-US"/>
        </w:rPr>
        <w:t>.</w:t>
      </w:r>
    </w:p>
    <w:p w:rsidR="006F79A2" w:rsidRPr="00B21CBF" w:rsidRDefault="00BF7AE6" w:rsidP="006F79A2">
      <w:pPr>
        <w:rPr>
          <w:lang w:val="en-US"/>
        </w:rPr>
      </w:pPr>
      <w:r>
        <w:rPr>
          <w:lang w:val="en-US"/>
        </w:rPr>
        <w:t>1984</w:t>
      </w:r>
      <w:r w:rsidR="006F79A2" w:rsidRPr="00B21CBF">
        <w:rPr>
          <w:lang w:val="en-US"/>
        </w:rPr>
        <w:t>-2000: real wages of relatively skilled workers (</w:t>
      </w:r>
      <w:r w:rsidR="006F79A2" w:rsidRPr="00B21CBF">
        <w:rPr>
          <w:i/>
          <w:lang w:val="en-US"/>
        </w:rPr>
        <w:t>salarios básicos de convenio</w:t>
      </w:r>
      <w:r w:rsidR="006F79A2" w:rsidRPr="00B21CBF">
        <w:rPr>
          <w:lang w:val="en-US"/>
        </w:rPr>
        <w:t>). Index 1980</w:t>
      </w:r>
      <w:r w:rsidR="006F79A2" w:rsidRPr="00B21CBF">
        <w:t>=</w:t>
      </w:r>
      <w:r w:rsidR="006F79A2" w:rsidRPr="00B21CBF">
        <w:rPr>
          <w:lang w:val="en-US"/>
        </w:rPr>
        <w:t>100</w:t>
      </w:r>
      <w:r w:rsidR="0079443C">
        <w:rPr>
          <w:lang w:val="en-US"/>
        </w:rPr>
        <w:t>,</w:t>
      </w:r>
      <w:r w:rsidR="006F79A2" w:rsidRPr="00B21CBF">
        <w:rPr>
          <w:lang w:val="en-US"/>
        </w:rPr>
        <w:t xml:space="preserve"> from González (2004). </w:t>
      </w:r>
    </w:p>
    <w:p w:rsidR="006F79A2" w:rsidRPr="00B21CBF" w:rsidRDefault="00BF7AE6" w:rsidP="006F79A2">
      <w:pPr>
        <w:rPr>
          <w:lang w:val="en-US"/>
        </w:rPr>
      </w:pPr>
      <w:r>
        <w:rPr>
          <w:lang w:val="en-US"/>
        </w:rPr>
        <w:t>2000</w:t>
      </w:r>
      <w:r w:rsidR="006F79A2" w:rsidRPr="00B21CBF">
        <w:rPr>
          <w:lang w:val="en-US"/>
        </w:rPr>
        <w:t xml:space="preserve">-2011: nominal monthly earnings in commerce, construction, and hotels and restaurants (simple average) from </w:t>
      </w:r>
      <w:r w:rsidR="00BC3141" w:rsidRPr="00B21CBF">
        <w:rPr>
          <w:i/>
          <w:lang w:val="en-US"/>
        </w:rPr>
        <w:t>Ministerio del Trabajo</w:t>
      </w:r>
      <w:r w:rsidR="00BC3141">
        <w:rPr>
          <w:i/>
          <w:lang w:val="en-US"/>
        </w:rPr>
        <w:t>, Empleo y Seguridad Social</w:t>
      </w:r>
      <w:r w:rsidR="00BC3141" w:rsidRPr="00B21CBF">
        <w:rPr>
          <w:lang w:val="en-US"/>
        </w:rPr>
        <w:t xml:space="preserve"> </w:t>
      </w:r>
      <w:r w:rsidR="006F79A2" w:rsidRPr="00B21CBF">
        <w:rPr>
          <w:lang w:val="en-US"/>
        </w:rPr>
        <w:t xml:space="preserve">website. </w:t>
      </w:r>
    </w:p>
    <w:p w:rsidR="006F79A2" w:rsidRPr="00B21CBF" w:rsidRDefault="006F79A2" w:rsidP="006F79A2">
      <w:pPr>
        <w:rPr>
          <w:lang w:val="en-US"/>
        </w:rPr>
      </w:pPr>
    </w:p>
    <w:p w:rsidR="006F79A2" w:rsidRPr="00B21CBF" w:rsidRDefault="006F79A2" w:rsidP="006F79A2">
      <w:pPr>
        <w:rPr>
          <w:i/>
          <w:lang w:val="en-US"/>
        </w:rPr>
      </w:pPr>
      <w:r w:rsidRPr="00B21CBF">
        <w:rPr>
          <w:i/>
        </w:rPr>
        <w:lastRenderedPageBreak/>
        <w:t>Skilled labour (</w:t>
      </w:r>
      <w:r w:rsidR="00C1289C" w:rsidRPr="00B21CBF">
        <w:rPr>
          <w:i/>
        </w:rPr>
        <w:t>w</w:t>
      </w:r>
      <w:r w:rsidR="00C1289C" w:rsidRPr="00B21CBF">
        <w:rPr>
          <w:i/>
          <w:vertAlign w:val="subscript"/>
        </w:rPr>
        <w:t>2</w:t>
      </w:r>
      <w:r w:rsidRPr="00B21CBF">
        <w:rPr>
          <w:i/>
        </w:rPr>
        <w:t>)</w:t>
      </w:r>
      <w:r w:rsidRPr="00B21CBF">
        <w:rPr>
          <w:i/>
          <w:lang w:val="en-US"/>
        </w:rPr>
        <w:t>:</w:t>
      </w:r>
    </w:p>
    <w:p w:rsidR="006F79A2" w:rsidRPr="00B21CBF" w:rsidRDefault="0007616A" w:rsidP="006F79A2">
      <w:pPr>
        <w:rPr>
          <w:i/>
          <w:lang w:val="en-US"/>
        </w:rPr>
      </w:pPr>
      <w:r w:rsidRPr="00B21CBF">
        <w:rPr>
          <w:lang w:val="en-US"/>
        </w:rPr>
        <w:t>1900-1971</w:t>
      </w:r>
      <w:r w:rsidR="006F79A2" w:rsidRPr="00B21CBF">
        <w:rPr>
          <w:lang w:val="en-US"/>
        </w:rPr>
        <w:t>:</w:t>
      </w:r>
      <w:r w:rsidR="006F79A2" w:rsidRPr="00B21CBF">
        <w:rPr>
          <w:i/>
          <w:lang w:val="en-US"/>
        </w:rPr>
        <w:t xml:space="preserve"> </w:t>
      </w:r>
      <w:r w:rsidR="006F79A2" w:rsidRPr="00B21CBF">
        <w:rPr>
          <w:lang w:val="en-US"/>
        </w:rPr>
        <w:t>average monthly industrial salary in pesos at 2004 prices from Ferreres (2005).</w:t>
      </w:r>
    </w:p>
    <w:p w:rsidR="00CB4E2C" w:rsidRPr="00B21CBF" w:rsidRDefault="00CB4E2C" w:rsidP="00CB4E2C">
      <w:pPr>
        <w:rPr>
          <w:lang w:val="en-US"/>
        </w:rPr>
      </w:pPr>
      <w:r w:rsidRPr="00B21CBF">
        <w:rPr>
          <w:lang w:val="en-US"/>
        </w:rPr>
        <w:t>*1971 (i</w:t>
      </w:r>
      <w:r w:rsidR="004F0FBF">
        <w:rPr>
          <w:lang w:val="en-US"/>
        </w:rPr>
        <w:t xml:space="preserve">n levels): monthly average </w:t>
      </w:r>
      <w:r w:rsidRPr="00B21CBF">
        <w:rPr>
          <w:lang w:val="en-US"/>
        </w:rPr>
        <w:t>salary for bank tellers and clerks (stock record) from ILO/OI1 (circa values).</w:t>
      </w:r>
    </w:p>
    <w:p w:rsidR="006F79A2" w:rsidRPr="00B21CBF" w:rsidRDefault="0007616A" w:rsidP="006F79A2">
      <w:pPr>
        <w:rPr>
          <w:lang w:val="en-US"/>
        </w:rPr>
      </w:pPr>
      <w:r w:rsidRPr="00B21CBF">
        <w:rPr>
          <w:lang w:val="en-US"/>
        </w:rPr>
        <w:t>1971</w:t>
      </w:r>
      <w:r w:rsidR="006F79A2" w:rsidRPr="00B21CBF">
        <w:rPr>
          <w:lang w:val="en-US"/>
        </w:rPr>
        <w:t>-1979: real average wage (paid) in manufacturing (national level) at pesos of 1970 from PREALC</w:t>
      </w:r>
      <w:r w:rsidR="006A21F0" w:rsidRPr="00B21CBF">
        <w:rPr>
          <w:lang w:val="en-US"/>
        </w:rPr>
        <w:t xml:space="preserve"> (1982)</w:t>
      </w:r>
      <w:r w:rsidR="006F79A2" w:rsidRPr="00B21CBF">
        <w:rPr>
          <w:lang w:val="en-US"/>
        </w:rPr>
        <w:t>.</w:t>
      </w:r>
    </w:p>
    <w:p w:rsidR="006F79A2" w:rsidRPr="00B21CBF" w:rsidRDefault="00100F8B" w:rsidP="006F79A2">
      <w:pPr>
        <w:rPr>
          <w:lang w:val="en-US"/>
        </w:rPr>
      </w:pPr>
      <w:r>
        <w:rPr>
          <w:lang w:val="en-US"/>
        </w:rPr>
        <w:t>1979</w:t>
      </w:r>
      <w:r w:rsidR="00A94F5C" w:rsidRPr="00B21CBF">
        <w:rPr>
          <w:lang w:val="en-US"/>
        </w:rPr>
        <w:t>-1995</w:t>
      </w:r>
      <w:r w:rsidR="006F79A2" w:rsidRPr="00B21CBF">
        <w:rPr>
          <w:lang w:val="en-US"/>
        </w:rPr>
        <w:t>: average monthly industrial salary in pesos at 2004 prices from Ferreres (2005).</w:t>
      </w:r>
    </w:p>
    <w:p w:rsidR="006F79A2" w:rsidRPr="00B21CBF" w:rsidRDefault="00100F8B" w:rsidP="006F79A2">
      <w:pPr>
        <w:rPr>
          <w:lang w:val="en-US"/>
        </w:rPr>
      </w:pPr>
      <w:r>
        <w:rPr>
          <w:lang w:val="en-US"/>
        </w:rPr>
        <w:t>1995</w:t>
      </w:r>
      <w:r w:rsidR="006F79A2" w:rsidRPr="00B21CBF">
        <w:rPr>
          <w:lang w:val="en-US"/>
        </w:rPr>
        <w:t xml:space="preserve">-2011: nominal monthly earnings in manufacturing from </w:t>
      </w:r>
      <w:r w:rsidR="00BC3141" w:rsidRPr="00B21CBF">
        <w:rPr>
          <w:i/>
          <w:lang w:val="en-US"/>
        </w:rPr>
        <w:t>Ministerio del Trabajo</w:t>
      </w:r>
      <w:r w:rsidR="00BC3141">
        <w:rPr>
          <w:i/>
          <w:lang w:val="en-US"/>
        </w:rPr>
        <w:t>, Empleo y Seguridad Social</w:t>
      </w:r>
      <w:r w:rsidR="00BC3141" w:rsidRPr="00B21CBF">
        <w:rPr>
          <w:lang w:val="en-US"/>
        </w:rPr>
        <w:t xml:space="preserve"> </w:t>
      </w:r>
      <w:r w:rsidR="006F79A2" w:rsidRPr="00B21CBF">
        <w:rPr>
          <w:lang w:val="en-US"/>
        </w:rPr>
        <w:t xml:space="preserve">website. </w:t>
      </w:r>
    </w:p>
    <w:p w:rsidR="000C16F6" w:rsidRPr="00B21CBF" w:rsidRDefault="000C16F6" w:rsidP="006F79A2">
      <w:pPr>
        <w:rPr>
          <w:lang w:val="en-US"/>
        </w:rPr>
      </w:pPr>
    </w:p>
    <w:p w:rsidR="006F79A2" w:rsidRPr="00B21CBF" w:rsidRDefault="006F79A2" w:rsidP="006F79A2">
      <w:pPr>
        <w:rPr>
          <w:lang w:val="en-US"/>
        </w:rPr>
      </w:pPr>
      <w:r w:rsidRPr="00B21CBF">
        <w:rPr>
          <w:i/>
          <w:lang w:val="en-US"/>
        </w:rPr>
        <w:t>Deflators</w:t>
      </w:r>
      <w:r w:rsidR="006A21F0" w:rsidRPr="00B21CBF">
        <w:rPr>
          <w:i/>
          <w:lang w:val="en-US"/>
        </w:rPr>
        <w:t>:</w:t>
      </w:r>
      <w:r w:rsidRPr="00B21CBF">
        <w:rPr>
          <w:i/>
          <w:lang w:val="en-US"/>
        </w:rPr>
        <w:t xml:space="preserve"> </w:t>
      </w:r>
      <w:r w:rsidRPr="00B21CBF">
        <w:rPr>
          <w:lang w:val="en-US"/>
        </w:rPr>
        <w:t xml:space="preserve">CPI sourced from </w:t>
      </w:r>
      <w:r w:rsidR="003310A3" w:rsidRPr="00B21CBF">
        <w:rPr>
          <w:lang w:val="en-US"/>
        </w:rPr>
        <w:t>M</w:t>
      </w:r>
      <w:r w:rsidRPr="00B21CBF">
        <w:rPr>
          <w:lang w:val="en-US"/>
        </w:rPr>
        <w:t>OXLAD</w:t>
      </w:r>
      <w:r w:rsidR="00300BD4" w:rsidRPr="00B21CBF">
        <w:rPr>
          <w:lang w:val="en-US"/>
        </w:rPr>
        <w:t xml:space="preserve"> up to 1980 and </w:t>
      </w:r>
      <w:r w:rsidR="00566693" w:rsidRPr="00B21CBF">
        <w:rPr>
          <w:lang w:val="en-US"/>
        </w:rPr>
        <w:t xml:space="preserve">from </w:t>
      </w:r>
      <w:r w:rsidR="00300BD4" w:rsidRPr="00B21CBF">
        <w:rPr>
          <w:lang w:val="en-US"/>
        </w:rPr>
        <w:t xml:space="preserve">INDEC </w:t>
      </w:r>
      <w:r w:rsidR="00566693" w:rsidRPr="00B21CBF">
        <w:rPr>
          <w:lang w:val="en-US"/>
        </w:rPr>
        <w:t>between 1980 and</w:t>
      </w:r>
      <w:r w:rsidR="00300BD4" w:rsidRPr="00B21CBF">
        <w:rPr>
          <w:lang w:val="en-US"/>
        </w:rPr>
        <w:t xml:space="preserve"> 2004</w:t>
      </w:r>
      <w:r w:rsidRPr="00B21CBF">
        <w:rPr>
          <w:lang w:val="en-US"/>
        </w:rPr>
        <w:t xml:space="preserve">. </w:t>
      </w:r>
      <w:r w:rsidR="0008532D" w:rsidRPr="00B21CBF">
        <w:rPr>
          <w:lang w:val="en-US"/>
        </w:rPr>
        <w:t>There</w:t>
      </w:r>
      <w:r w:rsidR="00FB4920" w:rsidRPr="00B21CBF">
        <w:rPr>
          <w:lang w:val="en-US"/>
        </w:rPr>
        <w:t>after</w:t>
      </w:r>
      <w:r w:rsidR="00300BD4" w:rsidRPr="00B21CBF">
        <w:rPr>
          <w:lang w:val="en-US"/>
        </w:rPr>
        <w:t xml:space="preserve">, to avoid the under-reporting of CPI inflation by INDEC, </w:t>
      </w:r>
      <w:r w:rsidR="00FF7FD4">
        <w:rPr>
          <w:lang w:val="en-US"/>
        </w:rPr>
        <w:t>I</w:t>
      </w:r>
      <w:r w:rsidRPr="00B21CBF">
        <w:rPr>
          <w:lang w:val="en-US"/>
        </w:rPr>
        <w:t xml:space="preserve"> us</w:t>
      </w:r>
      <w:r w:rsidR="00E524AC" w:rsidRPr="00B21CBF">
        <w:rPr>
          <w:lang w:val="en-US"/>
        </w:rPr>
        <w:t xml:space="preserve">e a </w:t>
      </w:r>
      <w:r w:rsidR="001E0E26" w:rsidRPr="00B21CBF">
        <w:rPr>
          <w:lang w:val="en-US"/>
        </w:rPr>
        <w:t>CPI</w:t>
      </w:r>
      <w:r w:rsidR="00E524AC" w:rsidRPr="00B21CBF">
        <w:rPr>
          <w:lang w:val="en-US"/>
        </w:rPr>
        <w:t xml:space="preserve"> </w:t>
      </w:r>
      <w:r w:rsidR="006F574F" w:rsidRPr="00B21CBF">
        <w:rPr>
          <w:lang w:val="en-US"/>
        </w:rPr>
        <w:t>covering</w:t>
      </w:r>
      <w:r w:rsidR="008B68A9" w:rsidRPr="00B21CBF">
        <w:rPr>
          <w:lang w:val="en-US"/>
        </w:rPr>
        <w:t xml:space="preserve"> </w:t>
      </w:r>
      <w:r w:rsidR="00300BD4" w:rsidRPr="00B21CBF">
        <w:rPr>
          <w:lang w:val="en-US"/>
        </w:rPr>
        <w:t>seven provinces compiled by CENDA.</w:t>
      </w:r>
    </w:p>
    <w:p w:rsidR="006F79A2" w:rsidRPr="00B21CBF" w:rsidRDefault="006F79A2" w:rsidP="006F79A2">
      <w:pPr>
        <w:rPr>
          <w:lang w:val="en-US"/>
        </w:rPr>
      </w:pPr>
    </w:p>
    <w:p w:rsidR="006F79A2" w:rsidRPr="00F41D01" w:rsidRDefault="006F79A2" w:rsidP="00F41D01">
      <w:pPr>
        <w:spacing w:before="100"/>
        <w:rPr>
          <w:b/>
          <w:sz w:val="26"/>
          <w:szCs w:val="26"/>
        </w:rPr>
      </w:pPr>
      <w:r w:rsidRPr="00F41D01">
        <w:rPr>
          <w:b/>
          <w:sz w:val="26"/>
          <w:szCs w:val="26"/>
        </w:rPr>
        <w:t>Brazil</w:t>
      </w:r>
    </w:p>
    <w:p w:rsidR="00DA263B" w:rsidRPr="00B21CBF" w:rsidRDefault="00DA263B" w:rsidP="00F41D01">
      <w:pPr>
        <w:spacing w:before="100"/>
        <w:rPr>
          <w:i/>
        </w:rPr>
      </w:pPr>
      <w:r w:rsidRPr="00B21CBF">
        <w:rPr>
          <w:i/>
        </w:rPr>
        <w:t>Unskilled wages (w</w:t>
      </w:r>
      <w:r w:rsidRPr="00B21CBF">
        <w:rPr>
          <w:i/>
          <w:vertAlign w:val="subscript"/>
        </w:rPr>
        <w:t>4</w:t>
      </w:r>
      <w:r w:rsidRPr="00B21CBF">
        <w:rPr>
          <w:i/>
        </w:rPr>
        <w:t xml:space="preserve">): </w:t>
      </w:r>
    </w:p>
    <w:p w:rsidR="006F79A2" w:rsidRPr="00B21CBF" w:rsidRDefault="00A84822" w:rsidP="006061AD">
      <w:pPr>
        <w:rPr>
          <w:lang w:val="en-US"/>
        </w:rPr>
      </w:pPr>
      <w:r>
        <w:rPr>
          <w:lang w:val="en-US"/>
        </w:rPr>
        <w:t>1900-1911</w:t>
      </w:r>
      <w:r w:rsidR="006F79A2" w:rsidRPr="00B21CBF">
        <w:rPr>
          <w:lang w:val="en-US"/>
        </w:rPr>
        <w:t xml:space="preserve">: </w:t>
      </w:r>
      <w:r w:rsidR="006F79A2" w:rsidRPr="00B21CBF">
        <w:t xml:space="preserve">growth in line with </w:t>
      </w:r>
      <w:r w:rsidR="00F440FB">
        <w:rPr>
          <w:lang w:val="en-US"/>
        </w:rPr>
        <w:t>an average wage of</w:t>
      </w:r>
      <w:r w:rsidR="006F79A2" w:rsidRPr="00B21CBF">
        <w:rPr>
          <w:lang w:val="en-US"/>
        </w:rPr>
        <w:t xml:space="preserve"> two occupations of low skills urban workers: labourers of a small plot to produce fruit and vegetables (</w:t>
      </w:r>
      <w:r w:rsidR="006F79A2" w:rsidRPr="00B21CBF">
        <w:rPr>
          <w:i/>
          <w:lang w:val="en-US"/>
        </w:rPr>
        <w:t>hortelão</w:t>
      </w:r>
      <w:r w:rsidR="006F79A2" w:rsidRPr="00B21CBF">
        <w:rPr>
          <w:lang w:val="en-US"/>
        </w:rPr>
        <w:t>) and porters from Lobo (1978).</w:t>
      </w:r>
      <w:r w:rsidR="00B976BC" w:rsidRPr="00B21CBF">
        <w:rPr>
          <w:lang w:val="en-US"/>
        </w:rPr>
        <w:t xml:space="preserve"> </w:t>
      </w:r>
    </w:p>
    <w:p w:rsidR="006F79A2" w:rsidRPr="005806BF" w:rsidRDefault="006F79A2" w:rsidP="006F79A2">
      <w:pPr>
        <w:rPr>
          <w:lang w:val="en-US"/>
        </w:rPr>
      </w:pPr>
      <w:r w:rsidRPr="00B21CBF">
        <w:rPr>
          <w:lang w:val="en-US"/>
        </w:rPr>
        <w:t>1911</w:t>
      </w:r>
      <w:r w:rsidR="00B13887">
        <w:rPr>
          <w:lang w:val="en-US"/>
        </w:rPr>
        <w:t>-1938</w:t>
      </w:r>
      <w:r w:rsidRPr="00B21CBF">
        <w:rPr>
          <w:lang w:val="en-US"/>
        </w:rPr>
        <w:t>: in 1911, 1921, 1924</w:t>
      </w:r>
      <w:r w:rsidR="00B976BC" w:rsidRPr="00B21CBF">
        <w:rPr>
          <w:lang w:val="en-US"/>
        </w:rPr>
        <w:t>-1928</w:t>
      </w:r>
      <w:r w:rsidRPr="00B21CBF">
        <w:rPr>
          <w:lang w:val="en-US"/>
        </w:rPr>
        <w:t xml:space="preserve"> a</w:t>
      </w:r>
      <w:r w:rsidR="00F440FB">
        <w:rPr>
          <w:lang w:val="en-US"/>
        </w:rPr>
        <w:t>nd 1934-1939 uses the average daily rural wage for unskilled farm workers</w:t>
      </w:r>
      <w:r w:rsidRPr="00B21CBF">
        <w:rPr>
          <w:lang w:val="en-US"/>
        </w:rPr>
        <w:t xml:space="preserve"> (</w:t>
      </w:r>
      <w:r w:rsidRPr="00B21CBF">
        <w:rPr>
          <w:i/>
          <w:lang w:val="en-US"/>
        </w:rPr>
        <w:t>trabalhador da enxada</w:t>
      </w:r>
      <w:r w:rsidRPr="00B21CBF">
        <w:rPr>
          <w:lang w:val="en-US"/>
        </w:rPr>
        <w:t>) in mil-ré</w:t>
      </w:r>
      <w:r w:rsidR="00AA3B0B" w:rsidRPr="00B21CBF">
        <w:rPr>
          <w:lang w:val="en-US"/>
        </w:rPr>
        <w:t>is in</w:t>
      </w:r>
      <w:r w:rsidRPr="00B21CBF">
        <w:rPr>
          <w:lang w:val="en-US"/>
        </w:rPr>
        <w:t xml:space="preserve"> five </w:t>
      </w:r>
      <w:r w:rsidR="001268F3" w:rsidRPr="00B21CBF">
        <w:rPr>
          <w:lang w:val="en-US"/>
        </w:rPr>
        <w:t>representative</w:t>
      </w:r>
      <w:r w:rsidRPr="00B21CBF">
        <w:t xml:space="preserve"> states, namely: Bahia, Minas Gerais, Pernambuco, Rio de Janeiro, and Sao Paulo (BR5). This is sourced from Ministerio da Agricultura, Industria y Comercio (1924) in 1911 and 1921, and from IBGE</w:t>
      </w:r>
      <w:r w:rsidR="00D260D7">
        <w:t>’s</w:t>
      </w:r>
      <w:r w:rsidRPr="00B21CBF">
        <w:t xml:space="preserve"> Anuário Estatístico do Brasil</w:t>
      </w:r>
      <w:r w:rsidR="00D260D7">
        <w:t xml:space="preserve"> (AEB)</w:t>
      </w:r>
      <w:r w:rsidRPr="00B21CBF">
        <w:t xml:space="preserve"> in the remaining years. There is no data available for Rio de Janeiro in 1911 and 1920</w:t>
      </w:r>
      <w:r w:rsidR="00C55E6F" w:rsidRPr="00B21CBF">
        <w:t>,</w:t>
      </w:r>
      <w:r w:rsidRPr="00B21CBF">
        <w:t xml:space="preserve"> and for Sao </w:t>
      </w:r>
      <w:r w:rsidR="00755319" w:rsidRPr="00B21CBF">
        <w:t>Paulo in 1911. In these cases I</w:t>
      </w:r>
      <w:r w:rsidRPr="00B21CBF">
        <w:t xml:space="preserve"> made estimates based on proportionality with data avai</w:t>
      </w:r>
      <w:r w:rsidR="00755319" w:rsidRPr="00B21CBF">
        <w:t>lable for other regions. I</w:t>
      </w:r>
      <w:r w:rsidRPr="00B21CBF">
        <w:t xml:space="preserve"> </w:t>
      </w:r>
      <w:r w:rsidR="00755319" w:rsidRPr="00B21CBF">
        <w:t xml:space="preserve">am excluding </w:t>
      </w:r>
      <w:r w:rsidR="008C0D86">
        <w:t xml:space="preserve">an </w:t>
      </w:r>
      <w:r w:rsidR="008C0D86" w:rsidRPr="00B21CBF">
        <w:t xml:space="preserve">outlier </w:t>
      </w:r>
      <w:r w:rsidRPr="00B21CBF">
        <w:t>for Sao Paulo in 1934.</w:t>
      </w:r>
      <w:r w:rsidRPr="00B21CBF">
        <w:rPr>
          <w:lang w:val="en-US"/>
        </w:rPr>
        <w:t xml:space="preserve"> Figures in 1920, 1922-23 are interpolated. For the years 1913 to 1919 </w:t>
      </w:r>
      <w:r w:rsidR="004340F2" w:rsidRPr="00B21CBF">
        <w:rPr>
          <w:lang w:val="en-US"/>
        </w:rPr>
        <w:t>I use</w:t>
      </w:r>
      <w:r w:rsidRPr="00B21CBF">
        <w:rPr>
          <w:lang w:val="en-US"/>
        </w:rPr>
        <w:t xml:space="preserve"> pattern interpolation</w:t>
      </w:r>
      <w:r w:rsidR="00755319" w:rsidRPr="00B21CBF">
        <w:rPr>
          <w:lang w:val="en-US"/>
        </w:rPr>
        <w:t xml:space="preserve"> </w:t>
      </w:r>
      <w:r w:rsidRPr="00B21CBF">
        <w:rPr>
          <w:lang w:val="en-US"/>
        </w:rPr>
        <w:t>based on the minimum rural daily wage index in the Sao Paulo region from Cardim (1936). The Cadim series is extended b</w:t>
      </w:r>
      <w:r w:rsidR="00827979">
        <w:rPr>
          <w:lang w:val="en-US"/>
        </w:rPr>
        <w:t xml:space="preserve">ackwards to 1911 and forward to </w:t>
      </w:r>
      <w:r w:rsidRPr="00B21CBF">
        <w:rPr>
          <w:lang w:val="en-US"/>
        </w:rPr>
        <w:t>1920 using rate</w:t>
      </w:r>
      <w:r w:rsidR="004556A6" w:rsidRPr="00B21CBF">
        <w:rPr>
          <w:lang w:val="en-US"/>
        </w:rPr>
        <w:t xml:space="preserve"> of growth an average wage for </w:t>
      </w:r>
      <w:r w:rsidRPr="00B21CBF">
        <w:rPr>
          <w:i/>
          <w:lang w:val="en-US"/>
        </w:rPr>
        <w:t>hortelão</w:t>
      </w:r>
      <w:r w:rsidRPr="00B21CBF">
        <w:t xml:space="preserve"> </w:t>
      </w:r>
      <w:r w:rsidR="004556A6" w:rsidRPr="00B21CBF">
        <w:rPr>
          <w:lang w:val="en-US"/>
        </w:rPr>
        <w:t>and porters</w:t>
      </w:r>
      <w:r w:rsidRPr="00B21CBF">
        <w:rPr>
          <w:lang w:val="en-US"/>
        </w:rPr>
        <w:t xml:space="preserve"> from Lobo (1978).  </w:t>
      </w:r>
      <w:r w:rsidR="00B976BC" w:rsidRPr="00B21CBF">
        <w:t>1928-1930</w:t>
      </w:r>
      <w:r w:rsidRPr="00B21CBF">
        <w:t xml:space="preserve">: growth in line with </w:t>
      </w:r>
      <w:r w:rsidRPr="005806BF">
        <w:t xml:space="preserve">the series </w:t>
      </w:r>
      <w:r w:rsidR="004556A6" w:rsidRPr="005806BF">
        <w:rPr>
          <w:lang w:val="en-US"/>
        </w:rPr>
        <w:t xml:space="preserve">of an average wage for </w:t>
      </w:r>
      <w:r w:rsidRPr="005806BF">
        <w:rPr>
          <w:i/>
          <w:lang w:val="en-US"/>
        </w:rPr>
        <w:t>hortelão</w:t>
      </w:r>
      <w:r w:rsidRPr="005806BF">
        <w:t xml:space="preserve"> </w:t>
      </w:r>
      <w:r w:rsidRPr="005806BF">
        <w:rPr>
          <w:lang w:val="en-US"/>
        </w:rPr>
        <w:t>and</w:t>
      </w:r>
      <w:r w:rsidR="00D06F5C" w:rsidRPr="005806BF">
        <w:rPr>
          <w:lang w:val="en-US"/>
        </w:rPr>
        <w:t xml:space="preserve"> </w:t>
      </w:r>
      <w:r w:rsidR="00793B5A" w:rsidRPr="005806BF">
        <w:rPr>
          <w:lang w:val="en-US"/>
        </w:rPr>
        <w:t>porters</w:t>
      </w:r>
      <w:r w:rsidR="00D06F5C" w:rsidRPr="005806BF">
        <w:rPr>
          <w:lang w:val="en-US"/>
        </w:rPr>
        <w:t xml:space="preserve"> from Lobo (1978). Liner</w:t>
      </w:r>
      <w:r w:rsidR="00B976BC" w:rsidRPr="005806BF">
        <w:rPr>
          <w:lang w:val="en-US"/>
        </w:rPr>
        <w:t xml:space="preserve"> interpolation </w:t>
      </w:r>
      <w:r w:rsidR="00D06F5C" w:rsidRPr="005806BF">
        <w:rPr>
          <w:lang w:val="en-US"/>
        </w:rPr>
        <w:t xml:space="preserve">is used </w:t>
      </w:r>
      <w:r w:rsidR="00B976BC" w:rsidRPr="005806BF">
        <w:rPr>
          <w:lang w:val="en-US"/>
        </w:rPr>
        <w:t>between 1930</w:t>
      </w:r>
      <w:r w:rsidRPr="005806BF">
        <w:rPr>
          <w:lang w:val="en-US"/>
        </w:rPr>
        <w:t xml:space="preserve"> and 1934. </w:t>
      </w:r>
    </w:p>
    <w:p w:rsidR="006F79A2" w:rsidRPr="00B21CBF" w:rsidRDefault="00B13887" w:rsidP="006F79A2">
      <w:pPr>
        <w:rPr>
          <w:lang w:val="en-US"/>
        </w:rPr>
      </w:pPr>
      <w:r w:rsidRPr="005806BF">
        <w:rPr>
          <w:lang w:val="en-US"/>
        </w:rPr>
        <w:t>1938-1948</w:t>
      </w:r>
      <w:r w:rsidR="006F79A2" w:rsidRPr="005806BF">
        <w:rPr>
          <w:lang w:val="en-US"/>
        </w:rPr>
        <w:t xml:space="preserve">: </w:t>
      </w:r>
      <w:r w:rsidR="009E1F4A" w:rsidRPr="005806BF">
        <w:rPr>
          <w:lang w:val="en-US"/>
        </w:rPr>
        <w:t>i</w:t>
      </w:r>
      <w:r w:rsidR="006F79A2" w:rsidRPr="005806BF">
        <w:rPr>
          <w:lang w:val="en-US"/>
        </w:rPr>
        <w:t xml:space="preserve">n 1938 </w:t>
      </w:r>
      <w:r w:rsidR="00827979" w:rsidRPr="005806BF">
        <w:rPr>
          <w:lang w:val="en-US"/>
        </w:rPr>
        <w:t>I</w:t>
      </w:r>
      <w:r w:rsidR="00FB144B" w:rsidRPr="005806BF">
        <w:rPr>
          <w:lang w:val="en-US"/>
        </w:rPr>
        <w:t xml:space="preserve"> </w:t>
      </w:r>
      <w:r w:rsidR="006F79A2" w:rsidRPr="005806BF">
        <w:rPr>
          <w:lang w:val="en-US"/>
        </w:rPr>
        <w:t xml:space="preserve">use the daily wage of 5.800 mil-réis from </w:t>
      </w:r>
      <w:r w:rsidR="00D260D7" w:rsidRPr="005806BF">
        <w:rPr>
          <w:lang w:val="en-US"/>
        </w:rPr>
        <w:t>IBGE</w:t>
      </w:r>
      <w:r w:rsidR="004F00E0" w:rsidRPr="005806BF">
        <w:rPr>
          <w:lang w:val="en-US"/>
        </w:rPr>
        <w:t xml:space="preserve"> </w:t>
      </w:r>
      <w:r w:rsidR="00162269" w:rsidRPr="005806BF">
        <w:rPr>
          <w:lang w:val="en-US"/>
        </w:rPr>
        <w:t>(</w:t>
      </w:r>
      <w:r w:rsidR="00D260D7" w:rsidRPr="005806BF">
        <w:rPr>
          <w:lang w:val="en-US"/>
        </w:rPr>
        <w:t>AEB</w:t>
      </w:r>
      <w:r w:rsidR="00162269" w:rsidRPr="005806BF">
        <w:rPr>
          <w:lang w:val="en-US"/>
        </w:rPr>
        <w:t>, 1939)</w:t>
      </w:r>
      <w:r w:rsidR="004F00E0" w:rsidRPr="005806BF">
        <w:rPr>
          <w:lang w:val="en-US"/>
        </w:rPr>
        <w:t xml:space="preserve"> </w:t>
      </w:r>
      <w:r w:rsidR="006F79A2" w:rsidRPr="005806BF">
        <w:rPr>
          <w:lang w:val="en-US"/>
        </w:rPr>
        <w:t>and in 1948 the daily wage of 16.000 mil-réis from Varela Sendin (1972). To fill in the gap between the two</w:t>
      </w:r>
      <w:r w:rsidR="006F79A2" w:rsidRPr="00B21CBF">
        <w:rPr>
          <w:lang w:val="en-US"/>
        </w:rPr>
        <w:t xml:space="preserve"> </w:t>
      </w:r>
      <w:r w:rsidR="00D06F5C" w:rsidRPr="00B21CBF">
        <w:rPr>
          <w:lang w:val="en-US"/>
        </w:rPr>
        <w:t>benchmarks I</w:t>
      </w:r>
      <w:r w:rsidR="006F79A2" w:rsidRPr="00B21CBF">
        <w:rPr>
          <w:lang w:val="en-US"/>
        </w:rPr>
        <w:t xml:space="preserve"> use pattern interpolation based on the average earnings for industrial workers in Sao Paulo for the lowest quintile of the earnings structure (this reflects unskill</w:t>
      </w:r>
      <w:r w:rsidR="00FB4920" w:rsidRPr="00B21CBF">
        <w:rPr>
          <w:lang w:val="en-US"/>
        </w:rPr>
        <w:t>ed urban wages) from Wells (1983</w:t>
      </w:r>
      <w:r w:rsidR="00D60436">
        <w:rPr>
          <w:lang w:val="en-US"/>
        </w:rPr>
        <w:t xml:space="preserve">: </w:t>
      </w:r>
      <w:r w:rsidR="006F79A2" w:rsidRPr="00B21CBF">
        <w:rPr>
          <w:lang w:val="en-US"/>
        </w:rPr>
        <w:t>Table 2, 303).</w:t>
      </w:r>
    </w:p>
    <w:p w:rsidR="006F79A2" w:rsidRPr="00B21CBF" w:rsidRDefault="00B13887" w:rsidP="006F79A2">
      <w:pPr>
        <w:rPr>
          <w:lang w:val="en-US"/>
        </w:rPr>
      </w:pPr>
      <w:r>
        <w:rPr>
          <w:lang w:val="en-US"/>
        </w:rPr>
        <w:t>1948-1958</w:t>
      </w:r>
      <w:r w:rsidR="006F79A2" w:rsidRPr="00B21CBF">
        <w:rPr>
          <w:lang w:val="en-US"/>
        </w:rPr>
        <w:t>: earnings from the unskilled worker in agriculture (</w:t>
      </w:r>
      <w:r w:rsidR="006F79A2" w:rsidRPr="00B21CBF">
        <w:rPr>
          <w:i/>
          <w:lang w:val="en-US"/>
        </w:rPr>
        <w:t>remuneração do trabalho agrícola - diarista</w:t>
      </w:r>
      <w:r w:rsidR="006F79A2" w:rsidRPr="00B21CBF">
        <w:rPr>
          <w:lang w:val="en-US"/>
        </w:rPr>
        <w:t xml:space="preserve">) from the </w:t>
      </w:r>
      <w:r w:rsidR="006F79A2" w:rsidRPr="00B21CBF">
        <w:rPr>
          <w:i/>
          <w:lang w:val="en-US"/>
        </w:rPr>
        <w:t>Instituto de Economia Agrícola</w:t>
      </w:r>
      <w:r w:rsidR="006F79A2" w:rsidRPr="00B21CBF">
        <w:rPr>
          <w:lang w:val="en-US"/>
        </w:rPr>
        <w:t xml:space="preserve"> (IEA)</w:t>
      </w:r>
      <w:r w:rsidR="00827979">
        <w:rPr>
          <w:lang w:val="en-US"/>
        </w:rPr>
        <w:t xml:space="preserve"> – available at</w:t>
      </w:r>
      <w:r w:rsidR="004D1128">
        <w:rPr>
          <w:lang w:val="en-US"/>
        </w:rPr>
        <w:t xml:space="preserve"> IPEA website</w:t>
      </w:r>
      <w:r w:rsidR="006F79A2" w:rsidRPr="00B21CBF">
        <w:rPr>
          <w:lang w:val="en-US"/>
        </w:rPr>
        <w:t>.</w:t>
      </w:r>
    </w:p>
    <w:p w:rsidR="00776175" w:rsidRPr="00B21CBF" w:rsidRDefault="0007616A" w:rsidP="00776175">
      <w:pPr>
        <w:rPr>
          <w:lang w:val="en-US"/>
        </w:rPr>
      </w:pPr>
      <w:r w:rsidRPr="00B21CBF">
        <w:rPr>
          <w:lang w:val="en-US"/>
        </w:rPr>
        <w:t>1958-1969</w:t>
      </w:r>
      <w:r w:rsidR="00776175" w:rsidRPr="00B21CBF">
        <w:rPr>
          <w:lang w:val="en-US"/>
        </w:rPr>
        <w:t xml:space="preserve">: </w:t>
      </w:r>
      <w:r w:rsidR="00827979">
        <w:rPr>
          <w:lang w:val="en-US"/>
        </w:rPr>
        <w:t xml:space="preserve">the </w:t>
      </w:r>
      <w:r w:rsidR="00776175" w:rsidRPr="00B21CBF">
        <w:rPr>
          <w:lang w:val="en-US"/>
        </w:rPr>
        <w:t xml:space="preserve">weighted average of </w:t>
      </w:r>
      <w:r w:rsidR="00827979">
        <w:rPr>
          <w:lang w:val="en-US"/>
        </w:rPr>
        <w:t>two series: i) earnings from</w:t>
      </w:r>
      <w:r w:rsidR="00776175" w:rsidRPr="00B21CBF">
        <w:rPr>
          <w:lang w:val="en-US"/>
        </w:rPr>
        <w:t xml:space="preserve"> unskilled worker</w:t>
      </w:r>
      <w:r w:rsidR="00827979">
        <w:rPr>
          <w:lang w:val="en-US"/>
        </w:rPr>
        <w:t>s</w:t>
      </w:r>
      <w:r w:rsidR="00776175" w:rsidRPr="00B21CBF">
        <w:rPr>
          <w:lang w:val="en-US"/>
        </w:rPr>
        <w:t xml:space="preserve"> in agriculture from </w:t>
      </w:r>
      <w:r w:rsidR="00790937" w:rsidRPr="00B21CBF">
        <w:rPr>
          <w:lang w:val="en-US"/>
        </w:rPr>
        <w:t>IEA</w:t>
      </w:r>
      <w:r w:rsidR="00776175" w:rsidRPr="00B21CBF">
        <w:rPr>
          <w:lang w:val="en-US"/>
        </w:rPr>
        <w:t xml:space="preserve">; ii) real average wage of unskilled workers in the construction industry </w:t>
      </w:r>
      <w:r w:rsidR="00A87A3A" w:rsidRPr="00B21CBF">
        <w:rPr>
          <w:lang w:val="en-US"/>
        </w:rPr>
        <w:t xml:space="preserve">(up to 1964) </w:t>
      </w:r>
      <w:r w:rsidR="00776175" w:rsidRPr="00B21CBF">
        <w:rPr>
          <w:lang w:val="en-US"/>
        </w:rPr>
        <w:t>calculated from hourly wages reported in ILO</w:t>
      </w:r>
      <w:r w:rsidR="00F815BA" w:rsidRPr="00B21CBF">
        <w:rPr>
          <w:lang w:val="en-US"/>
        </w:rPr>
        <w:t>/OI1</w:t>
      </w:r>
      <w:r w:rsidR="00776175" w:rsidRPr="00B21CBF">
        <w:rPr>
          <w:lang w:val="en-US"/>
        </w:rPr>
        <w:t>available for 1958 and 1971 (th</w:t>
      </w:r>
      <w:r w:rsidR="00A87A3A" w:rsidRPr="00B21CBF">
        <w:rPr>
          <w:lang w:val="en-US"/>
        </w:rPr>
        <w:t>e gap is filled in with linear</w:t>
      </w:r>
      <w:r w:rsidR="00776175" w:rsidRPr="00B21CBF">
        <w:rPr>
          <w:lang w:val="en-US"/>
        </w:rPr>
        <w:t xml:space="preserve"> interpolation). </w:t>
      </w:r>
      <w:r w:rsidR="00790937" w:rsidRPr="00B21CBF">
        <w:rPr>
          <w:lang w:val="en-US"/>
        </w:rPr>
        <w:t xml:space="preserve">For 1965-1968 I use the unskilled wage in the construction sector at 1970 prices from </w:t>
      </w:r>
      <w:r w:rsidR="00A87A3A" w:rsidRPr="00B21CBF">
        <w:rPr>
          <w:lang w:val="en-US"/>
        </w:rPr>
        <w:t>PREALC</w:t>
      </w:r>
      <w:r w:rsidR="00744664">
        <w:rPr>
          <w:lang w:val="en-US"/>
        </w:rPr>
        <w:t xml:space="preserve"> (1982)</w:t>
      </w:r>
      <w:r w:rsidR="00A87A3A" w:rsidRPr="00B21CBF">
        <w:rPr>
          <w:lang w:val="en-US"/>
        </w:rPr>
        <w:t>.</w:t>
      </w:r>
      <w:r w:rsidR="00827979">
        <w:rPr>
          <w:lang w:val="en-US"/>
        </w:rPr>
        <w:t xml:space="preserve"> To calculate the </w:t>
      </w:r>
      <w:r w:rsidR="001C5862">
        <w:rPr>
          <w:lang w:val="en-US"/>
        </w:rPr>
        <w:t xml:space="preserve">weighted </w:t>
      </w:r>
      <w:r w:rsidR="00827979">
        <w:rPr>
          <w:lang w:val="en-US"/>
        </w:rPr>
        <w:t>average</w:t>
      </w:r>
      <w:r w:rsidR="00A87A3A" w:rsidRPr="00B21CBF">
        <w:rPr>
          <w:lang w:val="en-US"/>
        </w:rPr>
        <w:t xml:space="preserve"> </w:t>
      </w:r>
      <w:r w:rsidR="00827979">
        <w:rPr>
          <w:lang w:val="en-US"/>
        </w:rPr>
        <w:t>I use</w:t>
      </w:r>
      <w:r w:rsidR="00776175" w:rsidRPr="00B21CBF">
        <w:rPr>
          <w:lang w:val="en-US"/>
        </w:rPr>
        <w:t xml:space="preserve"> the </w:t>
      </w:r>
      <w:r w:rsidR="004F2FC7">
        <w:rPr>
          <w:i/>
          <w:lang w:val="en-US"/>
        </w:rPr>
        <w:t>RU%</w:t>
      </w:r>
      <w:r w:rsidR="00776175" w:rsidRPr="00B21CBF">
        <w:rPr>
          <w:lang w:val="en-US"/>
        </w:rPr>
        <w:t xml:space="preserve"> </w:t>
      </w:r>
      <w:r w:rsidR="000F4961">
        <w:rPr>
          <w:lang w:val="en-US"/>
        </w:rPr>
        <w:t>in</w:t>
      </w:r>
      <w:r w:rsidR="00776175" w:rsidRPr="00B21CBF">
        <w:rPr>
          <w:lang w:val="en-US"/>
        </w:rPr>
        <w:t xml:space="preserve"> 1970 = 0.77 (see below</w:t>
      </w:r>
      <w:r w:rsidR="00827979">
        <w:rPr>
          <w:lang w:val="en-US"/>
        </w:rPr>
        <w:t>).</w:t>
      </w:r>
    </w:p>
    <w:p w:rsidR="006F79A2" w:rsidRPr="00B21CBF" w:rsidRDefault="00755319" w:rsidP="006F79A2">
      <w:pPr>
        <w:rPr>
          <w:lang w:val="en-US"/>
        </w:rPr>
      </w:pPr>
      <w:r w:rsidRPr="00B21CBF">
        <w:rPr>
          <w:lang w:val="en-US"/>
        </w:rPr>
        <w:t>*</w:t>
      </w:r>
      <w:r w:rsidR="00A87A3A" w:rsidRPr="00B21CBF">
        <w:rPr>
          <w:lang w:val="en-US"/>
        </w:rPr>
        <w:t>1969</w:t>
      </w:r>
      <w:r w:rsidR="006F79A2" w:rsidRPr="00B21CBF">
        <w:rPr>
          <w:lang w:val="en-US"/>
        </w:rPr>
        <w:t>-1978</w:t>
      </w:r>
      <w:r w:rsidRPr="00B21CBF">
        <w:rPr>
          <w:lang w:val="en-US"/>
        </w:rPr>
        <w:t xml:space="preserve"> (in levels)</w:t>
      </w:r>
      <w:r w:rsidR="006F79A2" w:rsidRPr="00B21CBF">
        <w:rPr>
          <w:lang w:val="en-US"/>
        </w:rPr>
        <w:t xml:space="preserve">: </w:t>
      </w:r>
      <w:r w:rsidR="00A15A12" w:rsidRPr="00B21CBF">
        <w:rPr>
          <w:lang w:val="en-US"/>
        </w:rPr>
        <w:t>weighted average of the real wage for the unskilled worker in agriculture (national level) and the minimum urban real wage. Both are monthly series i</w:t>
      </w:r>
      <w:r w:rsidR="00E3621B">
        <w:rPr>
          <w:lang w:val="en-US"/>
        </w:rPr>
        <w:t>n cruceiros of 1970 from PREALC (1982).</w:t>
      </w:r>
      <w:r w:rsidRPr="00B21CBF">
        <w:rPr>
          <w:lang w:val="en-US"/>
        </w:rPr>
        <w:t xml:space="preserve"> </w:t>
      </w:r>
      <w:r w:rsidR="00BE6950" w:rsidRPr="00B21CBF">
        <w:rPr>
          <w:lang w:val="en-US"/>
        </w:rPr>
        <w:t xml:space="preserve">The weight </w:t>
      </w:r>
      <w:r w:rsidR="00827979">
        <w:rPr>
          <w:lang w:val="en-US"/>
        </w:rPr>
        <w:t>to calculate the average is</w:t>
      </w:r>
      <w:r w:rsidR="00BE6950" w:rsidRPr="00B21CBF">
        <w:rPr>
          <w:lang w:val="en-US"/>
        </w:rPr>
        <w:t xml:space="preserve"> </w:t>
      </w:r>
      <w:r w:rsidR="004F2FC7">
        <w:rPr>
          <w:i/>
          <w:lang w:val="en-US"/>
        </w:rPr>
        <w:t>RU%</w:t>
      </w:r>
      <w:r w:rsidR="00BE6950" w:rsidRPr="00B21CBF">
        <w:rPr>
          <w:lang w:val="en-US"/>
        </w:rPr>
        <w:t xml:space="preserve"> </w:t>
      </w:r>
      <w:r w:rsidR="001D5B83">
        <w:rPr>
          <w:lang w:val="en-US"/>
        </w:rPr>
        <w:t>in</w:t>
      </w:r>
      <w:r w:rsidR="00883BCC" w:rsidRPr="00B21CBF">
        <w:rPr>
          <w:lang w:val="en-US"/>
        </w:rPr>
        <w:t xml:space="preserve">1970 </w:t>
      </w:r>
      <w:r w:rsidR="00175D61" w:rsidRPr="00B21CBF">
        <w:rPr>
          <w:lang w:val="en-US"/>
        </w:rPr>
        <w:t>= 0.77</w:t>
      </w:r>
      <w:r w:rsidR="00BE6950" w:rsidRPr="00B21CBF">
        <w:rPr>
          <w:lang w:val="en-US"/>
        </w:rPr>
        <w:t>.</w:t>
      </w:r>
    </w:p>
    <w:p w:rsidR="006F79A2" w:rsidRPr="00B21CBF" w:rsidRDefault="0007616A" w:rsidP="006F79A2">
      <w:pPr>
        <w:rPr>
          <w:lang w:val="en-US"/>
        </w:rPr>
      </w:pPr>
      <w:r w:rsidRPr="00B21CBF">
        <w:rPr>
          <w:lang w:val="en-US"/>
        </w:rPr>
        <w:t>1978</w:t>
      </w:r>
      <w:r w:rsidR="006F79A2" w:rsidRPr="00B21CBF">
        <w:rPr>
          <w:lang w:val="en-US"/>
        </w:rPr>
        <w:t xml:space="preserve">-2011: </w:t>
      </w:r>
      <w:r w:rsidR="00BE6950" w:rsidRPr="00B21CBF">
        <w:rPr>
          <w:lang w:val="en-US"/>
        </w:rPr>
        <w:t xml:space="preserve">weighted average of </w:t>
      </w:r>
      <w:r w:rsidR="00DD0651" w:rsidRPr="00B21CBF">
        <w:rPr>
          <w:lang w:val="en-US"/>
        </w:rPr>
        <w:t xml:space="preserve">two series: i) </w:t>
      </w:r>
      <w:r w:rsidR="006F79A2" w:rsidRPr="00B21CBF">
        <w:rPr>
          <w:lang w:val="en-US"/>
        </w:rPr>
        <w:t>earnings from the unskilled worker in agriculture from IEA (based on April and November data for the Sao Paulo region)</w:t>
      </w:r>
      <w:r w:rsidR="00DD0651" w:rsidRPr="00B21CBF">
        <w:rPr>
          <w:lang w:val="en-US"/>
        </w:rPr>
        <w:t xml:space="preserve">; and ii) </w:t>
      </w:r>
      <w:r w:rsidR="00BE6950" w:rsidRPr="00B21CBF">
        <w:rPr>
          <w:lang w:val="en-US"/>
        </w:rPr>
        <w:t xml:space="preserve">minimum real urban wage from ECLAC </w:t>
      </w:r>
      <w:r w:rsidR="00DD0651" w:rsidRPr="00B21CBF">
        <w:rPr>
          <w:lang w:val="en-US"/>
        </w:rPr>
        <w:t xml:space="preserve">up to 2000 and </w:t>
      </w:r>
      <w:r w:rsidR="00BE6950" w:rsidRPr="00B21CBF">
        <w:rPr>
          <w:lang w:val="en-US"/>
        </w:rPr>
        <w:t>the minimum real wage</w:t>
      </w:r>
      <w:r w:rsidR="00DD0651" w:rsidRPr="00B21CBF">
        <w:rPr>
          <w:lang w:val="en-US"/>
        </w:rPr>
        <w:t xml:space="preserve"> from IPEA up to 2011</w:t>
      </w:r>
      <w:r w:rsidR="006F79A2" w:rsidRPr="00B21CBF">
        <w:rPr>
          <w:lang w:val="en-US"/>
        </w:rPr>
        <w:t>.</w:t>
      </w:r>
      <w:r w:rsidR="00175D61" w:rsidRPr="00B21CBF">
        <w:rPr>
          <w:lang w:val="en-US"/>
        </w:rPr>
        <w:t xml:space="preserve"> To estimate</w:t>
      </w:r>
      <w:r w:rsidR="009A14B5" w:rsidRPr="00B21CBF">
        <w:rPr>
          <w:lang w:val="en-US"/>
        </w:rPr>
        <w:t xml:space="preserve"> the </w:t>
      </w:r>
      <w:r w:rsidR="009A14B5" w:rsidRPr="00B21CBF">
        <w:rPr>
          <w:lang w:val="en-US"/>
        </w:rPr>
        <w:lastRenderedPageBreak/>
        <w:t>weights</w:t>
      </w:r>
      <w:r w:rsidR="00A87A3A" w:rsidRPr="00B21CBF">
        <w:rPr>
          <w:lang w:val="en-US"/>
        </w:rPr>
        <w:t>,</w:t>
      </w:r>
      <w:r w:rsidR="009A14B5" w:rsidRPr="00B21CBF">
        <w:rPr>
          <w:lang w:val="en-US"/>
        </w:rPr>
        <w:t xml:space="preserve"> I extend</w:t>
      </w:r>
      <w:r w:rsidR="00375A39" w:rsidRPr="00B21CBF">
        <w:rPr>
          <w:lang w:val="en-US"/>
        </w:rPr>
        <w:t xml:space="preserve"> </w:t>
      </w:r>
      <w:r w:rsidR="00175D61" w:rsidRPr="00B21CBF">
        <w:rPr>
          <w:lang w:val="en-US"/>
        </w:rPr>
        <w:t xml:space="preserve">forward </w:t>
      </w:r>
      <w:r w:rsidR="00375A39" w:rsidRPr="00B21CBF">
        <w:rPr>
          <w:lang w:val="en-US"/>
        </w:rPr>
        <w:t xml:space="preserve">the </w:t>
      </w:r>
      <w:r w:rsidR="004F2FC7">
        <w:rPr>
          <w:i/>
          <w:lang w:val="en-US"/>
        </w:rPr>
        <w:t>RU%</w:t>
      </w:r>
      <w:r w:rsidR="00375A39" w:rsidRPr="00B21CBF">
        <w:rPr>
          <w:lang w:val="en-US"/>
        </w:rPr>
        <w:t xml:space="preserve"> in 1970 in line with changes in the </w:t>
      </w:r>
      <w:r w:rsidR="0030289D" w:rsidRPr="00B21CBF">
        <w:rPr>
          <w:lang w:val="en-US"/>
        </w:rPr>
        <w:t xml:space="preserve">rural </w:t>
      </w:r>
      <w:r w:rsidR="00375A39" w:rsidRPr="00B21CBF">
        <w:rPr>
          <w:lang w:val="en-US"/>
        </w:rPr>
        <w:t>population (</w:t>
      </w:r>
      <w:r w:rsidR="002D4E68" w:rsidRPr="00B21CBF">
        <w:rPr>
          <w:lang w:val="en-US"/>
        </w:rPr>
        <w:t xml:space="preserve">this procedure results in a </w:t>
      </w:r>
      <w:r w:rsidR="004F2FC7">
        <w:rPr>
          <w:i/>
          <w:lang w:val="en-US"/>
        </w:rPr>
        <w:t>RU%</w:t>
      </w:r>
      <w:r w:rsidR="00375A39" w:rsidRPr="00B21CBF">
        <w:rPr>
          <w:lang w:val="en-US"/>
        </w:rPr>
        <w:t xml:space="preserve"> </w:t>
      </w:r>
      <w:r w:rsidR="002D4E68" w:rsidRPr="00B21CBF">
        <w:rPr>
          <w:lang w:val="en-US"/>
        </w:rPr>
        <w:t>in 2000 of</w:t>
      </w:r>
      <w:r w:rsidR="006061AD" w:rsidRPr="00B21CBF">
        <w:rPr>
          <w:lang w:val="en-US"/>
        </w:rPr>
        <w:t xml:space="preserve"> 0.40</w:t>
      </w:r>
      <w:r w:rsidR="00375A39" w:rsidRPr="00B21CBF">
        <w:rPr>
          <w:lang w:val="en-US"/>
        </w:rPr>
        <w:t>).</w:t>
      </w:r>
    </w:p>
    <w:p w:rsidR="006F79A2" w:rsidRPr="00B21CBF" w:rsidRDefault="006F79A2" w:rsidP="006F79A2">
      <w:pPr>
        <w:rPr>
          <w:lang w:val="en-US"/>
        </w:rPr>
      </w:pPr>
    </w:p>
    <w:p w:rsidR="00DA263B" w:rsidRPr="00B21CBF" w:rsidRDefault="00DA263B" w:rsidP="00DA263B">
      <w:pPr>
        <w:rPr>
          <w:i/>
          <w:lang w:val="en-US"/>
        </w:rPr>
      </w:pPr>
      <w:r w:rsidRPr="00B21CBF">
        <w:rPr>
          <w:i/>
          <w:lang w:val="en-US"/>
        </w:rPr>
        <w:t>Semi-skilled wages (</w:t>
      </w:r>
      <w:r w:rsidRPr="00B21CBF">
        <w:rPr>
          <w:i/>
        </w:rPr>
        <w:t>w</w:t>
      </w:r>
      <w:r w:rsidRPr="00B21CBF">
        <w:rPr>
          <w:i/>
          <w:vertAlign w:val="subscript"/>
        </w:rPr>
        <w:t>3</w:t>
      </w:r>
      <w:r w:rsidRPr="00B21CBF">
        <w:rPr>
          <w:i/>
        </w:rPr>
        <w:t>)</w:t>
      </w:r>
      <w:r w:rsidRPr="00B21CBF">
        <w:rPr>
          <w:i/>
          <w:lang w:val="en-US"/>
        </w:rPr>
        <w:t>:</w:t>
      </w:r>
    </w:p>
    <w:p w:rsidR="00DF15B4" w:rsidRPr="00B21CBF" w:rsidRDefault="002403CC" w:rsidP="006F79A2">
      <w:pPr>
        <w:rPr>
          <w:highlight w:val="yellow"/>
          <w:lang w:val="en-US"/>
        </w:rPr>
      </w:pPr>
      <w:r>
        <w:rPr>
          <w:lang w:val="en-US"/>
        </w:rPr>
        <w:t>1900-1930</w:t>
      </w:r>
      <w:r w:rsidR="006F79A2" w:rsidRPr="00B21CBF">
        <w:rPr>
          <w:lang w:val="en-US"/>
        </w:rPr>
        <w:t>: average wage for three occupations in the construction industry (mason, painter, and carpenter) from Lobo (1978).</w:t>
      </w:r>
      <w:r w:rsidR="00E832BC" w:rsidRPr="00B21CBF">
        <w:rPr>
          <w:lang w:val="en-US"/>
        </w:rPr>
        <w:t xml:space="preserve"> </w:t>
      </w:r>
    </w:p>
    <w:p w:rsidR="006F79A2" w:rsidRPr="00B21CBF" w:rsidRDefault="002403CC" w:rsidP="006F79A2">
      <w:pPr>
        <w:rPr>
          <w:lang w:val="en-US"/>
        </w:rPr>
      </w:pPr>
      <w:r>
        <w:rPr>
          <w:lang w:val="en-US"/>
        </w:rPr>
        <w:t>1930-1936</w:t>
      </w:r>
      <w:r w:rsidR="006F79A2" w:rsidRPr="00B21CBF">
        <w:rPr>
          <w:lang w:val="en-US"/>
        </w:rPr>
        <w:t>: for 1924 and 1934-1937 there are data available for daily wages for rural workers (mason and carpenter) in</w:t>
      </w:r>
      <w:r w:rsidR="006A19D0" w:rsidRPr="00B21CBF">
        <w:rPr>
          <w:lang w:val="en-US"/>
        </w:rPr>
        <w:t xml:space="preserve"> Rio de Janeiro (IBGE</w:t>
      </w:r>
      <w:r w:rsidR="00162269">
        <w:rPr>
          <w:lang w:val="en-US"/>
        </w:rPr>
        <w:t>,</w:t>
      </w:r>
      <w:r w:rsidR="006A19D0" w:rsidRPr="00B21CBF">
        <w:rPr>
          <w:lang w:val="en-US"/>
        </w:rPr>
        <w:t xml:space="preserve"> AEB</w:t>
      </w:r>
      <w:r w:rsidR="00162269">
        <w:rPr>
          <w:lang w:val="en-US"/>
        </w:rPr>
        <w:t>,</w:t>
      </w:r>
      <w:r w:rsidR="006A19D0" w:rsidRPr="00B21CBF">
        <w:rPr>
          <w:lang w:val="en-US"/>
        </w:rPr>
        <w:t xml:space="preserve"> 1936 and 1938). I</w:t>
      </w:r>
      <w:r w:rsidR="006F79A2" w:rsidRPr="00B21CBF">
        <w:rPr>
          <w:lang w:val="en-US"/>
        </w:rPr>
        <w:t xml:space="preserve"> use these data to extend </w:t>
      </w:r>
      <w:r w:rsidR="006A19D0" w:rsidRPr="00B21CBF">
        <w:rPr>
          <w:lang w:val="en-US"/>
        </w:rPr>
        <w:t xml:space="preserve">forward my </w:t>
      </w:r>
      <w:r>
        <w:rPr>
          <w:lang w:val="en-US"/>
        </w:rPr>
        <w:t>series based on Lobo</w:t>
      </w:r>
      <w:r w:rsidR="006F79A2" w:rsidRPr="00B21CBF">
        <w:rPr>
          <w:lang w:val="en-US"/>
        </w:rPr>
        <w:t xml:space="preserve">´s data up to 1937. Values between 1930 and 1934 are interpolated. </w:t>
      </w:r>
    </w:p>
    <w:p w:rsidR="006F79A2" w:rsidRPr="00B21CBF" w:rsidRDefault="002403CC" w:rsidP="006F79A2">
      <w:pPr>
        <w:rPr>
          <w:lang w:val="en-US"/>
        </w:rPr>
      </w:pPr>
      <w:r>
        <w:rPr>
          <w:lang w:val="en-US"/>
        </w:rPr>
        <w:t>1936</w:t>
      </w:r>
      <w:r w:rsidR="0007616A" w:rsidRPr="00B21CBF">
        <w:rPr>
          <w:lang w:val="en-US"/>
        </w:rPr>
        <w:t>-1971</w:t>
      </w:r>
      <w:r w:rsidR="006F79A2" w:rsidRPr="00B21CBF">
        <w:rPr>
          <w:lang w:val="en-US"/>
        </w:rPr>
        <w:t>: there are wage</w:t>
      </w:r>
      <w:r w:rsidR="004340F2" w:rsidRPr="00B21CBF">
        <w:rPr>
          <w:lang w:val="en-US"/>
        </w:rPr>
        <w:t xml:space="preserve"> data by occupations from ILO/</w:t>
      </w:r>
      <w:r w:rsidR="006F79A2" w:rsidRPr="00B21CBF">
        <w:rPr>
          <w:lang w:val="en-US"/>
        </w:rPr>
        <w:t>OI</w:t>
      </w:r>
      <w:r w:rsidR="00367212" w:rsidRPr="00B21CBF">
        <w:rPr>
          <w:lang w:val="en-US"/>
        </w:rPr>
        <w:t>1</w:t>
      </w:r>
      <w:r w:rsidR="006F79A2" w:rsidRPr="00B21CBF">
        <w:rPr>
          <w:lang w:val="en-US"/>
        </w:rPr>
        <w:t xml:space="preserve"> in 1936, 1943, 1958, and 1971-19</w:t>
      </w:r>
      <w:r w:rsidR="006A19D0" w:rsidRPr="00B21CBF">
        <w:rPr>
          <w:lang w:val="en-US"/>
        </w:rPr>
        <w:t>76. For those benchmark years I</w:t>
      </w:r>
      <w:r w:rsidR="006F79A2" w:rsidRPr="00B21CBF">
        <w:rPr>
          <w:lang w:val="en-US"/>
        </w:rPr>
        <w:t xml:space="preserve"> calculate averages wages for seven occupations in the construction industry</w:t>
      </w:r>
      <w:r w:rsidR="006A19D0" w:rsidRPr="00B21CBF">
        <w:rPr>
          <w:lang w:val="en-US"/>
        </w:rPr>
        <w:t xml:space="preserve">, using </w:t>
      </w:r>
      <w:r w:rsidR="009D1D6A" w:rsidRPr="00B21CBF">
        <w:rPr>
          <w:lang w:val="en-US"/>
        </w:rPr>
        <w:t>linear</w:t>
      </w:r>
      <w:r w:rsidR="006F79A2" w:rsidRPr="00B21CBF">
        <w:rPr>
          <w:lang w:val="en-US"/>
        </w:rPr>
        <w:t xml:space="preserve"> interpolation t</w:t>
      </w:r>
      <w:r w:rsidR="006A19D0" w:rsidRPr="00B21CBF">
        <w:rPr>
          <w:lang w:val="en-US"/>
        </w:rPr>
        <w:t>o fill in the gap between 1936 and 1943. Between 1943 and1958, and 1958 and1971 I</w:t>
      </w:r>
      <w:r w:rsidR="006F79A2" w:rsidRPr="00B21CBF">
        <w:rPr>
          <w:lang w:val="en-US"/>
        </w:rPr>
        <w:t xml:space="preserve"> use pattern interpolation using </w:t>
      </w:r>
      <w:r w:rsidR="00F81628">
        <w:rPr>
          <w:lang w:val="en-US"/>
        </w:rPr>
        <w:t>as auxiliary series</w:t>
      </w:r>
      <w:r w:rsidR="006F79A2" w:rsidRPr="00B21CBF">
        <w:rPr>
          <w:lang w:val="en-US"/>
        </w:rPr>
        <w:t xml:space="preserve"> the mean wage for blue </w:t>
      </w:r>
      <w:r w:rsidR="003263D6">
        <w:rPr>
          <w:lang w:val="en-US"/>
        </w:rPr>
        <w:t>collar workers from Bacha (1979:</w:t>
      </w:r>
      <w:r w:rsidR="006F79A2" w:rsidRPr="00B21CBF">
        <w:rPr>
          <w:lang w:val="en-US"/>
        </w:rPr>
        <w:t xml:space="preserve"> Table 5, 610) for the period 1946-1971. Bacha uses this series as representative of relatively low skills urban workers</w:t>
      </w:r>
      <w:r w:rsidR="0013710E" w:rsidRPr="00B21CBF">
        <w:rPr>
          <w:lang w:val="en-US"/>
        </w:rPr>
        <w:t>. I add one</w:t>
      </w:r>
      <w:r w:rsidR="006F79A2" w:rsidRPr="00B21CBF">
        <w:rPr>
          <w:lang w:val="en-US"/>
        </w:rPr>
        <w:t xml:space="preserve"> observations to both ends of the origina</w:t>
      </w:r>
      <w:r w:rsidR="00FB4920" w:rsidRPr="00B21CBF">
        <w:rPr>
          <w:lang w:val="en-US"/>
        </w:rPr>
        <w:t>l Bacha series using Wells (1983</w:t>
      </w:r>
      <w:r w:rsidR="006F79A2" w:rsidRPr="00B21CBF">
        <w:rPr>
          <w:lang w:val="en-US"/>
        </w:rPr>
        <w:t xml:space="preserve">) for </w:t>
      </w:r>
      <w:r w:rsidR="007E4FC4" w:rsidRPr="00B21CBF">
        <w:rPr>
          <w:lang w:val="en-US"/>
        </w:rPr>
        <w:t>the first earnings quintile.</w:t>
      </w:r>
      <w:r w:rsidR="006F79A2" w:rsidRPr="00B21CBF">
        <w:rPr>
          <w:lang w:val="en-US"/>
        </w:rPr>
        <w:t xml:space="preserve"> </w:t>
      </w:r>
    </w:p>
    <w:p w:rsidR="00F81628" w:rsidRDefault="00D26FCF" w:rsidP="006F79A2">
      <w:pPr>
        <w:rPr>
          <w:lang w:val="en-US"/>
        </w:rPr>
      </w:pPr>
      <w:r w:rsidRPr="00B21CBF">
        <w:rPr>
          <w:lang w:val="en-US"/>
        </w:rPr>
        <w:t>*</w:t>
      </w:r>
      <w:r w:rsidR="00367212" w:rsidRPr="00B21CBF">
        <w:rPr>
          <w:lang w:val="en-US"/>
        </w:rPr>
        <w:t>1971-</w:t>
      </w:r>
      <w:r w:rsidR="00E832BC" w:rsidRPr="00B21CBF">
        <w:rPr>
          <w:lang w:val="en-US"/>
        </w:rPr>
        <w:t>1975</w:t>
      </w:r>
      <w:r w:rsidR="004340F2" w:rsidRPr="00B21CBF">
        <w:rPr>
          <w:lang w:val="en-US"/>
        </w:rPr>
        <w:t xml:space="preserve"> (in levels)</w:t>
      </w:r>
      <w:r w:rsidR="006F79A2" w:rsidRPr="00B21CBF">
        <w:rPr>
          <w:lang w:val="en-US"/>
        </w:rPr>
        <w:t xml:space="preserve">: </w:t>
      </w:r>
      <w:r w:rsidR="00367212" w:rsidRPr="00B21CBF">
        <w:rPr>
          <w:lang w:val="en-US"/>
        </w:rPr>
        <w:t>uses as basic data the average hourly wage in seven occupations in the construction industry from ILO</w:t>
      </w:r>
      <w:r w:rsidR="004340F2" w:rsidRPr="00B21CBF">
        <w:rPr>
          <w:lang w:val="en-US"/>
        </w:rPr>
        <w:t>/OI1</w:t>
      </w:r>
      <w:r w:rsidR="00367212" w:rsidRPr="00B21CBF">
        <w:rPr>
          <w:lang w:val="en-US"/>
        </w:rPr>
        <w:t xml:space="preserve">. </w:t>
      </w:r>
    </w:p>
    <w:p w:rsidR="006F79A2" w:rsidRPr="00B21CBF" w:rsidRDefault="0007616A" w:rsidP="006F79A2">
      <w:pPr>
        <w:rPr>
          <w:lang w:val="en-US"/>
        </w:rPr>
      </w:pPr>
      <w:r w:rsidRPr="00B21CBF">
        <w:rPr>
          <w:lang w:val="en-US"/>
        </w:rPr>
        <w:t>1975</w:t>
      </w:r>
      <w:r w:rsidR="00E832BC" w:rsidRPr="00B21CBF">
        <w:rPr>
          <w:lang w:val="en-US"/>
        </w:rPr>
        <w:t>-1979</w:t>
      </w:r>
      <w:r w:rsidR="006F79A2" w:rsidRPr="00B21CBF">
        <w:rPr>
          <w:lang w:val="en-US"/>
        </w:rPr>
        <w:t>: real wa</w:t>
      </w:r>
      <w:r w:rsidR="00790937" w:rsidRPr="00B21CBF">
        <w:rPr>
          <w:lang w:val="en-US"/>
        </w:rPr>
        <w:t>ges of</w:t>
      </w:r>
      <w:r w:rsidR="006F79A2" w:rsidRPr="00B21CBF">
        <w:rPr>
          <w:lang w:val="en-US"/>
        </w:rPr>
        <w:t xml:space="preserve"> unskilled workers (</w:t>
      </w:r>
      <w:r w:rsidR="006F79A2" w:rsidRPr="00B21CBF">
        <w:rPr>
          <w:i/>
          <w:lang w:val="en-US"/>
        </w:rPr>
        <w:t>peones</w:t>
      </w:r>
      <w:r w:rsidR="006F79A2" w:rsidRPr="00B21CBF">
        <w:rPr>
          <w:lang w:val="en-US"/>
        </w:rPr>
        <w:t>) in the construction sector in cruceiros of 1970 from PREALC</w:t>
      </w:r>
      <w:r w:rsidR="00EC0435">
        <w:rPr>
          <w:lang w:val="en-US"/>
        </w:rPr>
        <w:t xml:space="preserve"> (1982)</w:t>
      </w:r>
      <w:r w:rsidR="006F79A2" w:rsidRPr="00B21CBF">
        <w:rPr>
          <w:lang w:val="en-US"/>
        </w:rPr>
        <w:t xml:space="preserve">. </w:t>
      </w:r>
    </w:p>
    <w:p w:rsidR="006F79A2" w:rsidRPr="00B21CBF" w:rsidRDefault="006F0A8F" w:rsidP="006F79A2">
      <w:pPr>
        <w:rPr>
          <w:lang w:val="en-US"/>
        </w:rPr>
      </w:pPr>
      <w:r>
        <w:rPr>
          <w:lang w:val="en-US"/>
        </w:rPr>
        <w:t>1979</w:t>
      </w:r>
      <w:r w:rsidR="00E832BC" w:rsidRPr="00B21CBF">
        <w:rPr>
          <w:lang w:val="en-US"/>
        </w:rPr>
        <w:t>-1991</w:t>
      </w:r>
      <w:r w:rsidR="006F79A2" w:rsidRPr="00B21CBF">
        <w:rPr>
          <w:lang w:val="en-US"/>
        </w:rPr>
        <w:t xml:space="preserve">: </w:t>
      </w:r>
      <w:r w:rsidR="00E13979" w:rsidRPr="00B21CBF">
        <w:rPr>
          <w:lang w:val="en-US"/>
        </w:rPr>
        <w:t>simple average</w:t>
      </w:r>
      <w:r w:rsidR="006F5E44" w:rsidRPr="00B21CBF">
        <w:rPr>
          <w:lang w:val="en-US"/>
        </w:rPr>
        <w:t xml:space="preserve"> of</w:t>
      </w:r>
      <w:r w:rsidR="00E13979" w:rsidRPr="00B21CBF">
        <w:rPr>
          <w:lang w:val="en-US"/>
        </w:rPr>
        <w:t xml:space="preserve"> the </w:t>
      </w:r>
      <w:r w:rsidR="006F79A2" w:rsidRPr="00B21CBF">
        <w:rPr>
          <w:lang w:val="en-US"/>
        </w:rPr>
        <w:t>real average wage index</w:t>
      </w:r>
      <w:r w:rsidR="00E13979" w:rsidRPr="00B21CBF">
        <w:rPr>
          <w:lang w:val="en-US"/>
        </w:rPr>
        <w:t xml:space="preserve"> and the minimum real wage index</w:t>
      </w:r>
      <w:r w:rsidR="006F79A2" w:rsidRPr="00B21CBF">
        <w:rPr>
          <w:lang w:val="en-US"/>
        </w:rPr>
        <w:t xml:space="preserve"> (1990=100) from ECLAC</w:t>
      </w:r>
      <w:r w:rsidR="00C03207">
        <w:rPr>
          <w:lang w:val="en-US"/>
        </w:rPr>
        <w:t xml:space="preserve"> website</w:t>
      </w:r>
      <w:r w:rsidR="006F79A2" w:rsidRPr="00B21CBF">
        <w:rPr>
          <w:lang w:val="en-US"/>
        </w:rPr>
        <w:t xml:space="preserve">. </w:t>
      </w:r>
    </w:p>
    <w:p w:rsidR="006F79A2" w:rsidRPr="00B21CBF" w:rsidRDefault="006F0A8F" w:rsidP="006F79A2">
      <w:pPr>
        <w:rPr>
          <w:lang w:val="en-US"/>
        </w:rPr>
      </w:pPr>
      <w:r>
        <w:rPr>
          <w:lang w:val="en-US"/>
        </w:rPr>
        <w:t>1991</w:t>
      </w:r>
      <w:r w:rsidR="006F79A2" w:rsidRPr="00B21CBF">
        <w:rPr>
          <w:lang w:val="en-US"/>
        </w:rPr>
        <w:t>-2011: average</w:t>
      </w:r>
      <w:r w:rsidR="00E13979" w:rsidRPr="00B21CBF">
        <w:rPr>
          <w:lang w:val="en-US"/>
        </w:rPr>
        <w:t xml:space="preserve"> nominal monthly earnings in</w:t>
      </w:r>
      <w:r w:rsidR="006F79A2" w:rsidRPr="00B21CBF">
        <w:rPr>
          <w:lang w:val="en-US"/>
        </w:rPr>
        <w:t xml:space="preserve"> construction</w:t>
      </w:r>
      <w:r w:rsidR="00E13979" w:rsidRPr="00B21CBF">
        <w:rPr>
          <w:lang w:val="en-US"/>
        </w:rPr>
        <w:t xml:space="preserve"> and retailing</w:t>
      </w:r>
      <w:r w:rsidR="006F79A2" w:rsidRPr="00B21CBF">
        <w:rPr>
          <w:lang w:val="en-US"/>
        </w:rPr>
        <w:t xml:space="preserve"> (IBGE</w:t>
      </w:r>
      <w:r w:rsidR="00C03207">
        <w:rPr>
          <w:lang w:val="en-US"/>
        </w:rPr>
        <w:t xml:space="preserve"> website</w:t>
      </w:r>
      <w:r w:rsidR="006F79A2" w:rsidRPr="00B21CBF">
        <w:rPr>
          <w:lang w:val="en-US"/>
        </w:rPr>
        <w:t>).</w:t>
      </w:r>
    </w:p>
    <w:p w:rsidR="007E4FC4" w:rsidRPr="00B21CBF" w:rsidRDefault="007E4FC4" w:rsidP="006F79A2">
      <w:pPr>
        <w:rPr>
          <w:lang w:val="en-US"/>
        </w:rPr>
      </w:pPr>
    </w:p>
    <w:p w:rsidR="006F79A2" w:rsidRPr="00B21CBF" w:rsidRDefault="00DA263B" w:rsidP="006F79A2">
      <w:pPr>
        <w:rPr>
          <w:i/>
          <w:lang w:val="en-US"/>
        </w:rPr>
      </w:pPr>
      <w:r w:rsidRPr="00B21CBF">
        <w:rPr>
          <w:i/>
        </w:rPr>
        <w:t>Skilled labour (w</w:t>
      </w:r>
      <w:r w:rsidRPr="00B21CBF">
        <w:rPr>
          <w:i/>
          <w:vertAlign w:val="subscript"/>
        </w:rPr>
        <w:t>2</w:t>
      </w:r>
      <w:r w:rsidRPr="00B21CBF">
        <w:rPr>
          <w:i/>
        </w:rPr>
        <w:t>)</w:t>
      </w:r>
      <w:r w:rsidRPr="00B21CBF">
        <w:rPr>
          <w:i/>
          <w:lang w:val="en-US"/>
        </w:rPr>
        <w:t>:</w:t>
      </w:r>
    </w:p>
    <w:p w:rsidR="006F79A2" w:rsidRPr="00B21CBF" w:rsidRDefault="00B126DD" w:rsidP="006F79A2">
      <w:pPr>
        <w:rPr>
          <w:lang w:val="en-US"/>
        </w:rPr>
      </w:pPr>
      <w:r>
        <w:rPr>
          <w:lang w:val="en-US"/>
        </w:rPr>
        <w:t>1900-1928</w:t>
      </w:r>
      <w:r w:rsidR="006F79A2" w:rsidRPr="00B21CBF">
        <w:rPr>
          <w:lang w:val="en-US"/>
        </w:rPr>
        <w:t xml:space="preserve">: average wage of </w:t>
      </w:r>
      <w:r w:rsidR="00B9733A" w:rsidRPr="00B21CBF">
        <w:rPr>
          <w:lang w:val="en-US"/>
        </w:rPr>
        <w:t>machine operator (</w:t>
      </w:r>
      <w:r w:rsidR="006415CB" w:rsidRPr="00B21CBF">
        <w:rPr>
          <w:i/>
          <w:lang w:val="en-US"/>
        </w:rPr>
        <w:t>operario de maquinas</w:t>
      </w:r>
      <w:r w:rsidR="00B9733A" w:rsidRPr="00B21CBF">
        <w:rPr>
          <w:lang w:val="en-US"/>
        </w:rPr>
        <w:t>)</w:t>
      </w:r>
      <w:r w:rsidR="006F79A2" w:rsidRPr="00B21CBF">
        <w:rPr>
          <w:lang w:val="en-US"/>
        </w:rPr>
        <w:t xml:space="preserve"> and </w:t>
      </w:r>
      <w:r w:rsidR="005A1333" w:rsidRPr="00B21CBF">
        <w:rPr>
          <w:lang w:val="en-US"/>
        </w:rPr>
        <w:t xml:space="preserve">middle </w:t>
      </w:r>
      <w:r w:rsidR="00003691" w:rsidRPr="00B21CBF">
        <w:rPr>
          <w:lang w:val="en-US"/>
        </w:rPr>
        <w:t xml:space="preserve">level </w:t>
      </w:r>
      <w:r w:rsidR="002064E7" w:rsidRPr="00B21CBF">
        <w:rPr>
          <w:lang w:val="en-US"/>
        </w:rPr>
        <w:t>factory manager</w:t>
      </w:r>
      <w:r w:rsidR="005A1333" w:rsidRPr="00B21CBF">
        <w:rPr>
          <w:lang w:val="en-US"/>
        </w:rPr>
        <w:t xml:space="preserve"> </w:t>
      </w:r>
      <w:r w:rsidR="00B9733A" w:rsidRPr="00B21CBF">
        <w:rPr>
          <w:lang w:val="en-US"/>
        </w:rPr>
        <w:t>(</w:t>
      </w:r>
      <w:r w:rsidR="006F79A2" w:rsidRPr="00B21CBF">
        <w:rPr>
          <w:i/>
          <w:lang w:val="en-US"/>
        </w:rPr>
        <w:t xml:space="preserve">chefes </w:t>
      </w:r>
      <w:r w:rsidR="008B55AB" w:rsidRPr="00B21CBF">
        <w:rPr>
          <w:i/>
          <w:lang w:val="en-US"/>
        </w:rPr>
        <w:t>seção</w:t>
      </w:r>
      <w:r w:rsidR="006415CB" w:rsidRPr="00B21CBF">
        <w:rPr>
          <w:i/>
          <w:lang w:val="en-US"/>
        </w:rPr>
        <w:t xml:space="preserve"> de fabrica</w:t>
      </w:r>
      <w:r w:rsidR="00B9733A" w:rsidRPr="00B21CBF">
        <w:rPr>
          <w:lang w:val="en-US"/>
        </w:rPr>
        <w:t xml:space="preserve">) </w:t>
      </w:r>
      <w:r w:rsidR="006F79A2" w:rsidRPr="00B21CBF">
        <w:rPr>
          <w:lang w:val="en-US"/>
        </w:rPr>
        <w:t>from Lobo (1978).</w:t>
      </w:r>
    </w:p>
    <w:p w:rsidR="006F79A2" w:rsidRPr="00B21CBF" w:rsidRDefault="006F79A2" w:rsidP="006F79A2">
      <w:pPr>
        <w:rPr>
          <w:lang w:val="en-US"/>
        </w:rPr>
      </w:pPr>
      <w:r w:rsidRPr="00B21CBF">
        <w:rPr>
          <w:lang w:val="en-US"/>
        </w:rPr>
        <w:t>1928 and</w:t>
      </w:r>
      <w:r w:rsidR="00B126DD">
        <w:rPr>
          <w:lang w:val="en-US"/>
        </w:rPr>
        <w:t xml:space="preserve"> 1943</w:t>
      </w:r>
      <w:r w:rsidRPr="00B21CBF">
        <w:rPr>
          <w:lang w:val="en-US"/>
        </w:rPr>
        <w:t xml:space="preserve">: </w:t>
      </w:r>
      <w:r w:rsidR="009D1D6A" w:rsidRPr="00B21CBF">
        <w:rPr>
          <w:lang w:val="en-US"/>
        </w:rPr>
        <w:t>data for this period comes from</w:t>
      </w:r>
      <w:r w:rsidRPr="00B21CBF">
        <w:rPr>
          <w:lang w:val="en-US"/>
        </w:rPr>
        <w:t xml:space="preserve"> a group of occupations for blue workers that are relat</w:t>
      </w:r>
      <w:r w:rsidR="009D1D6A" w:rsidRPr="00B21CBF">
        <w:rPr>
          <w:lang w:val="en-US"/>
        </w:rPr>
        <w:t xml:space="preserve">ively skilled </w:t>
      </w:r>
      <w:r w:rsidRPr="00B21CBF">
        <w:rPr>
          <w:lang w:val="en-US"/>
        </w:rPr>
        <w:t xml:space="preserve">available in the 1928 industrial census of Rio de Janeiro (here </w:t>
      </w:r>
      <w:r w:rsidR="004C0D59">
        <w:rPr>
          <w:lang w:val="en-US"/>
        </w:rPr>
        <w:t>I am</w:t>
      </w:r>
      <w:r w:rsidRPr="00B21CBF">
        <w:rPr>
          <w:lang w:val="en-US"/>
        </w:rPr>
        <w:t xml:space="preserve"> using four occupations: </w:t>
      </w:r>
      <w:r w:rsidR="004C0D59" w:rsidRPr="00B21CBF">
        <w:rPr>
          <w:lang w:val="en-US"/>
        </w:rPr>
        <w:t>patternmakers</w:t>
      </w:r>
      <w:r w:rsidRPr="00B21CBF">
        <w:rPr>
          <w:lang w:val="en-US"/>
        </w:rPr>
        <w:t xml:space="preserve">, </w:t>
      </w:r>
      <w:r w:rsidR="00793B5A" w:rsidRPr="00B21CBF">
        <w:rPr>
          <w:lang w:val="en-US"/>
        </w:rPr>
        <w:t>turners</w:t>
      </w:r>
      <w:r w:rsidRPr="00B21CBF">
        <w:rPr>
          <w:lang w:val="en-US"/>
        </w:rPr>
        <w:t xml:space="preserve">, </w:t>
      </w:r>
      <w:r w:rsidR="00793B5A" w:rsidRPr="00B21CBF">
        <w:rPr>
          <w:lang w:val="en-US"/>
        </w:rPr>
        <w:t>iron moulders</w:t>
      </w:r>
      <w:r w:rsidRPr="00B21CBF">
        <w:rPr>
          <w:lang w:val="en-US"/>
        </w:rPr>
        <w:t xml:space="preserve">, and </w:t>
      </w:r>
      <w:r w:rsidR="004C0D59">
        <w:rPr>
          <w:lang w:val="en-US"/>
        </w:rPr>
        <w:t>fitters</w:t>
      </w:r>
      <w:r w:rsidRPr="00B21CBF">
        <w:rPr>
          <w:lang w:val="en-US"/>
        </w:rPr>
        <w:t xml:space="preserve"> and on the ILO</w:t>
      </w:r>
      <w:r w:rsidR="009D1D6A" w:rsidRPr="00B21CBF">
        <w:rPr>
          <w:lang w:val="en-US"/>
        </w:rPr>
        <w:t xml:space="preserve">/OI1 </w:t>
      </w:r>
      <w:r w:rsidRPr="00B21CBF">
        <w:rPr>
          <w:lang w:val="en-US"/>
        </w:rPr>
        <w:t>in 1936 and 1943 (an average of wages for five occupations: cabinet makers, machine compositors, fitters &amp; turners, iron moulders, and patternmakers</w:t>
      </w:r>
      <w:r w:rsidR="009D1D6A" w:rsidRPr="00B21CBF">
        <w:rPr>
          <w:lang w:val="en-US"/>
        </w:rPr>
        <w:t>). In this way</w:t>
      </w:r>
      <w:r w:rsidR="003263D6">
        <w:rPr>
          <w:lang w:val="en-US"/>
        </w:rPr>
        <w:t>,</w:t>
      </w:r>
      <w:r w:rsidR="009D1D6A" w:rsidRPr="00B21CBF">
        <w:rPr>
          <w:lang w:val="en-US"/>
        </w:rPr>
        <w:t xml:space="preserve"> I</w:t>
      </w:r>
      <w:r w:rsidRPr="00B21CBF">
        <w:rPr>
          <w:lang w:val="en-US"/>
        </w:rPr>
        <w:t xml:space="preserve"> can provide three benchmarks to splice the data up to 1928 with that starting in 1943. To fill in </w:t>
      </w:r>
      <w:r w:rsidR="009D1D6A" w:rsidRPr="00B21CBF">
        <w:rPr>
          <w:lang w:val="en-US"/>
        </w:rPr>
        <w:t>the gap between 1928 and 1936 I</w:t>
      </w:r>
      <w:r w:rsidRPr="00B21CBF">
        <w:rPr>
          <w:lang w:val="en-US"/>
        </w:rPr>
        <w:t xml:space="preserve"> use pattern interpolation using as an auxiliary series the rate of growth of meat consumption per-capita in Rio de Janeiro (from IBGE</w:t>
      </w:r>
      <w:r w:rsidR="00162269">
        <w:rPr>
          <w:lang w:val="en-US"/>
        </w:rPr>
        <w:t>,</w:t>
      </w:r>
      <w:r w:rsidR="0087799C">
        <w:rPr>
          <w:lang w:val="en-US"/>
        </w:rPr>
        <w:t xml:space="preserve"> AEB, </w:t>
      </w:r>
      <w:r w:rsidR="001A0901">
        <w:rPr>
          <w:lang w:val="en-US"/>
        </w:rPr>
        <w:t>1936 and 1941</w:t>
      </w:r>
      <w:r w:rsidRPr="00B21CBF">
        <w:rPr>
          <w:lang w:val="en-US"/>
        </w:rPr>
        <w:t>)</w:t>
      </w:r>
      <w:r w:rsidR="009D1D6A" w:rsidRPr="00B21CBF">
        <w:rPr>
          <w:lang w:val="en-US"/>
        </w:rPr>
        <w:t>, and linear</w:t>
      </w:r>
      <w:r w:rsidRPr="00B21CBF">
        <w:rPr>
          <w:lang w:val="en-US"/>
        </w:rPr>
        <w:t xml:space="preserve"> interpolation between 1936 and 1946.</w:t>
      </w:r>
    </w:p>
    <w:p w:rsidR="00DF15B4" w:rsidRPr="00B21CBF" w:rsidRDefault="00B126DD" w:rsidP="006F79A2">
      <w:pPr>
        <w:rPr>
          <w:lang w:val="en-US"/>
        </w:rPr>
      </w:pPr>
      <w:r>
        <w:rPr>
          <w:lang w:val="en-US"/>
        </w:rPr>
        <w:t>1943-52</w:t>
      </w:r>
      <w:r w:rsidR="006F79A2" w:rsidRPr="00B21CBF">
        <w:rPr>
          <w:lang w:val="en-US"/>
        </w:rPr>
        <w:t>: wage series</w:t>
      </w:r>
      <w:r w:rsidR="00FB4920" w:rsidRPr="00B21CBF">
        <w:rPr>
          <w:lang w:val="en-US"/>
        </w:rPr>
        <w:t xml:space="preserve"> from Wells (1983</w:t>
      </w:r>
      <w:r w:rsidR="003263D6">
        <w:rPr>
          <w:lang w:val="en-US"/>
        </w:rPr>
        <w:t>:</w:t>
      </w:r>
      <w:r w:rsidR="006F79A2" w:rsidRPr="00B21CBF">
        <w:rPr>
          <w:lang w:val="en-US"/>
        </w:rPr>
        <w:t xml:space="preserve"> Table 2, 303) for the third quartile of the earnings structure in Brazil’s manufacturing industry. </w:t>
      </w:r>
    </w:p>
    <w:p w:rsidR="006F79A2" w:rsidRPr="00B21CBF" w:rsidRDefault="00B126DD" w:rsidP="006F79A2">
      <w:pPr>
        <w:rPr>
          <w:lang w:val="en-US"/>
        </w:rPr>
      </w:pPr>
      <w:r>
        <w:rPr>
          <w:lang w:val="en-US"/>
        </w:rPr>
        <w:t>1952-68</w:t>
      </w:r>
      <w:r w:rsidR="006F79A2" w:rsidRPr="00B21CBF">
        <w:rPr>
          <w:lang w:val="en-US"/>
        </w:rPr>
        <w:t xml:space="preserve">: the mean industrial real earnings for blue collar workers in the State of Sao Paulo (Wells, </w:t>
      </w:r>
      <w:r w:rsidR="00FB4920" w:rsidRPr="00B21CBF">
        <w:rPr>
          <w:lang w:val="en-US"/>
        </w:rPr>
        <w:t>1983</w:t>
      </w:r>
      <w:r w:rsidR="003263D6">
        <w:rPr>
          <w:lang w:val="en-US"/>
        </w:rPr>
        <w:t>:</w:t>
      </w:r>
      <w:r w:rsidR="00AD15FA" w:rsidRPr="00B21CBF">
        <w:rPr>
          <w:lang w:val="en-US"/>
        </w:rPr>
        <w:t xml:space="preserve"> </w:t>
      </w:r>
      <w:r w:rsidR="006F79A2" w:rsidRPr="00B21CBF">
        <w:rPr>
          <w:lang w:val="en-US"/>
        </w:rPr>
        <w:t>Table 1, 299). There</w:t>
      </w:r>
      <w:r w:rsidR="00A5322B">
        <w:rPr>
          <w:lang w:val="en-US"/>
        </w:rPr>
        <w:t xml:space="preserve"> are missing values between1956 and </w:t>
      </w:r>
      <w:r w:rsidR="006F79A2" w:rsidRPr="00B21CBF">
        <w:rPr>
          <w:lang w:val="en-US"/>
        </w:rPr>
        <w:t>1961</w:t>
      </w:r>
      <w:r w:rsidR="00A5322B">
        <w:rPr>
          <w:lang w:val="en-US"/>
        </w:rPr>
        <w:t>. T</w:t>
      </w:r>
      <w:r w:rsidR="0013710E" w:rsidRPr="00B21CBF">
        <w:rPr>
          <w:lang w:val="en-US"/>
        </w:rPr>
        <w:t xml:space="preserve">he gap </w:t>
      </w:r>
      <w:r w:rsidR="00A5322B">
        <w:rPr>
          <w:lang w:val="en-US"/>
        </w:rPr>
        <w:t xml:space="preserve">is filled </w:t>
      </w:r>
      <w:r w:rsidR="0013710E" w:rsidRPr="00B21CBF">
        <w:rPr>
          <w:lang w:val="en-US"/>
        </w:rPr>
        <w:t xml:space="preserve">with pattern interpolation using </w:t>
      </w:r>
      <w:r w:rsidR="006F79A2" w:rsidRPr="00B21CBF">
        <w:rPr>
          <w:lang w:val="en-US"/>
        </w:rPr>
        <w:t>average hourly</w:t>
      </w:r>
      <w:r w:rsidR="00A5322B">
        <w:rPr>
          <w:lang w:val="en-US"/>
        </w:rPr>
        <w:t xml:space="preserve"> earnings in manufacturing (Mitchell, </w:t>
      </w:r>
      <w:r w:rsidR="006F79A2" w:rsidRPr="00B21CBF">
        <w:rPr>
          <w:lang w:val="en-US"/>
        </w:rPr>
        <w:t>2003)</w:t>
      </w:r>
      <w:r w:rsidR="0013710E" w:rsidRPr="00B21CBF">
        <w:rPr>
          <w:lang w:val="en-US"/>
        </w:rPr>
        <w:t xml:space="preserve"> as the auxiliary series</w:t>
      </w:r>
      <w:r w:rsidR="006F79A2" w:rsidRPr="00B21CBF">
        <w:rPr>
          <w:lang w:val="en-US"/>
        </w:rPr>
        <w:t>.</w:t>
      </w:r>
    </w:p>
    <w:p w:rsidR="006F79A2" w:rsidRPr="00B21CBF" w:rsidRDefault="006F79A2" w:rsidP="006F79A2">
      <w:pPr>
        <w:rPr>
          <w:lang w:val="en-US"/>
        </w:rPr>
      </w:pPr>
      <w:r w:rsidRPr="00B21CBF">
        <w:rPr>
          <w:lang w:val="en-US"/>
        </w:rPr>
        <w:t>1968-197</w:t>
      </w:r>
      <w:r w:rsidR="0007616A" w:rsidRPr="00B21CBF">
        <w:rPr>
          <w:lang w:val="en-US"/>
        </w:rPr>
        <w:t>3</w:t>
      </w:r>
      <w:r w:rsidRPr="00B21CBF">
        <w:rPr>
          <w:lang w:val="en-US"/>
        </w:rPr>
        <w:t>: average monthly real wage in manufacturing (cruceiros of 1970), national level, from PREALC</w:t>
      </w:r>
      <w:r w:rsidR="00EC0435">
        <w:rPr>
          <w:lang w:val="en-US"/>
        </w:rPr>
        <w:t xml:space="preserve"> (1982)</w:t>
      </w:r>
      <w:r w:rsidRPr="00B21CBF">
        <w:rPr>
          <w:lang w:val="en-US"/>
        </w:rPr>
        <w:t>.</w:t>
      </w:r>
    </w:p>
    <w:p w:rsidR="006F79A2" w:rsidRPr="00B21CBF" w:rsidRDefault="00DF15B4" w:rsidP="006F79A2">
      <w:pPr>
        <w:rPr>
          <w:lang w:val="en-US"/>
        </w:rPr>
      </w:pPr>
      <w:r w:rsidRPr="00B21CBF">
        <w:rPr>
          <w:lang w:val="en-US"/>
        </w:rPr>
        <w:t>*</w:t>
      </w:r>
      <w:r w:rsidR="006F79A2" w:rsidRPr="00B21CBF">
        <w:rPr>
          <w:lang w:val="en-US"/>
        </w:rPr>
        <w:t>1973 (</w:t>
      </w:r>
      <w:r w:rsidR="00FB62F1" w:rsidRPr="00B21CBF">
        <w:rPr>
          <w:lang w:val="en-US"/>
        </w:rPr>
        <w:t>in levels, circa values</w:t>
      </w:r>
      <w:r w:rsidR="004F0FBF">
        <w:rPr>
          <w:lang w:val="en-US"/>
        </w:rPr>
        <w:t xml:space="preserve">): monthly average </w:t>
      </w:r>
      <w:r w:rsidR="006F79A2" w:rsidRPr="00B21CBF">
        <w:rPr>
          <w:lang w:val="en-US"/>
        </w:rPr>
        <w:t>salary for bank tellers and clerks (stock record) from ILO</w:t>
      </w:r>
      <w:r w:rsidR="00FB62F1" w:rsidRPr="00B21CBF">
        <w:rPr>
          <w:lang w:val="en-US"/>
        </w:rPr>
        <w:t>/OI2.</w:t>
      </w:r>
      <w:r w:rsidR="00AD15FA" w:rsidRPr="00B21CBF">
        <w:rPr>
          <w:lang w:val="en-US"/>
        </w:rPr>
        <w:t xml:space="preserve"> </w:t>
      </w:r>
    </w:p>
    <w:p w:rsidR="0028474A" w:rsidRPr="00B21CBF" w:rsidRDefault="0007616A" w:rsidP="006F79A2">
      <w:pPr>
        <w:rPr>
          <w:lang w:val="en-US"/>
        </w:rPr>
      </w:pPr>
      <w:r w:rsidRPr="00B21CBF">
        <w:rPr>
          <w:lang w:val="en-US"/>
        </w:rPr>
        <w:t>1973</w:t>
      </w:r>
      <w:r w:rsidR="0028474A" w:rsidRPr="00B21CBF">
        <w:rPr>
          <w:lang w:val="en-US"/>
        </w:rPr>
        <w:t>-1979: average monthly real wage in manufacturing (cruceiros of 1970), national level, from PREALC</w:t>
      </w:r>
      <w:r w:rsidR="00EC0435">
        <w:rPr>
          <w:lang w:val="en-US"/>
        </w:rPr>
        <w:t xml:space="preserve"> (1982)</w:t>
      </w:r>
      <w:r w:rsidR="0028474A" w:rsidRPr="00B21CBF">
        <w:rPr>
          <w:lang w:val="en-US"/>
        </w:rPr>
        <w:t>.</w:t>
      </w:r>
    </w:p>
    <w:p w:rsidR="00C20830" w:rsidRPr="00B21CBF" w:rsidRDefault="00B126DD" w:rsidP="006F79A2">
      <w:pPr>
        <w:rPr>
          <w:lang w:val="en-US"/>
        </w:rPr>
      </w:pPr>
      <w:r>
        <w:rPr>
          <w:lang w:val="en-US"/>
        </w:rPr>
        <w:t>1979</w:t>
      </w:r>
      <w:r w:rsidR="00C20830" w:rsidRPr="00B21CBF">
        <w:rPr>
          <w:lang w:val="en-US"/>
        </w:rPr>
        <w:t xml:space="preserve">-1990: the average nominal wage in manufacturing, São Paulo region, sourced from </w:t>
      </w:r>
      <w:r w:rsidR="00C20830" w:rsidRPr="00B21CBF">
        <w:rPr>
          <w:i/>
          <w:lang w:val="en-US"/>
        </w:rPr>
        <w:t>Federação e Centro das Indústrias do Estado de São Paulo</w:t>
      </w:r>
      <w:r w:rsidR="00EC0435">
        <w:rPr>
          <w:lang w:val="en-US"/>
        </w:rPr>
        <w:t xml:space="preserve"> in </w:t>
      </w:r>
      <w:r w:rsidR="00AD5DB4" w:rsidRPr="00B21CBF">
        <w:rPr>
          <w:lang w:val="en-US"/>
        </w:rPr>
        <w:t>IPEA</w:t>
      </w:r>
      <w:r w:rsidR="00EC0435">
        <w:rPr>
          <w:lang w:val="en-US"/>
        </w:rPr>
        <w:t>data</w:t>
      </w:r>
      <w:r w:rsidR="00C20830" w:rsidRPr="00B21CBF">
        <w:rPr>
          <w:lang w:val="en-US"/>
        </w:rPr>
        <w:t>.</w:t>
      </w:r>
    </w:p>
    <w:p w:rsidR="006F79A2" w:rsidRPr="00B21CBF" w:rsidRDefault="00B126DD" w:rsidP="006F79A2">
      <w:pPr>
        <w:rPr>
          <w:lang w:val="en-US"/>
        </w:rPr>
      </w:pPr>
      <w:r>
        <w:rPr>
          <w:lang w:val="en-US"/>
        </w:rPr>
        <w:t>1990</w:t>
      </w:r>
      <w:r w:rsidR="00654722" w:rsidRPr="00B21CBF">
        <w:rPr>
          <w:lang w:val="en-US"/>
        </w:rPr>
        <w:t>-2011</w:t>
      </w:r>
      <w:r w:rsidR="006F79A2" w:rsidRPr="00B21CBF">
        <w:rPr>
          <w:lang w:val="en-US"/>
        </w:rPr>
        <w:t xml:space="preserve">: </w:t>
      </w:r>
      <w:r w:rsidR="008B68A9" w:rsidRPr="00B21CBF">
        <w:rPr>
          <w:lang w:val="en-US"/>
        </w:rPr>
        <w:t xml:space="preserve">a simple average of two </w:t>
      </w:r>
      <w:r w:rsidR="007858DC" w:rsidRPr="00B21CBF">
        <w:rPr>
          <w:lang w:val="en-US"/>
        </w:rPr>
        <w:t xml:space="preserve">ECLAC </w:t>
      </w:r>
      <w:r w:rsidR="007B19B7" w:rsidRPr="00B21CBF">
        <w:rPr>
          <w:lang w:val="en-US"/>
        </w:rPr>
        <w:t>series:</w:t>
      </w:r>
      <w:r w:rsidR="008B68A9" w:rsidRPr="00B21CBF">
        <w:rPr>
          <w:lang w:val="en-US"/>
        </w:rPr>
        <w:t xml:space="preserve"> the </w:t>
      </w:r>
      <w:r w:rsidR="006F79A2" w:rsidRPr="00B21CBF">
        <w:rPr>
          <w:lang w:val="en-US"/>
        </w:rPr>
        <w:t xml:space="preserve">average </w:t>
      </w:r>
      <w:r w:rsidR="007858DC" w:rsidRPr="00B21CBF">
        <w:rPr>
          <w:lang w:val="en-US"/>
        </w:rPr>
        <w:t>real</w:t>
      </w:r>
      <w:r w:rsidR="006F79A2" w:rsidRPr="00B21CBF">
        <w:rPr>
          <w:lang w:val="en-US"/>
        </w:rPr>
        <w:t xml:space="preserve"> wage in </w:t>
      </w:r>
      <w:r w:rsidR="007B19B7" w:rsidRPr="00B21CBF">
        <w:rPr>
          <w:lang w:val="en-US"/>
        </w:rPr>
        <w:t>manufacturing and</w:t>
      </w:r>
      <w:r w:rsidR="008B68A9" w:rsidRPr="00B21CBF">
        <w:rPr>
          <w:lang w:val="en-US"/>
        </w:rPr>
        <w:t xml:space="preserve"> the overall average real wage.</w:t>
      </w:r>
    </w:p>
    <w:p w:rsidR="006F79A2" w:rsidRPr="00B21CBF" w:rsidRDefault="006F79A2" w:rsidP="006F79A2">
      <w:pPr>
        <w:rPr>
          <w:lang w:val="en-US"/>
        </w:rPr>
      </w:pPr>
    </w:p>
    <w:p w:rsidR="006F79A2" w:rsidRPr="00B21CBF" w:rsidRDefault="006F79A2" w:rsidP="006F79A2">
      <w:pPr>
        <w:rPr>
          <w:lang w:val="en-US"/>
        </w:rPr>
      </w:pPr>
      <w:r w:rsidRPr="00B21CBF">
        <w:rPr>
          <w:i/>
          <w:lang w:val="en-US"/>
        </w:rPr>
        <w:t>Deflators</w:t>
      </w:r>
      <w:r w:rsidRPr="00B21CBF">
        <w:rPr>
          <w:lang w:val="en-US"/>
        </w:rPr>
        <w:t>:</w:t>
      </w:r>
    </w:p>
    <w:p w:rsidR="006F79A2" w:rsidRPr="00B21CBF" w:rsidRDefault="006F79A2" w:rsidP="006F79A2">
      <w:r w:rsidRPr="00B21CBF">
        <w:rPr>
          <w:lang w:val="en-US"/>
        </w:rPr>
        <w:t xml:space="preserve">1900-1913: whole sale price index from Catão (1992). </w:t>
      </w:r>
    </w:p>
    <w:p w:rsidR="006F79A2" w:rsidRPr="00B21CBF" w:rsidRDefault="00DB56A1" w:rsidP="006F79A2">
      <w:pPr>
        <w:rPr>
          <w:lang w:val="en-US"/>
        </w:rPr>
      </w:pPr>
      <w:r w:rsidRPr="00B21CBF">
        <w:t xml:space="preserve">1913-1970: </w:t>
      </w:r>
      <w:r w:rsidR="006F79A2" w:rsidRPr="00B21CBF">
        <w:t xml:space="preserve">CPI for Rio de Janeiro available in Abreu et al. </w:t>
      </w:r>
      <w:r w:rsidR="006F79A2" w:rsidRPr="00B21CBF">
        <w:rPr>
          <w:lang w:val="en-US"/>
        </w:rPr>
        <w:t xml:space="preserve">(1990). </w:t>
      </w:r>
    </w:p>
    <w:p w:rsidR="00DB56A1" w:rsidRPr="00B21CBF" w:rsidRDefault="006F79A2" w:rsidP="006F79A2">
      <w:pPr>
        <w:rPr>
          <w:lang w:val="en-US"/>
        </w:rPr>
      </w:pPr>
      <w:r w:rsidRPr="00B21CBF">
        <w:rPr>
          <w:lang w:val="en-US"/>
        </w:rPr>
        <w:t>1970-1996</w:t>
      </w:r>
      <w:r w:rsidR="00DB56A1" w:rsidRPr="00B21CBF">
        <w:rPr>
          <w:lang w:val="en-US"/>
        </w:rPr>
        <w:t>:</w:t>
      </w:r>
      <w:r w:rsidRPr="00B21CBF">
        <w:rPr>
          <w:lang w:val="en-US"/>
        </w:rPr>
        <w:t xml:space="preserve"> im</w:t>
      </w:r>
      <w:r w:rsidR="006008C0">
        <w:rPr>
          <w:lang w:val="en-US"/>
        </w:rPr>
        <w:t>plicit GDP deflator from</w:t>
      </w:r>
      <w:r w:rsidRPr="00B21CBF">
        <w:rPr>
          <w:lang w:val="en-US"/>
        </w:rPr>
        <w:t xml:space="preserve"> IBGE</w:t>
      </w:r>
      <w:r w:rsidR="006008C0">
        <w:rPr>
          <w:lang w:val="en-US"/>
        </w:rPr>
        <w:t xml:space="preserve"> website</w:t>
      </w:r>
      <w:r w:rsidRPr="00B21CBF">
        <w:rPr>
          <w:lang w:val="en-US"/>
        </w:rPr>
        <w:t xml:space="preserve">. </w:t>
      </w:r>
    </w:p>
    <w:p w:rsidR="006F79A2" w:rsidRPr="00B21CBF" w:rsidRDefault="00DB56A1" w:rsidP="006F79A2">
      <w:r w:rsidRPr="00B21CBF">
        <w:t xml:space="preserve">1996-2011: </w:t>
      </w:r>
      <w:r w:rsidR="006F79A2" w:rsidRPr="00B21CBF">
        <w:t>CPI (</w:t>
      </w:r>
      <w:r w:rsidR="006F79A2" w:rsidRPr="00B21CBF">
        <w:rPr>
          <w:i/>
        </w:rPr>
        <w:t>IPA ampliado</w:t>
      </w:r>
      <w:r w:rsidR="006F79A2" w:rsidRPr="00B21CBF">
        <w:t>) from IBEG</w:t>
      </w:r>
      <w:r w:rsidR="006008C0">
        <w:t xml:space="preserve"> website</w:t>
      </w:r>
      <w:r w:rsidR="006F79A2" w:rsidRPr="00B21CBF">
        <w:t>.</w:t>
      </w:r>
    </w:p>
    <w:p w:rsidR="001D149A" w:rsidRDefault="001D149A" w:rsidP="00F41D01">
      <w:pPr>
        <w:spacing w:before="100"/>
        <w:rPr>
          <w:b/>
          <w:sz w:val="26"/>
          <w:szCs w:val="26"/>
        </w:rPr>
      </w:pPr>
    </w:p>
    <w:p w:rsidR="009B5C85" w:rsidRPr="00F41D01" w:rsidRDefault="009B5C85" w:rsidP="00F41D01">
      <w:pPr>
        <w:spacing w:before="100"/>
        <w:rPr>
          <w:b/>
          <w:sz w:val="26"/>
          <w:szCs w:val="26"/>
        </w:rPr>
      </w:pPr>
      <w:r w:rsidRPr="00F41D01">
        <w:rPr>
          <w:b/>
          <w:sz w:val="26"/>
          <w:szCs w:val="26"/>
        </w:rPr>
        <w:t xml:space="preserve">Chile </w:t>
      </w:r>
    </w:p>
    <w:p w:rsidR="00DA263B" w:rsidRPr="00B21CBF" w:rsidRDefault="00DA263B" w:rsidP="00F41D01">
      <w:pPr>
        <w:spacing w:before="100"/>
        <w:rPr>
          <w:i/>
        </w:rPr>
      </w:pPr>
      <w:r w:rsidRPr="00B21CBF">
        <w:rPr>
          <w:i/>
        </w:rPr>
        <w:t>Unskilled wages (w</w:t>
      </w:r>
      <w:r w:rsidRPr="00B21CBF">
        <w:rPr>
          <w:i/>
          <w:vertAlign w:val="subscript"/>
        </w:rPr>
        <w:t>4</w:t>
      </w:r>
      <w:r w:rsidRPr="00B21CBF">
        <w:rPr>
          <w:i/>
        </w:rPr>
        <w:t xml:space="preserve">): </w:t>
      </w:r>
    </w:p>
    <w:p w:rsidR="00C40831" w:rsidRPr="00B21CBF" w:rsidRDefault="00CF69AC" w:rsidP="00F41D01">
      <w:r w:rsidRPr="00B21CBF">
        <w:t>1900-29</w:t>
      </w:r>
      <w:r w:rsidR="00C40831" w:rsidRPr="00B21CBF">
        <w:t xml:space="preserve">: </w:t>
      </w:r>
      <w:r w:rsidR="00767631" w:rsidRPr="00B21CBF">
        <w:t>g</w:t>
      </w:r>
      <w:r w:rsidR="001A146B" w:rsidRPr="00B21CBF">
        <w:t xml:space="preserve">rowth in line with a wage index that combines two series (using equal weights): daily real wage for unskilled </w:t>
      </w:r>
      <w:r w:rsidRPr="00B21CBF">
        <w:t xml:space="preserve">rural </w:t>
      </w:r>
      <w:r w:rsidR="001A146B" w:rsidRPr="00B21CBF">
        <w:t>worker</w:t>
      </w:r>
      <w:r w:rsidRPr="00B21CBF">
        <w:t>s</w:t>
      </w:r>
      <w:r w:rsidR="001A146B" w:rsidRPr="00B21CBF">
        <w:t xml:space="preserve"> (</w:t>
      </w:r>
      <w:r w:rsidR="001A146B" w:rsidRPr="00B21CBF">
        <w:rPr>
          <w:i/>
        </w:rPr>
        <w:t>jornal del peon rural real</w:t>
      </w:r>
      <w:r w:rsidR="001A146B" w:rsidRPr="00B21CBF">
        <w:t>) at 1913 prices sourced from Matus (2009, Anexo 8, deflated by the author</w:t>
      </w:r>
      <w:r w:rsidR="005421FD" w:rsidRPr="00B21CBF">
        <w:t>’</w:t>
      </w:r>
      <w:r w:rsidR="001A146B" w:rsidRPr="00B21CBF">
        <w:t>s price index</w:t>
      </w:r>
      <w:r w:rsidR="00940FEB" w:rsidRPr="00B21CBF">
        <w:t xml:space="preserve"> in Table 20</w:t>
      </w:r>
      <w:r w:rsidR="001A146B" w:rsidRPr="00B21CBF">
        <w:t>); and annual salari</w:t>
      </w:r>
      <w:r w:rsidR="002B1902" w:rsidRPr="00B21CBF">
        <w:t xml:space="preserve">es for unskilled urban workers </w:t>
      </w:r>
      <w:r w:rsidR="001A146B" w:rsidRPr="00B21CBF">
        <w:t xml:space="preserve">in escudos </w:t>
      </w:r>
      <w:r w:rsidR="002B1902" w:rsidRPr="00B21CBF">
        <w:t xml:space="preserve">of 1960 </w:t>
      </w:r>
      <w:r w:rsidR="00953514" w:rsidRPr="00B21CBF">
        <w:t xml:space="preserve">from </w:t>
      </w:r>
      <w:r w:rsidR="007E56A8">
        <w:t>Rodriguéz</w:t>
      </w:r>
      <w:r w:rsidR="00953514" w:rsidRPr="00B21CBF">
        <w:t xml:space="preserve"> </w:t>
      </w:r>
      <w:r w:rsidR="001A146B" w:rsidRPr="00B21CBF">
        <w:t>Weber (2014).</w:t>
      </w:r>
      <w:r w:rsidR="00767631" w:rsidRPr="00B21CBF">
        <w:t xml:space="preserve"> </w:t>
      </w:r>
      <w:r w:rsidR="003D16D4" w:rsidRPr="00B21CBF">
        <w:t>During</w:t>
      </w:r>
      <w:r w:rsidRPr="00B21CBF">
        <w:t xml:space="preserve"> 1927-1929 the rural wage is </w:t>
      </w:r>
      <w:r w:rsidR="00C40831" w:rsidRPr="00B21CBF">
        <w:t>estimated based on the average ratio in 1925-26 of daily wages of unskilled workers in agriculture to those in mining in Matus (2009). This ratio is applied to the data on unskilled wages in mining available in Matus (2009).</w:t>
      </w:r>
    </w:p>
    <w:p w:rsidR="00C40831" w:rsidRPr="00B21CBF" w:rsidRDefault="00C31010" w:rsidP="00C40831">
      <w:r>
        <w:t>1929</w:t>
      </w:r>
      <w:r w:rsidR="0007616A" w:rsidRPr="00B21CBF">
        <w:t>-1965</w:t>
      </w:r>
      <w:r w:rsidR="00C40831" w:rsidRPr="00B21CBF">
        <w:t xml:space="preserve">: </w:t>
      </w:r>
      <w:r w:rsidR="007D58DC" w:rsidRPr="00B21CBF">
        <w:t xml:space="preserve">simple average of annual </w:t>
      </w:r>
      <w:r w:rsidR="007D58DC" w:rsidRPr="005806BF">
        <w:t>average earnings of workers in agriculture and urban unskilled worker</w:t>
      </w:r>
      <w:r w:rsidR="009E1F4A" w:rsidRPr="005806BF">
        <w:t>s</w:t>
      </w:r>
      <w:r w:rsidR="007D58DC" w:rsidRPr="005806BF">
        <w:t>. Both series in</w:t>
      </w:r>
      <w:r w:rsidR="00C40831" w:rsidRPr="005806BF">
        <w:t xml:space="preserve"> </w:t>
      </w:r>
      <w:r w:rsidR="007D58DC" w:rsidRPr="005806BF">
        <w:t>escudos of 1960 sourced from</w:t>
      </w:r>
      <w:r w:rsidR="00953514" w:rsidRPr="005806BF">
        <w:t xml:space="preserve"> </w:t>
      </w:r>
      <w:r w:rsidR="007E56A8" w:rsidRPr="005806BF">
        <w:t>Rodriguéz</w:t>
      </w:r>
      <w:r w:rsidR="00953514" w:rsidRPr="005806BF">
        <w:t xml:space="preserve"> </w:t>
      </w:r>
      <w:r w:rsidR="00C40831" w:rsidRPr="005806BF">
        <w:t>Weber (2014).</w:t>
      </w:r>
      <w:r w:rsidR="007D58DC" w:rsidRPr="005806BF">
        <w:t xml:space="preserve"> The </w:t>
      </w:r>
      <w:r w:rsidR="005A1B2C" w:rsidRPr="005806BF">
        <w:t xml:space="preserve">assumption of given </w:t>
      </w:r>
      <w:r w:rsidR="007D58DC" w:rsidRPr="005806BF">
        <w:t>equal weights</w:t>
      </w:r>
      <w:r w:rsidR="005A1B2C" w:rsidRPr="005806BF">
        <w:t xml:space="preserve"> to both series</w:t>
      </w:r>
      <w:r w:rsidR="007D58DC" w:rsidRPr="005806BF">
        <w:t xml:space="preserve"> </w:t>
      </w:r>
      <w:r w:rsidR="00CF4936" w:rsidRPr="005806BF">
        <w:t>reflect</w:t>
      </w:r>
      <w:r w:rsidR="00064B1B">
        <w:t>s</w:t>
      </w:r>
      <w:r w:rsidR="00953514" w:rsidRPr="005806BF">
        <w:t xml:space="preserve"> an urbanisation rate in the 50%-60% range </w:t>
      </w:r>
      <w:r w:rsidR="007D58DC" w:rsidRPr="005806BF">
        <w:t>during the period.</w:t>
      </w:r>
    </w:p>
    <w:p w:rsidR="00C40831" w:rsidRPr="00B21CBF" w:rsidRDefault="00953514" w:rsidP="00C40831">
      <w:r w:rsidRPr="00B21CBF">
        <w:t>*</w:t>
      </w:r>
      <w:r w:rsidR="00C40831" w:rsidRPr="00B21CBF">
        <w:t>1965-80</w:t>
      </w:r>
      <w:r w:rsidR="007948D1" w:rsidRPr="00B21CBF">
        <w:t xml:space="preserve"> (in levels)</w:t>
      </w:r>
      <w:r w:rsidR="00C40831" w:rsidRPr="00B21CBF">
        <w:t xml:space="preserve">: </w:t>
      </w:r>
      <w:r w:rsidR="00E05482" w:rsidRPr="00B21CBF">
        <w:rPr>
          <w:lang w:val="en-US"/>
        </w:rPr>
        <w:t>weighted average of the real wage for the unskilled worker in agriculture (minimum wage) and the minimum urban real wage</w:t>
      </w:r>
      <w:r w:rsidR="003D7B80" w:rsidRPr="00B21CBF">
        <w:rPr>
          <w:lang w:val="en-US"/>
        </w:rPr>
        <w:t xml:space="preserve"> (</w:t>
      </w:r>
      <w:r w:rsidR="003D7B80" w:rsidRPr="00B21CBF">
        <w:rPr>
          <w:i/>
          <w:lang w:val="en-US"/>
        </w:rPr>
        <w:t>mínimo urbano vital</w:t>
      </w:r>
      <w:r w:rsidR="003D7B80" w:rsidRPr="00B21CBF">
        <w:rPr>
          <w:lang w:val="en-US"/>
        </w:rPr>
        <w:t>)</w:t>
      </w:r>
      <w:r w:rsidR="00E05482" w:rsidRPr="00B21CBF">
        <w:rPr>
          <w:lang w:val="en-US"/>
        </w:rPr>
        <w:t>. Both are monthly series in pesos of 1970 from PREALC</w:t>
      </w:r>
      <w:r w:rsidR="005A1B2C">
        <w:rPr>
          <w:lang w:val="en-US"/>
        </w:rPr>
        <w:t xml:space="preserve"> (1982)</w:t>
      </w:r>
      <w:r w:rsidR="00E05482" w:rsidRPr="00B21CBF">
        <w:rPr>
          <w:lang w:val="en-US"/>
        </w:rPr>
        <w:t>.</w:t>
      </w:r>
      <w:r w:rsidR="009D0F9C" w:rsidRPr="00B21CBF">
        <w:rPr>
          <w:lang w:val="en-US"/>
        </w:rPr>
        <w:t xml:space="preserve"> The weight for </w:t>
      </w:r>
      <w:r w:rsidR="004F2FC7">
        <w:rPr>
          <w:i/>
          <w:lang w:val="en-US"/>
        </w:rPr>
        <w:t>RU%</w:t>
      </w:r>
      <w:r w:rsidR="009D0F9C" w:rsidRPr="00B21CBF">
        <w:rPr>
          <w:lang w:val="en-US"/>
        </w:rPr>
        <w:t xml:space="preserve"> </w:t>
      </w:r>
      <w:r w:rsidR="005A1B2C">
        <w:rPr>
          <w:lang w:val="en-US"/>
        </w:rPr>
        <w:t>in</w:t>
      </w:r>
      <w:r w:rsidR="009D0F9C" w:rsidRPr="00B21CBF">
        <w:rPr>
          <w:lang w:val="en-US"/>
        </w:rPr>
        <w:t xml:space="preserve"> 1970 = 0.46.</w:t>
      </w:r>
    </w:p>
    <w:p w:rsidR="00C40831" w:rsidRPr="00B21CBF" w:rsidRDefault="00C40831" w:rsidP="00C40831">
      <w:pPr>
        <w:rPr>
          <w:highlight w:val="yellow"/>
        </w:rPr>
      </w:pPr>
      <w:r w:rsidRPr="00B21CBF">
        <w:t>1980-1993: annual earnings of unskilled urban worker</w:t>
      </w:r>
      <w:r w:rsidR="002B1902" w:rsidRPr="00B21CBF">
        <w:t xml:space="preserve"> in </w:t>
      </w:r>
      <w:r w:rsidR="00953514" w:rsidRPr="00B21CBF">
        <w:t>escudos o</w:t>
      </w:r>
      <w:r w:rsidR="002B1902" w:rsidRPr="00B21CBF">
        <w:t>f 1960 from</w:t>
      </w:r>
      <w:r w:rsidR="00953514" w:rsidRPr="00B21CBF">
        <w:t xml:space="preserve"> </w:t>
      </w:r>
      <w:r w:rsidR="007E56A8">
        <w:t>Rodriguéz</w:t>
      </w:r>
      <w:r w:rsidR="00953514" w:rsidRPr="00B21CBF">
        <w:t xml:space="preserve"> </w:t>
      </w:r>
      <w:r w:rsidR="005A1B2C">
        <w:t>Weber (2014:</w:t>
      </w:r>
      <w:r w:rsidRPr="00B21CBF">
        <w:t xml:space="preserve"> Table AE8).</w:t>
      </w:r>
    </w:p>
    <w:p w:rsidR="00C40831" w:rsidRPr="00B21CBF" w:rsidRDefault="00C40831" w:rsidP="00C40831">
      <w:pPr>
        <w:rPr>
          <w:lang w:val="en-US"/>
        </w:rPr>
      </w:pPr>
      <w:r w:rsidRPr="00B21CBF">
        <w:rPr>
          <w:lang w:val="en-US"/>
        </w:rPr>
        <w:t>1993-2009: INE nominal wages for unskilled workers</w:t>
      </w:r>
    </w:p>
    <w:p w:rsidR="00C40831" w:rsidRPr="00B21CBF" w:rsidRDefault="00C31010" w:rsidP="00C40831">
      <w:pPr>
        <w:rPr>
          <w:lang w:val="en-US"/>
        </w:rPr>
      </w:pPr>
      <w:r>
        <w:rPr>
          <w:lang w:val="en-US"/>
        </w:rPr>
        <w:t>2009</w:t>
      </w:r>
      <w:r w:rsidR="00C40831" w:rsidRPr="00B21CBF">
        <w:rPr>
          <w:lang w:val="en-US"/>
        </w:rPr>
        <w:t>-2011: real minimum wage</w:t>
      </w:r>
      <w:r w:rsidR="00A071AD" w:rsidRPr="00A071AD">
        <w:rPr>
          <w:lang w:val="en-US"/>
        </w:rPr>
        <w:t xml:space="preserve"> </w:t>
      </w:r>
      <w:r w:rsidR="00A071AD">
        <w:rPr>
          <w:lang w:val="en-US"/>
        </w:rPr>
        <w:t xml:space="preserve">from </w:t>
      </w:r>
      <w:r w:rsidR="00A071AD" w:rsidRPr="00B21CBF">
        <w:rPr>
          <w:lang w:val="en-US"/>
        </w:rPr>
        <w:t>ECLAC</w:t>
      </w:r>
      <w:r w:rsidR="00A071AD">
        <w:rPr>
          <w:lang w:val="en-US"/>
        </w:rPr>
        <w:t xml:space="preserve"> website</w:t>
      </w:r>
      <w:r w:rsidR="00C40831" w:rsidRPr="00B21CBF">
        <w:rPr>
          <w:lang w:val="en-US"/>
        </w:rPr>
        <w:t>.</w:t>
      </w:r>
    </w:p>
    <w:p w:rsidR="00C40831" w:rsidRPr="00B21CBF" w:rsidRDefault="00C40831" w:rsidP="00C40831">
      <w:pPr>
        <w:rPr>
          <w:lang w:val="en-US"/>
        </w:rPr>
      </w:pPr>
    </w:p>
    <w:p w:rsidR="00DA263B" w:rsidRPr="00B21CBF" w:rsidRDefault="00DA263B" w:rsidP="00DA263B">
      <w:pPr>
        <w:rPr>
          <w:i/>
          <w:lang w:val="en-US"/>
        </w:rPr>
      </w:pPr>
      <w:r w:rsidRPr="00B21CBF">
        <w:rPr>
          <w:i/>
          <w:lang w:val="en-US"/>
        </w:rPr>
        <w:t>Semi-skilled wages (</w:t>
      </w:r>
      <w:r w:rsidRPr="00B21CBF">
        <w:rPr>
          <w:i/>
        </w:rPr>
        <w:t>w</w:t>
      </w:r>
      <w:r w:rsidRPr="00B21CBF">
        <w:rPr>
          <w:i/>
          <w:vertAlign w:val="subscript"/>
        </w:rPr>
        <w:t>3</w:t>
      </w:r>
      <w:r w:rsidRPr="00B21CBF">
        <w:rPr>
          <w:i/>
        </w:rPr>
        <w:t>)</w:t>
      </w:r>
      <w:r w:rsidRPr="00B21CBF">
        <w:rPr>
          <w:i/>
          <w:lang w:val="en-US"/>
        </w:rPr>
        <w:t>:</w:t>
      </w:r>
    </w:p>
    <w:p w:rsidR="00C40831" w:rsidRPr="00B21CBF" w:rsidRDefault="00C40831" w:rsidP="00C40831">
      <w:pPr>
        <w:rPr>
          <w:lang w:val="en-US"/>
        </w:rPr>
      </w:pPr>
      <w:r w:rsidRPr="00B21CBF">
        <w:rPr>
          <w:lang w:val="en-US"/>
        </w:rPr>
        <w:t xml:space="preserve">1900-1930: average real wage </w:t>
      </w:r>
      <w:r w:rsidR="00870407" w:rsidRPr="00B21CBF">
        <w:rPr>
          <w:lang w:val="en-US"/>
        </w:rPr>
        <w:t>(</w:t>
      </w:r>
      <w:r w:rsidR="00870407" w:rsidRPr="00B21CBF">
        <w:rPr>
          <w:i/>
          <w:lang w:val="en-US"/>
        </w:rPr>
        <w:t>me</w:t>
      </w:r>
      <w:r w:rsidR="000E0FEA">
        <w:rPr>
          <w:i/>
          <w:lang w:val="en-US"/>
        </w:rPr>
        <w:t>dia ponderada de rubros medios plus</w:t>
      </w:r>
      <w:r w:rsidR="00870407" w:rsidRPr="00B21CBF">
        <w:rPr>
          <w:i/>
          <w:lang w:val="en-US"/>
        </w:rPr>
        <w:t xml:space="preserve"> extensos</w:t>
      </w:r>
      <w:r w:rsidR="00870407" w:rsidRPr="00B21CBF">
        <w:rPr>
          <w:lang w:val="en-US"/>
        </w:rPr>
        <w:t>)</w:t>
      </w:r>
      <w:r w:rsidR="00076BCF" w:rsidRPr="00B21CBF">
        <w:rPr>
          <w:lang w:val="en-US"/>
        </w:rPr>
        <w:t xml:space="preserve"> at 1913 prices </w:t>
      </w:r>
      <w:r w:rsidRPr="00B21CBF">
        <w:rPr>
          <w:lang w:val="en-US"/>
        </w:rPr>
        <w:t xml:space="preserve">from </w:t>
      </w:r>
      <w:r w:rsidR="00870407" w:rsidRPr="00B21CBF">
        <w:t>Matus (200</w:t>
      </w:r>
      <w:r w:rsidR="005A1B2C">
        <w:t>9:</w:t>
      </w:r>
      <w:r w:rsidR="00870407" w:rsidRPr="00B21CBF">
        <w:t xml:space="preserve"> Anexo 8 - deflated by the author</w:t>
      </w:r>
      <w:r w:rsidR="005421FD" w:rsidRPr="00B21CBF">
        <w:t>’</w:t>
      </w:r>
      <w:r w:rsidR="00870407" w:rsidRPr="00B21CBF">
        <w:t>s price index in Table 20</w:t>
      </w:r>
      <w:r w:rsidRPr="00B21CBF">
        <w:t>)</w:t>
      </w:r>
      <w:r w:rsidRPr="00B21CBF">
        <w:rPr>
          <w:lang w:val="en-US"/>
        </w:rPr>
        <w:t>.</w:t>
      </w:r>
      <w:r w:rsidR="00DF4D60" w:rsidRPr="00B21CBF">
        <w:rPr>
          <w:lang w:val="en-US"/>
        </w:rPr>
        <w:t xml:space="preserve"> To complete the series from 1927 up to 1930 I use an average real wage three sectors (food, textiles, and construction) from the same author.</w:t>
      </w:r>
    </w:p>
    <w:p w:rsidR="00DC57B2" w:rsidRPr="00B21CBF" w:rsidRDefault="00622B55" w:rsidP="00C40831">
      <w:r>
        <w:rPr>
          <w:lang w:val="en-US"/>
        </w:rPr>
        <w:t>1930</w:t>
      </w:r>
      <w:r w:rsidR="00077711">
        <w:rPr>
          <w:lang w:val="en-US"/>
        </w:rPr>
        <w:t>-37</w:t>
      </w:r>
      <w:r w:rsidR="00C40831" w:rsidRPr="00B21CBF">
        <w:rPr>
          <w:lang w:val="en-US"/>
        </w:rPr>
        <w:t xml:space="preserve">: </w:t>
      </w:r>
      <w:r w:rsidR="00DC57B2" w:rsidRPr="00B21CBF">
        <w:t>annual salari</w:t>
      </w:r>
      <w:r w:rsidR="002B1902" w:rsidRPr="00B21CBF">
        <w:t>es for unskilled urban workers in escudos of 1960</w:t>
      </w:r>
      <w:r w:rsidR="00DC57B2" w:rsidRPr="00B21CBF">
        <w:t xml:space="preserve"> sourced from </w:t>
      </w:r>
      <w:r w:rsidR="007E56A8">
        <w:t>Rodríguez</w:t>
      </w:r>
      <w:r w:rsidR="00AA389D" w:rsidRPr="00B21CBF">
        <w:t xml:space="preserve"> </w:t>
      </w:r>
      <w:r w:rsidR="00DC57B2" w:rsidRPr="00B21CBF">
        <w:t>Weber (2014)</w:t>
      </w:r>
      <w:r w:rsidR="00413D11" w:rsidRPr="00B21CBF">
        <w:t xml:space="preserve">. </w:t>
      </w:r>
      <w:r w:rsidR="00AA389D" w:rsidRPr="00B21CBF">
        <w:t>This</w:t>
      </w:r>
      <w:r w:rsidR="00413D11" w:rsidRPr="00B21CBF">
        <w:t xml:space="preserve"> assumes that semi-skilled wages grew </w:t>
      </w:r>
      <w:r w:rsidR="00E14316" w:rsidRPr="00B21CBF">
        <w:t>at rates similar to those of</w:t>
      </w:r>
      <w:r w:rsidR="00413D11" w:rsidRPr="00B21CBF">
        <w:t xml:space="preserve"> unskilled urban wages</w:t>
      </w:r>
      <w:r w:rsidR="00AB531B" w:rsidRPr="00AB531B">
        <w:t xml:space="preserve"> </w:t>
      </w:r>
      <w:r w:rsidR="00AB531B" w:rsidRPr="00B21CBF">
        <w:t>during the period</w:t>
      </w:r>
      <w:r w:rsidR="00413D11" w:rsidRPr="00B21CBF">
        <w:t>.</w:t>
      </w:r>
    </w:p>
    <w:p w:rsidR="00C40831" w:rsidRPr="00B21CBF" w:rsidRDefault="00AA389D" w:rsidP="00C40831">
      <w:pPr>
        <w:rPr>
          <w:lang w:val="en-US"/>
        </w:rPr>
      </w:pPr>
      <w:r w:rsidRPr="00B21CBF">
        <w:rPr>
          <w:lang w:val="en-US"/>
        </w:rPr>
        <w:t>1937</w:t>
      </w:r>
      <w:r w:rsidR="00536A0B" w:rsidRPr="00B21CBF">
        <w:rPr>
          <w:lang w:val="en-US"/>
        </w:rPr>
        <w:t>-</w:t>
      </w:r>
      <w:r w:rsidR="0007616A" w:rsidRPr="00B21CBF">
        <w:rPr>
          <w:lang w:val="en-US"/>
        </w:rPr>
        <w:t>65</w:t>
      </w:r>
      <w:r w:rsidR="00C40831" w:rsidRPr="00B21CBF">
        <w:rPr>
          <w:lang w:val="en-US"/>
        </w:rPr>
        <w:t xml:space="preserve">: </w:t>
      </w:r>
      <w:r w:rsidR="00271112" w:rsidRPr="00B21CBF">
        <w:rPr>
          <w:lang w:val="en-US"/>
        </w:rPr>
        <w:t>average hourly wage in seven occupations in the construction industry sourced from ILO</w:t>
      </w:r>
      <w:r w:rsidR="007948D1" w:rsidRPr="00B21CBF">
        <w:rPr>
          <w:lang w:val="en-US"/>
        </w:rPr>
        <w:t>/OI1</w:t>
      </w:r>
      <w:r w:rsidR="00271112" w:rsidRPr="00B21CBF">
        <w:rPr>
          <w:lang w:val="en-US"/>
        </w:rPr>
        <w:t xml:space="preserve">. In levels. </w:t>
      </w:r>
      <w:r w:rsidR="00316D58" w:rsidRPr="00B21CBF">
        <w:rPr>
          <w:lang w:val="en-US"/>
        </w:rPr>
        <w:t xml:space="preserve">Data available for 1936, 1938, 1940-42, 1946, 50-53, 55-65. </w:t>
      </w:r>
    </w:p>
    <w:p w:rsidR="002D3B95" w:rsidRPr="00B21CBF" w:rsidRDefault="00AA389D" w:rsidP="002D3B95">
      <w:pPr>
        <w:rPr>
          <w:lang w:val="en-US"/>
        </w:rPr>
      </w:pPr>
      <w:r w:rsidRPr="00B21CBF">
        <w:rPr>
          <w:lang w:val="en-US"/>
        </w:rPr>
        <w:t>*</w:t>
      </w:r>
      <w:r w:rsidR="002D3B95" w:rsidRPr="00B21CBF">
        <w:rPr>
          <w:lang w:val="en-US"/>
        </w:rPr>
        <w:t>1965 (in levels, circa values): uses the average hourly wage in seven occupations in the construction industry sourced from ILO/OI1.</w:t>
      </w:r>
    </w:p>
    <w:p w:rsidR="00C40831" w:rsidRPr="00B21CBF" w:rsidRDefault="0007616A" w:rsidP="00C40831">
      <w:pPr>
        <w:rPr>
          <w:lang w:val="en-US"/>
        </w:rPr>
      </w:pPr>
      <w:r w:rsidRPr="00B21CBF">
        <w:rPr>
          <w:lang w:val="en-US"/>
        </w:rPr>
        <w:t>1965</w:t>
      </w:r>
      <w:r w:rsidR="00C40831" w:rsidRPr="00B21CBF">
        <w:rPr>
          <w:lang w:val="en-US"/>
        </w:rPr>
        <w:t>-1980: index for real monthly wages in the construction sector</w:t>
      </w:r>
      <w:r w:rsidR="005A1B2C">
        <w:rPr>
          <w:lang w:val="en-US"/>
        </w:rPr>
        <w:t xml:space="preserve"> from</w:t>
      </w:r>
      <w:r w:rsidR="005A1B2C" w:rsidRPr="005A1B2C">
        <w:rPr>
          <w:lang w:val="en-US"/>
        </w:rPr>
        <w:t xml:space="preserve"> </w:t>
      </w:r>
      <w:r w:rsidR="005A1B2C" w:rsidRPr="00B21CBF">
        <w:rPr>
          <w:lang w:val="en-US"/>
        </w:rPr>
        <w:t>PREALC</w:t>
      </w:r>
      <w:r w:rsidR="005A1B2C">
        <w:rPr>
          <w:lang w:val="en-US"/>
        </w:rPr>
        <w:t xml:space="preserve"> (1982)</w:t>
      </w:r>
      <w:r w:rsidR="00C40831" w:rsidRPr="00B21CBF">
        <w:rPr>
          <w:lang w:val="en-US"/>
        </w:rPr>
        <w:t>.</w:t>
      </w:r>
    </w:p>
    <w:p w:rsidR="00C40831" w:rsidRPr="00B21CBF" w:rsidRDefault="00F50FAC" w:rsidP="00C40831">
      <w:pPr>
        <w:rPr>
          <w:lang w:val="en-US"/>
        </w:rPr>
      </w:pPr>
      <w:r>
        <w:rPr>
          <w:lang w:val="en-US"/>
        </w:rPr>
        <w:t>1980</w:t>
      </w:r>
      <w:r w:rsidR="00C40831" w:rsidRPr="00B21CBF">
        <w:rPr>
          <w:lang w:val="en-US"/>
        </w:rPr>
        <w:t xml:space="preserve">-1993: index of monthly earning in the construction sector from </w:t>
      </w:r>
      <w:r w:rsidR="004B2AE2">
        <w:rPr>
          <w:lang w:val="en-US"/>
        </w:rPr>
        <w:t>Chile’s Instituto Nacional de Estadísticas (</w:t>
      </w:r>
      <w:r w:rsidR="00C40831" w:rsidRPr="00B21CBF">
        <w:rPr>
          <w:lang w:val="en-US"/>
        </w:rPr>
        <w:t>INE</w:t>
      </w:r>
      <w:r w:rsidR="007D026D">
        <w:rPr>
          <w:lang w:val="en-US"/>
        </w:rPr>
        <w:t xml:space="preserve"> website</w:t>
      </w:r>
      <w:r w:rsidR="004B2AE2">
        <w:rPr>
          <w:lang w:val="en-US"/>
        </w:rPr>
        <w:t>)</w:t>
      </w:r>
      <w:r w:rsidR="00C40831" w:rsidRPr="00B21CBF">
        <w:rPr>
          <w:lang w:val="en-US"/>
        </w:rPr>
        <w:t>.</w:t>
      </w:r>
    </w:p>
    <w:p w:rsidR="00C40831" w:rsidRPr="00B21CBF" w:rsidRDefault="00F50FAC" w:rsidP="00C40831">
      <w:pPr>
        <w:rPr>
          <w:lang w:val="en-US"/>
        </w:rPr>
      </w:pPr>
      <w:r>
        <w:rPr>
          <w:lang w:val="en-US"/>
        </w:rPr>
        <w:t>1993</w:t>
      </w:r>
      <w:r w:rsidR="00C40831" w:rsidRPr="00B21CBF">
        <w:rPr>
          <w:lang w:val="en-US"/>
        </w:rPr>
        <w:t>-2011: real average wage index (2000=100) from ECLAC</w:t>
      </w:r>
      <w:r w:rsidR="007D026D">
        <w:rPr>
          <w:lang w:val="en-US"/>
        </w:rPr>
        <w:t xml:space="preserve"> website</w:t>
      </w:r>
      <w:r w:rsidR="00C40831" w:rsidRPr="00B21CBF">
        <w:rPr>
          <w:lang w:val="en-US"/>
        </w:rPr>
        <w:t xml:space="preserve">. </w:t>
      </w:r>
    </w:p>
    <w:p w:rsidR="00C40831" w:rsidRPr="00B21CBF" w:rsidRDefault="00C40831" w:rsidP="00C40831">
      <w:pPr>
        <w:rPr>
          <w:lang w:val="en-US"/>
        </w:rPr>
      </w:pPr>
    </w:p>
    <w:p w:rsidR="00C40831" w:rsidRPr="00B21CBF" w:rsidRDefault="00DA263B" w:rsidP="00C40831">
      <w:pPr>
        <w:rPr>
          <w:i/>
          <w:lang w:val="en-US"/>
        </w:rPr>
      </w:pPr>
      <w:r w:rsidRPr="00B21CBF">
        <w:rPr>
          <w:i/>
        </w:rPr>
        <w:t>Skilled labour (w</w:t>
      </w:r>
      <w:r w:rsidRPr="00B21CBF">
        <w:rPr>
          <w:i/>
          <w:vertAlign w:val="subscript"/>
        </w:rPr>
        <w:t>2</w:t>
      </w:r>
      <w:r w:rsidRPr="00B21CBF">
        <w:rPr>
          <w:i/>
        </w:rPr>
        <w:t>)</w:t>
      </w:r>
      <w:r w:rsidRPr="00B21CBF">
        <w:rPr>
          <w:i/>
          <w:lang w:val="en-US"/>
        </w:rPr>
        <w:t>:</w:t>
      </w:r>
    </w:p>
    <w:p w:rsidR="00C40831" w:rsidRPr="00B21CBF" w:rsidRDefault="007E7B2C" w:rsidP="00C40831">
      <w:pPr>
        <w:rPr>
          <w:lang w:val="en-US"/>
        </w:rPr>
      </w:pPr>
      <w:r w:rsidRPr="00B21CBF">
        <w:rPr>
          <w:lang w:val="en-US"/>
        </w:rPr>
        <w:t>1900-1967</w:t>
      </w:r>
      <w:r w:rsidR="00C40831" w:rsidRPr="00B21CBF">
        <w:rPr>
          <w:lang w:val="en-US"/>
        </w:rPr>
        <w:t xml:space="preserve">: real </w:t>
      </w:r>
      <w:r w:rsidR="00922874" w:rsidRPr="00B21CBF">
        <w:rPr>
          <w:lang w:val="en-US"/>
        </w:rPr>
        <w:t xml:space="preserve">skilled </w:t>
      </w:r>
      <w:r w:rsidR="00922874">
        <w:rPr>
          <w:lang w:val="en-US"/>
        </w:rPr>
        <w:t>wage</w:t>
      </w:r>
      <w:r w:rsidR="00C40831" w:rsidRPr="00B21CBF">
        <w:rPr>
          <w:lang w:val="en-US"/>
        </w:rPr>
        <w:t xml:space="preserve"> from </w:t>
      </w:r>
      <w:r w:rsidR="007E56A8">
        <w:rPr>
          <w:lang w:val="en-US"/>
        </w:rPr>
        <w:t>Rodríguez</w:t>
      </w:r>
      <w:r w:rsidR="008A4DDA" w:rsidRPr="00B21CBF">
        <w:rPr>
          <w:lang w:val="en-US"/>
        </w:rPr>
        <w:t xml:space="preserve"> </w:t>
      </w:r>
      <w:r w:rsidR="00C40831" w:rsidRPr="00B21CBF">
        <w:rPr>
          <w:lang w:val="en-US"/>
        </w:rPr>
        <w:t>Weber (2014)</w:t>
      </w:r>
      <w:r w:rsidR="002B1902" w:rsidRPr="00B21CBF">
        <w:rPr>
          <w:lang w:val="en-US"/>
        </w:rPr>
        <w:t xml:space="preserve"> in</w:t>
      </w:r>
      <w:r w:rsidR="00C40831" w:rsidRPr="00B21CBF">
        <w:rPr>
          <w:lang w:val="en-US"/>
        </w:rPr>
        <w:t xml:space="preserve"> </w:t>
      </w:r>
      <w:r w:rsidR="008A4DDA" w:rsidRPr="00B21CBF">
        <w:rPr>
          <w:lang w:val="en-US"/>
        </w:rPr>
        <w:t>escudos of 1960</w:t>
      </w:r>
      <w:r w:rsidR="00C40831" w:rsidRPr="00B21CBF">
        <w:rPr>
          <w:lang w:val="en-US"/>
        </w:rPr>
        <w:t>.</w:t>
      </w:r>
    </w:p>
    <w:p w:rsidR="00C40831" w:rsidRPr="00B21CBF" w:rsidRDefault="008A4DDA" w:rsidP="00C40831">
      <w:pPr>
        <w:rPr>
          <w:lang w:val="en-US"/>
        </w:rPr>
      </w:pPr>
      <w:r w:rsidRPr="00B21CBF">
        <w:rPr>
          <w:lang w:val="en-US"/>
        </w:rPr>
        <w:t>*</w:t>
      </w:r>
      <w:r w:rsidR="00C40831" w:rsidRPr="00B21CBF">
        <w:rPr>
          <w:lang w:val="en-US"/>
        </w:rPr>
        <w:t>1967 (</w:t>
      </w:r>
      <w:r w:rsidR="00887C01" w:rsidRPr="00B21CBF">
        <w:rPr>
          <w:lang w:val="en-US"/>
        </w:rPr>
        <w:t xml:space="preserve">in levels, </w:t>
      </w:r>
      <w:r w:rsidR="00C40831" w:rsidRPr="00B21CBF">
        <w:rPr>
          <w:lang w:val="en-US"/>
        </w:rPr>
        <w:t xml:space="preserve">circa values): </w:t>
      </w:r>
      <w:r w:rsidR="004F0FBF">
        <w:rPr>
          <w:lang w:val="en-US"/>
        </w:rPr>
        <w:t>monthly average</w:t>
      </w:r>
      <w:r w:rsidR="00C40831" w:rsidRPr="00B21CBF">
        <w:rPr>
          <w:lang w:val="en-US"/>
        </w:rPr>
        <w:t xml:space="preserve"> salary for bank tellers and clerks (stoc</w:t>
      </w:r>
      <w:r w:rsidR="00887C01" w:rsidRPr="00B21CBF">
        <w:rPr>
          <w:lang w:val="en-US"/>
        </w:rPr>
        <w:t>k record) from ILO/OI2</w:t>
      </w:r>
      <w:r w:rsidR="00C40831" w:rsidRPr="00B21CBF">
        <w:rPr>
          <w:lang w:val="en-US"/>
        </w:rPr>
        <w:t>.</w:t>
      </w:r>
    </w:p>
    <w:p w:rsidR="00C40831" w:rsidRPr="00B21CBF" w:rsidRDefault="007E7B2C" w:rsidP="00C40831">
      <w:pPr>
        <w:rPr>
          <w:lang w:val="en-US"/>
        </w:rPr>
      </w:pPr>
      <w:r w:rsidRPr="00B21CBF">
        <w:rPr>
          <w:lang w:val="en-US"/>
        </w:rPr>
        <w:lastRenderedPageBreak/>
        <w:t>1967</w:t>
      </w:r>
      <w:r w:rsidR="00C40831" w:rsidRPr="00B21CBF">
        <w:rPr>
          <w:lang w:val="en-US"/>
        </w:rPr>
        <w:t xml:space="preserve">-2009: real </w:t>
      </w:r>
      <w:r w:rsidR="00922874">
        <w:rPr>
          <w:lang w:val="en-US"/>
        </w:rPr>
        <w:t>skilled wage</w:t>
      </w:r>
      <w:r w:rsidR="00C40831" w:rsidRPr="00B21CBF">
        <w:rPr>
          <w:lang w:val="en-US"/>
        </w:rPr>
        <w:t xml:space="preserve"> </w:t>
      </w:r>
      <w:r w:rsidR="00922874">
        <w:rPr>
          <w:lang w:val="en-US"/>
        </w:rPr>
        <w:t xml:space="preserve">from </w:t>
      </w:r>
      <w:r w:rsidR="007E56A8">
        <w:rPr>
          <w:lang w:val="en-US"/>
        </w:rPr>
        <w:t>Rodríguez</w:t>
      </w:r>
      <w:r w:rsidR="00922874">
        <w:rPr>
          <w:lang w:val="en-US"/>
        </w:rPr>
        <w:t xml:space="preserve"> </w:t>
      </w:r>
      <w:r w:rsidR="00C40831" w:rsidRPr="00B21CBF">
        <w:rPr>
          <w:lang w:val="en-US"/>
        </w:rPr>
        <w:t>Weber (2014)</w:t>
      </w:r>
      <w:r w:rsidR="002B1902" w:rsidRPr="00B21CBF">
        <w:rPr>
          <w:lang w:val="en-US"/>
        </w:rPr>
        <w:t xml:space="preserve"> in escudos of 1960</w:t>
      </w:r>
      <w:r w:rsidR="00C40831" w:rsidRPr="00B21CBF">
        <w:rPr>
          <w:lang w:val="en-US"/>
        </w:rPr>
        <w:t>.</w:t>
      </w:r>
    </w:p>
    <w:p w:rsidR="006115BB" w:rsidRPr="00B21CBF" w:rsidRDefault="005B2310" w:rsidP="006115BB">
      <w:r>
        <w:t>2009</w:t>
      </w:r>
      <w:r w:rsidR="006115BB" w:rsidRPr="00B21CBF">
        <w:t>-2011: INE index of hourly earnings in manufacturing.</w:t>
      </w:r>
    </w:p>
    <w:p w:rsidR="006115BB" w:rsidRPr="00B21CBF" w:rsidRDefault="006115BB" w:rsidP="00C40831">
      <w:pPr>
        <w:rPr>
          <w:lang w:val="en-US"/>
        </w:rPr>
      </w:pPr>
    </w:p>
    <w:p w:rsidR="00C40831" w:rsidRPr="008461C4" w:rsidRDefault="00C40831" w:rsidP="00C40831">
      <w:pPr>
        <w:rPr>
          <w:lang w:val="en-US"/>
        </w:rPr>
      </w:pPr>
      <w:r w:rsidRPr="00B21CBF">
        <w:rPr>
          <w:i/>
          <w:lang w:val="en-US"/>
        </w:rPr>
        <w:t xml:space="preserve">Deflators. </w:t>
      </w:r>
      <w:r w:rsidRPr="00B21CBF">
        <w:rPr>
          <w:lang w:val="en-US"/>
        </w:rPr>
        <w:t>when the original w</w:t>
      </w:r>
      <w:r w:rsidR="00F86EF6" w:rsidRPr="00B21CBF">
        <w:rPr>
          <w:lang w:val="en-US"/>
        </w:rPr>
        <w:t>age data are in nominal terms I</w:t>
      </w:r>
      <w:r w:rsidRPr="00B21CBF">
        <w:rPr>
          <w:lang w:val="en-US"/>
        </w:rPr>
        <w:t xml:space="preserve"> use </w:t>
      </w:r>
      <w:r w:rsidR="00887C01" w:rsidRPr="00B21CBF">
        <w:rPr>
          <w:lang w:val="en-US"/>
        </w:rPr>
        <w:t xml:space="preserve">as deflator  a </w:t>
      </w:r>
      <w:r w:rsidR="00366650" w:rsidRPr="00B21CBF">
        <w:rPr>
          <w:lang w:val="en-US"/>
        </w:rPr>
        <w:t xml:space="preserve">CPI </w:t>
      </w:r>
      <w:r w:rsidRPr="00B21CBF">
        <w:rPr>
          <w:lang w:val="en-US"/>
        </w:rPr>
        <w:t xml:space="preserve">from the </w:t>
      </w:r>
      <w:r w:rsidRPr="008461C4">
        <w:rPr>
          <w:lang w:val="en-US"/>
        </w:rPr>
        <w:t>following sources:</w:t>
      </w:r>
    </w:p>
    <w:p w:rsidR="00C40831" w:rsidRPr="00B21CBF" w:rsidRDefault="00AB7F41" w:rsidP="00C40831">
      <w:pPr>
        <w:rPr>
          <w:lang w:val="en-US"/>
        </w:rPr>
      </w:pPr>
      <w:r>
        <w:rPr>
          <w:lang w:val="en-US"/>
        </w:rPr>
        <w:t>1900-1928</w:t>
      </w:r>
      <w:r w:rsidR="00C40831" w:rsidRPr="008461C4">
        <w:rPr>
          <w:lang w:val="en-US"/>
        </w:rPr>
        <w:t>:</w:t>
      </w:r>
      <w:r w:rsidR="00887C01" w:rsidRPr="008461C4">
        <w:rPr>
          <w:lang w:val="en-US"/>
        </w:rPr>
        <w:t xml:space="preserve"> Mamalakis (1983) - f</w:t>
      </w:r>
      <w:r w:rsidR="00C06D28" w:rsidRPr="008461C4">
        <w:rPr>
          <w:lang w:val="en-US"/>
        </w:rPr>
        <w:t>igures taken</w:t>
      </w:r>
      <w:r w:rsidR="00C06D28" w:rsidRPr="00B21CBF">
        <w:rPr>
          <w:lang w:val="en-US"/>
        </w:rPr>
        <w:t xml:space="preserve"> from MOX</w:t>
      </w:r>
      <w:r w:rsidR="00C40831" w:rsidRPr="00B21CBF">
        <w:rPr>
          <w:lang w:val="en-US"/>
        </w:rPr>
        <w:t>LAD.</w:t>
      </w:r>
    </w:p>
    <w:p w:rsidR="00C40831" w:rsidRPr="007C56E7" w:rsidRDefault="00C40831" w:rsidP="00C40831">
      <w:r w:rsidRPr="007C56E7">
        <w:t xml:space="preserve">1928-2011: </w:t>
      </w:r>
      <w:r w:rsidR="001A64B9" w:rsidRPr="007C56E7">
        <w:t>INE website</w:t>
      </w:r>
      <w:r w:rsidRPr="007C56E7">
        <w:t xml:space="preserve">. </w:t>
      </w:r>
    </w:p>
    <w:p w:rsidR="00C40831" w:rsidRPr="00B21CBF" w:rsidRDefault="00C40831" w:rsidP="00C40831">
      <w:pPr>
        <w:rPr>
          <w:lang w:val="en-US"/>
        </w:rPr>
      </w:pPr>
      <w:r w:rsidRPr="00B21CBF">
        <w:rPr>
          <w:lang w:val="en-US"/>
        </w:rPr>
        <w:t>During the 1970-1977 period the original INE series was corrected using the in</w:t>
      </w:r>
      <w:r w:rsidR="00366650" w:rsidRPr="00B21CBF">
        <w:rPr>
          <w:lang w:val="en-US"/>
        </w:rPr>
        <w:t>formation provided by Cortazar and</w:t>
      </w:r>
      <w:r w:rsidRPr="00B21CBF">
        <w:rPr>
          <w:lang w:val="en-US"/>
        </w:rPr>
        <w:t xml:space="preserve"> Marshall (1980).</w:t>
      </w:r>
    </w:p>
    <w:p w:rsidR="00C40831" w:rsidRPr="00B21CBF" w:rsidRDefault="00661B0F" w:rsidP="00C40831">
      <w:pPr>
        <w:rPr>
          <w:lang w:val="en-US"/>
        </w:rPr>
      </w:pPr>
      <w:r w:rsidRPr="00B21CBF">
        <w:rPr>
          <w:lang w:val="en-US"/>
        </w:rPr>
        <w:t>1971-1972: i</w:t>
      </w:r>
      <w:r w:rsidR="00C40831" w:rsidRPr="00B21CBF">
        <w:rPr>
          <w:lang w:val="en-US"/>
        </w:rPr>
        <w:t xml:space="preserve">nflation in 1971 was calculated by applying the same adjustment used by </w:t>
      </w:r>
      <w:r w:rsidR="005D1542">
        <w:rPr>
          <w:lang w:val="en-US"/>
        </w:rPr>
        <w:t xml:space="preserve">Díaz, Lüders, and </w:t>
      </w:r>
      <w:r w:rsidR="005D1542" w:rsidRPr="005D1542">
        <w:rPr>
          <w:lang w:val="en-US"/>
        </w:rPr>
        <w:t>Wagner</w:t>
      </w:r>
      <w:r w:rsidR="005D1542">
        <w:rPr>
          <w:lang w:val="en-US"/>
        </w:rPr>
        <w:t xml:space="preserve"> </w:t>
      </w:r>
      <w:r w:rsidR="00C40831" w:rsidRPr="00B21CBF">
        <w:rPr>
          <w:lang w:val="en-US"/>
        </w:rPr>
        <w:t>(2003) in the estimation of the Decem</w:t>
      </w:r>
      <w:r w:rsidR="003F0D79">
        <w:rPr>
          <w:lang w:val="en-US"/>
        </w:rPr>
        <w:t>ber-December series. In 1972 a correction factor is applied to reflect</w:t>
      </w:r>
      <w:r w:rsidR="00C40831" w:rsidRPr="00B21CBF">
        <w:rPr>
          <w:lang w:val="en-US"/>
        </w:rPr>
        <w:t xml:space="preserve"> the lower acceleration in annual inflation relative to the year-end values.</w:t>
      </w:r>
    </w:p>
    <w:p w:rsidR="00120945" w:rsidRPr="00B21CBF" w:rsidRDefault="00120945" w:rsidP="00C40831">
      <w:pPr>
        <w:rPr>
          <w:lang w:val="en-US"/>
        </w:rPr>
      </w:pPr>
    </w:p>
    <w:p w:rsidR="00C40831" w:rsidRPr="003F2C16" w:rsidRDefault="00C40831" w:rsidP="003F2C16">
      <w:pPr>
        <w:spacing w:before="100"/>
        <w:rPr>
          <w:b/>
          <w:sz w:val="26"/>
          <w:szCs w:val="26"/>
        </w:rPr>
      </w:pPr>
      <w:r w:rsidRPr="003F2C16">
        <w:rPr>
          <w:b/>
          <w:sz w:val="26"/>
          <w:szCs w:val="26"/>
        </w:rPr>
        <w:t>Colombia</w:t>
      </w:r>
    </w:p>
    <w:p w:rsidR="00DA263B" w:rsidRPr="00B21CBF" w:rsidRDefault="00DA263B" w:rsidP="003F2C16">
      <w:pPr>
        <w:spacing w:before="100"/>
        <w:rPr>
          <w:i/>
        </w:rPr>
      </w:pPr>
      <w:r w:rsidRPr="00B21CBF">
        <w:rPr>
          <w:i/>
        </w:rPr>
        <w:t>Unskilled wages (w</w:t>
      </w:r>
      <w:r w:rsidRPr="00B21CBF">
        <w:rPr>
          <w:i/>
          <w:vertAlign w:val="subscript"/>
        </w:rPr>
        <w:t>4</w:t>
      </w:r>
      <w:r w:rsidRPr="00B21CBF">
        <w:rPr>
          <w:i/>
        </w:rPr>
        <w:t xml:space="preserve">): </w:t>
      </w:r>
    </w:p>
    <w:p w:rsidR="00C40831" w:rsidRPr="00B21CBF" w:rsidRDefault="004B25B6" w:rsidP="00C40831">
      <w:pPr>
        <w:rPr>
          <w:lang w:val="en-US"/>
        </w:rPr>
      </w:pPr>
      <w:r w:rsidRPr="00B21CBF">
        <w:rPr>
          <w:lang w:val="en-US"/>
        </w:rPr>
        <w:t>1900-01</w:t>
      </w:r>
      <w:r w:rsidR="00C40831" w:rsidRPr="00B21CBF">
        <w:rPr>
          <w:lang w:val="en-US"/>
        </w:rPr>
        <w:t xml:space="preserve">: </w:t>
      </w:r>
      <w:r w:rsidR="00F571B6" w:rsidRPr="00B21CBF">
        <w:rPr>
          <w:lang w:val="en-US"/>
        </w:rPr>
        <w:t xml:space="preserve">equal to </w:t>
      </w:r>
      <w:r w:rsidRPr="00B21CBF">
        <w:rPr>
          <w:lang w:val="en-US"/>
        </w:rPr>
        <w:t>the 1902-</w:t>
      </w:r>
      <w:r w:rsidR="00F571B6" w:rsidRPr="00B21CBF">
        <w:rPr>
          <w:lang w:val="en-US"/>
        </w:rPr>
        <w:t>1903</w:t>
      </w:r>
      <w:r w:rsidRPr="00B21CBF">
        <w:rPr>
          <w:lang w:val="en-US"/>
        </w:rPr>
        <w:t xml:space="preserve"> average</w:t>
      </w:r>
      <w:r w:rsidR="00C40831" w:rsidRPr="00B21CBF">
        <w:rPr>
          <w:lang w:val="en-US"/>
        </w:rPr>
        <w:t>.</w:t>
      </w:r>
    </w:p>
    <w:p w:rsidR="00C40831" w:rsidRPr="00B21CBF" w:rsidRDefault="004B25B6" w:rsidP="00C40831">
      <w:pPr>
        <w:rPr>
          <w:lang w:val="en-US"/>
        </w:rPr>
      </w:pPr>
      <w:r w:rsidRPr="00B21CBF">
        <w:rPr>
          <w:lang w:val="en-US"/>
        </w:rPr>
        <w:t>1902</w:t>
      </w:r>
      <w:r w:rsidR="00481810">
        <w:rPr>
          <w:lang w:val="en-US"/>
        </w:rPr>
        <w:t>-05</w:t>
      </w:r>
      <w:r w:rsidR="00C40831" w:rsidRPr="00B21CBF">
        <w:rPr>
          <w:lang w:val="en-US"/>
        </w:rPr>
        <w:t>:</w:t>
      </w:r>
      <w:r w:rsidR="00C40831" w:rsidRPr="00B21CBF">
        <w:t xml:space="preserve"> daily nominal wage for unskilled worker (</w:t>
      </w:r>
      <w:r w:rsidR="00C40831" w:rsidRPr="00B21CBF">
        <w:rPr>
          <w:i/>
        </w:rPr>
        <w:t>chapolero</w:t>
      </w:r>
      <w:r w:rsidR="00C40831" w:rsidRPr="00B21CBF">
        <w:t xml:space="preserve"> – coffee grains collectors) in </w:t>
      </w:r>
      <w:r w:rsidR="00C40831" w:rsidRPr="00B21CBF">
        <w:rPr>
          <w:i/>
          <w:lang w:val="en-US"/>
        </w:rPr>
        <w:t>Hacienda Jonás</w:t>
      </w:r>
      <w:r w:rsidR="00C40831" w:rsidRPr="00B21CBF">
        <w:rPr>
          <w:lang w:val="en-US"/>
        </w:rPr>
        <w:t xml:space="preserve"> - in</w:t>
      </w:r>
      <w:r w:rsidR="000A100A" w:rsidRPr="00B21CBF">
        <w:rPr>
          <w:lang w:val="en-US"/>
        </w:rPr>
        <w:t xml:space="preserve"> Antioquia – from Palacios (1983</w:t>
      </w:r>
      <w:r w:rsidR="00C40831" w:rsidRPr="00B21CBF">
        <w:rPr>
          <w:lang w:val="en-US"/>
        </w:rPr>
        <w:t>).</w:t>
      </w:r>
    </w:p>
    <w:p w:rsidR="00C40831" w:rsidRPr="00B21CBF" w:rsidRDefault="00481810" w:rsidP="00C40831">
      <w:pPr>
        <w:rPr>
          <w:lang w:val="en-US"/>
        </w:rPr>
      </w:pPr>
      <w:r>
        <w:rPr>
          <w:lang w:val="en-US"/>
        </w:rPr>
        <w:t>1905-28</w:t>
      </w:r>
      <w:r w:rsidR="00C40831" w:rsidRPr="00B21CBF">
        <w:rPr>
          <w:lang w:val="en-US"/>
        </w:rPr>
        <w:t>: nominal wages for unskilled workers in the public sector (</w:t>
      </w:r>
      <w:r w:rsidR="00C40831" w:rsidRPr="00B21CBF">
        <w:rPr>
          <w:i/>
          <w:lang w:val="en-US"/>
        </w:rPr>
        <w:t>peones de distrito</w:t>
      </w:r>
      <w:r w:rsidR="00C40831" w:rsidRPr="00B21CBF">
        <w:rPr>
          <w:lang w:val="en-US"/>
        </w:rPr>
        <w:t xml:space="preserve">) from López Uribe (2008). </w:t>
      </w:r>
    </w:p>
    <w:p w:rsidR="00BC3197" w:rsidRPr="00B21CBF" w:rsidRDefault="00481810" w:rsidP="00C40831">
      <w:pPr>
        <w:rPr>
          <w:lang w:val="en-US"/>
        </w:rPr>
      </w:pPr>
      <w:r>
        <w:rPr>
          <w:lang w:val="en-US"/>
        </w:rPr>
        <w:t>1928-1935</w:t>
      </w:r>
      <w:r w:rsidR="00BC3197" w:rsidRPr="00B21CBF">
        <w:rPr>
          <w:lang w:val="en-US"/>
        </w:rPr>
        <w:t xml:space="preserve">: </w:t>
      </w:r>
      <w:r w:rsidR="00BC3197" w:rsidRPr="00B21CBF">
        <w:t>daily wages (</w:t>
      </w:r>
      <w:r w:rsidR="000C4C11" w:rsidRPr="00B21CBF">
        <w:rPr>
          <w:i/>
        </w:rPr>
        <w:t>peon a</w:t>
      </w:r>
      <w:r w:rsidR="00BC3197" w:rsidRPr="00B21CBF">
        <w:rPr>
          <w:i/>
        </w:rPr>
        <w:t xml:space="preserve"> destajo</w:t>
      </w:r>
      <w:r w:rsidR="00BC3197" w:rsidRPr="00B21CBF">
        <w:t xml:space="preserve">) in the coffee sector </w:t>
      </w:r>
      <w:r w:rsidR="003F0D79">
        <w:t>from</w:t>
      </w:r>
      <w:r w:rsidR="00482E4D" w:rsidRPr="00B21CBF">
        <w:t xml:space="preserve"> Th</w:t>
      </w:r>
      <w:r w:rsidR="0029762A">
        <w:t>orp and Londoño (1984</w:t>
      </w:r>
      <w:r w:rsidR="00B82D6B" w:rsidRPr="00B21CBF">
        <w:t>).</w:t>
      </w:r>
    </w:p>
    <w:p w:rsidR="000C4C11" w:rsidRPr="00B21CBF" w:rsidRDefault="00D350FB" w:rsidP="00C40831">
      <w:r w:rsidRPr="00B21CBF">
        <w:t>1935</w:t>
      </w:r>
      <w:r w:rsidR="00481810">
        <w:t>-1940</w:t>
      </w:r>
      <w:r w:rsidR="00C40831" w:rsidRPr="00B21CBF">
        <w:t xml:space="preserve">: rural daily wages </w:t>
      </w:r>
      <w:r w:rsidR="00C13B9A" w:rsidRPr="00B21CBF">
        <w:t>fr</w:t>
      </w:r>
      <w:r w:rsidR="000E0FEA">
        <w:t>om Londoño (1995</w:t>
      </w:r>
      <w:r w:rsidR="00C13B9A" w:rsidRPr="00B21CBF">
        <w:t>)</w:t>
      </w:r>
      <w:r w:rsidR="00C40831" w:rsidRPr="00B21CBF">
        <w:t xml:space="preserve">. </w:t>
      </w:r>
    </w:p>
    <w:p w:rsidR="00F571B6" w:rsidRPr="00B21CBF" w:rsidRDefault="00BF5409" w:rsidP="00C40831">
      <w:pPr>
        <w:rPr>
          <w:lang w:val="en-US"/>
        </w:rPr>
      </w:pPr>
      <w:r w:rsidRPr="00B21CBF">
        <w:rPr>
          <w:lang w:val="en-US"/>
        </w:rPr>
        <w:t>1940-1969</w:t>
      </w:r>
      <w:r w:rsidR="00F571B6" w:rsidRPr="00B21CBF">
        <w:rPr>
          <w:lang w:val="en-US"/>
        </w:rPr>
        <w:t xml:space="preserve">: weighted average of </w:t>
      </w:r>
      <w:r w:rsidR="00F43727" w:rsidRPr="00B21CBF">
        <w:rPr>
          <w:lang w:val="en-US"/>
        </w:rPr>
        <w:t xml:space="preserve">two series from Jaramillo et al. </w:t>
      </w:r>
      <w:r w:rsidR="00F43727" w:rsidRPr="00B21CBF">
        <w:t>(2000):</w:t>
      </w:r>
      <w:r w:rsidR="000C4C11" w:rsidRPr="00B21CBF">
        <w:t xml:space="preserve"> i)</w:t>
      </w:r>
      <w:r w:rsidR="00F43727" w:rsidRPr="00B21CBF">
        <w:t xml:space="preserve"> </w:t>
      </w:r>
      <w:r w:rsidR="00F571B6" w:rsidRPr="00B21CBF">
        <w:rPr>
          <w:lang w:val="en-US"/>
        </w:rPr>
        <w:t>rural daily wages (</w:t>
      </w:r>
      <w:r w:rsidR="00F571B6" w:rsidRPr="00B21CBF">
        <w:rPr>
          <w:i/>
          <w:lang w:val="en-US"/>
        </w:rPr>
        <w:t>jornales agrícolas sin alimentación ponderados por clima</w:t>
      </w:r>
      <w:r w:rsidR="00F571B6" w:rsidRPr="00B21CBF">
        <w:rPr>
          <w:lang w:val="en-US"/>
        </w:rPr>
        <w:t>)</w:t>
      </w:r>
      <w:r w:rsidR="000C4C11" w:rsidRPr="00B21CBF">
        <w:rPr>
          <w:lang w:val="en-US"/>
        </w:rPr>
        <w:t>;</w:t>
      </w:r>
      <w:r w:rsidR="00F571B6" w:rsidRPr="00B21CBF">
        <w:rPr>
          <w:lang w:val="en-US"/>
        </w:rPr>
        <w:t xml:space="preserve"> and</w:t>
      </w:r>
      <w:r w:rsidR="000C4C11" w:rsidRPr="00B21CBF">
        <w:rPr>
          <w:lang w:val="en-US"/>
        </w:rPr>
        <w:t xml:space="preserve"> ii)</w:t>
      </w:r>
      <w:r w:rsidR="00F571B6" w:rsidRPr="00B21CBF">
        <w:rPr>
          <w:lang w:val="en-US"/>
        </w:rPr>
        <w:t xml:space="preserve"> </w:t>
      </w:r>
      <w:r w:rsidR="00F43727" w:rsidRPr="00B21CBF">
        <w:rPr>
          <w:lang w:val="en-US"/>
        </w:rPr>
        <w:t>urban daily wages for unskilled construction workers</w:t>
      </w:r>
      <w:r w:rsidR="00970706" w:rsidRPr="00B21CBF">
        <w:rPr>
          <w:lang w:val="en-US"/>
        </w:rPr>
        <w:t xml:space="preserve"> </w:t>
      </w:r>
      <w:r w:rsidR="00970706" w:rsidRPr="00B21CBF">
        <w:rPr>
          <w:i/>
          <w:lang w:val="en-US"/>
        </w:rPr>
        <w:t>(ayudantes</w:t>
      </w:r>
      <w:r w:rsidR="00970706" w:rsidRPr="00B21CBF">
        <w:rPr>
          <w:lang w:val="en-US"/>
        </w:rPr>
        <w:t>)</w:t>
      </w:r>
      <w:r w:rsidR="00F43727" w:rsidRPr="00B21CBF">
        <w:rPr>
          <w:lang w:val="en-US"/>
        </w:rPr>
        <w:t xml:space="preserve"> in Cali and Bogotá. Both series at 1988 prices. </w:t>
      </w:r>
      <w:r w:rsidR="00AD0934" w:rsidRPr="00B21CBF">
        <w:rPr>
          <w:lang w:val="en-US"/>
        </w:rPr>
        <w:t xml:space="preserve">To estimates the weights for the two series I adjust the </w:t>
      </w:r>
      <w:r w:rsidR="004F2FC7">
        <w:rPr>
          <w:i/>
          <w:lang w:val="en-US"/>
        </w:rPr>
        <w:t>RU%</w:t>
      </w:r>
      <w:r w:rsidR="00AD0934" w:rsidRPr="00B21CBF">
        <w:rPr>
          <w:lang w:val="en-US"/>
        </w:rPr>
        <w:t xml:space="preserve"> in 1970 in line with changes in the ru</w:t>
      </w:r>
      <w:r w:rsidR="004A0D09">
        <w:rPr>
          <w:lang w:val="en-US"/>
        </w:rPr>
        <w:t>ral population (</w:t>
      </w:r>
      <w:r w:rsidR="00AD0934" w:rsidRPr="00B21CBF">
        <w:rPr>
          <w:lang w:val="en-US"/>
        </w:rPr>
        <w:t xml:space="preserve">this procedure results in a </w:t>
      </w:r>
      <w:r w:rsidR="004F2FC7">
        <w:rPr>
          <w:i/>
          <w:lang w:val="en-US"/>
        </w:rPr>
        <w:t>RU%</w:t>
      </w:r>
      <w:r w:rsidR="00AD0934" w:rsidRPr="00B21CBF">
        <w:rPr>
          <w:lang w:val="en-US"/>
        </w:rPr>
        <w:t xml:space="preserve"> in 1950 of 0.75)</w:t>
      </w:r>
      <w:r w:rsidR="00F43727" w:rsidRPr="00B21CBF">
        <w:rPr>
          <w:lang w:val="en-US"/>
        </w:rPr>
        <w:t>.</w:t>
      </w:r>
    </w:p>
    <w:p w:rsidR="00C40831" w:rsidRPr="00B21CBF" w:rsidRDefault="002B1902" w:rsidP="00C40831">
      <w:pPr>
        <w:rPr>
          <w:lang w:val="en-US"/>
        </w:rPr>
      </w:pPr>
      <w:r w:rsidRPr="00B21CBF">
        <w:rPr>
          <w:lang w:val="en-US"/>
        </w:rPr>
        <w:t>*</w:t>
      </w:r>
      <w:r w:rsidR="002159D5" w:rsidRPr="00B21CBF">
        <w:rPr>
          <w:lang w:val="en-US"/>
        </w:rPr>
        <w:t>1969-1976</w:t>
      </w:r>
      <w:r w:rsidR="000C4C11" w:rsidRPr="00B21CBF">
        <w:rPr>
          <w:lang w:val="en-US"/>
        </w:rPr>
        <w:t xml:space="preserve"> (in levels)</w:t>
      </w:r>
      <w:r w:rsidR="00C40831" w:rsidRPr="00B21CBF">
        <w:rPr>
          <w:lang w:val="en-US"/>
        </w:rPr>
        <w:t xml:space="preserve">: </w:t>
      </w:r>
      <w:r w:rsidR="00071913" w:rsidRPr="00B21CBF">
        <w:rPr>
          <w:lang w:val="en-US"/>
        </w:rPr>
        <w:t>weighted</w:t>
      </w:r>
      <w:r w:rsidR="00C40831" w:rsidRPr="00B21CBF">
        <w:rPr>
          <w:lang w:val="en-US"/>
        </w:rPr>
        <w:t xml:space="preserve"> average of the real wage for the unskilled worker in agriculture (national level) and the minimum urban real wage. Both series at peso</w:t>
      </w:r>
      <w:r w:rsidR="000C4C11" w:rsidRPr="00B21CBF">
        <w:rPr>
          <w:lang w:val="en-US"/>
        </w:rPr>
        <w:t>s of 1970 from PREALC</w:t>
      </w:r>
      <w:r w:rsidR="00937A4C">
        <w:rPr>
          <w:lang w:val="en-US"/>
        </w:rPr>
        <w:t xml:space="preserve"> (1982)</w:t>
      </w:r>
      <w:r w:rsidR="000C4C11" w:rsidRPr="00B21CBF">
        <w:rPr>
          <w:lang w:val="en-US"/>
        </w:rPr>
        <w:t>.</w:t>
      </w:r>
      <w:r w:rsidR="009D0F9C" w:rsidRPr="00B21CBF">
        <w:rPr>
          <w:lang w:val="en-US"/>
        </w:rPr>
        <w:t xml:space="preserve"> The weight for </w:t>
      </w:r>
      <w:r w:rsidR="004F2FC7">
        <w:rPr>
          <w:i/>
          <w:lang w:val="en-US"/>
        </w:rPr>
        <w:t>RU%</w:t>
      </w:r>
      <w:r w:rsidR="009D0F9C" w:rsidRPr="00B21CBF">
        <w:rPr>
          <w:lang w:val="en-US"/>
        </w:rPr>
        <w:t xml:space="preserve"> </w:t>
      </w:r>
      <w:r w:rsidR="004A0D09">
        <w:rPr>
          <w:lang w:val="en-US"/>
        </w:rPr>
        <w:t>in</w:t>
      </w:r>
      <w:r w:rsidR="009D0F9C" w:rsidRPr="00B21CBF">
        <w:rPr>
          <w:lang w:val="en-US"/>
        </w:rPr>
        <w:t xml:space="preserve"> 1970 = 0.65.</w:t>
      </w:r>
    </w:p>
    <w:p w:rsidR="00C40831" w:rsidRPr="00B21CBF" w:rsidRDefault="00BF5409" w:rsidP="00C40831">
      <w:r w:rsidRPr="00B21CBF">
        <w:rPr>
          <w:lang w:val="en-US"/>
        </w:rPr>
        <w:t>1976</w:t>
      </w:r>
      <w:r w:rsidR="00C40831" w:rsidRPr="00B21CBF">
        <w:rPr>
          <w:lang w:val="en-US"/>
        </w:rPr>
        <w:t>-</w:t>
      </w:r>
      <w:r w:rsidR="00E03EA0" w:rsidRPr="00B21CBF">
        <w:rPr>
          <w:lang w:val="en-US"/>
        </w:rPr>
        <w:t>2000</w:t>
      </w:r>
      <w:r w:rsidR="00C40831" w:rsidRPr="00B21CBF">
        <w:rPr>
          <w:lang w:val="en-US"/>
        </w:rPr>
        <w:t xml:space="preserve">: </w:t>
      </w:r>
      <w:r w:rsidR="00071913" w:rsidRPr="00B21CBF">
        <w:rPr>
          <w:lang w:val="en-US"/>
        </w:rPr>
        <w:t xml:space="preserve">weighted average of </w:t>
      </w:r>
      <w:r w:rsidR="000C4C11" w:rsidRPr="00B21CBF">
        <w:rPr>
          <w:lang w:val="en-US"/>
        </w:rPr>
        <w:t xml:space="preserve">two series: i) </w:t>
      </w:r>
      <w:r w:rsidR="00C40831" w:rsidRPr="00B21CBF">
        <w:rPr>
          <w:lang w:val="en-US"/>
        </w:rPr>
        <w:t xml:space="preserve">rural daily wages from Jaramillo et al. </w:t>
      </w:r>
      <w:r w:rsidR="00C40831" w:rsidRPr="00B21CBF">
        <w:t>(2000)</w:t>
      </w:r>
      <w:r w:rsidR="000C4C11" w:rsidRPr="00B21CBF">
        <w:t>;</w:t>
      </w:r>
      <w:r w:rsidR="00071913" w:rsidRPr="00B21CBF">
        <w:t xml:space="preserve"> </w:t>
      </w:r>
      <w:r w:rsidR="000C4C11" w:rsidRPr="00B21CBF">
        <w:t xml:space="preserve">and ii) </w:t>
      </w:r>
      <w:r w:rsidR="00071913" w:rsidRPr="00B21CBF">
        <w:t>the income of the unskilled</w:t>
      </w:r>
      <w:r w:rsidR="0058391F" w:rsidRPr="00B21CBF">
        <w:t xml:space="preserve"> (with one to</w:t>
      </w:r>
      <w:r w:rsidR="00071913" w:rsidRPr="00B21CBF">
        <w:t xml:space="preserve"> five years of schooling) for seven main cities (this uses household survey data on labour urban income according to years of education covering seven main cities (DANE</w:t>
      </w:r>
      <w:r w:rsidR="004A0D09">
        <w:t xml:space="preserve"> website</w:t>
      </w:r>
      <w:r w:rsidR="00071913" w:rsidRPr="00B21CBF">
        <w:t>)</w:t>
      </w:r>
      <w:r w:rsidR="00C40831" w:rsidRPr="00B21CBF">
        <w:t>.</w:t>
      </w:r>
      <w:r w:rsidR="00E03EA0" w:rsidRPr="00B21CBF">
        <w:t xml:space="preserve"> F</w:t>
      </w:r>
      <w:r w:rsidR="00BF616D" w:rsidRPr="00B21CBF">
        <w:t>rom 1998</w:t>
      </w:r>
      <w:r w:rsidR="00E03EA0" w:rsidRPr="00B21CBF">
        <w:t xml:space="preserve"> to 2000 growth with the unskilled income from seven main cities</w:t>
      </w:r>
      <w:r w:rsidR="00873288" w:rsidRPr="00B21CBF">
        <w:rPr>
          <w:lang w:val="en-US"/>
        </w:rPr>
        <w:t xml:space="preserve"> from Jaramillo et al. </w:t>
      </w:r>
      <w:r w:rsidR="00873288" w:rsidRPr="00B21CBF">
        <w:t>(2000)</w:t>
      </w:r>
      <w:r w:rsidR="00E03EA0" w:rsidRPr="00B21CBF">
        <w:t>.</w:t>
      </w:r>
      <w:r w:rsidR="00970706" w:rsidRPr="00B21CBF">
        <w:rPr>
          <w:lang w:val="en-US"/>
        </w:rPr>
        <w:t xml:space="preserve"> To estimates the weights</w:t>
      </w:r>
      <w:r w:rsidR="00873288" w:rsidRPr="00B21CBF">
        <w:rPr>
          <w:lang w:val="en-US"/>
        </w:rPr>
        <w:t xml:space="preserve"> for the two series</w:t>
      </w:r>
      <w:r w:rsidR="00970706" w:rsidRPr="00B21CBF">
        <w:rPr>
          <w:lang w:val="en-US"/>
        </w:rPr>
        <w:t xml:space="preserve"> I adjust the </w:t>
      </w:r>
      <w:r w:rsidR="004F2FC7">
        <w:rPr>
          <w:i/>
          <w:lang w:val="en-US"/>
        </w:rPr>
        <w:t>RU%</w:t>
      </w:r>
      <w:r w:rsidR="00970706" w:rsidRPr="00B21CBF">
        <w:rPr>
          <w:lang w:val="en-US"/>
        </w:rPr>
        <w:t xml:space="preserve"> in 1970 in line with changes in the</w:t>
      </w:r>
      <w:r w:rsidR="000C4C11" w:rsidRPr="00B21CBF">
        <w:rPr>
          <w:lang w:val="en-US"/>
        </w:rPr>
        <w:t xml:space="preserve"> rural</w:t>
      </w:r>
      <w:r w:rsidR="004A0D09">
        <w:rPr>
          <w:lang w:val="en-US"/>
        </w:rPr>
        <w:t xml:space="preserve"> population (</w:t>
      </w:r>
      <w:r w:rsidR="00970706" w:rsidRPr="00B21CBF">
        <w:rPr>
          <w:lang w:val="en-US"/>
        </w:rPr>
        <w:t xml:space="preserve">this procedure results in a </w:t>
      </w:r>
      <w:r w:rsidR="004F2FC7">
        <w:rPr>
          <w:i/>
          <w:lang w:val="en-US"/>
        </w:rPr>
        <w:t>RU%</w:t>
      </w:r>
      <w:r w:rsidR="00970706" w:rsidRPr="00B21CBF">
        <w:rPr>
          <w:lang w:val="en-US"/>
        </w:rPr>
        <w:t xml:space="preserve"> in 2000 of 0.48).</w:t>
      </w:r>
    </w:p>
    <w:p w:rsidR="00C40831" w:rsidRPr="00B21CBF" w:rsidRDefault="00481810" w:rsidP="00C40831">
      <w:pPr>
        <w:rPr>
          <w:lang w:val="en-US"/>
        </w:rPr>
      </w:pPr>
      <w:r>
        <w:rPr>
          <w:lang w:val="en-US"/>
        </w:rPr>
        <w:t>2000</w:t>
      </w:r>
      <w:r w:rsidR="00C40831" w:rsidRPr="00B21CBF">
        <w:rPr>
          <w:lang w:val="en-US"/>
        </w:rPr>
        <w:t>-2011: overall real minimum wage index (2000=100) from ECLAC</w:t>
      </w:r>
      <w:r w:rsidR="004A0D09">
        <w:rPr>
          <w:lang w:val="en-US"/>
        </w:rPr>
        <w:t xml:space="preserve"> website</w:t>
      </w:r>
      <w:r w:rsidR="00C40831" w:rsidRPr="00B21CBF">
        <w:rPr>
          <w:lang w:val="en-US"/>
        </w:rPr>
        <w:t>.</w:t>
      </w:r>
    </w:p>
    <w:p w:rsidR="00C40831" w:rsidRPr="00B21CBF" w:rsidRDefault="00C40831" w:rsidP="00C40831">
      <w:pPr>
        <w:rPr>
          <w:lang w:val="en-US"/>
        </w:rPr>
      </w:pPr>
    </w:p>
    <w:p w:rsidR="00DA263B" w:rsidRPr="00B21CBF" w:rsidRDefault="00DA263B" w:rsidP="00DA263B">
      <w:pPr>
        <w:rPr>
          <w:i/>
          <w:lang w:val="en-US"/>
        </w:rPr>
      </w:pPr>
      <w:r w:rsidRPr="00B21CBF">
        <w:rPr>
          <w:i/>
          <w:lang w:val="en-US"/>
        </w:rPr>
        <w:t>Semi-skilled wages (</w:t>
      </w:r>
      <w:r w:rsidRPr="00B21CBF">
        <w:rPr>
          <w:i/>
        </w:rPr>
        <w:t>w</w:t>
      </w:r>
      <w:r w:rsidRPr="00B21CBF">
        <w:rPr>
          <w:i/>
          <w:vertAlign w:val="subscript"/>
        </w:rPr>
        <w:t>3</w:t>
      </w:r>
      <w:r w:rsidRPr="00B21CBF">
        <w:rPr>
          <w:i/>
        </w:rPr>
        <w:t>)</w:t>
      </w:r>
      <w:r w:rsidRPr="00B21CBF">
        <w:rPr>
          <w:i/>
          <w:lang w:val="en-US"/>
        </w:rPr>
        <w:t>:</w:t>
      </w:r>
    </w:p>
    <w:p w:rsidR="00C40831" w:rsidRPr="00B21CBF" w:rsidRDefault="009369EA" w:rsidP="00C40831">
      <w:pPr>
        <w:rPr>
          <w:lang w:val="en-US"/>
        </w:rPr>
      </w:pPr>
      <w:r>
        <w:rPr>
          <w:lang w:val="en-US"/>
        </w:rPr>
        <w:t>1900-05</w:t>
      </w:r>
      <w:r w:rsidR="00C40831" w:rsidRPr="00B21CBF">
        <w:rPr>
          <w:lang w:val="en-US"/>
        </w:rPr>
        <w:t>: g</w:t>
      </w:r>
      <w:r w:rsidR="00126F17" w:rsidRPr="00B21CBF">
        <w:rPr>
          <w:lang w:val="en-US"/>
        </w:rPr>
        <w:t>rows in line with real GDP per capita (B</w:t>
      </w:r>
      <w:r w:rsidR="00126F17" w:rsidRPr="00B21CBF">
        <w:t>értola and Ocampo, 2012)</w:t>
      </w:r>
      <w:r w:rsidR="00C40831" w:rsidRPr="00B21CBF">
        <w:rPr>
          <w:lang w:val="en-US"/>
        </w:rPr>
        <w:t>.</w:t>
      </w:r>
    </w:p>
    <w:p w:rsidR="00C40831" w:rsidRPr="00B21CBF" w:rsidRDefault="00C40831" w:rsidP="00C40831">
      <w:pPr>
        <w:rPr>
          <w:lang w:val="en-US"/>
        </w:rPr>
      </w:pPr>
      <w:r w:rsidRPr="00B21CBF">
        <w:rPr>
          <w:lang w:val="en-US"/>
        </w:rPr>
        <w:t>1905-</w:t>
      </w:r>
      <w:r w:rsidR="009369EA">
        <w:rPr>
          <w:lang w:val="en-US"/>
        </w:rPr>
        <w:t>29</w:t>
      </w:r>
      <w:r w:rsidRPr="00B21CBF">
        <w:rPr>
          <w:lang w:val="en-US"/>
        </w:rPr>
        <w:t xml:space="preserve">: average daily wages of semi-skilled workers in the Fenicia factory from </w:t>
      </w:r>
      <w:r w:rsidR="00E55DD6" w:rsidRPr="00B21CBF">
        <w:rPr>
          <w:lang w:val="en-US"/>
        </w:rPr>
        <w:t>Urrutia y Arrubla (1970</w:t>
      </w:r>
      <w:r w:rsidRPr="00B21CBF">
        <w:rPr>
          <w:lang w:val="en-US"/>
        </w:rPr>
        <w:t xml:space="preserve">). </w:t>
      </w:r>
    </w:p>
    <w:p w:rsidR="00C40831" w:rsidRPr="00B21CBF" w:rsidRDefault="009369EA" w:rsidP="00C40831">
      <w:r>
        <w:rPr>
          <w:lang w:val="en-US"/>
        </w:rPr>
        <w:t>1929-1977</w:t>
      </w:r>
      <w:r w:rsidR="00C40831" w:rsidRPr="00B21CBF">
        <w:rPr>
          <w:lang w:val="en-US"/>
        </w:rPr>
        <w:t>: average daily urban real wag</w:t>
      </w:r>
      <w:r w:rsidR="00126F17" w:rsidRPr="00B21CBF">
        <w:rPr>
          <w:lang w:val="en-US"/>
        </w:rPr>
        <w:t>es (low-</w:t>
      </w:r>
      <w:r w:rsidR="00C40831" w:rsidRPr="00B21CBF">
        <w:rPr>
          <w:lang w:val="en-US"/>
        </w:rPr>
        <w:t xml:space="preserve">skills workers in the construction sector) from </w:t>
      </w:r>
      <w:r w:rsidR="00C40831" w:rsidRPr="00B21CBF">
        <w:t>Jaramillo et al.</w:t>
      </w:r>
      <w:r w:rsidR="00C80BC0" w:rsidRPr="00B21CBF">
        <w:t xml:space="preserve"> (2000) in </w:t>
      </w:r>
      <w:r w:rsidR="00C40831" w:rsidRPr="00B21CBF">
        <w:t xml:space="preserve">main cities: Barranquilla and Medellín in 1931-1938; and Barranquilla, Bogotá, Cali and Medellín from 1939 onwards. </w:t>
      </w:r>
    </w:p>
    <w:p w:rsidR="00914D0F" w:rsidRPr="00B21CBF" w:rsidRDefault="0036596E" w:rsidP="00C40831">
      <w:pPr>
        <w:rPr>
          <w:highlight w:val="lightGray"/>
        </w:rPr>
      </w:pPr>
      <w:r w:rsidRPr="00B21CBF">
        <w:t>1977</w:t>
      </w:r>
      <w:r w:rsidR="00BF5409" w:rsidRPr="00B21CBF">
        <w:t>-1982</w:t>
      </w:r>
      <w:r w:rsidR="00762687" w:rsidRPr="00B21CBF">
        <w:t xml:space="preserve">: uses household survey data on labour urban income </w:t>
      </w:r>
      <w:r w:rsidR="001771AA" w:rsidRPr="00B21CBF">
        <w:t xml:space="preserve">with 6-10 years of education </w:t>
      </w:r>
      <w:r w:rsidR="00BA3777">
        <w:t>in</w:t>
      </w:r>
      <w:r w:rsidR="00762687" w:rsidRPr="00B21CBF">
        <w:t xml:space="preserve"> seven main cities (DANE</w:t>
      </w:r>
      <w:r w:rsidR="004C3A59">
        <w:t xml:space="preserve"> website</w:t>
      </w:r>
      <w:r w:rsidR="00762687" w:rsidRPr="00B21CBF">
        <w:t xml:space="preserve">). Original </w:t>
      </w:r>
      <w:r w:rsidR="0061018A" w:rsidRPr="00B21CBF">
        <w:t>quarterly series</w:t>
      </w:r>
      <w:r w:rsidR="00BA3777">
        <w:t xml:space="preserve"> are</w:t>
      </w:r>
      <w:r w:rsidR="00762687" w:rsidRPr="00B21CBF">
        <w:t xml:space="preserve"> in current pesos. </w:t>
      </w:r>
    </w:p>
    <w:p w:rsidR="00C40831" w:rsidRPr="00B21CBF" w:rsidRDefault="0061018A" w:rsidP="00C40831">
      <w:r w:rsidRPr="00B21CBF">
        <w:rPr>
          <w:lang w:val="en-US"/>
        </w:rPr>
        <w:lastRenderedPageBreak/>
        <w:t>*</w:t>
      </w:r>
      <w:r w:rsidR="00C40831" w:rsidRPr="00B21CBF">
        <w:rPr>
          <w:lang w:val="en-US"/>
        </w:rPr>
        <w:t>1982</w:t>
      </w:r>
      <w:r w:rsidR="008C37B5" w:rsidRPr="00B21CBF">
        <w:rPr>
          <w:lang w:val="en-US"/>
        </w:rPr>
        <w:t xml:space="preserve"> (in levels)</w:t>
      </w:r>
      <w:r w:rsidR="00F71892" w:rsidRPr="00B21CBF">
        <w:rPr>
          <w:lang w:val="en-US"/>
        </w:rPr>
        <w:t>: average wage in</w:t>
      </w:r>
      <w:r w:rsidR="00C40831" w:rsidRPr="00B21CBF">
        <w:rPr>
          <w:lang w:val="en-US"/>
        </w:rPr>
        <w:t xml:space="preserve"> seven occupations in the construction industry</w:t>
      </w:r>
      <w:r w:rsidR="00F71892" w:rsidRPr="00B21CBF">
        <w:rPr>
          <w:lang w:val="en-US"/>
        </w:rPr>
        <w:t xml:space="preserve"> from ILO/OI1</w:t>
      </w:r>
      <w:r w:rsidR="00C40831" w:rsidRPr="00B21CBF">
        <w:rPr>
          <w:lang w:val="en-US"/>
        </w:rPr>
        <w:t>.</w:t>
      </w:r>
      <w:r w:rsidR="00346859" w:rsidRPr="00B21CBF">
        <w:rPr>
          <w:lang w:val="en-US"/>
        </w:rPr>
        <w:t xml:space="preserve"> The value in 1982 following this procedure is very close to that calculated from the DANE household surveys</w:t>
      </w:r>
      <w:r w:rsidR="008A63E2" w:rsidRPr="00B21CBF">
        <w:rPr>
          <w:lang w:val="en-US"/>
        </w:rPr>
        <w:t xml:space="preserve"> for workers with 6 to 10 years of education</w:t>
      </w:r>
      <w:r w:rsidR="00346859" w:rsidRPr="00B21CBF">
        <w:rPr>
          <w:lang w:val="en-US"/>
        </w:rPr>
        <w:t>.</w:t>
      </w:r>
    </w:p>
    <w:p w:rsidR="00914D0F" w:rsidRPr="00B21CBF" w:rsidRDefault="00BF5409" w:rsidP="00C40831">
      <w:pPr>
        <w:rPr>
          <w:lang w:val="en-US"/>
        </w:rPr>
      </w:pPr>
      <w:r w:rsidRPr="00B21CBF">
        <w:rPr>
          <w:lang w:val="en-US"/>
        </w:rPr>
        <w:t>1982</w:t>
      </w:r>
      <w:r w:rsidR="00914D0F" w:rsidRPr="00B21CBF">
        <w:rPr>
          <w:lang w:val="en-US"/>
        </w:rPr>
        <w:t>-2000</w:t>
      </w:r>
      <w:r w:rsidR="005F721B" w:rsidRPr="00B21CBF">
        <w:rPr>
          <w:lang w:val="en-US"/>
        </w:rPr>
        <w:t>: as in period 1977</w:t>
      </w:r>
      <w:r w:rsidR="00762687" w:rsidRPr="00B21CBF">
        <w:rPr>
          <w:lang w:val="en-US"/>
        </w:rPr>
        <w:t>-1982</w:t>
      </w:r>
      <w:r w:rsidR="00762687" w:rsidRPr="00B21CBF">
        <w:t>.</w:t>
      </w:r>
    </w:p>
    <w:p w:rsidR="00C40831" w:rsidRPr="00B21CBF" w:rsidRDefault="009369EA" w:rsidP="00C40831">
      <w:pPr>
        <w:rPr>
          <w:lang w:val="en-US"/>
        </w:rPr>
      </w:pPr>
      <w:r>
        <w:rPr>
          <w:lang w:val="en-US"/>
        </w:rPr>
        <w:t>2000</w:t>
      </w:r>
      <w:r w:rsidR="00C40831" w:rsidRPr="00B21CBF">
        <w:rPr>
          <w:lang w:val="en-US"/>
        </w:rPr>
        <w:t>-2004:</w:t>
      </w:r>
      <w:r w:rsidR="003F0D79">
        <w:rPr>
          <w:lang w:val="en-US"/>
        </w:rPr>
        <w:t xml:space="preserve"> real average wage</w:t>
      </w:r>
      <w:r w:rsidR="0061018A" w:rsidRPr="00B21CBF">
        <w:rPr>
          <w:lang w:val="en-US"/>
        </w:rPr>
        <w:t xml:space="preserve"> in</w:t>
      </w:r>
      <w:r w:rsidR="00C40831" w:rsidRPr="00B21CBF">
        <w:rPr>
          <w:lang w:val="en-US"/>
        </w:rPr>
        <w:t xml:space="preserve"> construction</w:t>
      </w:r>
      <w:r w:rsidR="0061018A" w:rsidRPr="00B21CBF">
        <w:rPr>
          <w:lang w:val="en-US"/>
        </w:rPr>
        <w:t xml:space="preserve"> and commerce</w:t>
      </w:r>
      <w:r w:rsidR="00C40831" w:rsidRPr="00B21CBF">
        <w:rPr>
          <w:lang w:val="en-US"/>
        </w:rPr>
        <w:t xml:space="preserve"> from Urrutia and Ruiz (2010).</w:t>
      </w:r>
    </w:p>
    <w:p w:rsidR="00C40831" w:rsidRPr="00B21CBF" w:rsidRDefault="009369EA" w:rsidP="00C40831">
      <w:pPr>
        <w:rPr>
          <w:lang w:val="en-US"/>
        </w:rPr>
      </w:pPr>
      <w:r>
        <w:rPr>
          <w:lang w:val="en-US"/>
        </w:rPr>
        <w:t>2004</w:t>
      </w:r>
      <w:r w:rsidR="00C40831" w:rsidRPr="00B21CBF">
        <w:rPr>
          <w:lang w:val="en-US"/>
        </w:rPr>
        <w:t>-2011: real average wage index (2000=100) from ECLAC</w:t>
      </w:r>
      <w:r w:rsidR="004C3A59">
        <w:rPr>
          <w:lang w:val="en-US"/>
        </w:rPr>
        <w:t xml:space="preserve"> website</w:t>
      </w:r>
      <w:r w:rsidR="00C40831" w:rsidRPr="00B21CBF">
        <w:rPr>
          <w:lang w:val="en-US"/>
        </w:rPr>
        <w:t xml:space="preserve">. </w:t>
      </w:r>
    </w:p>
    <w:p w:rsidR="00C40831" w:rsidRPr="00B21CBF" w:rsidRDefault="00C40831" w:rsidP="00C40831">
      <w:pPr>
        <w:rPr>
          <w:lang w:val="en-US"/>
        </w:rPr>
      </w:pPr>
    </w:p>
    <w:p w:rsidR="00C40831" w:rsidRPr="00B21CBF" w:rsidRDefault="00DA263B" w:rsidP="00C40831">
      <w:pPr>
        <w:rPr>
          <w:i/>
          <w:lang w:val="en-US"/>
        </w:rPr>
      </w:pPr>
      <w:r w:rsidRPr="00B21CBF">
        <w:rPr>
          <w:i/>
        </w:rPr>
        <w:t>Skilled labour (w</w:t>
      </w:r>
      <w:r w:rsidRPr="00B21CBF">
        <w:rPr>
          <w:i/>
          <w:vertAlign w:val="subscript"/>
        </w:rPr>
        <w:t>2</w:t>
      </w:r>
      <w:r w:rsidRPr="00B21CBF">
        <w:rPr>
          <w:i/>
        </w:rPr>
        <w:t>)</w:t>
      </w:r>
      <w:r w:rsidRPr="00B21CBF">
        <w:rPr>
          <w:i/>
          <w:lang w:val="en-US"/>
        </w:rPr>
        <w:t>:</w:t>
      </w:r>
    </w:p>
    <w:p w:rsidR="00C40831" w:rsidRPr="00B21CBF" w:rsidRDefault="00685AA2" w:rsidP="00C40831">
      <w:pPr>
        <w:rPr>
          <w:lang w:val="en-US"/>
        </w:rPr>
      </w:pPr>
      <w:r>
        <w:rPr>
          <w:lang w:val="en-US"/>
        </w:rPr>
        <w:t>1900-05</w:t>
      </w:r>
      <w:r w:rsidR="00C40831" w:rsidRPr="00B21CBF">
        <w:rPr>
          <w:lang w:val="en-US"/>
        </w:rPr>
        <w:t xml:space="preserve">: </w:t>
      </w:r>
      <w:r w:rsidR="00126F17" w:rsidRPr="00B21CBF">
        <w:rPr>
          <w:lang w:val="en-US"/>
        </w:rPr>
        <w:t>grows in line with real GDP per capita (B</w:t>
      </w:r>
      <w:r w:rsidR="00126F17" w:rsidRPr="00B21CBF">
        <w:t>értola and Ocampo, 2012)</w:t>
      </w:r>
      <w:r w:rsidR="00C40831" w:rsidRPr="00B21CBF">
        <w:rPr>
          <w:lang w:val="en-US"/>
        </w:rPr>
        <w:t>.</w:t>
      </w:r>
    </w:p>
    <w:p w:rsidR="00C40831" w:rsidRPr="00B21CBF" w:rsidRDefault="00685AA2" w:rsidP="00C40831">
      <w:pPr>
        <w:rPr>
          <w:lang w:val="en-US"/>
        </w:rPr>
      </w:pPr>
      <w:r>
        <w:t>1905-28</w:t>
      </w:r>
      <w:r w:rsidR="00C40831" w:rsidRPr="00B21CBF">
        <w:t>:</w:t>
      </w:r>
      <w:r w:rsidR="00C40831" w:rsidRPr="00B21CBF">
        <w:rPr>
          <w:lang w:val="en-US"/>
        </w:rPr>
        <w:t xml:space="preserve"> nominal wages for relatively skilled workers in the public sector from</w:t>
      </w:r>
      <w:r w:rsidR="00A81A2A" w:rsidRPr="00B21CBF">
        <w:rPr>
          <w:lang w:val="en-US"/>
        </w:rPr>
        <w:t xml:space="preserve"> López Uribe (2008). This average includes</w:t>
      </w:r>
      <w:r w:rsidR="007C3A9D" w:rsidRPr="00B21CBF">
        <w:rPr>
          <w:lang w:val="en-US"/>
        </w:rPr>
        <w:t xml:space="preserve"> wages for clerical positions</w:t>
      </w:r>
      <w:r w:rsidR="00C40831" w:rsidRPr="00B21CBF">
        <w:rPr>
          <w:lang w:val="en-US"/>
        </w:rPr>
        <w:t xml:space="preserve"> at the local and national government (</w:t>
      </w:r>
      <w:r w:rsidR="004556A6" w:rsidRPr="00B21CBF">
        <w:rPr>
          <w:lang w:val="en-US"/>
        </w:rPr>
        <w:t>cashiers</w:t>
      </w:r>
      <w:r w:rsidR="00C40831" w:rsidRPr="00B21CBF">
        <w:rPr>
          <w:lang w:val="en-US"/>
        </w:rPr>
        <w:t xml:space="preserve">, </w:t>
      </w:r>
      <w:r w:rsidR="004556A6" w:rsidRPr="00B21CBF">
        <w:rPr>
          <w:lang w:val="en-US"/>
        </w:rPr>
        <w:t>scribers, and</w:t>
      </w:r>
      <w:r w:rsidR="00C40831" w:rsidRPr="00B21CBF">
        <w:rPr>
          <w:lang w:val="en-US"/>
        </w:rPr>
        <w:t xml:space="preserve"> </w:t>
      </w:r>
      <w:r w:rsidR="007C3A9D" w:rsidRPr="00B21CBF">
        <w:rPr>
          <w:lang w:val="en-US"/>
        </w:rPr>
        <w:t>senior officials</w:t>
      </w:r>
      <w:r w:rsidR="007C3A9D" w:rsidRPr="00B21CBF">
        <w:rPr>
          <w:i/>
          <w:lang w:val="en-US"/>
        </w:rPr>
        <w:t xml:space="preserve"> - </w:t>
      </w:r>
      <w:r w:rsidR="00C40831" w:rsidRPr="00B21CBF">
        <w:rPr>
          <w:i/>
          <w:lang w:val="en-US"/>
        </w:rPr>
        <w:t>official mayor</w:t>
      </w:r>
      <w:r w:rsidR="00C40831" w:rsidRPr="00B21CBF">
        <w:rPr>
          <w:lang w:val="en-US"/>
        </w:rPr>
        <w:t xml:space="preserve">). </w:t>
      </w:r>
    </w:p>
    <w:p w:rsidR="00C40831" w:rsidRPr="00B21CBF" w:rsidRDefault="00482E4D" w:rsidP="00C40831">
      <w:pPr>
        <w:rPr>
          <w:lang w:val="en-US"/>
        </w:rPr>
      </w:pPr>
      <w:r w:rsidRPr="00B21CBF">
        <w:rPr>
          <w:lang w:val="en-US"/>
        </w:rPr>
        <w:t>1928</w:t>
      </w:r>
      <w:r w:rsidR="00685AA2">
        <w:rPr>
          <w:lang w:val="en-US"/>
        </w:rPr>
        <w:t>-62</w:t>
      </w:r>
      <w:r w:rsidR="00C40831" w:rsidRPr="00B21CBF">
        <w:rPr>
          <w:lang w:val="en-US"/>
        </w:rPr>
        <w:t xml:space="preserve">: Average real wage in industry from Echavarría (1999). </w:t>
      </w:r>
      <w:r w:rsidR="00F12DD1" w:rsidRPr="00B21CBF">
        <w:rPr>
          <w:lang w:val="en-US"/>
        </w:rPr>
        <w:t xml:space="preserve">This series includes </w:t>
      </w:r>
      <w:r w:rsidR="00C40831" w:rsidRPr="00B21CBF">
        <w:rPr>
          <w:lang w:val="en-US"/>
        </w:rPr>
        <w:t>three</w:t>
      </w:r>
      <w:r w:rsidR="00F12DD1" w:rsidRPr="00B21CBF">
        <w:rPr>
          <w:lang w:val="en-US"/>
        </w:rPr>
        <w:t xml:space="preserve"> sectors: cement (men), textiles (women) and tabacco</w:t>
      </w:r>
      <w:r w:rsidR="00C40831" w:rsidRPr="00B21CBF">
        <w:rPr>
          <w:lang w:val="en-US"/>
        </w:rPr>
        <w:t xml:space="preserve"> (men). </w:t>
      </w:r>
      <w:r w:rsidR="00F12DD1" w:rsidRPr="00B21CBF">
        <w:rPr>
          <w:lang w:val="en-US"/>
        </w:rPr>
        <w:t>In 1938-1939 only data on cement and tabacco is included to avoid a step change in the textile series</w:t>
      </w:r>
      <w:r w:rsidR="00C40831" w:rsidRPr="00B21CBF">
        <w:rPr>
          <w:lang w:val="en-US"/>
        </w:rPr>
        <w:t>.</w:t>
      </w:r>
    </w:p>
    <w:p w:rsidR="00C40831" w:rsidRPr="00B21CBF" w:rsidRDefault="00587948" w:rsidP="00C40831">
      <w:pPr>
        <w:rPr>
          <w:lang w:val="en-US"/>
        </w:rPr>
      </w:pPr>
      <w:r w:rsidRPr="00B21CBF">
        <w:rPr>
          <w:lang w:val="en-US"/>
        </w:rPr>
        <w:t>1962</w:t>
      </w:r>
      <w:r w:rsidR="00685AA2">
        <w:rPr>
          <w:lang w:val="en-US"/>
        </w:rPr>
        <w:t>-65</w:t>
      </w:r>
      <w:r w:rsidR="00C40831" w:rsidRPr="00B21CBF">
        <w:rPr>
          <w:lang w:val="en-US"/>
        </w:rPr>
        <w:t>: average hourly earnings in manufacturing from Mitchell (2003).</w:t>
      </w:r>
    </w:p>
    <w:p w:rsidR="00C40831" w:rsidRPr="00B21CBF" w:rsidRDefault="00C40831" w:rsidP="00C40831">
      <w:pPr>
        <w:rPr>
          <w:lang w:val="en-US"/>
        </w:rPr>
      </w:pPr>
      <w:r w:rsidRPr="00B21CBF">
        <w:rPr>
          <w:lang w:val="en-US"/>
        </w:rPr>
        <w:t>1965-80: average real wage in manufacturing at national level from PREALC</w:t>
      </w:r>
      <w:r w:rsidR="004C3A59">
        <w:rPr>
          <w:lang w:val="en-US"/>
        </w:rPr>
        <w:t xml:space="preserve"> (1982)</w:t>
      </w:r>
      <w:r w:rsidRPr="00B21CBF">
        <w:rPr>
          <w:lang w:val="en-US"/>
        </w:rPr>
        <w:t>.</w:t>
      </w:r>
    </w:p>
    <w:p w:rsidR="00C40831" w:rsidRPr="00B21CBF" w:rsidRDefault="00A81A2A" w:rsidP="00C40831">
      <w:pPr>
        <w:rPr>
          <w:lang w:val="en-US"/>
        </w:rPr>
      </w:pPr>
      <w:r w:rsidRPr="00B21CBF">
        <w:rPr>
          <w:lang w:val="en-US"/>
        </w:rPr>
        <w:t>*</w:t>
      </w:r>
      <w:r w:rsidR="00C40831" w:rsidRPr="00B21CBF">
        <w:rPr>
          <w:lang w:val="en-US"/>
        </w:rPr>
        <w:t>1980 (</w:t>
      </w:r>
      <w:r w:rsidR="001A7C78" w:rsidRPr="00B21CBF">
        <w:rPr>
          <w:lang w:val="en-US"/>
        </w:rPr>
        <w:t xml:space="preserve">in levels, </w:t>
      </w:r>
      <w:r w:rsidR="00C40831" w:rsidRPr="00B21CBF">
        <w:rPr>
          <w:lang w:val="en-US"/>
        </w:rPr>
        <w:t xml:space="preserve">circa values): monthly </w:t>
      </w:r>
      <w:r w:rsidR="004F0FBF">
        <w:rPr>
          <w:lang w:val="en-US"/>
        </w:rPr>
        <w:t>average</w:t>
      </w:r>
      <w:r w:rsidR="00C40831" w:rsidRPr="00B21CBF">
        <w:rPr>
          <w:lang w:val="en-US"/>
        </w:rPr>
        <w:t xml:space="preserve"> salary for bank tellers and clerks (stock record) from ILO</w:t>
      </w:r>
      <w:r w:rsidR="001A7C78" w:rsidRPr="00B21CBF">
        <w:rPr>
          <w:lang w:val="en-US"/>
        </w:rPr>
        <w:t>/OI2.</w:t>
      </w:r>
    </w:p>
    <w:p w:rsidR="00C40831" w:rsidRPr="00B21CBF" w:rsidRDefault="00C40831" w:rsidP="00C40831">
      <w:r w:rsidRPr="00B21CBF">
        <w:rPr>
          <w:lang w:val="en-US"/>
        </w:rPr>
        <w:t>1980-2005: average real wage in manufacturing from Urrutia and Ruiz (2010).</w:t>
      </w:r>
    </w:p>
    <w:p w:rsidR="00C40831" w:rsidRPr="00B21CBF" w:rsidRDefault="00685AA2" w:rsidP="00C40831">
      <w:r>
        <w:t>2005</w:t>
      </w:r>
      <w:r w:rsidR="00C40831" w:rsidRPr="00B21CBF">
        <w:t>-2011:  index of average wages in manufacturing (including coffee processing) from DANE</w:t>
      </w:r>
      <w:r w:rsidR="00AD339C">
        <w:t xml:space="preserve"> website</w:t>
      </w:r>
      <w:r w:rsidR="00C40831" w:rsidRPr="00B21CBF">
        <w:t>.</w:t>
      </w:r>
    </w:p>
    <w:p w:rsidR="00C40831" w:rsidRPr="00B21CBF" w:rsidRDefault="00C40831" w:rsidP="00C40831"/>
    <w:p w:rsidR="00C40831" w:rsidRPr="00B21CBF" w:rsidRDefault="00C40831" w:rsidP="00C40831">
      <w:pPr>
        <w:rPr>
          <w:lang w:val="en-US"/>
        </w:rPr>
      </w:pPr>
      <w:r w:rsidRPr="00B21CBF">
        <w:rPr>
          <w:i/>
          <w:lang w:val="en-US"/>
        </w:rPr>
        <w:t>Deflators</w:t>
      </w:r>
      <w:r w:rsidR="001A7C78" w:rsidRPr="00B21CBF">
        <w:rPr>
          <w:i/>
          <w:lang w:val="en-US"/>
        </w:rPr>
        <w:t>:</w:t>
      </w:r>
    </w:p>
    <w:p w:rsidR="00C40831" w:rsidRPr="00B21CBF" w:rsidRDefault="00674732" w:rsidP="00C40831">
      <w:pPr>
        <w:rPr>
          <w:lang w:val="en-US"/>
        </w:rPr>
      </w:pPr>
      <w:r>
        <w:rPr>
          <w:lang w:val="en-US"/>
        </w:rPr>
        <w:t>1900-1905</w:t>
      </w:r>
      <w:r w:rsidR="00C40831" w:rsidRPr="00B21CBF">
        <w:rPr>
          <w:lang w:val="en-US"/>
        </w:rPr>
        <w:t xml:space="preserve">: </w:t>
      </w:r>
      <w:r w:rsidR="002E2029" w:rsidRPr="00B21CBF">
        <w:rPr>
          <w:lang w:val="en-US"/>
        </w:rPr>
        <w:t xml:space="preserve">CPI </w:t>
      </w:r>
      <w:r w:rsidR="00DD1636" w:rsidRPr="00B21CBF">
        <w:rPr>
          <w:lang w:val="en-US"/>
        </w:rPr>
        <w:t>inflation estimates</w:t>
      </w:r>
      <w:r w:rsidR="00C40831" w:rsidRPr="00B21CBF">
        <w:rPr>
          <w:lang w:val="en-US"/>
        </w:rPr>
        <w:t xml:space="preserve"> from López Mejía (1990).</w:t>
      </w:r>
    </w:p>
    <w:p w:rsidR="00C40831" w:rsidRPr="00B21CBF" w:rsidRDefault="00674732" w:rsidP="00C40831">
      <w:pPr>
        <w:rPr>
          <w:lang w:val="en-US"/>
        </w:rPr>
      </w:pPr>
      <w:r>
        <w:rPr>
          <w:lang w:val="en-US"/>
        </w:rPr>
        <w:t>1905-1950</w:t>
      </w:r>
      <w:r w:rsidR="00C40831" w:rsidRPr="00B21CBF">
        <w:rPr>
          <w:lang w:val="en-US"/>
        </w:rPr>
        <w:t>: CPI for Bogotá from López Uribe (2008).</w:t>
      </w:r>
    </w:p>
    <w:p w:rsidR="00C40831" w:rsidRDefault="00C40831" w:rsidP="00C40831">
      <w:pPr>
        <w:rPr>
          <w:lang w:val="es-ES"/>
        </w:rPr>
      </w:pPr>
      <w:r w:rsidRPr="00B21CBF">
        <w:rPr>
          <w:lang w:val="es-ES"/>
        </w:rPr>
        <w:t xml:space="preserve">1950-2011: </w:t>
      </w:r>
      <w:r w:rsidRPr="006D0CD8">
        <w:rPr>
          <w:lang w:val="es-ES"/>
        </w:rPr>
        <w:t>CPI from</w:t>
      </w:r>
      <w:r w:rsidRPr="00B21CBF">
        <w:rPr>
          <w:lang w:val="es-ES"/>
        </w:rPr>
        <w:t xml:space="preserve"> Banco de la República</w:t>
      </w:r>
      <w:r w:rsidR="000F232C">
        <w:rPr>
          <w:lang w:val="es-ES"/>
        </w:rPr>
        <w:t xml:space="preserve"> website</w:t>
      </w:r>
      <w:r w:rsidRPr="00B21CBF">
        <w:rPr>
          <w:lang w:val="es-ES"/>
        </w:rPr>
        <w:t xml:space="preserve">. </w:t>
      </w:r>
    </w:p>
    <w:p w:rsidR="00603A40" w:rsidRPr="00B21CBF" w:rsidRDefault="00603A40" w:rsidP="00C40831">
      <w:pPr>
        <w:rPr>
          <w:lang w:val="es-ES"/>
        </w:rPr>
      </w:pPr>
    </w:p>
    <w:p w:rsidR="009B5C85" w:rsidRPr="003F2C16" w:rsidRDefault="009B5C85" w:rsidP="003F2C16">
      <w:pPr>
        <w:spacing w:before="100"/>
        <w:rPr>
          <w:b/>
          <w:sz w:val="26"/>
          <w:szCs w:val="26"/>
        </w:rPr>
      </w:pPr>
      <w:r w:rsidRPr="003F2C16">
        <w:rPr>
          <w:b/>
          <w:sz w:val="26"/>
          <w:szCs w:val="26"/>
        </w:rPr>
        <w:t xml:space="preserve">Mexico </w:t>
      </w:r>
    </w:p>
    <w:p w:rsidR="00DA263B" w:rsidRPr="00B21CBF" w:rsidRDefault="00DA263B" w:rsidP="003F2C16">
      <w:pPr>
        <w:spacing w:before="100"/>
        <w:rPr>
          <w:i/>
        </w:rPr>
      </w:pPr>
      <w:r w:rsidRPr="00B21CBF">
        <w:rPr>
          <w:i/>
        </w:rPr>
        <w:t>Unskilled wages (w</w:t>
      </w:r>
      <w:r w:rsidRPr="00B21CBF">
        <w:rPr>
          <w:i/>
          <w:vertAlign w:val="subscript"/>
        </w:rPr>
        <w:t>4</w:t>
      </w:r>
      <w:r w:rsidRPr="00B21CBF">
        <w:rPr>
          <w:i/>
        </w:rPr>
        <w:t xml:space="preserve">): </w:t>
      </w:r>
    </w:p>
    <w:p w:rsidR="00C40831" w:rsidRPr="00B21CBF" w:rsidRDefault="0032451C" w:rsidP="00C40831">
      <w:r>
        <w:t>1900-11</w:t>
      </w:r>
      <w:r w:rsidR="00C40831" w:rsidRPr="00B21CBF">
        <w:t>:</w:t>
      </w:r>
      <w:r w:rsidR="00316D65" w:rsidRPr="00B21CBF">
        <w:t xml:space="preserve"> </w:t>
      </w:r>
      <w:r>
        <w:t>wages of</w:t>
      </w:r>
      <w:r w:rsidR="00316D65" w:rsidRPr="004F01F2">
        <w:t xml:space="preserve"> urban servants and rural day workers </w:t>
      </w:r>
      <w:r w:rsidR="00B40A29" w:rsidRPr="004F01F2">
        <w:t xml:space="preserve">in pesos </w:t>
      </w:r>
      <w:r w:rsidR="00316D65" w:rsidRPr="004F01F2">
        <w:t>at 1900 prices sourc</w:t>
      </w:r>
      <w:r w:rsidR="00DA0A4F" w:rsidRPr="004F01F2">
        <w:t>ed from Arroyo and Astorga (</w:t>
      </w:r>
      <w:r w:rsidR="0088794E" w:rsidRPr="004F01F2">
        <w:t>2016</w:t>
      </w:r>
      <w:r w:rsidR="00316D65" w:rsidRPr="004F01F2">
        <w:t>)</w:t>
      </w:r>
      <w:r w:rsidR="00C40831" w:rsidRPr="004F01F2">
        <w:t>.</w:t>
      </w:r>
      <w:r w:rsidR="00314860" w:rsidRPr="004F01F2">
        <w:t xml:space="preserve"> </w:t>
      </w:r>
      <w:bookmarkStart w:id="1" w:name="_Hlk488334172"/>
      <w:r w:rsidR="00314860" w:rsidRPr="004F01F2">
        <w:t xml:space="preserve">To express </w:t>
      </w:r>
      <w:r w:rsidR="00394FA0" w:rsidRPr="004F01F2">
        <w:t>the wages in PPP$ of 1970</w:t>
      </w:r>
      <w:r w:rsidR="005D354E">
        <w:t xml:space="preserve"> prices,</w:t>
      </w:r>
      <w:r w:rsidR="00394FA0" w:rsidRPr="004F01F2">
        <w:t xml:space="preserve"> I construct a </w:t>
      </w:r>
      <w:r w:rsidR="00314860" w:rsidRPr="004F01F2">
        <w:t xml:space="preserve">ratio of the wage paid </w:t>
      </w:r>
      <w:r w:rsidR="005D354E">
        <w:t xml:space="preserve">(expressed in </w:t>
      </w:r>
      <w:r w:rsidR="005F36E7">
        <w:t xml:space="preserve">current </w:t>
      </w:r>
      <w:r w:rsidR="005D354E">
        <w:t xml:space="preserve">US$) </w:t>
      </w:r>
      <w:r w:rsidR="00314860" w:rsidRPr="004F01F2">
        <w:t>to farm labourers</w:t>
      </w:r>
      <w:r w:rsidR="00314860" w:rsidRPr="00B21CBF">
        <w:t xml:space="preserve"> around 1900 (</w:t>
      </w:r>
      <w:r w:rsidR="00214B3F" w:rsidRPr="00214B3F">
        <w:t>United Sta</w:t>
      </w:r>
      <w:r w:rsidR="00214B3F">
        <w:t xml:space="preserve">tes Department of Labor, </w:t>
      </w:r>
      <w:r w:rsidR="00214B3F" w:rsidRPr="00214B3F">
        <w:t>1900</w:t>
      </w:r>
      <w:r w:rsidR="00394FA0" w:rsidRPr="00B21CBF">
        <w:t>) in Mexico</w:t>
      </w:r>
      <w:r w:rsidR="00314860" w:rsidRPr="00B21CBF">
        <w:t xml:space="preserve"> to the average </w:t>
      </w:r>
      <w:r w:rsidR="00E027B2" w:rsidRPr="00B21CBF">
        <w:t xml:space="preserve">wage </w:t>
      </w:r>
      <w:r w:rsidR="00314860" w:rsidRPr="00B21CBF">
        <w:t>of the remaining fiv</w:t>
      </w:r>
      <w:r w:rsidR="00F30AE0" w:rsidRPr="00B21CBF">
        <w:t>e countries in my sample (LA-5)</w:t>
      </w:r>
      <w:r w:rsidR="005D354E">
        <w:t xml:space="preserve"> from the same source</w:t>
      </w:r>
      <w:r w:rsidR="00F30AE0" w:rsidRPr="00B21CBF">
        <w:t>;</w:t>
      </w:r>
      <w:r w:rsidR="00314860" w:rsidRPr="00B21CBF">
        <w:t xml:space="preserve"> </w:t>
      </w:r>
      <w:r w:rsidR="00FA0941">
        <w:t>and then apply this ratio to my</w:t>
      </w:r>
      <w:r w:rsidR="00314860" w:rsidRPr="00B21CBF">
        <w:t xml:space="preserve"> average unskilled wage</w:t>
      </w:r>
      <w:r w:rsidR="00E027B2" w:rsidRPr="00B21CBF">
        <w:t xml:space="preserve"> in PPP$ of 1970</w:t>
      </w:r>
      <w:r w:rsidR="005D354E">
        <w:t xml:space="preserve"> prices</w:t>
      </w:r>
      <w:r w:rsidR="00314860" w:rsidRPr="00B21CBF">
        <w:t xml:space="preserve"> in the LA-5 circa </w:t>
      </w:r>
      <w:r w:rsidR="00314860" w:rsidRPr="00FA715F">
        <w:t xml:space="preserve">1900. </w:t>
      </w:r>
      <w:r w:rsidR="00187076" w:rsidRPr="00FA715F">
        <w:t xml:space="preserve">I then use the rate of growth of the Arroyo and Astorga’ series to </w:t>
      </w:r>
      <w:r w:rsidR="00D067D8" w:rsidRPr="00FA715F">
        <w:t>complete the estimation to 1911</w:t>
      </w:r>
      <w:r w:rsidR="00187076" w:rsidRPr="00FA715F">
        <w:t xml:space="preserve">. </w:t>
      </w:r>
      <w:bookmarkStart w:id="2" w:name="_Hlk488335078"/>
      <w:r w:rsidR="00940A69" w:rsidRPr="00FA715F">
        <w:t xml:space="preserve">Note that the </w:t>
      </w:r>
      <w:r w:rsidR="005F36E7" w:rsidRPr="00FA715F">
        <w:t xml:space="preserve">estimation in </w:t>
      </w:r>
      <w:r w:rsidR="00940A69" w:rsidRPr="00FA715F">
        <w:t>this period</w:t>
      </w:r>
      <w:r w:rsidR="005F36E7" w:rsidRPr="00FA715F">
        <w:t xml:space="preserve"> is</w:t>
      </w:r>
      <w:r w:rsidR="00E04F3A" w:rsidRPr="00FA715F">
        <w:t xml:space="preserve"> not fully comparable w</w:t>
      </w:r>
      <w:r w:rsidR="005D354E" w:rsidRPr="00FA715F">
        <w:t>ith that</w:t>
      </w:r>
      <w:r w:rsidR="00E04F3A" w:rsidRPr="00FA715F">
        <w:t xml:space="preserve"> after 1921.</w:t>
      </w:r>
      <w:bookmarkEnd w:id="1"/>
      <w:bookmarkEnd w:id="2"/>
    </w:p>
    <w:p w:rsidR="00C40831" w:rsidRPr="00B21CBF" w:rsidRDefault="00196F11" w:rsidP="00C40831">
      <w:r>
        <w:t>1921-35</w:t>
      </w:r>
      <w:r w:rsidR="00C40831" w:rsidRPr="00B21CBF">
        <w:t xml:space="preserve">: daily nominal minimum wage in agriculture from </w:t>
      </w:r>
      <w:r w:rsidR="00B93102" w:rsidRPr="00B21CBF">
        <w:t>INEGI (</w:t>
      </w:r>
      <w:r w:rsidR="00D128A2" w:rsidRPr="00B21CBF">
        <w:t>1990)</w:t>
      </w:r>
      <w:r w:rsidR="00C40831" w:rsidRPr="00B21CBF">
        <w:t xml:space="preserve">. </w:t>
      </w:r>
    </w:p>
    <w:p w:rsidR="00C40831" w:rsidRPr="00B21CBF" w:rsidRDefault="00C40831" w:rsidP="00C40831">
      <w:pPr>
        <w:rPr>
          <w:lang w:val="en-US"/>
        </w:rPr>
      </w:pPr>
      <w:r w:rsidRPr="00B21CBF">
        <w:rPr>
          <w:lang w:val="en-US"/>
        </w:rPr>
        <w:t>19</w:t>
      </w:r>
      <w:r w:rsidR="00BC4212" w:rsidRPr="00B21CBF">
        <w:rPr>
          <w:lang w:val="en-US"/>
        </w:rPr>
        <w:t>35</w:t>
      </w:r>
      <w:r w:rsidR="00CC4163" w:rsidRPr="00B21CBF">
        <w:rPr>
          <w:lang w:val="en-US"/>
        </w:rPr>
        <w:t>-40</w:t>
      </w:r>
      <w:r w:rsidRPr="00B21CBF">
        <w:rPr>
          <w:lang w:val="en-US"/>
        </w:rPr>
        <w:t xml:space="preserve">: minimum nominal wage for regular day workers in agriculture from Mitchell (2003). </w:t>
      </w:r>
    </w:p>
    <w:p w:rsidR="00CC4163" w:rsidRPr="00B21CBF" w:rsidRDefault="00CC4163" w:rsidP="00CC4163">
      <w:pPr>
        <w:rPr>
          <w:lang w:val="en-US"/>
        </w:rPr>
      </w:pPr>
      <w:r w:rsidRPr="00B21CBF">
        <w:rPr>
          <w:lang w:val="en-US"/>
        </w:rPr>
        <w:t>19</w:t>
      </w:r>
      <w:r w:rsidR="00196F11">
        <w:rPr>
          <w:lang w:val="en-US"/>
        </w:rPr>
        <w:t>40</w:t>
      </w:r>
      <w:r w:rsidRPr="00B21CBF">
        <w:rPr>
          <w:lang w:val="en-US"/>
        </w:rPr>
        <w:t>-65: a weighted average of two series: i) minimum nominal wage for regular day workers in agric</w:t>
      </w:r>
      <w:r w:rsidR="009C586E" w:rsidRPr="00B21CBF">
        <w:rPr>
          <w:lang w:val="en-US"/>
        </w:rPr>
        <w:t>ulture from Mitchell (2003); and</w:t>
      </w:r>
      <w:r w:rsidRPr="00B21CBF">
        <w:rPr>
          <w:lang w:val="en-US"/>
        </w:rPr>
        <w:t xml:space="preserve"> </w:t>
      </w:r>
      <w:r w:rsidR="009C586E" w:rsidRPr="00B21CBF">
        <w:rPr>
          <w:lang w:val="en-US"/>
        </w:rPr>
        <w:t xml:space="preserve">ii) the average of unskilled wages in four industries (construction, textiles, electricity, city council) from ILO/OI1. </w:t>
      </w:r>
      <w:r w:rsidR="000141FF" w:rsidRPr="00B21CBF">
        <w:rPr>
          <w:lang w:val="en-US"/>
        </w:rPr>
        <w:t xml:space="preserve">The data points are 1940-43, 1946, 1949, 1955, 1957-58, 1964-65. Otherwise interpolated. </w:t>
      </w:r>
      <w:r w:rsidR="00617B9D" w:rsidRPr="00B21CBF">
        <w:rPr>
          <w:lang w:val="en-US"/>
        </w:rPr>
        <w:t>To estimates the weights</w:t>
      </w:r>
      <w:r w:rsidR="00B93102" w:rsidRPr="00B21CBF">
        <w:rPr>
          <w:lang w:val="en-US"/>
        </w:rPr>
        <w:t>,</w:t>
      </w:r>
      <w:r w:rsidR="00617B9D" w:rsidRPr="00B21CBF">
        <w:rPr>
          <w:lang w:val="en-US"/>
        </w:rPr>
        <w:t xml:space="preserve"> I adjust the </w:t>
      </w:r>
      <w:r w:rsidR="004F2FC7">
        <w:rPr>
          <w:i/>
          <w:lang w:val="en-US"/>
        </w:rPr>
        <w:t>RU%</w:t>
      </w:r>
      <w:r w:rsidR="00617B9D" w:rsidRPr="00B21CBF">
        <w:rPr>
          <w:lang w:val="en-US"/>
        </w:rPr>
        <w:t xml:space="preserve"> in 1970 (see below) in line with changes in the </w:t>
      </w:r>
      <w:r w:rsidR="000E0E89" w:rsidRPr="00B21CBF">
        <w:rPr>
          <w:lang w:val="en-US"/>
        </w:rPr>
        <w:t xml:space="preserve">rural </w:t>
      </w:r>
      <w:r w:rsidR="00617B9D" w:rsidRPr="00B21CBF">
        <w:rPr>
          <w:lang w:val="en-US"/>
        </w:rPr>
        <w:t xml:space="preserve">population (this procedure results in a </w:t>
      </w:r>
      <w:r w:rsidR="004F2FC7">
        <w:rPr>
          <w:i/>
          <w:lang w:val="en-US"/>
        </w:rPr>
        <w:t>RU%</w:t>
      </w:r>
      <w:r w:rsidR="00617B9D" w:rsidRPr="00B21CBF">
        <w:rPr>
          <w:lang w:val="en-US"/>
        </w:rPr>
        <w:t xml:space="preserve"> in 1950 of 0.77)</w:t>
      </w:r>
      <w:r w:rsidR="009C586E" w:rsidRPr="00B21CBF">
        <w:rPr>
          <w:lang w:val="en-US"/>
        </w:rPr>
        <w:t>.</w:t>
      </w:r>
    </w:p>
    <w:p w:rsidR="00C40831" w:rsidRPr="00B21CBF" w:rsidRDefault="00C6263C" w:rsidP="00C40831">
      <w:pPr>
        <w:rPr>
          <w:lang w:val="en-US"/>
        </w:rPr>
      </w:pPr>
      <w:r w:rsidRPr="00B21CBF">
        <w:rPr>
          <w:lang w:val="en-US"/>
        </w:rPr>
        <w:t>*</w:t>
      </w:r>
      <w:r w:rsidR="00647C8B" w:rsidRPr="00B21CBF">
        <w:rPr>
          <w:lang w:val="en-US"/>
        </w:rPr>
        <w:t>1965-80</w:t>
      </w:r>
      <w:r w:rsidR="000E0E89" w:rsidRPr="00B21CBF">
        <w:rPr>
          <w:lang w:val="en-US"/>
        </w:rPr>
        <w:t xml:space="preserve"> (in levels)</w:t>
      </w:r>
      <w:r w:rsidR="00647C8B" w:rsidRPr="00B21CBF">
        <w:rPr>
          <w:lang w:val="en-US"/>
        </w:rPr>
        <w:t>: weighted</w:t>
      </w:r>
      <w:r w:rsidR="00C40831" w:rsidRPr="00B21CBF">
        <w:rPr>
          <w:lang w:val="en-US"/>
        </w:rPr>
        <w:t xml:space="preserve"> average of the minimum daily real wage in agriculture (national level) and the minimum urban real wage. Both series at pesos of 1970 from PREALC</w:t>
      </w:r>
      <w:r w:rsidR="00297900">
        <w:rPr>
          <w:lang w:val="en-US"/>
        </w:rPr>
        <w:t xml:space="preserve"> (1982)</w:t>
      </w:r>
      <w:r w:rsidR="00C40831" w:rsidRPr="00B21CBF">
        <w:rPr>
          <w:lang w:val="en-US"/>
        </w:rPr>
        <w:t>.</w:t>
      </w:r>
      <w:r w:rsidR="00647C8B" w:rsidRPr="00B21CBF">
        <w:rPr>
          <w:lang w:val="en-US"/>
        </w:rPr>
        <w:t xml:space="preserve"> </w:t>
      </w:r>
      <w:r w:rsidR="005A674A">
        <w:rPr>
          <w:lang w:val="en-US"/>
        </w:rPr>
        <w:t>The value of</w:t>
      </w:r>
      <w:r w:rsidR="00C36FB6" w:rsidRPr="00B21CBF">
        <w:rPr>
          <w:lang w:val="en-US"/>
        </w:rPr>
        <w:t xml:space="preserve"> </w:t>
      </w:r>
      <w:r w:rsidR="004F2FC7">
        <w:rPr>
          <w:i/>
          <w:lang w:val="en-US"/>
        </w:rPr>
        <w:t>RU%</w:t>
      </w:r>
      <w:r w:rsidR="00D5102F">
        <w:rPr>
          <w:lang w:val="en-US"/>
        </w:rPr>
        <w:t xml:space="preserve"> in 1970 is equal to</w:t>
      </w:r>
      <w:r w:rsidR="00C36FB6" w:rsidRPr="00B21CBF">
        <w:rPr>
          <w:lang w:val="en-US"/>
        </w:rPr>
        <w:t xml:space="preserve"> 0.69.</w:t>
      </w:r>
    </w:p>
    <w:p w:rsidR="00C40831" w:rsidRPr="00B21CBF" w:rsidRDefault="00647C8B" w:rsidP="00C40831">
      <w:pPr>
        <w:rPr>
          <w:lang w:val="en-US"/>
        </w:rPr>
      </w:pPr>
      <w:r w:rsidRPr="00B21CBF">
        <w:rPr>
          <w:lang w:val="en-US"/>
        </w:rPr>
        <w:lastRenderedPageBreak/>
        <w:t>1980-2000</w:t>
      </w:r>
      <w:r w:rsidR="00C40831" w:rsidRPr="00B21CBF">
        <w:rPr>
          <w:lang w:val="en-US"/>
        </w:rPr>
        <w:t xml:space="preserve">: </w:t>
      </w:r>
      <w:r w:rsidRPr="00B21CBF">
        <w:rPr>
          <w:lang w:val="en-US"/>
        </w:rPr>
        <w:t xml:space="preserve">weighted average of the </w:t>
      </w:r>
      <w:r w:rsidR="00C40831" w:rsidRPr="00B21CBF">
        <w:rPr>
          <w:lang w:val="en-US"/>
        </w:rPr>
        <w:t>minimum nominal wage for regular day workers in agriculture from Mitchell (2003)</w:t>
      </w:r>
      <w:r w:rsidRPr="00B21CBF">
        <w:rPr>
          <w:lang w:val="en-US"/>
        </w:rPr>
        <w:t xml:space="preserve"> and the minimum urban real wage from ECLAC</w:t>
      </w:r>
      <w:r w:rsidR="008465DA">
        <w:rPr>
          <w:lang w:val="en-US"/>
        </w:rPr>
        <w:t xml:space="preserve"> website</w:t>
      </w:r>
      <w:r w:rsidR="00F90323" w:rsidRPr="00B21CBF">
        <w:rPr>
          <w:lang w:val="en-US"/>
        </w:rPr>
        <w:t xml:space="preserve">. </w:t>
      </w:r>
      <w:r w:rsidR="00F90323" w:rsidRPr="00BC3CA7">
        <w:rPr>
          <w:lang w:val="en-US"/>
        </w:rPr>
        <w:t>Between 1980</w:t>
      </w:r>
      <w:r w:rsidR="00F90323" w:rsidRPr="00B21CBF">
        <w:rPr>
          <w:lang w:val="en-US"/>
        </w:rPr>
        <w:t xml:space="preserve"> and </w:t>
      </w:r>
      <w:r w:rsidR="009D6EB1" w:rsidRPr="00B21CBF">
        <w:rPr>
          <w:lang w:val="en-US"/>
        </w:rPr>
        <w:t xml:space="preserve">1982 </w:t>
      </w:r>
      <w:r w:rsidR="00F90323" w:rsidRPr="00B21CBF">
        <w:rPr>
          <w:lang w:val="en-US"/>
        </w:rPr>
        <w:t xml:space="preserve">it growth with series of unskilled workers in four sectors from ILO/OI1; between 1990 and </w:t>
      </w:r>
      <w:r w:rsidR="009D6EB1" w:rsidRPr="00B21CBF">
        <w:rPr>
          <w:lang w:val="en-US"/>
        </w:rPr>
        <w:t xml:space="preserve">2000 </w:t>
      </w:r>
      <w:r w:rsidR="00BC4212" w:rsidRPr="00B21CBF">
        <w:rPr>
          <w:lang w:val="en-US"/>
        </w:rPr>
        <w:t xml:space="preserve">the </w:t>
      </w:r>
      <w:r w:rsidR="00F90323" w:rsidRPr="00B21CBF">
        <w:rPr>
          <w:lang w:val="en-US"/>
        </w:rPr>
        <w:t>minimum</w:t>
      </w:r>
      <w:r w:rsidR="00BC4212" w:rsidRPr="00B21CBF">
        <w:rPr>
          <w:lang w:val="en-US"/>
        </w:rPr>
        <w:t xml:space="preserve"> rural wage grows</w:t>
      </w:r>
      <w:r w:rsidR="009D6EB1" w:rsidRPr="00B21CBF">
        <w:rPr>
          <w:lang w:val="en-US"/>
        </w:rPr>
        <w:t xml:space="preserve"> in line with the average real wage in agriculture from ECLAC</w:t>
      </w:r>
      <w:r w:rsidR="00297900">
        <w:rPr>
          <w:lang w:val="en-US"/>
        </w:rPr>
        <w:t xml:space="preserve"> website</w:t>
      </w:r>
      <w:r w:rsidR="009D6EB1" w:rsidRPr="00B21CBF">
        <w:rPr>
          <w:lang w:val="en-US"/>
        </w:rPr>
        <w:t xml:space="preserve">. </w:t>
      </w:r>
      <w:r w:rsidR="00617B9D" w:rsidRPr="00B21CBF">
        <w:rPr>
          <w:lang w:val="en-US"/>
        </w:rPr>
        <w:t>To estimates the weights</w:t>
      </w:r>
      <w:r w:rsidR="005A674A">
        <w:rPr>
          <w:lang w:val="en-US"/>
        </w:rPr>
        <w:t>,</w:t>
      </w:r>
      <w:r w:rsidR="00617B9D" w:rsidRPr="00B21CBF">
        <w:rPr>
          <w:lang w:val="en-US"/>
        </w:rPr>
        <w:t xml:space="preserve"> I adjust the </w:t>
      </w:r>
      <w:r w:rsidR="004F2FC7">
        <w:rPr>
          <w:i/>
          <w:lang w:val="en-US"/>
        </w:rPr>
        <w:t>RU%</w:t>
      </w:r>
      <w:r w:rsidR="00617B9D" w:rsidRPr="00B21CBF">
        <w:rPr>
          <w:lang w:val="en-US"/>
        </w:rPr>
        <w:t xml:space="preserve"> in 1970 in line with changes in the population in rural areas (this procedure results in a </w:t>
      </w:r>
      <w:r w:rsidR="004F2FC7">
        <w:rPr>
          <w:i/>
          <w:lang w:val="en-US"/>
        </w:rPr>
        <w:t>RU%</w:t>
      </w:r>
      <w:r w:rsidR="00617B9D" w:rsidRPr="00B21CBF">
        <w:rPr>
          <w:lang w:val="en-US"/>
        </w:rPr>
        <w:t xml:space="preserve"> in 1995 of 0.45).</w:t>
      </w:r>
    </w:p>
    <w:p w:rsidR="00C40831" w:rsidRPr="00B21CBF" w:rsidRDefault="00196F11" w:rsidP="00C40831">
      <w:pPr>
        <w:rPr>
          <w:lang w:val="en-US"/>
        </w:rPr>
      </w:pPr>
      <w:r>
        <w:rPr>
          <w:lang w:val="en-US"/>
        </w:rPr>
        <w:t>2000</w:t>
      </w:r>
      <w:r w:rsidR="00C40831" w:rsidRPr="00B21CBF">
        <w:rPr>
          <w:lang w:val="en-US"/>
        </w:rPr>
        <w:t xml:space="preserve">-2011: </w:t>
      </w:r>
      <w:r w:rsidR="007C6B9D" w:rsidRPr="00B21CBF">
        <w:rPr>
          <w:lang w:val="en-US"/>
        </w:rPr>
        <w:t>average m</w:t>
      </w:r>
      <w:r w:rsidR="007A56D5" w:rsidRPr="00B21CBF">
        <w:rPr>
          <w:lang w:val="en-US"/>
        </w:rPr>
        <w:t>onthly earnings (pesos of 2014</w:t>
      </w:r>
      <w:r w:rsidR="007C6B9D" w:rsidRPr="00B21CBF">
        <w:rPr>
          <w:lang w:val="en-US"/>
        </w:rPr>
        <w:t xml:space="preserve">) </w:t>
      </w:r>
      <w:r w:rsidR="005348AA" w:rsidRPr="00B21CBF">
        <w:rPr>
          <w:lang w:val="en-US"/>
        </w:rPr>
        <w:t>for workers with primary education or less; sourced from Campos et al. (2015).</w:t>
      </w:r>
    </w:p>
    <w:p w:rsidR="00C40831" w:rsidRPr="00B21CBF" w:rsidRDefault="00C40831" w:rsidP="00C40831">
      <w:pPr>
        <w:rPr>
          <w:lang w:val="en-US"/>
        </w:rPr>
      </w:pPr>
    </w:p>
    <w:p w:rsidR="00DA263B" w:rsidRPr="00B21CBF" w:rsidRDefault="00DA263B" w:rsidP="00DA263B">
      <w:pPr>
        <w:rPr>
          <w:i/>
          <w:lang w:val="en-US"/>
        </w:rPr>
      </w:pPr>
      <w:r w:rsidRPr="00B21CBF">
        <w:rPr>
          <w:i/>
          <w:lang w:val="en-US"/>
        </w:rPr>
        <w:t>Semi-skilled wages (</w:t>
      </w:r>
      <w:r w:rsidRPr="00B21CBF">
        <w:rPr>
          <w:i/>
        </w:rPr>
        <w:t>w</w:t>
      </w:r>
      <w:r w:rsidRPr="00B21CBF">
        <w:rPr>
          <w:i/>
          <w:vertAlign w:val="subscript"/>
        </w:rPr>
        <w:t>3</w:t>
      </w:r>
      <w:r w:rsidRPr="00B21CBF">
        <w:rPr>
          <w:i/>
        </w:rPr>
        <w:t>)</w:t>
      </w:r>
      <w:r w:rsidRPr="00B21CBF">
        <w:rPr>
          <w:i/>
          <w:lang w:val="en-US"/>
        </w:rPr>
        <w:t>:</w:t>
      </w:r>
    </w:p>
    <w:p w:rsidR="00E90677" w:rsidRPr="00FA715F" w:rsidRDefault="0032451C" w:rsidP="00C40831">
      <w:r>
        <w:rPr>
          <w:lang w:val="en-US"/>
        </w:rPr>
        <w:t>1900-11</w:t>
      </w:r>
      <w:r w:rsidR="00C40831" w:rsidRPr="00FA715F">
        <w:rPr>
          <w:lang w:val="en-US"/>
        </w:rPr>
        <w:t>:</w:t>
      </w:r>
      <w:r w:rsidR="00C40831" w:rsidRPr="00FA715F">
        <w:t xml:space="preserve"> </w:t>
      </w:r>
      <w:r w:rsidR="00F50529" w:rsidRPr="00FA715F">
        <w:t xml:space="preserve">the underlying series is </w:t>
      </w:r>
      <w:r w:rsidR="0055428B" w:rsidRPr="00FA715F">
        <w:t>wages of</w:t>
      </w:r>
      <w:r w:rsidR="00E90677" w:rsidRPr="00FA715F">
        <w:t xml:space="preserve"> masons</w:t>
      </w:r>
      <w:r w:rsidR="00B319BA" w:rsidRPr="00FA715F">
        <w:t xml:space="preserve"> in pesos at 1900 prices</w:t>
      </w:r>
      <w:r w:rsidR="00E90677" w:rsidRPr="00FA715F">
        <w:t xml:space="preserve"> from </w:t>
      </w:r>
      <w:bookmarkStart w:id="3" w:name="_Hlk488334275"/>
      <w:r w:rsidR="00E90677" w:rsidRPr="00FA715F">
        <w:t>Arroyo and Astorga (</w:t>
      </w:r>
      <w:r w:rsidR="0088794E" w:rsidRPr="00FA715F">
        <w:t>2016</w:t>
      </w:r>
      <w:r w:rsidR="00E90677" w:rsidRPr="00FA715F">
        <w:t>)</w:t>
      </w:r>
      <w:bookmarkEnd w:id="3"/>
      <w:r w:rsidR="00E90677" w:rsidRPr="00FA715F">
        <w:t>.</w:t>
      </w:r>
      <w:r w:rsidR="00F50529" w:rsidRPr="00FA715F">
        <w:t xml:space="preserve"> </w:t>
      </w:r>
      <w:bookmarkStart w:id="4" w:name="_Hlk488334805"/>
      <w:r w:rsidR="00F50529" w:rsidRPr="00FA715F">
        <w:t xml:space="preserve">To express the wages in PPP$ of 1970 prices, I apply the semi-skilled to unskilled wage ratio from this source to the estimated unskilled wage in PPP$ of 1970 prices (see above). </w:t>
      </w:r>
      <w:r w:rsidR="00940A69" w:rsidRPr="00FA715F">
        <w:t>Note that the estimation in this period is</w:t>
      </w:r>
      <w:r w:rsidR="00F50529" w:rsidRPr="00FA715F">
        <w:t xml:space="preserve"> not fully comparable with that after 1921.</w:t>
      </w:r>
      <w:bookmarkEnd w:id="4"/>
    </w:p>
    <w:p w:rsidR="00C40831" w:rsidRPr="00FA715F" w:rsidRDefault="00B62001" w:rsidP="00C40831">
      <w:pPr>
        <w:rPr>
          <w:lang w:val="en-US"/>
        </w:rPr>
      </w:pPr>
      <w:r w:rsidRPr="00FA715F">
        <w:rPr>
          <w:lang w:val="en-US"/>
        </w:rPr>
        <w:t>1921-34</w:t>
      </w:r>
      <w:r w:rsidR="00C40831" w:rsidRPr="00FA715F">
        <w:rPr>
          <w:lang w:val="en-US"/>
        </w:rPr>
        <w:t xml:space="preserve">: real wage series for Mexico from Williamson </w:t>
      </w:r>
      <w:r w:rsidR="00A72854" w:rsidRPr="00FA715F">
        <w:rPr>
          <w:lang w:val="en-US"/>
        </w:rPr>
        <w:t>(1998)</w:t>
      </w:r>
      <w:r w:rsidR="00C40831" w:rsidRPr="00FA715F">
        <w:rPr>
          <w:lang w:val="en-US"/>
        </w:rPr>
        <w:t>.</w:t>
      </w:r>
    </w:p>
    <w:p w:rsidR="00C40831" w:rsidRPr="00FA715F" w:rsidRDefault="00523139" w:rsidP="00C40831">
      <w:pPr>
        <w:rPr>
          <w:lang w:val="en-US"/>
        </w:rPr>
      </w:pPr>
      <w:r w:rsidRPr="00FA715F">
        <w:rPr>
          <w:lang w:val="en-US"/>
        </w:rPr>
        <w:t>193</w:t>
      </w:r>
      <w:r w:rsidR="00B62001" w:rsidRPr="00FA715F">
        <w:rPr>
          <w:lang w:val="en-US"/>
        </w:rPr>
        <w:t>4-1940</w:t>
      </w:r>
      <w:r w:rsidR="00AC42BC" w:rsidRPr="00FA715F">
        <w:rPr>
          <w:lang w:val="en-US"/>
        </w:rPr>
        <w:t xml:space="preserve">: </w:t>
      </w:r>
      <w:r w:rsidR="00C40831" w:rsidRPr="00FA715F">
        <w:rPr>
          <w:lang w:val="en-US"/>
        </w:rPr>
        <w:t>official minimum nominal wage from Wilkie (1974).</w:t>
      </w:r>
    </w:p>
    <w:p w:rsidR="00C40831" w:rsidRPr="00FA715F" w:rsidRDefault="00734E9A" w:rsidP="00E85C6A">
      <w:pPr>
        <w:shd w:val="clear" w:color="auto" w:fill="FFFFFF" w:themeFill="background1"/>
        <w:rPr>
          <w:lang w:val="en-US"/>
        </w:rPr>
      </w:pPr>
      <w:r w:rsidRPr="00FA715F">
        <w:rPr>
          <w:lang w:val="en-US"/>
        </w:rPr>
        <w:t>1940</w:t>
      </w:r>
      <w:r w:rsidR="00E85C6A" w:rsidRPr="00FA715F">
        <w:rPr>
          <w:lang w:val="en-US"/>
        </w:rPr>
        <w:t>-1965</w:t>
      </w:r>
      <w:r w:rsidR="00C40831" w:rsidRPr="00FA715F">
        <w:rPr>
          <w:lang w:val="en-US"/>
        </w:rPr>
        <w:t xml:space="preserve">: </w:t>
      </w:r>
      <w:r w:rsidR="00E85C6A" w:rsidRPr="00FA715F">
        <w:rPr>
          <w:lang w:val="en-US"/>
        </w:rPr>
        <w:t>a</w:t>
      </w:r>
      <w:r w:rsidR="0080664D" w:rsidRPr="00FA715F">
        <w:rPr>
          <w:lang w:val="en-US"/>
        </w:rPr>
        <w:t>verage wage of</w:t>
      </w:r>
      <w:r w:rsidR="00C40831" w:rsidRPr="00FA715F">
        <w:rPr>
          <w:lang w:val="en-US"/>
        </w:rPr>
        <w:t xml:space="preserve"> seven occupations</w:t>
      </w:r>
      <w:r w:rsidR="007B0BEA" w:rsidRPr="00FA715F">
        <w:rPr>
          <w:lang w:val="en-US"/>
        </w:rPr>
        <w:t xml:space="preserve"> </w:t>
      </w:r>
      <w:r w:rsidR="00C40831" w:rsidRPr="00FA715F">
        <w:rPr>
          <w:lang w:val="en-US"/>
        </w:rPr>
        <w:t>in the construction industry</w:t>
      </w:r>
      <w:r w:rsidR="00E85C6A" w:rsidRPr="00FA715F">
        <w:rPr>
          <w:lang w:val="en-US"/>
        </w:rPr>
        <w:t xml:space="preserve"> from ILO/OI1</w:t>
      </w:r>
      <w:r w:rsidR="00C40831" w:rsidRPr="00FA715F">
        <w:rPr>
          <w:lang w:val="en-US"/>
        </w:rPr>
        <w:t>. Data available for 194</w:t>
      </w:r>
      <w:r w:rsidR="0080664D" w:rsidRPr="00FA715F">
        <w:rPr>
          <w:lang w:val="en-US"/>
        </w:rPr>
        <w:t>0- 43, 46, 49, 55, 57-58, 64-66</w:t>
      </w:r>
      <w:r w:rsidR="00C40831" w:rsidRPr="00FA715F">
        <w:rPr>
          <w:lang w:val="en-US"/>
        </w:rPr>
        <w:t>.</w:t>
      </w:r>
    </w:p>
    <w:p w:rsidR="00E85C6A" w:rsidRPr="00FA715F" w:rsidRDefault="00734E9A" w:rsidP="00E85C6A">
      <w:pPr>
        <w:rPr>
          <w:lang w:val="en-US"/>
        </w:rPr>
      </w:pPr>
      <w:r w:rsidRPr="00FA715F">
        <w:rPr>
          <w:lang w:val="en-US"/>
        </w:rPr>
        <w:t>*</w:t>
      </w:r>
      <w:r w:rsidR="00E85C6A" w:rsidRPr="00FA715F">
        <w:rPr>
          <w:lang w:val="en-US"/>
        </w:rPr>
        <w:t>1965-1980</w:t>
      </w:r>
      <w:r w:rsidR="0080664D" w:rsidRPr="00FA715F">
        <w:rPr>
          <w:lang w:val="en-US"/>
        </w:rPr>
        <w:t xml:space="preserve"> (in leve</w:t>
      </w:r>
      <w:r w:rsidR="00E85C6A" w:rsidRPr="00FA715F">
        <w:rPr>
          <w:lang w:val="en-US"/>
        </w:rPr>
        <w:t>l</w:t>
      </w:r>
      <w:r w:rsidR="0080664D" w:rsidRPr="00FA715F">
        <w:rPr>
          <w:lang w:val="en-US"/>
        </w:rPr>
        <w:t>s</w:t>
      </w:r>
      <w:r w:rsidR="00E85C6A" w:rsidRPr="00FA715F">
        <w:rPr>
          <w:lang w:val="en-US"/>
        </w:rPr>
        <w:t xml:space="preserve">): ILO/OI1. Average wage over seven occupations in the construction industry. Data available for </w:t>
      </w:r>
      <w:r w:rsidR="0080664D" w:rsidRPr="00FA715F">
        <w:rPr>
          <w:lang w:val="en-US"/>
        </w:rPr>
        <w:t>19</w:t>
      </w:r>
      <w:r w:rsidR="00E85C6A" w:rsidRPr="00FA715F">
        <w:rPr>
          <w:lang w:val="en-US"/>
        </w:rPr>
        <w:t>64-66, 72-76, 79, 81-82.</w:t>
      </w:r>
    </w:p>
    <w:p w:rsidR="00C40831" w:rsidRPr="00FA715F" w:rsidRDefault="00AE0B75" w:rsidP="00C40831">
      <w:pPr>
        <w:rPr>
          <w:lang w:val="en-US"/>
        </w:rPr>
      </w:pPr>
      <w:r w:rsidRPr="00FA715F">
        <w:rPr>
          <w:lang w:val="en-US"/>
        </w:rPr>
        <w:t>1980</w:t>
      </w:r>
      <w:r w:rsidR="00C40831" w:rsidRPr="00FA715F">
        <w:rPr>
          <w:lang w:val="en-US"/>
        </w:rPr>
        <w:t xml:space="preserve">-1987: average wage in the construction sector from ILO Yearbook (various). </w:t>
      </w:r>
    </w:p>
    <w:p w:rsidR="00C40831" w:rsidRPr="00FA715F" w:rsidRDefault="00B62001" w:rsidP="00C40831">
      <w:pPr>
        <w:rPr>
          <w:lang w:val="en-US"/>
        </w:rPr>
      </w:pPr>
      <w:r w:rsidRPr="00FA715F">
        <w:rPr>
          <w:lang w:val="en-US"/>
        </w:rPr>
        <w:t>1987</w:t>
      </w:r>
      <w:r w:rsidR="005348AA" w:rsidRPr="00FA715F">
        <w:rPr>
          <w:lang w:val="en-US"/>
        </w:rPr>
        <w:t>-2000</w:t>
      </w:r>
      <w:r w:rsidR="00C40831" w:rsidRPr="00FA715F">
        <w:rPr>
          <w:lang w:val="en-US"/>
        </w:rPr>
        <w:t>: real average wage index (2000=100) from ECLAC</w:t>
      </w:r>
      <w:r w:rsidR="001027D6" w:rsidRPr="00FA715F">
        <w:rPr>
          <w:lang w:val="en-US"/>
        </w:rPr>
        <w:t xml:space="preserve"> website</w:t>
      </w:r>
      <w:r w:rsidR="00C40831" w:rsidRPr="00FA715F">
        <w:rPr>
          <w:lang w:val="en-US"/>
        </w:rPr>
        <w:t xml:space="preserve">. </w:t>
      </w:r>
    </w:p>
    <w:p w:rsidR="005348AA" w:rsidRPr="00FA715F" w:rsidRDefault="00B62001" w:rsidP="005348AA">
      <w:pPr>
        <w:rPr>
          <w:lang w:val="en-US"/>
        </w:rPr>
      </w:pPr>
      <w:r w:rsidRPr="00FA715F">
        <w:rPr>
          <w:lang w:val="en-US"/>
        </w:rPr>
        <w:t>2000</w:t>
      </w:r>
      <w:r w:rsidR="005348AA" w:rsidRPr="00FA715F">
        <w:rPr>
          <w:lang w:val="en-US"/>
        </w:rPr>
        <w:t>-2011: average monthly earnings (pesos of 2014Q4) for workers with secondary education; sourced from Campos et al. (2015).</w:t>
      </w:r>
    </w:p>
    <w:p w:rsidR="005348AA" w:rsidRPr="00FA715F" w:rsidRDefault="005348AA" w:rsidP="00C40831">
      <w:pPr>
        <w:rPr>
          <w:lang w:val="en-US"/>
        </w:rPr>
      </w:pPr>
    </w:p>
    <w:p w:rsidR="00C40831" w:rsidRPr="00FA715F" w:rsidRDefault="00DA263B" w:rsidP="00C40831">
      <w:pPr>
        <w:rPr>
          <w:i/>
          <w:lang w:val="en-US"/>
        </w:rPr>
      </w:pPr>
      <w:r w:rsidRPr="00FA715F">
        <w:rPr>
          <w:i/>
        </w:rPr>
        <w:t>Skilled labour (w</w:t>
      </w:r>
      <w:r w:rsidRPr="00FA715F">
        <w:rPr>
          <w:i/>
          <w:vertAlign w:val="subscript"/>
        </w:rPr>
        <w:t>2</w:t>
      </w:r>
      <w:r w:rsidRPr="00FA715F">
        <w:rPr>
          <w:i/>
        </w:rPr>
        <w:t>)</w:t>
      </w:r>
      <w:r w:rsidRPr="00FA715F">
        <w:rPr>
          <w:i/>
          <w:lang w:val="en-US"/>
        </w:rPr>
        <w:t>:</w:t>
      </w:r>
    </w:p>
    <w:p w:rsidR="00875848" w:rsidRPr="004F01F2" w:rsidRDefault="0032451C" w:rsidP="00C40831">
      <w:r w:rsidRPr="00FA715F">
        <w:rPr>
          <w:lang w:val="en-US"/>
        </w:rPr>
        <w:t>1900-11</w:t>
      </w:r>
      <w:r w:rsidR="00C40831" w:rsidRPr="00FA715F">
        <w:rPr>
          <w:lang w:val="en-US"/>
        </w:rPr>
        <w:t>:</w:t>
      </w:r>
      <w:r w:rsidR="00C40831" w:rsidRPr="00FA715F">
        <w:t xml:space="preserve"> </w:t>
      </w:r>
      <w:r w:rsidR="0055428B" w:rsidRPr="00FA715F">
        <w:t>the underlying series is wages of</w:t>
      </w:r>
      <w:r w:rsidR="00875848" w:rsidRPr="00FA715F">
        <w:t xml:space="preserve"> administrative clerks in pesos at 1900 prices sourced from Arroyo and Astorga (</w:t>
      </w:r>
      <w:r w:rsidR="0088794E" w:rsidRPr="00FA715F">
        <w:t>2016</w:t>
      </w:r>
      <w:r w:rsidR="00875848" w:rsidRPr="00FA715F">
        <w:t>).</w:t>
      </w:r>
      <w:r w:rsidR="0055428B" w:rsidRPr="00FA715F">
        <w:t xml:space="preserve"> To express the wages in PPP$ of 1970 prices, I apply the skilled to unskilled wage ratio from this source to the estimated unskilled wage in PPP$ of 1970 prices (see above). </w:t>
      </w:r>
      <w:r w:rsidR="000F1E2B" w:rsidRPr="00FA715F">
        <w:t>Note that the estimation in this period is not fully comparable with that after 1921</w:t>
      </w:r>
      <w:r w:rsidR="0055428B" w:rsidRPr="00FA715F">
        <w:t>.</w:t>
      </w:r>
    </w:p>
    <w:p w:rsidR="00C40831" w:rsidRPr="00B21CBF" w:rsidRDefault="00D917A1" w:rsidP="00C40831">
      <w:pPr>
        <w:rPr>
          <w:lang w:val="en-US"/>
        </w:rPr>
      </w:pPr>
      <w:r w:rsidRPr="004F01F2">
        <w:rPr>
          <w:lang w:val="en-US"/>
        </w:rPr>
        <w:t>1921</w:t>
      </w:r>
      <w:r w:rsidR="00C40831" w:rsidRPr="004F01F2">
        <w:rPr>
          <w:lang w:val="en-US"/>
        </w:rPr>
        <w:t xml:space="preserve">-29: </w:t>
      </w:r>
      <w:r w:rsidR="00C4440D" w:rsidRPr="004F01F2">
        <w:rPr>
          <w:lang w:val="en-US"/>
        </w:rPr>
        <w:t>real weekly</w:t>
      </w:r>
      <w:r w:rsidR="00C40831" w:rsidRPr="00B21CBF">
        <w:rPr>
          <w:lang w:val="en-US"/>
        </w:rPr>
        <w:t xml:space="preserve"> wages for textile workers </w:t>
      </w:r>
      <w:r w:rsidR="00C4440D" w:rsidRPr="00B21CBF">
        <w:rPr>
          <w:lang w:val="en-US"/>
        </w:rPr>
        <w:t>in Veracruz mills in Gómez-Galvarriato (2002)</w:t>
      </w:r>
      <w:r w:rsidR="00C40831" w:rsidRPr="00B21CBF">
        <w:rPr>
          <w:lang w:val="en-US"/>
        </w:rPr>
        <w:t>.</w:t>
      </w:r>
    </w:p>
    <w:p w:rsidR="00C40831" w:rsidRPr="00B21CBF" w:rsidRDefault="00D917A1" w:rsidP="00C40831">
      <w:pPr>
        <w:rPr>
          <w:lang w:val="en-US"/>
        </w:rPr>
      </w:pPr>
      <w:r>
        <w:t>1929</w:t>
      </w:r>
      <w:r w:rsidR="00C40831" w:rsidRPr="00B21CBF">
        <w:t>-34:</w:t>
      </w:r>
      <w:r w:rsidR="00C40831" w:rsidRPr="00B21CBF">
        <w:rPr>
          <w:lang w:val="en-US"/>
        </w:rPr>
        <w:t xml:space="preserve"> rate of growth on nominal value added per economically active </w:t>
      </w:r>
      <w:r w:rsidR="00B93102" w:rsidRPr="00B21CBF">
        <w:rPr>
          <w:lang w:val="en-US"/>
        </w:rPr>
        <w:t>worker in manufacturing from MOX</w:t>
      </w:r>
      <w:r w:rsidR="00C40831" w:rsidRPr="00B21CBF">
        <w:rPr>
          <w:lang w:val="en-US"/>
        </w:rPr>
        <w:t>LAD.</w:t>
      </w:r>
      <w:r w:rsidR="00D92822" w:rsidRPr="00B21CBF">
        <w:rPr>
          <w:lang w:val="en-US"/>
        </w:rPr>
        <w:t xml:space="preserve"> I </w:t>
      </w:r>
      <w:r w:rsidR="00C40831" w:rsidRPr="00B21CBF">
        <w:rPr>
          <w:lang w:val="en-US"/>
        </w:rPr>
        <w:t>could not fin</w:t>
      </w:r>
      <w:r w:rsidR="00C4440D" w:rsidRPr="00B21CBF">
        <w:rPr>
          <w:lang w:val="en-US"/>
        </w:rPr>
        <w:t>d appropriate wage data for these years</w:t>
      </w:r>
      <w:r w:rsidR="00C40831" w:rsidRPr="00B21CBF">
        <w:rPr>
          <w:lang w:val="en-US"/>
        </w:rPr>
        <w:t>.</w:t>
      </w:r>
    </w:p>
    <w:p w:rsidR="00C40831" w:rsidRPr="00B21CBF" w:rsidRDefault="00D917A1" w:rsidP="00C40831">
      <w:pPr>
        <w:rPr>
          <w:lang w:val="en-US"/>
        </w:rPr>
      </w:pPr>
      <w:r>
        <w:rPr>
          <w:lang w:val="en-US"/>
        </w:rPr>
        <w:t>1934</w:t>
      </w:r>
      <w:r w:rsidR="00C40831" w:rsidRPr="00B21CBF">
        <w:rPr>
          <w:lang w:val="en-US"/>
        </w:rPr>
        <w:t>-41: index (1934=100) for industrial nominal salaries in Mexico City from Macín (1947).</w:t>
      </w:r>
    </w:p>
    <w:p w:rsidR="00C40831" w:rsidRPr="00B21CBF" w:rsidRDefault="00D917A1" w:rsidP="00C40831">
      <w:pPr>
        <w:rPr>
          <w:lang w:val="en-US"/>
        </w:rPr>
      </w:pPr>
      <w:r>
        <w:rPr>
          <w:lang w:val="en-US"/>
        </w:rPr>
        <w:t>1941</w:t>
      </w:r>
      <w:r w:rsidR="00C40831" w:rsidRPr="00B21CBF">
        <w:rPr>
          <w:lang w:val="en-US"/>
        </w:rPr>
        <w:t>-65: weekly nominal earnings in manufacturing from Mitchell (2003).</w:t>
      </w:r>
    </w:p>
    <w:p w:rsidR="00C40831" w:rsidRPr="00B21CBF" w:rsidRDefault="00D917A1" w:rsidP="00C40831">
      <w:pPr>
        <w:rPr>
          <w:lang w:val="en-US"/>
        </w:rPr>
      </w:pPr>
      <w:r>
        <w:rPr>
          <w:lang w:val="en-US"/>
        </w:rPr>
        <w:t>1965</w:t>
      </w:r>
      <w:r w:rsidR="002E7C86" w:rsidRPr="00B21CBF">
        <w:rPr>
          <w:lang w:val="en-US"/>
        </w:rPr>
        <w:t>-68</w:t>
      </w:r>
      <w:r w:rsidR="00C40831" w:rsidRPr="00B21CBF">
        <w:rPr>
          <w:lang w:val="en-US"/>
        </w:rPr>
        <w:t>: average nominal monthly paid wages to blue-collar workers in manufacturing at national level from PREALC</w:t>
      </w:r>
      <w:r w:rsidR="000D2939">
        <w:rPr>
          <w:lang w:val="en-US"/>
        </w:rPr>
        <w:t xml:space="preserve"> (1982)</w:t>
      </w:r>
      <w:r w:rsidR="00C40831" w:rsidRPr="00B21CBF">
        <w:rPr>
          <w:lang w:val="en-US"/>
        </w:rPr>
        <w:t>.</w:t>
      </w:r>
    </w:p>
    <w:p w:rsidR="00C40831" w:rsidRPr="00B21CBF" w:rsidRDefault="00D3091A" w:rsidP="00C40831">
      <w:pPr>
        <w:rPr>
          <w:lang w:val="en-US"/>
        </w:rPr>
      </w:pPr>
      <w:r w:rsidRPr="00B21CBF">
        <w:rPr>
          <w:lang w:val="en-US"/>
        </w:rPr>
        <w:t>*</w:t>
      </w:r>
      <w:r w:rsidR="00C40831" w:rsidRPr="00B21CBF">
        <w:rPr>
          <w:lang w:val="en-US"/>
        </w:rPr>
        <w:t>1968 (</w:t>
      </w:r>
      <w:r w:rsidR="000E0E89" w:rsidRPr="00B21CBF">
        <w:rPr>
          <w:lang w:val="en-US"/>
        </w:rPr>
        <w:t xml:space="preserve">in levels, </w:t>
      </w:r>
      <w:r w:rsidR="00C40831" w:rsidRPr="00B21CBF">
        <w:rPr>
          <w:lang w:val="en-US"/>
        </w:rPr>
        <w:t>cir</w:t>
      </w:r>
      <w:r w:rsidR="004F0FBF">
        <w:rPr>
          <w:lang w:val="en-US"/>
        </w:rPr>
        <w:t>ca values): monthly average</w:t>
      </w:r>
      <w:r w:rsidR="00C40831" w:rsidRPr="00B21CBF">
        <w:rPr>
          <w:lang w:val="en-US"/>
        </w:rPr>
        <w:t xml:space="preserve"> salary for bank tellers and clerks (stock record) from ILO</w:t>
      </w:r>
      <w:r w:rsidR="000E0E89" w:rsidRPr="00B21CBF">
        <w:rPr>
          <w:lang w:val="en-US"/>
        </w:rPr>
        <w:t>/OI2</w:t>
      </w:r>
      <w:r w:rsidR="00C40831" w:rsidRPr="00B21CBF">
        <w:rPr>
          <w:lang w:val="en-US"/>
        </w:rPr>
        <w:t>.</w:t>
      </w:r>
    </w:p>
    <w:p w:rsidR="002E7C86" w:rsidRPr="00B21CBF" w:rsidRDefault="002E7C86" w:rsidP="002E7C86">
      <w:pPr>
        <w:rPr>
          <w:lang w:val="en-US"/>
        </w:rPr>
      </w:pPr>
      <w:r w:rsidRPr="00B21CBF">
        <w:rPr>
          <w:lang w:val="en-US"/>
        </w:rPr>
        <w:t>1968-80: as in 1965-68.</w:t>
      </w:r>
    </w:p>
    <w:p w:rsidR="00C40831" w:rsidRPr="00B21CBF" w:rsidRDefault="00D917A1" w:rsidP="00C40831">
      <w:pPr>
        <w:rPr>
          <w:lang w:val="en-US"/>
        </w:rPr>
      </w:pPr>
      <w:r>
        <w:rPr>
          <w:lang w:val="en-US"/>
        </w:rPr>
        <w:t>1980</w:t>
      </w:r>
      <w:r w:rsidR="00C40831" w:rsidRPr="00B21CBF">
        <w:rPr>
          <w:lang w:val="en-US"/>
        </w:rPr>
        <w:t>-96: weekly nominal earnings in manufacturing from Mitchell (2003).</w:t>
      </w:r>
    </w:p>
    <w:p w:rsidR="00C40831" w:rsidRPr="00B21CBF" w:rsidRDefault="00D917A1" w:rsidP="00C40831">
      <w:pPr>
        <w:rPr>
          <w:lang w:val="en-US"/>
        </w:rPr>
      </w:pPr>
      <w:r>
        <w:rPr>
          <w:lang w:val="en-US"/>
        </w:rPr>
        <w:t>1996</w:t>
      </w:r>
      <w:r w:rsidR="00FE4A0E" w:rsidRPr="00B21CBF">
        <w:rPr>
          <w:lang w:val="en-US"/>
        </w:rPr>
        <w:t>-2000</w:t>
      </w:r>
      <w:r w:rsidR="00C40831" w:rsidRPr="00B21CBF">
        <w:rPr>
          <w:lang w:val="en-US"/>
        </w:rPr>
        <w:t>: nominal earnings per month in manufacturing from ILO</w:t>
      </w:r>
      <w:r w:rsidR="002F4CE3">
        <w:rPr>
          <w:lang w:val="en-US"/>
        </w:rPr>
        <w:t xml:space="preserve"> website</w:t>
      </w:r>
      <w:r w:rsidR="00C40831" w:rsidRPr="00B21CBF">
        <w:rPr>
          <w:lang w:val="en-US"/>
        </w:rPr>
        <w:t>.</w:t>
      </w:r>
    </w:p>
    <w:p w:rsidR="00FE4A0E" w:rsidRPr="00B21CBF" w:rsidRDefault="00D917A1" w:rsidP="00FE4A0E">
      <w:pPr>
        <w:rPr>
          <w:lang w:val="en-US"/>
        </w:rPr>
      </w:pPr>
      <w:r>
        <w:rPr>
          <w:lang w:val="en-US"/>
        </w:rPr>
        <w:t>2000</w:t>
      </w:r>
      <w:r w:rsidR="00FE4A0E" w:rsidRPr="00B21CBF">
        <w:rPr>
          <w:lang w:val="en-US"/>
        </w:rPr>
        <w:t>-2011: average monthly earnings (pesos of 2014Q4) for workers with high school education; sourced from Campos et al. (2015).</w:t>
      </w:r>
    </w:p>
    <w:p w:rsidR="00FE4A0E" w:rsidRPr="00B21CBF" w:rsidRDefault="00FE4A0E" w:rsidP="00C40831">
      <w:pPr>
        <w:rPr>
          <w:lang w:val="en-US"/>
        </w:rPr>
      </w:pPr>
    </w:p>
    <w:p w:rsidR="00C40831" w:rsidRPr="00B21CBF" w:rsidRDefault="00C40831" w:rsidP="00C40831">
      <w:pPr>
        <w:rPr>
          <w:lang w:val="en-US"/>
        </w:rPr>
      </w:pPr>
      <w:r w:rsidRPr="00B21CBF">
        <w:rPr>
          <w:i/>
          <w:lang w:val="en-US"/>
        </w:rPr>
        <w:t>Deflators.</w:t>
      </w:r>
    </w:p>
    <w:p w:rsidR="00994635" w:rsidRPr="00B21CBF" w:rsidRDefault="00B212DE" w:rsidP="00F71892">
      <w:pPr>
        <w:shd w:val="clear" w:color="auto" w:fill="FFFFFF" w:themeFill="background1"/>
        <w:rPr>
          <w:lang w:val="en-US"/>
        </w:rPr>
      </w:pPr>
      <w:r w:rsidRPr="00B21CBF">
        <w:rPr>
          <w:lang w:val="en-US"/>
        </w:rPr>
        <w:t>1921</w:t>
      </w:r>
      <w:r w:rsidR="00F71892" w:rsidRPr="00B21CBF">
        <w:rPr>
          <w:lang w:val="en-US"/>
        </w:rPr>
        <w:t>-2011:</w:t>
      </w:r>
      <w:r w:rsidR="00C06D28" w:rsidRPr="00B21CBF">
        <w:rPr>
          <w:lang w:val="en-US"/>
        </w:rPr>
        <w:t xml:space="preserve"> uses </w:t>
      </w:r>
      <w:r w:rsidR="00FC0344">
        <w:rPr>
          <w:lang w:val="en-US"/>
        </w:rPr>
        <w:t xml:space="preserve">CPI from </w:t>
      </w:r>
      <w:r w:rsidR="008B1962" w:rsidRPr="00B21CBF">
        <w:rPr>
          <w:lang w:val="en-US"/>
        </w:rPr>
        <w:t>MOXLAD</w:t>
      </w:r>
      <w:r w:rsidR="00FC0344">
        <w:rPr>
          <w:lang w:val="en-US"/>
        </w:rPr>
        <w:t xml:space="preserve"> up to 1995 and </w:t>
      </w:r>
      <w:r w:rsidR="00C40831" w:rsidRPr="00B21CBF">
        <w:rPr>
          <w:lang w:val="en-US"/>
        </w:rPr>
        <w:t>Banco de México</w:t>
      </w:r>
      <w:r w:rsidR="002F4CE3">
        <w:rPr>
          <w:lang w:val="en-US"/>
        </w:rPr>
        <w:t xml:space="preserve"> website</w:t>
      </w:r>
      <w:r w:rsidR="00A905AB" w:rsidRPr="00B21CBF">
        <w:rPr>
          <w:lang w:val="en-US"/>
        </w:rPr>
        <w:t xml:space="preserve"> </w:t>
      </w:r>
      <w:r w:rsidR="00FC0344">
        <w:rPr>
          <w:lang w:val="en-US"/>
        </w:rPr>
        <w:t>thereafter</w:t>
      </w:r>
      <w:r w:rsidR="00C40831" w:rsidRPr="00B21CBF">
        <w:rPr>
          <w:lang w:val="en-US"/>
        </w:rPr>
        <w:t>.</w:t>
      </w:r>
    </w:p>
    <w:p w:rsidR="00C40831" w:rsidRDefault="00C40831" w:rsidP="00F71892">
      <w:pPr>
        <w:shd w:val="clear" w:color="auto" w:fill="FFFFFF" w:themeFill="background1"/>
        <w:rPr>
          <w:lang w:val="en-US"/>
        </w:rPr>
      </w:pPr>
      <w:r w:rsidRPr="00B21CBF">
        <w:rPr>
          <w:lang w:val="en-US"/>
        </w:rPr>
        <w:t xml:space="preserve"> </w:t>
      </w:r>
    </w:p>
    <w:p w:rsidR="00163C59" w:rsidRDefault="00163C59" w:rsidP="00F71892">
      <w:pPr>
        <w:shd w:val="clear" w:color="auto" w:fill="FFFFFF" w:themeFill="background1"/>
        <w:rPr>
          <w:lang w:val="en-US"/>
        </w:rPr>
      </w:pPr>
    </w:p>
    <w:p w:rsidR="00163C59" w:rsidRDefault="00163C59" w:rsidP="00F71892">
      <w:pPr>
        <w:shd w:val="clear" w:color="auto" w:fill="FFFFFF" w:themeFill="background1"/>
        <w:rPr>
          <w:lang w:val="en-US"/>
        </w:rPr>
      </w:pPr>
    </w:p>
    <w:p w:rsidR="00C40831" w:rsidRPr="003F2C16" w:rsidRDefault="00C40831" w:rsidP="003F2C16">
      <w:pPr>
        <w:spacing w:before="100"/>
        <w:rPr>
          <w:b/>
          <w:sz w:val="26"/>
          <w:szCs w:val="26"/>
        </w:rPr>
      </w:pPr>
      <w:r w:rsidRPr="003F2C16">
        <w:rPr>
          <w:b/>
          <w:sz w:val="26"/>
          <w:szCs w:val="26"/>
        </w:rPr>
        <w:lastRenderedPageBreak/>
        <w:t>Venezuela</w:t>
      </w:r>
    </w:p>
    <w:p w:rsidR="00DA263B" w:rsidRPr="00B21CBF" w:rsidRDefault="00DA263B" w:rsidP="003F2C16">
      <w:pPr>
        <w:spacing w:before="100"/>
        <w:rPr>
          <w:i/>
        </w:rPr>
      </w:pPr>
      <w:r w:rsidRPr="00B21CBF">
        <w:rPr>
          <w:i/>
        </w:rPr>
        <w:t>Unskilled wages (w</w:t>
      </w:r>
      <w:r w:rsidRPr="00B21CBF">
        <w:rPr>
          <w:i/>
          <w:vertAlign w:val="subscript"/>
        </w:rPr>
        <w:t>4</w:t>
      </w:r>
      <w:r w:rsidRPr="00B21CBF">
        <w:rPr>
          <w:i/>
        </w:rPr>
        <w:t xml:space="preserve">): </w:t>
      </w:r>
    </w:p>
    <w:p w:rsidR="00C40831" w:rsidRPr="00B21CBF" w:rsidRDefault="00113720" w:rsidP="00EB60FB">
      <w:r>
        <w:t>1900-1936</w:t>
      </w:r>
      <w:r w:rsidR="00C40831" w:rsidRPr="00B21CBF">
        <w:t>: wages for the unski</w:t>
      </w:r>
      <w:r w:rsidR="00D62AD2" w:rsidRPr="00B21CBF">
        <w:t>lled rural are estimated using</w:t>
      </w:r>
      <w:r w:rsidR="00C40831" w:rsidRPr="00B21CBF">
        <w:t xml:space="preserve"> wage for rural workers</w:t>
      </w:r>
      <w:r w:rsidR="00D62AD2" w:rsidRPr="00B21CBF">
        <w:t xml:space="preserve"> </w:t>
      </w:r>
      <w:r w:rsidR="00C40831" w:rsidRPr="00B21CBF">
        <w:t xml:space="preserve">available for benchmark years in circa 1900, </w:t>
      </w:r>
      <w:r w:rsidR="00D62AD2" w:rsidRPr="00B21CBF">
        <w:t>1912, 1920, 1928 (</w:t>
      </w:r>
      <w:r w:rsidR="0078573F">
        <w:t xml:space="preserve">official </w:t>
      </w:r>
      <w:r w:rsidR="00D62AD2" w:rsidRPr="00B21CBF">
        <w:t>minimum wage</w:t>
      </w:r>
      <w:r w:rsidR="00C40831" w:rsidRPr="00B21CBF">
        <w:t xml:space="preserve">), and 1938. Figures </w:t>
      </w:r>
      <w:r w:rsidR="00C1579A" w:rsidRPr="00B21CBF">
        <w:t xml:space="preserve">in 1900 are sourced from Lucas (1991), </w:t>
      </w:r>
      <w:r w:rsidR="00C40831" w:rsidRPr="00B21CBF">
        <w:t>in 1912 and 19</w:t>
      </w:r>
      <w:r w:rsidR="00F57E5C" w:rsidRPr="00B21CBF">
        <w:t>20 from McBeth (2011</w:t>
      </w:r>
      <w:r w:rsidR="00C40831" w:rsidRPr="00B21CBF">
        <w:t xml:space="preserve">), </w:t>
      </w:r>
      <w:r w:rsidR="00D62AD2" w:rsidRPr="00B21CBF">
        <w:t xml:space="preserve">and </w:t>
      </w:r>
      <w:r w:rsidR="00C1579A" w:rsidRPr="00B21CBF">
        <w:t>in</w:t>
      </w:r>
      <w:r w:rsidR="00D62AD2" w:rsidRPr="00B21CBF">
        <w:t xml:space="preserve"> </w:t>
      </w:r>
      <w:r w:rsidR="00C1579A" w:rsidRPr="00B21CBF">
        <w:t>1928</w:t>
      </w:r>
      <w:r w:rsidR="00033915">
        <w:t xml:space="preserve"> and 1936 from Valecillos (200</w:t>
      </w:r>
      <w:r w:rsidR="00C40831" w:rsidRPr="00B21CBF">
        <w:t xml:space="preserve">7). </w:t>
      </w:r>
      <w:r w:rsidR="008D5E27" w:rsidRPr="00B21CBF">
        <w:t xml:space="preserve">Linear </w:t>
      </w:r>
      <w:r w:rsidR="00C40831" w:rsidRPr="00B21CBF">
        <w:t>interpolation is used to fill the gap</w:t>
      </w:r>
      <w:r w:rsidR="00D62AD2" w:rsidRPr="00B21CBF">
        <w:t>s</w:t>
      </w:r>
      <w:r w:rsidR="00C40831" w:rsidRPr="00B21CBF">
        <w:t xml:space="preserve"> betwee</w:t>
      </w:r>
      <w:r w:rsidR="00F03506">
        <w:t>n 1900, 1912, 1920, and 1928. I use</w:t>
      </w:r>
      <w:r w:rsidR="00C40831" w:rsidRPr="00B21CBF">
        <w:t xml:space="preserve"> pattern interpolation between 1928 and 1936 using as an auxiliary variable an index of economic activity from Vandellos (1941). </w:t>
      </w:r>
    </w:p>
    <w:p w:rsidR="00C40831" w:rsidRPr="00B21CBF" w:rsidRDefault="00D210A5" w:rsidP="00C40831">
      <w:pPr>
        <w:rPr>
          <w:lang w:val="en-US"/>
        </w:rPr>
      </w:pPr>
      <w:r w:rsidRPr="00B21CBF">
        <w:rPr>
          <w:lang w:val="en-US"/>
        </w:rPr>
        <w:t>1936</w:t>
      </w:r>
      <w:r w:rsidR="00C40831" w:rsidRPr="00B21CBF">
        <w:rPr>
          <w:lang w:val="en-US"/>
        </w:rPr>
        <w:t>-</w:t>
      </w:r>
      <w:r w:rsidR="00B40CB5" w:rsidRPr="00B21CBF">
        <w:rPr>
          <w:lang w:val="en-US"/>
        </w:rPr>
        <w:t>74</w:t>
      </w:r>
      <w:r w:rsidR="00C40831" w:rsidRPr="00B21CBF">
        <w:rPr>
          <w:lang w:val="en-US"/>
        </w:rPr>
        <w:t>:</w:t>
      </w:r>
      <w:r w:rsidR="008A2A84" w:rsidRPr="00B21CBF">
        <w:rPr>
          <w:lang w:val="en-US"/>
        </w:rPr>
        <w:t xml:space="preserve"> weighted average of two series. First,</w:t>
      </w:r>
      <w:r w:rsidR="00F83BB9" w:rsidRPr="00B21CBF">
        <w:rPr>
          <w:lang w:val="en-US"/>
        </w:rPr>
        <w:t xml:space="preserve"> </w:t>
      </w:r>
      <w:r w:rsidR="00C40831" w:rsidRPr="00B21CBF">
        <w:rPr>
          <w:lang w:val="en-US"/>
        </w:rPr>
        <w:t>annual real earnings in agriculture per employed person (at 1984</w:t>
      </w:r>
      <w:r w:rsidR="00033915">
        <w:rPr>
          <w:lang w:val="en-US"/>
        </w:rPr>
        <w:t xml:space="preserve"> prices) from Valecillos (1990</w:t>
      </w:r>
      <w:r w:rsidR="008A2A84" w:rsidRPr="00B21CBF">
        <w:rPr>
          <w:lang w:val="en-US"/>
        </w:rPr>
        <w:t>)</w:t>
      </w:r>
      <w:r w:rsidRPr="00B21CBF">
        <w:rPr>
          <w:lang w:val="en-US"/>
        </w:rPr>
        <w:t xml:space="preserve"> after 1950</w:t>
      </w:r>
      <w:r w:rsidR="008A2A84" w:rsidRPr="00B21CBF">
        <w:rPr>
          <w:lang w:val="en-US"/>
        </w:rPr>
        <w:t>. To estimate the 1</w:t>
      </w:r>
      <w:r w:rsidR="00F03506">
        <w:rPr>
          <w:lang w:val="en-US"/>
        </w:rPr>
        <w:t>936 value I</w:t>
      </w:r>
      <w:r w:rsidR="00033915">
        <w:rPr>
          <w:lang w:val="en-US"/>
        </w:rPr>
        <w:t xml:space="preserve"> use Valecillos (200</w:t>
      </w:r>
      <w:r w:rsidR="008A2A84" w:rsidRPr="00B21CBF">
        <w:rPr>
          <w:lang w:val="en-US"/>
        </w:rPr>
        <w:t>7, Cuadro 2</w:t>
      </w:r>
      <w:r w:rsidR="00033915">
        <w:rPr>
          <w:lang w:val="en-US"/>
        </w:rPr>
        <w:t>-</w:t>
      </w:r>
      <w:r w:rsidR="008A2A84" w:rsidRPr="00B21CBF">
        <w:rPr>
          <w:lang w:val="en-US"/>
        </w:rPr>
        <w:t>9, 194) who reports monthly wages in agriculture in 1936 and 1959. The ratio between these two monthly values (=1.85) is applied to the 1959 annual earnings figure to extend the s</w:t>
      </w:r>
      <w:r w:rsidR="00E50F2C" w:rsidRPr="00B21CBF">
        <w:rPr>
          <w:lang w:val="en-US"/>
        </w:rPr>
        <w:t>eries backwards to 1936. Then I use linear</w:t>
      </w:r>
      <w:r w:rsidR="008A2A84" w:rsidRPr="00B21CBF">
        <w:rPr>
          <w:lang w:val="en-US"/>
        </w:rPr>
        <w:t xml:space="preserve"> interpolation between 1936 and 1950. Second, </w:t>
      </w:r>
      <w:r w:rsidR="00E50F2C" w:rsidRPr="00B21CBF">
        <w:rPr>
          <w:lang w:val="en-US"/>
        </w:rPr>
        <w:t xml:space="preserve">the </w:t>
      </w:r>
      <w:r w:rsidR="00F83BB9" w:rsidRPr="00B21CBF">
        <w:rPr>
          <w:lang w:val="en-US"/>
        </w:rPr>
        <w:t xml:space="preserve">real average </w:t>
      </w:r>
      <w:r w:rsidR="00E50F2C" w:rsidRPr="00B21CBF">
        <w:rPr>
          <w:lang w:val="en-US"/>
        </w:rPr>
        <w:t xml:space="preserve">unskilled </w:t>
      </w:r>
      <w:r w:rsidR="00F83BB9" w:rsidRPr="00B21CBF">
        <w:rPr>
          <w:lang w:val="en-US"/>
        </w:rPr>
        <w:t>wage in the construction industry calculated from hourly wages reported in ILO´s October Inquiry. Data available for 1940, 42, 43, 45, 4</w:t>
      </w:r>
      <w:r w:rsidR="00DE2112" w:rsidRPr="00B21CBF">
        <w:rPr>
          <w:lang w:val="en-US"/>
        </w:rPr>
        <w:t>6, 51, 54-56, 58-66, 68, 71, 75</w:t>
      </w:r>
      <w:r w:rsidR="00F83BB9" w:rsidRPr="00B21CBF">
        <w:rPr>
          <w:lang w:val="en-US"/>
        </w:rPr>
        <w:t>. Otherwise interpolated.</w:t>
      </w:r>
      <w:r w:rsidR="00962C34" w:rsidRPr="00B21CBF">
        <w:rPr>
          <w:lang w:val="en-US"/>
        </w:rPr>
        <w:t xml:space="preserve"> </w:t>
      </w:r>
      <w:r w:rsidR="008121D9" w:rsidRPr="00B21CBF">
        <w:rPr>
          <w:lang w:val="en-US"/>
        </w:rPr>
        <w:t xml:space="preserve">The </w:t>
      </w:r>
      <w:r w:rsidR="008A2A84" w:rsidRPr="00B21CBF">
        <w:rPr>
          <w:lang w:val="en-US"/>
        </w:rPr>
        <w:t>1936</w:t>
      </w:r>
      <w:r w:rsidR="008121D9" w:rsidRPr="00B21CBF">
        <w:rPr>
          <w:lang w:val="en-US"/>
        </w:rPr>
        <w:t xml:space="preserve"> is estimated using proportionality with wages for unskilled workers in the food industry from</w:t>
      </w:r>
      <w:r w:rsidR="00FF1B22">
        <w:rPr>
          <w:lang w:val="en-US"/>
        </w:rPr>
        <w:t xml:space="preserve"> Valecillos (200</w:t>
      </w:r>
      <w:r w:rsidR="008121D9" w:rsidRPr="00B21CBF">
        <w:rPr>
          <w:lang w:val="en-US"/>
        </w:rPr>
        <w:t>7).</w:t>
      </w:r>
      <w:r w:rsidR="008A2A84" w:rsidRPr="00B21CBF">
        <w:rPr>
          <w:lang w:val="en-US"/>
        </w:rPr>
        <w:t xml:space="preserve"> </w:t>
      </w:r>
      <w:r w:rsidR="00962C34" w:rsidRPr="00B21CBF">
        <w:rPr>
          <w:lang w:val="en-US"/>
        </w:rPr>
        <w:t xml:space="preserve">To estimates the weights I adjust the </w:t>
      </w:r>
      <w:r w:rsidR="004F2FC7">
        <w:rPr>
          <w:i/>
          <w:lang w:val="en-US"/>
        </w:rPr>
        <w:t>RU%</w:t>
      </w:r>
      <w:r w:rsidR="00962C34" w:rsidRPr="00B21CBF">
        <w:rPr>
          <w:lang w:val="en-US"/>
        </w:rPr>
        <w:t xml:space="preserve"> in 1970 (see below) in line with changes in the </w:t>
      </w:r>
      <w:r w:rsidR="00830A9C" w:rsidRPr="00B21CBF">
        <w:rPr>
          <w:lang w:val="en-US"/>
        </w:rPr>
        <w:t xml:space="preserve">rural </w:t>
      </w:r>
      <w:r w:rsidR="00962C34" w:rsidRPr="00B21CBF">
        <w:rPr>
          <w:lang w:val="en-US"/>
        </w:rPr>
        <w:t xml:space="preserve">population (this procedure results in a </w:t>
      </w:r>
      <w:r w:rsidR="004F2FC7">
        <w:rPr>
          <w:i/>
          <w:lang w:val="en-US"/>
        </w:rPr>
        <w:t>RU%</w:t>
      </w:r>
      <w:r w:rsidR="00962C34" w:rsidRPr="00B21CBF">
        <w:rPr>
          <w:lang w:val="en-US"/>
        </w:rPr>
        <w:t xml:space="preserve"> in 1950 of 0.77).</w:t>
      </w:r>
    </w:p>
    <w:p w:rsidR="00C40831" w:rsidRPr="00B21CBF" w:rsidRDefault="00D62AD2" w:rsidP="00C40831">
      <w:pPr>
        <w:rPr>
          <w:lang w:val="en-US"/>
        </w:rPr>
      </w:pPr>
      <w:r w:rsidRPr="00B21CBF">
        <w:t>*</w:t>
      </w:r>
      <w:r w:rsidR="00B40CB5" w:rsidRPr="00B21CBF">
        <w:rPr>
          <w:lang w:val="en-US"/>
        </w:rPr>
        <w:t>1974-75</w:t>
      </w:r>
      <w:r w:rsidR="008D5E27" w:rsidRPr="00B21CBF">
        <w:rPr>
          <w:lang w:val="en-US"/>
        </w:rPr>
        <w:t xml:space="preserve"> (in levels)</w:t>
      </w:r>
      <w:r w:rsidR="00C40831" w:rsidRPr="00B21CBF">
        <w:rPr>
          <w:lang w:val="en-US"/>
        </w:rPr>
        <w:t xml:space="preserve">: </w:t>
      </w:r>
      <w:r w:rsidR="00C75801" w:rsidRPr="00B21CBF">
        <w:rPr>
          <w:lang w:val="en-US"/>
        </w:rPr>
        <w:t>weighted average of the monthly rural real unskilled wage and the minimum urban real wage. Both series at bolivars of 1970 from PREALC</w:t>
      </w:r>
      <w:r w:rsidR="00FF1B22">
        <w:rPr>
          <w:lang w:val="en-US"/>
        </w:rPr>
        <w:t xml:space="preserve"> (1982)</w:t>
      </w:r>
      <w:r w:rsidR="00C75801" w:rsidRPr="00B21CBF">
        <w:rPr>
          <w:lang w:val="en-US"/>
        </w:rPr>
        <w:t>.</w:t>
      </w:r>
      <w:r w:rsidR="00C36FB6" w:rsidRPr="00B21CBF">
        <w:rPr>
          <w:lang w:val="en-US"/>
        </w:rPr>
        <w:t xml:space="preserve"> The weight for </w:t>
      </w:r>
      <w:r w:rsidR="004F2FC7">
        <w:rPr>
          <w:i/>
          <w:lang w:val="en-US"/>
        </w:rPr>
        <w:t>RU%</w:t>
      </w:r>
      <w:r w:rsidR="00C36FB6" w:rsidRPr="00B21CBF">
        <w:rPr>
          <w:lang w:val="en-US"/>
        </w:rPr>
        <w:t xml:space="preserve"> </w:t>
      </w:r>
      <w:r w:rsidR="00F03506">
        <w:rPr>
          <w:lang w:val="en-US"/>
        </w:rPr>
        <w:t>in</w:t>
      </w:r>
      <w:r w:rsidR="00C36FB6" w:rsidRPr="00B21CBF">
        <w:rPr>
          <w:lang w:val="en-US"/>
        </w:rPr>
        <w:t xml:space="preserve"> 1970 </w:t>
      </w:r>
      <w:r w:rsidR="00F03506">
        <w:rPr>
          <w:lang w:val="en-US"/>
        </w:rPr>
        <w:t>is equal to</w:t>
      </w:r>
      <w:r w:rsidR="00C36FB6" w:rsidRPr="00B21CBF">
        <w:rPr>
          <w:lang w:val="en-US"/>
        </w:rPr>
        <w:t xml:space="preserve"> 0.58.</w:t>
      </w:r>
    </w:p>
    <w:p w:rsidR="00C40831" w:rsidRPr="00B21CBF" w:rsidRDefault="00B40CB5" w:rsidP="00C40831">
      <w:pPr>
        <w:rPr>
          <w:lang w:val="en-US"/>
        </w:rPr>
      </w:pPr>
      <w:r w:rsidRPr="00B21CBF">
        <w:rPr>
          <w:lang w:val="en-US"/>
        </w:rPr>
        <w:t>1975</w:t>
      </w:r>
      <w:r w:rsidR="00C40831" w:rsidRPr="00B21CBF">
        <w:rPr>
          <w:lang w:val="en-US"/>
        </w:rPr>
        <w:t xml:space="preserve">-90: </w:t>
      </w:r>
      <w:r w:rsidR="00F83BB9" w:rsidRPr="00B21CBF">
        <w:rPr>
          <w:lang w:val="en-US"/>
        </w:rPr>
        <w:t xml:space="preserve">weighted average of two series: i) </w:t>
      </w:r>
      <w:r w:rsidR="00E50F2C" w:rsidRPr="00B21CBF">
        <w:rPr>
          <w:lang w:val="en-US"/>
        </w:rPr>
        <w:t>monthly real</w:t>
      </w:r>
      <w:r w:rsidR="00C40831" w:rsidRPr="00B21CBF">
        <w:rPr>
          <w:lang w:val="en-US"/>
        </w:rPr>
        <w:t xml:space="preserve"> mean earnings per worker in agriculture </w:t>
      </w:r>
      <w:r w:rsidR="00E50F2C" w:rsidRPr="00B21CBF">
        <w:rPr>
          <w:lang w:val="en-US"/>
        </w:rPr>
        <w:t xml:space="preserve">at 1984 prices </w:t>
      </w:r>
      <w:r w:rsidR="00FF1B22">
        <w:rPr>
          <w:lang w:val="en-US"/>
        </w:rPr>
        <w:t>from Valecillos (1990</w:t>
      </w:r>
      <w:r w:rsidR="00C40831" w:rsidRPr="00B21CBF">
        <w:rPr>
          <w:lang w:val="en-US"/>
        </w:rPr>
        <w:t>). Values for 1981 and 1982 are in</w:t>
      </w:r>
      <w:r w:rsidR="00F83BB9" w:rsidRPr="00B21CBF">
        <w:rPr>
          <w:lang w:val="en-US"/>
        </w:rPr>
        <w:t>terpolated; ii) real average wage of unskilled workers in the construction industry calculated from hourly wages reported in ILO</w:t>
      </w:r>
      <w:r w:rsidR="008D5E27" w:rsidRPr="00B21CBF">
        <w:rPr>
          <w:lang w:val="en-US"/>
        </w:rPr>
        <w:t>/OI1</w:t>
      </w:r>
      <w:r w:rsidR="00F83BB9" w:rsidRPr="00B21CBF">
        <w:rPr>
          <w:lang w:val="en-US"/>
        </w:rPr>
        <w:t xml:space="preserve">. Data available for </w:t>
      </w:r>
      <w:r w:rsidR="00FF3427">
        <w:rPr>
          <w:lang w:val="en-US"/>
        </w:rPr>
        <w:t>19</w:t>
      </w:r>
      <w:r w:rsidR="00F83BB9" w:rsidRPr="00B21CBF">
        <w:rPr>
          <w:lang w:val="en-US"/>
        </w:rPr>
        <w:t xml:space="preserve">78, 81, 85, </w:t>
      </w:r>
      <w:r w:rsidR="00CC73A2" w:rsidRPr="00B21CBF">
        <w:rPr>
          <w:lang w:val="en-US"/>
        </w:rPr>
        <w:t>and 88</w:t>
      </w:r>
      <w:r w:rsidR="00F83BB9" w:rsidRPr="00B21CBF">
        <w:rPr>
          <w:lang w:val="en-US"/>
        </w:rPr>
        <w:t>. Otherwise interpolated.</w:t>
      </w:r>
      <w:r w:rsidR="00CC73A2" w:rsidRPr="00B21CBF">
        <w:rPr>
          <w:lang w:val="en-US"/>
        </w:rPr>
        <w:t xml:space="preserve"> </w:t>
      </w:r>
      <w:r w:rsidR="00A7543A" w:rsidRPr="00B21CBF">
        <w:rPr>
          <w:lang w:val="en-US"/>
        </w:rPr>
        <w:t xml:space="preserve"> </w:t>
      </w:r>
      <w:r w:rsidR="00CC73A2" w:rsidRPr="00B21CBF">
        <w:rPr>
          <w:lang w:val="en-US"/>
        </w:rPr>
        <w:t>In 1988-1990 uses minimum urban real wage index (1980=100) from ECLAC</w:t>
      </w:r>
      <w:r w:rsidR="00FF3427">
        <w:rPr>
          <w:lang w:val="en-US"/>
        </w:rPr>
        <w:t xml:space="preserve"> website</w:t>
      </w:r>
      <w:r w:rsidR="00CC73A2" w:rsidRPr="00B21CBF">
        <w:rPr>
          <w:lang w:val="en-US"/>
        </w:rPr>
        <w:t xml:space="preserve">. </w:t>
      </w:r>
      <w:r w:rsidR="00962C34" w:rsidRPr="00B21CBF">
        <w:rPr>
          <w:lang w:val="en-US"/>
        </w:rPr>
        <w:t xml:space="preserve"> To estimates the weights</w:t>
      </w:r>
      <w:r w:rsidR="008D5E27" w:rsidRPr="00B21CBF">
        <w:rPr>
          <w:lang w:val="en-US"/>
        </w:rPr>
        <w:t>,</w:t>
      </w:r>
      <w:r w:rsidR="00962C34" w:rsidRPr="00B21CBF">
        <w:rPr>
          <w:lang w:val="en-US"/>
        </w:rPr>
        <w:t xml:space="preserve"> I adjust the </w:t>
      </w:r>
      <w:r w:rsidR="004F2FC7">
        <w:rPr>
          <w:i/>
          <w:lang w:val="en-US"/>
        </w:rPr>
        <w:t>RU%</w:t>
      </w:r>
      <w:r w:rsidR="00962C34" w:rsidRPr="00B21CBF">
        <w:rPr>
          <w:lang w:val="en-US"/>
        </w:rPr>
        <w:t xml:space="preserve"> in 1970 in line with changes in the </w:t>
      </w:r>
      <w:r w:rsidR="00830A9C" w:rsidRPr="00B21CBF">
        <w:rPr>
          <w:lang w:val="en-US"/>
        </w:rPr>
        <w:t xml:space="preserve">rural </w:t>
      </w:r>
      <w:r w:rsidR="00962C34" w:rsidRPr="00B21CBF">
        <w:rPr>
          <w:lang w:val="en-US"/>
        </w:rPr>
        <w:t xml:space="preserve">population (following this procedure results in a </w:t>
      </w:r>
      <w:r w:rsidR="004F2FC7">
        <w:rPr>
          <w:i/>
          <w:lang w:val="en-US"/>
        </w:rPr>
        <w:t>RU%</w:t>
      </w:r>
      <w:r w:rsidR="00962C34" w:rsidRPr="00B21CBF">
        <w:rPr>
          <w:lang w:val="en-US"/>
        </w:rPr>
        <w:t xml:space="preserve"> in 1995 of about 0.37).</w:t>
      </w:r>
    </w:p>
    <w:p w:rsidR="00C40831" w:rsidRPr="00B21CBF" w:rsidRDefault="00113720" w:rsidP="00C40831">
      <w:pPr>
        <w:rPr>
          <w:lang w:val="en-US"/>
        </w:rPr>
      </w:pPr>
      <w:r>
        <w:rPr>
          <w:lang w:val="en-US"/>
        </w:rPr>
        <w:t>1990</w:t>
      </w:r>
      <w:r w:rsidR="00620788" w:rsidRPr="00B21CBF">
        <w:rPr>
          <w:lang w:val="en-US"/>
        </w:rPr>
        <w:t>-199</w:t>
      </w:r>
      <w:r w:rsidR="00C40831" w:rsidRPr="00B21CBF">
        <w:rPr>
          <w:lang w:val="en-US"/>
        </w:rPr>
        <w:t>7: overall real minimum wage index (2000=100) from ECLAC</w:t>
      </w:r>
      <w:r w:rsidR="00FF1B22">
        <w:rPr>
          <w:lang w:val="en-US"/>
        </w:rPr>
        <w:t xml:space="preserve"> website</w:t>
      </w:r>
      <w:r w:rsidR="00C40831" w:rsidRPr="00B21CBF">
        <w:rPr>
          <w:lang w:val="en-US"/>
        </w:rPr>
        <w:t>.</w:t>
      </w:r>
    </w:p>
    <w:p w:rsidR="00C40831" w:rsidRPr="00B21CBF" w:rsidRDefault="00113720" w:rsidP="00C40831">
      <w:r>
        <w:rPr>
          <w:lang w:val="en-US"/>
        </w:rPr>
        <w:t>1997</w:t>
      </w:r>
      <w:r w:rsidR="00C40831" w:rsidRPr="00B21CBF">
        <w:rPr>
          <w:lang w:val="en-US"/>
        </w:rPr>
        <w:t>-2011: index of r</w:t>
      </w:r>
      <w:r w:rsidR="00620788" w:rsidRPr="00B21CBF">
        <w:rPr>
          <w:lang w:val="en-US"/>
        </w:rPr>
        <w:t>eal monthly wages in the retailing</w:t>
      </w:r>
      <w:r w:rsidR="00C40831" w:rsidRPr="00B21CBF">
        <w:rPr>
          <w:lang w:val="en-US"/>
        </w:rPr>
        <w:t xml:space="preserve"> sector from </w:t>
      </w:r>
      <w:r w:rsidR="00505AF9" w:rsidRPr="00B21CBF">
        <w:rPr>
          <w:lang w:val="en-US"/>
        </w:rPr>
        <w:t>the Venezuelan Central Bank (BCV) website</w:t>
      </w:r>
      <w:r w:rsidR="00C40831" w:rsidRPr="00B21CBF">
        <w:rPr>
          <w:lang w:val="en-US"/>
        </w:rPr>
        <w:t xml:space="preserve">. </w:t>
      </w:r>
    </w:p>
    <w:p w:rsidR="00C40831" w:rsidRPr="00B21CBF" w:rsidRDefault="00C40831" w:rsidP="00C40831"/>
    <w:p w:rsidR="00DA263B" w:rsidRPr="00B21CBF" w:rsidRDefault="00DA263B" w:rsidP="00DA263B">
      <w:pPr>
        <w:rPr>
          <w:i/>
          <w:lang w:val="en-US"/>
        </w:rPr>
      </w:pPr>
      <w:r w:rsidRPr="00B21CBF">
        <w:rPr>
          <w:i/>
          <w:lang w:val="en-US"/>
        </w:rPr>
        <w:t>Semi-skilled wages (</w:t>
      </w:r>
      <w:r w:rsidRPr="00B21CBF">
        <w:rPr>
          <w:i/>
        </w:rPr>
        <w:t>w</w:t>
      </w:r>
      <w:r w:rsidRPr="00B21CBF">
        <w:rPr>
          <w:i/>
          <w:vertAlign w:val="subscript"/>
        </w:rPr>
        <w:t>3</w:t>
      </w:r>
      <w:r w:rsidRPr="00B21CBF">
        <w:rPr>
          <w:i/>
        </w:rPr>
        <w:t>)</w:t>
      </w:r>
      <w:r w:rsidRPr="00B21CBF">
        <w:rPr>
          <w:i/>
          <w:lang w:val="en-US"/>
        </w:rPr>
        <w:t>:</w:t>
      </w:r>
    </w:p>
    <w:p w:rsidR="00C40831" w:rsidRPr="00B21CBF" w:rsidRDefault="00C40831" w:rsidP="00C40831">
      <w:pPr>
        <w:rPr>
          <w:lang w:val="en-US"/>
        </w:rPr>
      </w:pPr>
      <w:r w:rsidRPr="00B21CBF">
        <w:rPr>
          <w:lang w:val="en-US"/>
        </w:rPr>
        <w:t>1900-1918: uses data available for urban workers in circa 1900, 1911 and 1921.</w:t>
      </w:r>
    </w:p>
    <w:p w:rsidR="00C40831" w:rsidRPr="00B21CBF" w:rsidRDefault="00B92B05" w:rsidP="00C40831">
      <w:pPr>
        <w:rPr>
          <w:lang w:val="en-US"/>
        </w:rPr>
      </w:pPr>
      <w:r>
        <w:rPr>
          <w:lang w:val="en-US"/>
        </w:rPr>
        <w:t>1918-1936</w:t>
      </w:r>
      <w:r w:rsidR="00C40831" w:rsidRPr="00B21CBF">
        <w:rPr>
          <w:lang w:val="en-US"/>
        </w:rPr>
        <w:t xml:space="preserve">: grows in line with GDP per worker in services calculated using national account estimates at 1968 prices between 1920 and1936, and overall GDP per </w:t>
      </w:r>
      <w:r w:rsidR="00C34F59" w:rsidRPr="00B21CBF">
        <w:rPr>
          <w:lang w:val="en-US"/>
        </w:rPr>
        <w:t>worker during</w:t>
      </w:r>
      <w:r w:rsidR="00C40831" w:rsidRPr="00B21CBF">
        <w:rPr>
          <w:lang w:val="en-US"/>
        </w:rPr>
        <w:t xml:space="preserve"> 1900-1920 from (Baptista, 1997).</w:t>
      </w:r>
    </w:p>
    <w:p w:rsidR="00C40831" w:rsidRPr="00B21CBF" w:rsidRDefault="001A39A2" w:rsidP="00C40831">
      <w:pPr>
        <w:rPr>
          <w:lang w:val="en-US"/>
        </w:rPr>
      </w:pPr>
      <w:r w:rsidRPr="00B21CBF">
        <w:rPr>
          <w:lang w:val="en-US"/>
        </w:rPr>
        <w:t>1936-1974</w:t>
      </w:r>
      <w:r w:rsidR="00C40831" w:rsidRPr="00B21CBF">
        <w:rPr>
          <w:lang w:val="en-US"/>
        </w:rPr>
        <w:t xml:space="preserve">: </w:t>
      </w:r>
      <w:r w:rsidR="003576EC" w:rsidRPr="00B21CBF">
        <w:rPr>
          <w:lang w:val="en-US"/>
        </w:rPr>
        <w:t xml:space="preserve">average hourly base-rate wage (largely in Caracas) for seven occupations in building industry </w:t>
      </w:r>
      <w:r w:rsidR="00C40831" w:rsidRPr="00B21CBF">
        <w:t>from ILO</w:t>
      </w:r>
      <w:r w:rsidR="00830A9C" w:rsidRPr="00B21CBF">
        <w:t>/OI1</w:t>
      </w:r>
      <w:r w:rsidR="003A29A8" w:rsidRPr="00B21CBF">
        <w:t xml:space="preserve"> </w:t>
      </w:r>
      <w:r w:rsidR="00441480" w:rsidRPr="00B21CBF">
        <w:t xml:space="preserve">(reported in Valecillos, </w:t>
      </w:r>
      <w:r w:rsidR="003A29A8" w:rsidRPr="00B21CBF">
        <w:t>1990</w:t>
      </w:r>
      <w:r w:rsidR="00C40831" w:rsidRPr="00B21CBF">
        <w:t>)</w:t>
      </w:r>
      <w:r w:rsidR="003576EC" w:rsidRPr="00B21CBF">
        <w:rPr>
          <w:lang w:val="en-US"/>
        </w:rPr>
        <w:t xml:space="preserve">. </w:t>
      </w:r>
      <w:r w:rsidR="00EF6FA4" w:rsidRPr="00B21CBF">
        <w:rPr>
          <w:lang w:val="en-US"/>
        </w:rPr>
        <w:t>D</w:t>
      </w:r>
      <w:r w:rsidR="00C40831" w:rsidRPr="00B21CBF">
        <w:rPr>
          <w:lang w:val="en-US"/>
        </w:rPr>
        <w:t>ata available for 1940, 42, 43, 45, 46, 51, 54-56, 58-66, 68, 71, 7</w:t>
      </w:r>
      <w:r w:rsidR="00EF6FA4" w:rsidRPr="00B21CBF">
        <w:rPr>
          <w:lang w:val="en-US"/>
        </w:rPr>
        <w:t>5, 78, 81, 85, and 1988</w:t>
      </w:r>
      <w:r w:rsidR="00C40831" w:rsidRPr="00B21CBF">
        <w:rPr>
          <w:lang w:val="en-US"/>
        </w:rPr>
        <w:t>.</w:t>
      </w:r>
    </w:p>
    <w:p w:rsidR="00EF6FA4" w:rsidRPr="00B21CBF" w:rsidRDefault="00C34F59" w:rsidP="00EF6FA4">
      <w:pPr>
        <w:rPr>
          <w:lang w:val="en-US"/>
        </w:rPr>
      </w:pPr>
      <w:r w:rsidRPr="00B21CBF">
        <w:rPr>
          <w:lang w:val="en-US"/>
        </w:rPr>
        <w:t>*</w:t>
      </w:r>
      <w:r w:rsidR="00EF6FA4" w:rsidRPr="00B21CBF">
        <w:rPr>
          <w:lang w:val="en-US"/>
        </w:rPr>
        <w:t xml:space="preserve">1974 (in levels): average hourly base-rate wage (largely in Caracas) for seven occupations in </w:t>
      </w:r>
      <w:r w:rsidR="00FC0344">
        <w:rPr>
          <w:lang w:val="en-US"/>
        </w:rPr>
        <w:t xml:space="preserve">the </w:t>
      </w:r>
      <w:r w:rsidR="00EF6FA4" w:rsidRPr="00B21CBF">
        <w:rPr>
          <w:lang w:val="en-US"/>
        </w:rPr>
        <w:t xml:space="preserve">building industry </w:t>
      </w:r>
      <w:r w:rsidR="00EF6FA4" w:rsidRPr="00B21CBF">
        <w:t>from ILO/OI1 (reported in Valecillos, 1990)</w:t>
      </w:r>
      <w:r w:rsidR="00EF6FA4" w:rsidRPr="00B21CBF">
        <w:rPr>
          <w:lang w:val="en-US"/>
        </w:rPr>
        <w:t>. The underlying urban unskilled wage i</w:t>
      </w:r>
      <w:r w:rsidR="00FC0344">
        <w:rPr>
          <w:lang w:val="en-US"/>
        </w:rPr>
        <w:t>s the minimum urban wage</w:t>
      </w:r>
      <w:r w:rsidR="00EF6FA4" w:rsidRPr="00B21CBF">
        <w:rPr>
          <w:lang w:val="en-US"/>
        </w:rPr>
        <w:t xml:space="preserve"> from PREALC (1982).</w:t>
      </w:r>
    </w:p>
    <w:p w:rsidR="003576EC" w:rsidRPr="00B21CBF" w:rsidRDefault="00EF6FA4" w:rsidP="00C40831">
      <w:pPr>
        <w:rPr>
          <w:lang w:val="en-US"/>
        </w:rPr>
      </w:pPr>
      <w:r w:rsidRPr="00B21CBF">
        <w:rPr>
          <w:lang w:val="en-US"/>
        </w:rPr>
        <w:t>1974-1980: as in 1936-1974.</w:t>
      </w:r>
    </w:p>
    <w:p w:rsidR="00E82639" w:rsidRPr="00B21CBF" w:rsidRDefault="00B92B05" w:rsidP="00C40831">
      <w:pPr>
        <w:rPr>
          <w:lang w:val="en-US"/>
        </w:rPr>
      </w:pPr>
      <w:r>
        <w:rPr>
          <w:lang w:val="en-US"/>
        </w:rPr>
        <w:t>1980</w:t>
      </w:r>
      <w:r w:rsidR="00E82639" w:rsidRPr="00B21CBF">
        <w:rPr>
          <w:lang w:val="en-US"/>
        </w:rPr>
        <w:t>-</w:t>
      </w:r>
      <w:r w:rsidR="00E82639" w:rsidRPr="00FA715F">
        <w:rPr>
          <w:lang w:val="en-US"/>
        </w:rPr>
        <w:t>1990: average annual salaries in the non-agriculture and non-oil economy</w:t>
      </w:r>
      <w:r w:rsidR="00355514" w:rsidRPr="00FA715F">
        <w:rPr>
          <w:lang w:val="en-US"/>
        </w:rPr>
        <w:t xml:space="preserve"> (pri</w:t>
      </w:r>
      <w:r w:rsidR="007112CA" w:rsidRPr="00FA715F">
        <w:rPr>
          <w:lang w:val="en-US"/>
        </w:rPr>
        <w:t>vate sector) in Valecillos (1990</w:t>
      </w:r>
      <w:r w:rsidR="00355514" w:rsidRPr="00FA715F">
        <w:rPr>
          <w:lang w:val="en-US"/>
        </w:rPr>
        <w:t>).</w:t>
      </w:r>
    </w:p>
    <w:p w:rsidR="00C40831" w:rsidRPr="00B21CBF" w:rsidRDefault="00C40831" w:rsidP="00C40831">
      <w:pPr>
        <w:rPr>
          <w:lang w:val="en-US"/>
        </w:rPr>
      </w:pPr>
      <w:r w:rsidRPr="00B21CBF">
        <w:rPr>
          <w:lang w:val="en-US"/>
        </w:rPr>
        <w:t>19</w:t>
      </w:r>
      <w:r w:rsidR="00B92B05">
        <w:rPr>
          <w:lang w:val="en-US"/>
        </w:rPr>
        <w:t>90</w:t>
      </w:r>
      <w:r w:rsidR="00640EBF" w:rsidRPr="00B21CBF">
        <w:rPr>
          <w:lang w:val="en-US"/>
        </w:rPr>
        <w:t>-1997</w:t>
      </w:r>
      <w:r w:rsidRPr="00B21CBF">
        <w:rPr>
          <w:lang w:val="en-US"/>
        </w:rPr>
        <w:t>: average real wage</w:t>
      </w:r>
      <w:r w:rsidR="00FC0344">
        <w:rPr>
          <w:lang w:val="en-US"/>
        </w:rPr>
        <w:t xml:space="preserve"> index (1990=100) from ECLAC</w:t>
      </w:r>
      <w:r w:rsidR="00FF1B22">
        <w:rPr>
          <w:lang w:val="en-US"/>
        </w:rPr>
        <w:t xml:space="preserve"> website</w:t>
      </w:r>
      <w:r w:rsidR="00FC0344">
        <w:rPr>
          <w:lang w:val="en-US"/>
        </w:rPr>
        <w:t>. Between</w:t>
      </w:r>
      <w:r w:rsidRPr="00B21CBF">
        <w:rPr>
          <w:lang w:val="en-US"/>
        </w:rPr>
        <w:t xml:space="preserve"> 1988 and 1990 uses rate of growth of manufacturing real wage. </w:t>
      </w:r>
    </w:p>
    <w:p w:rsidR="00C40831" w:rsidRPr="00B21CBF" w:rsidRDefault="006714E7" w:rsidP="00C40831">
      <w:r>
        <w:rPr>
          <w:lang w:val="en-US"/>
        </w:rPr>
        <w:lastRenderedPageBreak/>
        <w:t>1997</w:t>
      </w:r>
      <w:r w:rsidR="00C40831" w:rsidRPr="00B21CBF">
        <w:rPr>
          <w:lang w:val="en-US"/>
        </w:rPr>
        <w:t xml:space="preserve">-2011: average index of real monthly wages in the construction and retail sectors from the </w:t>
      </w:r>
      <w:r w:rsidR="00505AF9" w:rsidRPr="00B21CBF">
        <w:rPr>
          <w:lang w:val="en-US"/>
        </w:rPr>
        <w:t>BCV</w:t>
      </w:r>
      <w:r w:rsidR="00740D09" w:rsidRPr="00B21CBF">
        <w:rPr>
          <w:lang w:val="en-US"/>
        </w:rPr>
        <w:t xml:space="preserve"> website</w:t>
      </w:r>
      <w:r w:rsidR="00C40831" w:rsidRPr="00B21CBF">
        <w:rPr>
          <w:lang w:val="en-US"/>
        </w:rPr>
        <w:t xml:space="preserve">. </w:t>
      </w:r>
    </w:p>
    <w:p w:rsidR="00C40831" w:rsidRPr="00B21CBF" w:rsidRDefault="00C40831" w:rsidP="00C40831">
      <w:pPr>
        <w:rPr>
          <w:highlight w:val="lightGray"/>
        </w:rPr>
      </w:pPr>
    </w:p>
    <w:p w:rsidR="00C40831" w:rsidRPr="00B21CBF" w:rsidRDefault="00DA263B" w:rsidP="00C40831">
      <w:pPr>
        <w:rPr>
          <w:i/>
          <w:lang w:val="en-US"/>
        </w:rPr>
      </w:pPr>
      <w:r w:rsidRPr="00B21CBF">
        <w:rPr>
          <w:i/>
        </w:rPr>
        <w:t>Skilled labour (w</w:t>
      </w:r>
      <w:r w:rsidRPr="00B21CBF">
        <w:rPr>
          <w:i/>
          <w:vertAlign w:val="subscript"/>
        </w:rPr>
        <w:t>2</w:t>
      </w:r>
      <w:r w:rsidRPr="00B21CBF">
        <w:rPr>
          <w:i/>
        </w:rPr>
        <w:t>)</w:t>
      </w:r>
      <w:r w:rsidRPr="00B21CBF">
        <w:rPr>
          <w:i/>
          <w:lang w:val="en-US"/>
        </w:rPr>
        <w:t>:</w:t>
      </w:r>
    </w:p>
    <w:p w:rsidR="00C40831" w:rsidRPr="002A04EF" w:rsidRDefault="00C40831" w:rsidP="00C40831">
      <w:pPr>
        <w:rPr>
          <w:lang w:val="en-US"/>
        </w:rPr>
      </w:pPr>
      <w:r w:rsidRPr="002A04EF">
        <w:rPr>
          <w:lang w:val="en-US"/>
        </w:rPr>
        <w:t>1900-35:</w:t>
      </w:r>
      <w:r w:rsidRPr="002A04EF">
        <w:t xml:space="preserve"> calculated by applying ratios skilled/semi-skilled wages in the </w:t>
      </w:r>
      <w:r w:rsidRPr="002A04EF">
        <w:rPr>
          <w:lang w:val="en-US"/>
        </w:rPr>
        <w:t>public sector from Carrillo Batalla (2002, 2003) to the estimates series of semi-skilled wages (see above).</w:t>
      </w:r>
      <w:r w:rsidRPr="002A04EF">
        <w:t xml:space="preserve"> This source offers wage data</w:t>
      </w:r>
      <w:r w:rsidR="005A05C6" w:rsidRPr="002A04EF">
        <w:t xml:space="preserve"> every five</w:t>
      </w:r>
      <w:r w:rsidRPr="002A04EF">
        <w:t xml:space="preserve"> years </w:t>
      </w:r>
      <w:r w:rsidR="00FA64D5" w:rsidRPr="002A04EF">
        <w:t>from 1900</w:t>
      </w:r>
      <w:r w:rsidRPr="002A04EF">
        <w:t xml:space="preserve"> to 1935</w:t>
      </w:r>
      <w:r w:rsidR="00FA64D5" w:rsidRPr="002A04EF">
        <w:t>. I</w:t>
      </w:r>
      <w:r w:rsidRPr="002A04EF">
        <w:t xml:space="preserve"> use wages paid by the </w:t>
      </w:r>
      <w:r w:rsidRPr="002A04EF">
        <w:rPr>
          <w:i/>
        </w:rPr>
        <w:t>Ministerio de Hacienda</w:t>
      </w:r>
      <w:r w:rsidRPr="002A04EF">
        <w:t xml:space="preserve"> (Treasury) and </w:t>
      </w:r>
      <w:r w:rsidRPr="002A04EF">
        <w:rPr>
          <w:i/>
        </w:rPr>
        <w:t>Guerra y Marina</w:t>
      </w:r>
      <w:r w:rsidRPr="002A04EF">
        <w:t xml:space="preserve"> (Defence)</w:t>
      </w:r>
      <w:r w:rsidR="0075212F" w:rsidRPr="002A04EF">
        <w:t xml:space="preserve"> to a number of clerical jobs</w:t>
      </w:r>
      <w:r w:rsidRPr="002A04EF">
        <w:t>. Semi-skilled occupations are taken to be</w:t>
      </w:r>
      <w:r w:rsidR="00952E41" w:rsidRPr="002A04EF">
        <w:t xml:space="preserve"> </w:t>
      </w:r>
      <w:r w:rsidR="00472126" w:rsidRPr="002A04EF">
        <w:t xml:space="preserve">the inspector of </w:t>
      </w:r>
      <w:r w:rsidR="00952E41" w:rsidRPr="002A04EF">
        <w:t>weights and measures (</w:t>
      </w:r>
      <w:r w:rsidRPr="002A04EF">
        <w:rPr>
          <w:i/>
        </w:rPr>
        <w:t>fiel de peso</w:t>
      </w:r>
      <w:r w:rsidR="00952E41" w:rsidRPr="002A04EF">
        <w:t xml:space="preserve">), </w:t>
      </w:r>
      <w:r w:rsidR="0075212F" w:rsidRPr="002A04EF">
        <w:t>archivist</w:t>
      </w:r>
      <w:r w:rsidRPr="002A04EF">
        <w:t>, and</w:t>
      </w:r>
      <w:r w:rsidR="00657ED8" w:rsidRPr="002A04EF">
        <w:t xml:space="preserve"> </w:t>
      </w:r>
      <w:r w:rsidR="00596823" w:rsidRPr="002A04EF">
        <w:t>tax agent</w:t>
      </w:r>
      <w:r w:rsidR="00657ED8" w:rsidRPr="002A04EF">
        <w:t xml:space="preserve"> (</w:t>
      </w:r>
      <w:r w:rsidRPr="002A04EF">
        <w:rPr>
          <w:i/>
        </w:rPr>
        <w:t>liquidador</w:t>
      </w:r>
      <w:r w:rsidR="00CF587F" w:rsidRPr="002A04EF">
        <w:t>)</w:t>
      </w:r>
      <w:r w:rsidRPr="002A04EF">
        <w:t xml:space="preserve">; whereas skilled occupations are </w:t>
      </w:r>
      <w:r w:rsidR="0075212F" w:rsidRPr="002A04EF">
        <w:t>chief statistician</w:t>
      </w:r>
      <w:r w:rsidRPr="002A04EF">
        <w:t xml:space="preserve">, </w:t>
      </w:r>
      <w:r w:rsidR="00596823" w:rsidRPr="002A04EF">
        <w:t>comptroller</w:t>
      </w:r>
      <w:r w:rsidR="00912A0D" w:rsidRPr="002A04EF">
        <w:t xml:space="preserve"> (</w:t>
      </w:r>
      <w:r w:rsidRPr="002A04EF">
        <w:rPr>
          <w:i/>
        </w:rPr>
        <w:t>interventor</w:t>
      </w:r>
      <w:r w:rsidR="00CF587F" w:rsidRPr="002A04EF">
        <w:t>)</w:t>
      </w:r>
      <w:r w:rsidRPr="002A04EF">
        <w:t xml:space="preserve">, </w:t>
      </w:r>
      <w:r w:rsidR="0075212F" w:rsidRPr="002A04EF">
        <w:t>accountant</w:t>
      </w:r>
      <w:r w:rsidRPr="002A04EF">
        <w:t xml:space="preserve">, and </w:t>
      </w:r>
      <w:r w:rsidR="0075212F" w:rsidRPr="002A04EF">
        <w:t>cashier</w:t>
      </w:r>
      <w:r w:rsidRPr="002A04EF">
        <w:t>.</w:t>
      </w:r>
      <w:r w:rsidRPr="002A04EF">
        <w:rPr>
          <w:lang w:val="en-US"/>
        </w:rPr>
        <w:t xml:space="preserve"> </w:t>
      </w:r>
      <w:r w:rsidRPr="002A04EF">
        <w:t>Although during the early decades of the last century the public sector accounted for a relatively small share of the labour force (about</w:t>
      </w:r>
      <w:r w:rsidR="00FF1B22">
        <w:t xml:space="preserve"> 5% according to Valecillos, 200</w:t>
      </w:r>
      <w:r w:rsidRPr="002A04EF">
        <w:t xml:space="preserve">7), the skill ratios calculated from wages in the public sector are roughly consistent with those derived from data on wages in the private sector compiled by Lucas (1991) for the first three decades of the last </w:t>
      </w:r>
      <w:r w:rsidR="00D70F0F" w:rsidRPr="002A04EF">
        <w:t>century</w:t>
      </w:r>
      <w:r w:rsidRPr="002A04EF">
        <w:t xml:space="preserve"> (a </w:t>
      </w:r>
      <w:r w:rsidRPr="002A04EF">
        <w:rPr>
          <w:lang w:val="en-US"/>
        </w:rPr>
        <w:t>skilled/semi-skilled ratio of about 2.5).</w:t>
      </w:r>
    </w:p>
    <w:p w:rsidR="00C40831" w:rsidRPr="00B21CBF" w:rsidRDefault="00C67A6B" w:rsidP="00C40831">
      <w:pPr>
        <w:rPr>
          <w:lang w:val="en-US"/>
        </w:rPr>
      </w:pPr>
      <w:r w:rsidRPr="002A04EF">
        <w:rPr>
          <w:lang w:val="en-US"/>
        </w:rPr>
        <w:t>1935</w:t>
      </w:r>
      <w:r w:rsidR="00C40831" w:rsidRPr="002A04EF">
        <w:rPr>
          <w:lang w:val="en-US"/>
        </w:rPr>
        <w:t>-</w:t>
      </w:r>
      <w:r w:rsidR="00441480" w:rsidRPr="002A04EF">
        <w:rPr>
          <w:lang w:val="en-US"/>
        </w:rPr>
        <w:t>61: I</w:t>
      </w:r>
      <w:r w:rsidR="00C40831" w:rsidRPr="002A04EF">
        <w:rPr>
          <w:lang w:val="en-US"/>
        </w:rPr>
        <w:t xml:space="preserve"> extend</w:t>
      </w:r>
      <w:r w:rsidR="00C40831" w:rsidRPr="00B21CBF">
        <w:rPr>
          <w:lang w:val="en-US"/>
        </w:rPr>
        <w:t xml:space="preserve"> backwards the 1962 value to </w:t>
      </w:r>
      <w:r w:rsidR="003D33A3">
        <w:rPr>
          <w:lang w:val="en-US"/>
        </w:rPr>
        <w:t>1935</w:t>
      </w:r>
      <w:r w:rsidR="00C40831" w:rsidRPr="00B21CBF">
        <w:rPr>
          <w:lang w:val="en-US"/>
        </w:rPr>
        <w:t xml:space="preserve"> using the proportionality of data on real monthly wages in manufacturing in Valecillos (</w:t>
      </w:r>
      <w:r w:rsidR="00004322">
        <w:rPr>
          <w:lang w:val="en-US"/>
        </w:rPr>
        <w:t>1990:</w:t>
      </w:r>
      <w:r w:rsidR="00335B77" w:rsidRPr="00B21CBF">
        <w:rPr>
          <w:lang w:val="en-US"/>
        </w:rPr>
        <w:t xml:space="preserve"> </w:t>
      </w:r>
      <w:r w:rsidR="00C40831" w:rsidRPr="00B21CBF">
        <w:rPr>
          <w:lang w:val="en-US"/>
        </w:rPr>
        <w:t>Cuadro 2</w:t>
      </w:r>
      <w:r w:rsidR="00FF1B22">
        <w:rPr>
          <w:lang w:val="en-US"/>
        </w:rPr>
        <w:t>-</w:t>
      </w:r>
      <w:r w:rsidR="00C40831" w:rsidRPr="00B21CBF">
        <w:rPr>
          <w:lang w:val="en-US"/>
        </w:rPr>
        <w:t xml:space="preserve">9, 194) </w:t>
      </w:r>
      <w:r w:rsidR="00441480" w:rsidRPr="00B21CBF">
        <w:rPr>
          <w:lang w:val="en-US"/>
        </w:rPr>
        <w:t>between 1936 and 1959 (=3.3). I</w:t>
      </w:r>
      <w:r w:rsidR="00C40831" w:rsidRPr="00B21CBF">
        <w:rPr>
          <w:lang w:val="en-US"/>
        </w:rPr>
        <w:t xml:space="preserve"> then use pa</w:t>
      </w:r>
      <w:r w:rsidR="003D33A3">
        <w:rPr>
          <w:lang w:val="en-US"/>
        </w:rPr>
        <w:t>ttern interpolation between 1935</w:t>
      </w:r>
      <w:r w:rsidR="00C40831" w:rsidRPr="00B21CBF">
        <w:rPr>
          <w:lang w:val="en-US"/>
        </w:rPr>
        <w:t xml:space="preserve"> and 1962 using as proxy the series of annual real salaries in the oil sector (Valecillos, 1</w:t>
      </w:r>
      <w:r w:rsidR="00335B77" w:rsidRPr="00B21CBF">
        <w:rPr>
          <w:lang w:val="en-US"/>
        </w:rPr>
        <w:t>990</w:t>
      </w:r>
      <w:r w:rsidR="00C40831" w:rsidRPr="00B21CBF">
        <w:rPr>
          <w:lang w:val="en-US"/>
        </w:rPr>
        <w:t xml:space="preserve">). </w:t>
      </w:r>
      <w:r w:rsidR="00441480" w:rsidRPr="00B21CBF">
        <w:rPr>
          <w:lang w:val="en-US"/>
        </w:rPr>
        <w:t xml:space="preserve">In 1952 </w:t>
      </w:r>
      <w:r w:rsidR="00FB24D2" w:rsidRPr="00B21CBF">
        <w:rPr>
          <w:lang w:val="en-US"/>
        </w:rPr>
        <w:t xml:space="preserve">a skill ratio (=1.49) </w:t>
      </w:r>
      <w:r w:rsidR="00FB24D2">
        <w:rPr>
          <w:lang w:val="en-US"/>
        </w:rPr>
        <w:t xml:space="preserve">is calculated using </w:t>
      </w:r>
      <w:r w:rsidR="00441480" w:rsidRPr="00B21CBF">
        <w:rPr>
          <w:lang w:val="en-US"/>
        </w:rPr>
        <w:t>ILO’s</w:t>
      </w:r>
      <w:r w:rsidR="00C40831" w:rsidRPr="00B21CBF">
        <w:rPr>
          <w:lang w:val="en-US"/>
        </w:rPr>
        <w:t xml:space="preserve"> data for construction workers and clerks</w:t>
      </w:r>
      <w:r w:rsidR="00FB24D2">
        <w:rPr>
          <w:lang w:val="en-US"/>
        </w:rPr>
        <w:t>. This ration is</w:t>
      </w:r>
      <w:r w:rsidR="00C40831" w:rsidRPr="00B21CBF">
        <w:rPr>
          <w:lang w:val="en-US"/>
        </w:rPr>
        <w:t xml:space="preserve"> then applied to the semi-skilled wage in that year to obtain an estimation for skilled wages.</w:t>
      </w:r>
    </w:p>
    <w:p w:rsidR="00C40831" w:rsidRPr="00B21CBF" w:rsidRDefault="00283610" w:rsidP="00C40831">
      <w:pPr>
        <w:rPr>
          <w:lang w:val="en-US"/>
        </w:rPr>
      </w:pPr>
      <w:r>
        <w:rPr>
          <w:lang w:val="en-US"/>
        </w:rPr>
        <w:t>1961</w:t>
      </w:r>
      <w:r w:rsidR="00C40831" w:rsidRPr="00B21CBF">
        <w:rPr>
          <w:lang w:val="en-US"/>
        </w:rPr>
        <w:t>-65: total nominal annual earnings in man</w:t>
      </w:r>
      <w:r w:rsidR="00335B77" w:rsidRPr="00B21CBF">
        <w:rPr>
          <w:lang w:val="en-US"/>
        </w:rPr>
        <w:t>ufacturing from Valecillos (1990</w:t>
      </w:r>
      <w:r w:rsidR="00C40831" w:rsidRPr="00B21CBF">
        <w:rPr>
          <w:lang w:val="en-US"/>
        </w:rPr>
        <w:t>) using official data in 1961 and 1966 combined with series of money wages in industry from Mitchell (2003).</w:t>
      </w:r>
    </w:p>
    <w:p w:rsidR="00C40831" w:rsidRPr="00B21CBF" w:rsidRDefault="00472126" w:rsidP="00C40831">
      <w:pPr>
        <w:rPr>
          <w:lang w:val="en-US"/>
        </w:rPr>
      </w:pPr>
      <w:r w:rsidRPr="00B21CBF">
        <w:rPr>
          <w:lang w:val="en-US"/>
        </w:rPr>
        <w:t>*</w:t>
      </w:r>
      <w:r w:rsidR="00B13480" w:rsidRPr="00B21CBF">
        <w:rPr>
          <w:lang w:val="en-US"/>
        </w:rPr>
        <w:t>1965-73</w:t>
      </w:r>
      <w:r w:rsidR="00717330" w:rsidRPr="00B21CBF">
        <w:rPr>
          <w:lang w:val="en-US"/>
        </w:rPr>
        <w:t>(in levels)</w:t>
      </w:r>
      <w:r w:rsidR="004F0FBF">
        <w:rPr>
          <w:lang w:val="en-US"/>
        </w:rPr>
        <w:t xml:space="preserve">: monthly average </w:t>
      </w:r>
      <w:r w:rsidR="00C40831" w:rsidRPr="00B21CBF">
        <w:rPr>
          <w:lang w:val="en-US"/>
        </w:rPr>
        <w:t>salary for bank tellers and clerks (stock record) from ILO</w:t>
      </w:r>
      <w:r w:rsidR="00717330" w:rsidRPr="00B21CBF">
        <w:rPr>
          <w:lang w:val="en-US"/>
        </w:rPr>
        <w:t>/OI2.</w:t>
      </w:r>
    </w:p>
    <w:p w:rsidR="00C40831" w:rsidRPr="00B21CBF" w:rsidRDefault="00B13480" w:rsidP="00C40831">
      <w:r w:rsidRPr="00B21CBF">
        <w:rPr>
          <w:lang w:val="en-US"/>
        </w:rPr>
        <w:t>1973</w:t>
      </w:r>
      <w:r w:rsidR="00C40831" w:rsidRPr="00B21CBF">
        <w:rPr>
          <w:lang w:val="en-US"/>
        </w:rPr>
        <w:t>-90: nominal annual earnings per worker in manufacturing as reported in OCEI industrial surv</w:t>
      </w:r>
      <w:r w:rsidR="00335B77" w:rsidRPr="00B21CBF">
        <w:rPr>
          <w:lang w:val="en-US"/>
        </w:rPr>
        <w:t>eys (taken from Valecillos, 1990</w:t>
      </w:r>
      <w:r w:rsidR="00C40831" w:rsidRPr="00B21CBF">
        <w:rPr>
          <w:lang w:val="en-US"/>
        </w:rPr>
        <w:t>).</w:t>
      </w:r>
    </w:p>
    <w:p w:rsidR="00C40831" w:rsidRPr="00B21CBF" w:rsidRDefault="00283610" w:rsidP="00C40831">
      <w:pPr>
        <w:rPr>
          <w:lang w:val="en-US"/>
        </w:rPr>
      </w:pPr>
      <w:r>
        <w:rPr>
          <w:lang w:val="en-US"/>
        </w:rPr>
        <w:t>1990</w:t>
      </w:r>
      <w:r w:rsidR="00C40831" w:rsidRPr="00B21CBF">
        <w:t>-97: index of real average monthly wa</w:t>
      </w:r>
      <w:r w:rsidR="00E82639" w:rsidRPr="00B21CBF">
        <w:t>ges in manufacturing from ECLAC</w:t>
      </w:r>
      <w:r w:rsidR="00FF1B22">
        <w:t xml:space="preserve"> website</w:t>
      </w:r>
      <w:r w:rsidR="00C40831" w:rsidRPr="00B21CBF">
        <w:t>.</w:t>
      </w:r>
    </w:p>
    <w:p w:rsidR="00C40831" w:rsidRPr="00B21CBF" w:rsidRDefault="00283610" w:rsidP="00C40831">
      <w:r>
        <w:rPr>
          <w:lang w:val="en-US"/>
        </w:rPr>
        <w:t>1997</w:t>
      </w:r>
      <w:r w:rsidR="00C40831" w:rsidRPr="00B21CBF">
        <w:rPr>
          <w:lang w:val="en-US"/>
        </w:rPr>
        <w:t>-2011: index (1997=100) of real wages in manufacturing (private sector) from BCV</w:t>
      </w:r>
      <w:r w:rsidR="00FF1B22">
        <w:rPr>
          <w:lang w:val="en-US"/>
        </w:rPr>
        <w:t xml:space="preserve"> website</w:t>
      </w:r>
      <w:r w:rsidR="00C40831" w:rsidRPr="00B21CBF">
        <w:rPr>
          <w:lang w:val="en-US"/>
        </w:rPr>
        <w:t>.</w:t>
      </w:r>
    </w:p>
    <w:p w:rsidR="00C40831" w:rsidRPr="00B21CBF" w:rsidRDefault="00C40831" w:rsidP="00C40831">
      <w:pPr>
        <w:rPr>
          <w:lang w:val="en-US"/>
        </w:rPr>
      </w:pPr>
    </w:p>
    <w:p w:rsidR="00C40831" w:rsidRPr="00B21CBF" w:rsidRDefault="005A24AD" w:rsidP="00C40831">
      <w:pPr>
        <w:rPr>
          <w:lang w:val="en-US"/>
        </w:rPr>
      </w:pPr>
      <w:r w:rsidRPr="00B21CBF">
        <w:rPr>
          <w:i/>
          <w:lang w:val="en-US"/>
        </w:rPr>
        <w:t>Deflators:</w:t>
      </w:r>
    </w:p>
    <w:p w:rsidR="00C40831" w:rsidRPr="00B21CBF" w:rsidRDefault="00C40831" w:rsidP="00C40831">
      <w:pPr>
        <w:rPr>
          <w:lang w:val="en-US"/>
        </w:rPr>
      </w:pPr>
      <w:r w:rsidRPr="00B21CBF">
        <w:rPr>
          <w:lang w:val="en-US"/>
        </w:rPr>
        <w:t xml:space="preserve">1900-1945: general price index from De Corso (2013). </w:t>
      </w:r>
    </w:p>
    <w:p w:rsidR="005A24AD" w:rsidRPr="00B21CBF" w:rsidRDefault="00C40831" w:rsidP="00C40831">
      <w:r w:rsidRPr="00B21CBF">
        <w:t>1945-2011: CPI for Caracas metropolitan area from the BCV</w:t>
      </w:r>
      <w:r w:rsidR="00A94064" w:rsidRPr="00B21CBF">
        <w:t xml:space="preserve"> </w:t>
      </w:r>
      <w:r w:rsidR="006D5023">
        <w:t>website</w:t>
      </w:r>
      <w:r w:rsidRPr="00B21CBF">
        <w:t>.</w:t>
      </w:r>
    </w:p>
    <w:p w:rsidR="00927F61" w:rsidRPr="006D0CD8" w:rsidRDefault="00927F61" w:rsidP="003558D0">
      <w:pPr>
        <w:spacing w:line="360" w:lineRule="auto"/>
        <w:rPr>
          <w:b/>
        </w:rPr>
      </w:pPr>
    </w:p>
    <w:p w:rsidR="004078E0" w:rsidRDefault="004078E0">
      <w:pPr>
        <w:rPr>
          <w:b/>
          <w:sz w:val="28"/>
          <w:szCs w:val="28"/>
        </w:rPr>
      </w:pPr>
      <w:r>
        <w:rPr>
          <w:b/>
          <w:sz w:val="28"/>
          <w:szCs w:val="28"/>
        </w:rPr>
        <w:br w:type="page"/>
      </w:r>
    </w:p>
    <w:p w:rsidR="00424EAC" w:rsidRPr="00B5383A" w:rsidRDefault="00424EAC" w:rsidP="00424EAC">
      <w:pPr>
        <w:pStyle w:val="ListParagraph"/>
        <w:numPr>
          <w:ilvl w:val="0"/>
          <w:numId w:val="34"/>
        </w:numPr>
        <w:rPr>
          <w:b/>
          <w:sz w:val="26"/>
          <w:szCs w:val="26"/>
          <w:shd w:val="clear" w:color="auto" w:fill="FFFFFF"/>
        </w:rPr>
      </w:pPr>
      <w:r w:rsidRPr="00B5383A">
        <w:rPr>
          <w:b/>
          <w:sz w:val="26"/>
          <w:szCs w:val="26"/>
          <w:shd w:val="clear" w:color="auto" w:fill="FFFFFF"/>
        </w:rPr>
        <w:lastRenderedPageBreak/>
        <w:t>Income per worker</w:t>
      </w:r>
    </w:p>
    <w:p w:rsidR="00424EAC" w:rsidRPr="00B5383A" w:rsidRDefault="00424EAC" w:rsidP="00424EAC">
      <w:pPr>
        <w:rPr>
          <w:b/>
          <w:shd w:val="clear" w:color="auto" w:fill="FFFFFF"/>
        </w:rPr>
      </w:pPr>
    </w:p>
    <w:p w:rsidR="004078E0" w:rsidRPr="00B5383A" w:rsidRDefault="00163B87" w:rsidP="004078E0">
      <w:pPr>
        <w:rPr>
          <w:b/>
          <w:shd w:val="clear" w:color="auto" w:fill="FFFFFF"/>
        </w:rPr>
      </w:pPr>
      <w:r w:rsidRPr="00B5383A">
        <w:rPr>
          <w:b/>
          <w:shd w:val="clear" w:color="auto" w:fill="FFFFFF"/>
        </w:rPr>
        <w:t>II.</w:t>
      </w:r>
      <w:r w:rsidR="004078E0" w:rsidRPr="00B5383A">
        <w:rPr>
          <w:b/>
          <w:shd w:val="clear" w:color="auto" w:fill="FFFFFF"/>
        </w:rPr>
        <w:t>1. Employment shares</w:t>
      </w:r>
    </w:p>
    <w:p w:rsidR="004078E0" w:rsidRPr="00B5383A" w:rsidRDefault="004831F1" w:rsidP="004078E0">
      <w:pPr>
        <w:spacing w:after="240"/>
        <w:rPr>
          <w:shd w:val="clear" w:color="auto" w:fill="FFFFFF"/>
        </w:rPr>
      </w:pPr>
      <w:r w:rsidRPr="00B5383A">
        <w:rPr>
          <w:shd w:val="clear" w:color="auto" w:fill="FFFFFF"/>
        </w:rPr>
        <w:t>I</w:t>
      </w:r>
      <w:r w:rsidR="004078E0" w:rsidRPr="00B5383A">
        <w:rPr>
          <w:shd w:val="clear" w:color="auto" w:fill="FFFFFF"/>
        </w:rPr>
        <w:t xml:space="preserve"> follow two different procedures to estimate the shares of the EAP per each of the four occupational categories:</w:t>
      </w:r>
    </w:p>
    <w:p w:rsidR="004078E0" w:rsidRPr="00B5383A" w:rsidRDefault="004078E0" w:rsidP="004078E0">
      <w:pPr>
        <w:rPr>
          <w:i/>
          <w:shd w:val="clear" w:color="auto" w:fill="FFFFFF"/>
        </w:rPr>
      </w:pPr>
      <w:r w:rsidRPr="00B5383A">
        <w:rPr>
          <w:i/>
          <w:shd w:val="clear" w:color="auto" w:fill="FFFFFF"/>
        </w:rPr>
        <w:t>Period 1950-2011</w:t>
      </w:r>
    </w:p>
    <w:p w:rsidR="004078E0" w:rsidRPr="00B5383A" w:rsidRDefault="004078E0" w:rsidP="004078E0">
      <w:pPr>
        <w:rPr>
          <w:shd w:val="clear" w:color="auto" w:fill="FFFFFF"/>
        </w:rPr>
      </w:pPr>
      <w:r w:rsidRPr="00B5383A">
        <w:rPr>
          <w:shd w:val="clear" w:color="auto" w:fill="FFFFFF"/>
        </w:rPr>
        <w:t xml:space="preserve">The employment shares of the four groups are estimated by aggregating categories for the distribution of the EAP by occupational groups according to data collected by the International Labour Organization (ILO) and ECLAC. </w:t>
      </w:r>
      <w:r w:rsidR="004831F1" w:rsidRPr="00B5383A">
        <w:rPr>
          <w:shd w:val="clear" w:color="auto" w:fill="FFFFFF"/>
        </w:rPr>
        <w:t>I</w:t>
      </w:r>
      <w:r w:rsidRPr="00B5383A">
        <w:rPr>
          <w:shd w:val="clear" w:color="auto" w:fill="FFFFFF"/>
        </w:rPr>
        <w:t xml:space="preserve"> use four different classifications:</w:t>
      </w:r>
    </w:p>
    <w:p w:rsidR="004078E0" w:rsidRPr="00B5383A" w:rsidRDefault="004078E0" w:rsidP="004078E0">
      <w:pPr>
        <w:pStyle w:val="ListParagraph"/>
        <w:numPr>
          <w:ilvl w:val="0"/>
          <w:numId w:val="32"/>
        </w:numPr>
        <w:rPr>
          <w:shd w:val="clear" w:color="auto" w:fill="FFFFFF"/>
        </w:rPr>
      </w:pPr>
      <w:r w:rsidRPr="009F1B2E">
        <w:rPr>
          <w:shd w:val="clear" w:color="auto" w:fill="FFFFFF"/>
        </w:rPr>
        <w:t>ECLAC</w:t>
      </w:r>
      <w:r w:rsidR="00004322" w:rsidRPr="009F1B2E">
        <w:rPr>
          <w:shd w:val="clear" w:color="auto" w:fill="FFFFFF"/>
        </w:rPr>
        <w:t xml:space="preserve"> (2000)</w:t>
      </w:r>
      <w:r w:rsidRPr="009F1B2E">
        <w:rPr>
          <w:shd w:val="clear" w:color="auto" w:fill="FFFFFF"/>
        </w:rPr>
        <w:t xml:space="preserve">. </w:t>
      </w:r>
      <w:r w:rsidRPr="00B5383A">
        <w:rPr>
          <w:i/>
          <w:shd w:val="clear" w:color="auto" w:fill="FFFFFF"/>
        </w:rPr>
        <w:t>Group 1</w:t>
      </w:r>
      <w:r w:rsidRPr="00B5383A">
        <w:rPr>
          <w:shd w:val="clear" w:color="auto" w:fill="FFFFFF"/>
        </w:rPr>
        <w:t xml:space="preserve">: employers, managers and professionals. </w:t>
      </w:r>
      <w:r w:rsidRPr="00B5383A">
        <w:rPr>
          <w:i/>
          <w:shd w:val="clear" w:color="auto" w:fill="FFFFFF"/>
        </w:rPr>
        <w:t>Group 2</w:t>
      </w:r>
      <w:r w:rsidRPr="00B5383A">
        <w:rPr>
          <w:shd w:val="clear" w:color="auto" w:fill="FFFFFF"/>
        </w:rPr>
        <w:t xml:space="preserve">: technicians and administrators (clerks). </w:t>
      </w:r>
      <w:r w:rsidRPr="00B5383A">
        <w:rPr>
          <w:i/>
          <w:shd w:val="clear" w:color="auto" w:fill="FFFFFF"/>
        </w:rPr>
        <w:t>Group 3</w:t>
      </w:r>
      <w:r w:rsidRPr="00B5383A">
        <w:rPr>
          <w:shd w:val="clear" w:color="auto" w:fill="FFFFFF"/>
        </w:rPr>
        <w:t xml:space="preserve">:  urban workers (retailing and transport, excluding low skilled workers and street vendors), artisans and blue collar workers. </w:t>
      </w:r>
      <w:r w:rsidRPr="00B5383A">
        <w:rPr>
          <w:i/>
          <w:shd w:val="clear" w:color="auto" w:fill="FFFFFF"/>
        </w:rPr>
        <w:t>Group 4</w:t>
      </w:r>
      <w:r w:rsidRPr="00B5383A">
        <w:rPr>
          <w:shd w:val="clear" w:color="auto" w:fill="FFFFFF"/>
        </w:rPr>
        <w:t>: rural workers and personal services (includes domestic servants) plus low skilled urban workers and street vendors.</w:t>
      </w:r>
    </w:p>
    <w:p w:rsidR="004078E0" w:rsidRPr="00B5383A" w:rsidRDefault="004078E0" w:rsidP="004078E0">
      <w:pPr>
        <w:pStyle w:val="ListParagraph"/>
        <w:numPr>
          <w:ilvl w:val="0"/>
          <w:numId w:val="32"/>
        </w:numPr>
        <w:rPr>
          <w:shd w:val="clear" w:color="auto" w:fill="FFFFFF"/>
        </w:rPr>
      </w:pPr>
      <w:r w:rsidRPr="00B5383A">
        <w:rPr>
          <w:shd w:val="clear" w:color="auto" w:fill="FFFFFF"/>
        </w:rPr>
        <w:t xml:space="preserve">ILO, ISCO-88. </w:t>
      </w:r>
      <w:r w:rsidRPr="00B5383A">
        <w:rPr>
          <w:i/>
          <w:shd w:val="clear" w:color="auto" w:fill="FFFFFF"/>
        </w:rPr>
        <w:t>Group 1</w:t>
      </w:r>
      <w:r w:rsidRPr="00B5383A">
        <w:rPr>
          <w:shd w:val="clear" w:color="auto" w:fill="FFFFFF"/>
        </w:rPr>
        <w:t>: 1 legislators, senior officials and managers; 2 professionals</w:t>
      </w:r>
    </w:p>
    <w:p w:rsidR="004078E0" w:rsidRPr="00B5383A" w:rsidRDefault="004078E0" w:rsidP="004078E0">
      <w:pPr>
        <w:ind w:left="360"/>
        <w:rPr>
          <w:shd w:val="clear" w:color="auto" w:fill="FFFFFF"/>
        </w:rPr>
      </w:pPr>
      <w:r w:rsidRPr="00B5383A">
        <w:rPr>
          <w:i/>
          <w:shd w:val="clear" w:color="auto" w:fill="FFFFFF"/>
        </w:rPr>
        <w:t>Group 2</w:t>
      </w:r>
      <w:r w:rsidRPr="00B5383A">
        <w:rPr>
          <w:shd w:val="clear" w:color="auto" w:fill="FFFFFF"/>
        </w:rPr>
        <w:t xml:space="preserve">: 3 technicians and associate professionals; 4 clerks; plus 6 skilled agricultural and fishery workers. </w:t>
      </w:r>
      <w:r w:rsidRPr="00B5383A">
        <w:rPr>
          <w:i/>
          <w:shd w:val="clear" w:color="auto" w:fill="FFFFFF"/>
        </w:rPr>
        <w:t>Group 3</w:t>
      </w:r>
      <w:r w:rsidRPr="00B5383A">
        <w:rPr>
          <w:shd w:val="clear" w:color="auto" w:fill="FFFFFF"/>
        </w:rPr>
        <w:t xml:space="preserve">: 5 service workers and shop and market sales workers; 7 craft and related trade workers; 8 plant and machine operators and assemblers; 0 armed forces; </w:t>
      </w:r>
      <w:r w:rsidRPr="00B5383A">
        <w:rPr>
          <w:i/>
          <w:shd w:val="clear" w:color="auto" w:fill="FFFFFF"/>
        </w:rPr>
        <w:t>Group 4</w:t>
      </w:r>
      <w:r w:rsidRPr="00B5383A">
        <w:rPr>
          <w:shd w:val="clear" w:color="auto" w:fill="FFFFFF"/>
        </w:rPr>
        <w:t>: 9 elementary occupations; plus X not classifiable by occupation.</w:t>
      </w:r>
    </w:p>
    <w:p w:rsidR="004078E0" w:rsidRPr="00B5383A" w:rsidRDefault="004078E0" w:rsidP="004078E0">
      <w:pPr>
        <w:pStyle w:val="ListParagraph"/>
        <w:numPr>
          <w:ilvl w:val="0"/>
          <w:numId w:val="32"/>
        </w:numPr>
        <w:rPr>
          <w:shd w:val="clear" w:color="auto" w:fill="FFFFFF"/>
        </w:rPr>
      </w:pPr>
      <w:r w:rsidRPr="00B5383A">
        <w:rPr>
          <w:shd w:val="clear" w:color="auto" w:fill="FFFFFF"/>
        </w:rPr>
        <w:t xml:space="preserve">ILO, ISCO-68. </w:t>
      </w:r>
      <w:r w:rsidRPr="00B5383A">
        <w:rPr>
          <w:i/>
          <w:shd w:val="clear" w:color="auto" w:fill="FFFFFF"/>
        </w:rPr>
        <w:t>Group 1</w:t>
      </w:r>
      <w:r w:rsidRPr="00B5383A">
        <w:rPr>
          <w:shd w:val="clear" w:color="auto" w:fill="FFFFFF"/>
        </w:rPr>
        <w:t xml:space="preserve">: 0/1 professional, technical and related workers; 2 administrative and managerial workers. </w:t>
      </w:r>
      <w:r w:rsidRPr="00B5383A">
        <w:rPr>
          <w:i/>
          <w:shd w:val="clear" w:color="auto" w:fill="FFFFFF"/>
        </w:rPr>
        <w:t>Group 2</w:t>
      </w:r>
      <w:r w:rsidRPr="00B5383A">
        <w:rPr>
          <w:shd w:val="clear" w:color="auto" w:fill="FFFFFF"/>
        </w:rPr>
        <w:t>: 3 cler</w:t>
      </w:r>
      <w:r w:rsidR="00E73296" w:rsidRPr="00B5383A">
        <w:rPr>
          <w:shd w:val="clear" w:color="auto" w:fill="FFFFFF"/>
        </w:rPr>
        <w:t xml:space="preserve">ical and related workers; </w:t>
      </w:r>
      <w:r w:rsidRPr="00B5383A">
        <w:rPr>
          <w:shd w:val="clear" w:color="auto" w:fill="FFFFFF"/>
        </w:rPr>
        <w:t>4 sales workers</w:t>
      </w:r>
      <w:r w:rsidR="00E73296" w:rsidRPr="00B5383A">
        <w:rPr>
          <w:shd w:val="clear" w:color="auto" w:fill="FFFFFF"/>
        </w:rPr>
        <w:t xml:space="preserve"> (only half of this)</w:t>
      </w:r>
      <w:r w:rsidRPr="00B5383A">
        <w:rPr>
          <w:shd w:val="clear" w:color="auto" w:fill="FFFFFF"/>
        </w:rPr>
        <w:t xml:space="preserve">. </w:t>
      </w:r>
      <w:r w:rsidRPr="00B5383A">
        <w:rPr>
          <w:i/>
          <w:shd w:val="clear" w:color="auto" w:fill="FFFFFF"/>
        </w:rPr>
        <w:t>Group 3</w:t>
      </w:r>
      <w:r w:rsidR="00E73296" w:rsidRPr="00B5383A">
        <w:rPr>
          <w:shd w:val="clear" w:color="auto" w:fill="FFFFFF"/>
        </w:rPr>
        <w:t xml:space="preserve">: </w:t>
      </w:r>
      <w:r w:rsidRPr="00B5383A">
        <w:rPr>
          <w:shd w:val="clear" w:color="auto" w:fill="FFFFFF"/>
        </w:rPr>
        <w:t>4 sales workers</w:t>
      </w:r>
      <w:r w:rsidR="00E73296" w:rsidRPr="00B5383A">
        <w:rPr>
          <w:shd w:val="clear" w:color="auto" w:fill="FFFFFF"/>
        </w:rPr>
        <w:t xml:space="preserve"> (the other half of this)</w:t>
      </w:r>
      <w:r w:rsidRPr="00B5383A">
        <w:rPr>
          <w:shd w:val="clear" w:color="auto" w:fill="FFFFFF"/>
        </w:rPr>
        <w:t xml:space="preserve">; 7/8/9 production and related workers, transport equipment operators and labourers; X not classifiable by occupation. </w:t>
      </w:r>
      <w:r w:rsidRPr="00B5383A">
        <w:rPr>
          <w:i/>
          <w:shd w:val="clear" w:color="auto" w:fill="FFFFFF"/>
        </w:rPr>
        <w:t>Group 4</w:t>
      </w:r>
      <w:r w:rsidR="009F1B2E">
        <w:rPr>
          <w:shd w:val="clear" w:color="auto" w:fill="FFFFFF"/>
        </w:rPr>
        <w:t>: 5 s</w:t>
      </w:r>
      <w:r w:rsidRPr="00B5383A">
        <w:rPr>
          <w:shd w:val="clear" w:color="auto" w:fill="FFFFFF"/>
        </w:rPr>
        <w:t>ervice workers; 6 agriculture, animal husbandry and forestry workers, fishermen and hunters</w:t>
      </w:r>
      <w:r w:rsidR="00FF1815">
        <w:rPr>
          <w:shd w:val="clear" w:color="auto" w:fill="FFFFFF"/>
        </w:rPr>
        <w:t>.</w:t>
      </w:r>
    </w:p>
    <w:p w:rsidR="004078E0" w:rsidRPr="00B5383A" w:rsidRDefault="004078E0" w:rsidP="004078E0">
      <w:pPr>
        <w:pStyle w:val="ListParagraph"/>
        <w:numPr>
          <w:ilvl w:val="0"/>
          <w:numId w:val="32"/>
        </w:numPr>
        <w:rPr>
          <w:shd w:val="clear" w:color="auto" w:fill="FFFFFF"/>
        </w:rPr>
      </w:pPr>
      <w:r w:rsidRPr="00B5383A">
        <w:rPr>
          <w:shd w:val="clear" w:color="auto" w:fill="FFFFFF"/>
        </w:rPr>
        <w:t>PREALC (1982).</w:t>
      </w:r>
      <w:r w:rsidR="003D4667">
        <w:rPr>
          <w:shd w:val="clear" w:color="auto" w:fill="FFFFFF"/>
        </w:rPr>
        <w:t xml:space="preserve"> </w:t>
      </w:r>
      <w:r w:rsidRPr="00B5383A">
        <w:rPr>
          <w:i/>
          <w:shd w:val="clear" w:color="auto" w:fill="FFFFFF"/>
        </w:rPr>
        <w:t>Group 1</w:t>
      </w:r>
      <w:r w:rsidRPr="00B5383A">
        <w:rPr>
          <w:shd w:val="clear" w:color="auto" w:fill="FFFFFF"/>
        </w:rPr>
        <w:t xml:space="preserve">: 0 professional, technical and related workers; 1 managerial workers. </w:t>
      </w:r>
      <w:r w:rsidRPr="00B5383A">
        <w:rPr>
          <w:i/>
          <w:shd w:val="clear" w:color="auto" w:fill="FFFFFF"/>
        </w:rPr>
        <w:t>Group 2</w:t>
      </w:r>
      <w:r w:rsidRPr="00B5383A">
        <w:rPr>
          <w:shd w:val="clear" w:color="auto" w:fill="FFFFFF"/>
        </w:rPr>
        <w:t>: 2 cleri</w:t>
      </w:r>
      <w:r w:rsidR="00E73296" w:rsidRPr="00B5383A">
        <w:rPr>
          <w:shd w:val="clear" w:color="auto" w:fill="FFFFFF"/>
        </w:rPr>
        <w:t xml:space="preserve">cal and related workers; </w:t>
      </w:r>
      <w:r w:rsidRPr="00B5383A">
        <w:rPr>
          <w:shd w:val="clear" w:color="auto" w:fill="FFFFFF"/>
        </w:rPr>
        <w:t>3 sales workers</w:t>
      </w:r>
      <w:r w:rsidR="00E73296" w:rsidRPr="00B5383A">
        <w:rPr>
          <w:shd w:val="clear" w:color="auto" w:fill="FFFFFF"/>
        </w:rPr>
        <w:t xml:space="preserve"> (only half of this)</w:t>
      </w:r>
      <w:r w:rsidRPr="00B5383A">
        <w:rPr>
          <w:shd w:val="clear" w:color="auto" w:fill="FFFFFF"/>
        </w:rPr>
        <w:t xml:space="preserve">. </w:t>
      </w:r>
      <w:r w:rsidRPr="00B5383A">
        <w:rPr>
          <w:i/>
          <w:shd w:val="clear" w:color="auto" w:fill="FFFFFF"/>
        </w:rPr>
        <w:t>Group 3</w:t>
      </w:r>
      <w:r w:rsidR="00E73296" w:rsidRPr="00B5383A">
        <w:rPr>
          <w:shd w:val="clear" w:color="auto" w:fill="FFFFFF"/>
        </w:rPr>
        <w:t xml:space="preserve">: </w:t>
      </w:r>
      <w:r w:rsidRPr="00B5383A">
        <w:rPr>
          <w:shd w:val="clear" w:color="auto" w:fill="FFFFFF"/>
        </w:rPr>
        <w:t>3 sales workers</w:t>
      </w:r>
      <w:r w:rsidR="00E73296" w:rsidRPr="00B5383A">
        <w:rPr>
          <w:shd w:val="clear" w:color="auto" w:fill="FFFFFF"/>
        </w:rPr>
        <w:t xml:space="preserve"> (the other half of this)</w:t>
      </w:r>
      <w:r w:rsidRPr="00B5383A">
        <w:rPr>
          <w:shd w:val="clear" w:color="auto" w:fill="FFFFFF"/>
        </w:rPr>
        <w:t xml:space="preserve">; 5 transport; 6-7 artisans and blue collar workers. </w:t>
      </w:r>
      <w:r w:rsidRPr="00B5383A">
        <w:rPr>
          <w:i/>
          <w:shd w:val="clear" w:color="auto" w:fill="FFFFFF"/>
        </w:rPr>
        <w:t>Group 4</w:t>
      </w:r>
      <w:r w:rsidRPr="00B5383A">
        <w:rPr>
          <w:shd w:val="clear" w:color="auto" w:fill="FFFFFF"/>
        </w:rPr>
        <w:t>: 4 agriculture; 8 service workers.</w:t>
      </w:r>
    </w:p>
    <w:p w:rsidR="004078E0" w:rsidRPr="00B5383A" w:rsidRDefault="004078E0" w:rsidP="004078E0">
      <w:pPr>
        <w:spacing w:line="360" w:lineRule="auto"/>
        <w:rPr>
          <w:shd w:val="clear" w:color="auto" w:fill="FFFFFF"/>
        </w:rPr>
      </w:pPr>
    </w:p>
    <w:p w:rsidR="004078E0" w:rsidRPr="00B5383A" w:rsidRDefault="004831F1" w:rsidP="004078E0">
      <w:pPr>
        <w:rPr>
          <w:shd w:val="clear" w:color="auto" w:fill="FFFFFF"/>
        </w:rPr>
      </w:pPr>
      <w:r w:rsidRPr="00B5383A">
        <w:rPr>
          <w:shd w:val="clear" w:color="auto" w:fill="FFFFFF"/>
        </w:rPr>
        <w:t>I</w:t>
      </w:r>
      <w:r w:rsidR="004078E0" w:rsidRPr="00B5383A">
        <w:rPr>
          <w:shd w:val="clear" w:color="auto" w:fill="FFFFFF"/>
        </w:rPr>
        <w:t xml:space="preserve"> use simple interpolation to fill the gaps in each of the occupational structures calculated with the above sources. </w:t>
      </w:r>
      <w:r w:rsidRPr="00B5383A">
        <w:rPr>
          <w:shd w:val="clear" w:color="auto" w:fill="FFFFFF"/>
        </w:rPr>
        <w:t>I</w:t>
      </w:r>
      <w:r w:rsidR="004078E0" w:rsidRPr="00B5383A">
        <w:rPr>
          <w:shd w:val="clear" w:color="auto" w:fill="FFFFFF"/>
        </w:rPr>
        <w:t xml:space="preserve"> take the ECLAC figures for circa 2000 to set the share levels and then go backwards using information on changes in each of the four categories provided by the additional three classification systems (in ISCO-88, ISCO-68 and PREALC). To splice series from two different occupational structures </w:t>
      </w:r>
      <w:r w:rsidRPr="00B5383A">
        <w:rPr>
          <w:shd w:val="clear" w:color="auto" w:fill="FFFFFF"/>
        </w:rPr>
        <w:t>I</w:t>
      </w:r>
      <w:r w:rsidR="004078E0" w:rsidRPr="00B5383A">
        <w:rPr>
          <w:shd w:val="clear" w:color="auto" w:fill="FFFFFF"/>
        </w:rPr>
        <w:t xml:space="preserve"> use a common year and then apply rate of changes to go backwards. The data available in each of the classifications by country are</w:t>
      </w:r>
      <w:r w:rsidR="00FF1815">
        <w:rPr>
          <w:shd w:val="clear" w:color="auto" w:fill="FFFFFF"/>
        </w:rPr>
        <w:t xml:space="preserve"> as follows</w:t>
      </w:r>
      <w:r w:rsidR="004078E0" w:rsidRPr="00B5383A">
        <w:rPr>
          <w:shd w:val="clear" w:color="auto" w:fill="FFFFFF"/>
        </w:rPr>
        <w:t>.</w:t>
      </w:r>
    </w:p>
    <w:p w:rsidR="004078E0" w:rsidRPr="00B5383A" w:rsidRDefault="004078E0" w:rsidP="004078E0">
      <w:pPr>
        <w:rPr>
          <w:shd w:val="clear" w:color="auto" w:fill="FFFFFF"/>
        </w:rPr>
      </w:pPr>
    </w:p>
    <w:p w:rsidR="004078E0" w:rsidRPr="00B5383A" w:rsidRDefault="004078E0" w:rsidP="004078E0">
      <w:pPr>
        <w:rPr>
          <w:b/>
          <w:i/>
          <w:shd w:val="clear" w:color="auto" w:fill="FFFFFF"/>
        </w:rPr>
      </w:pPr>
      <w:r w:rsidRPr="00B5383A">
        <w:rPr>
          <w:b/>
          <w:i/>
          <w:shd w:val="clear" w:color="auto" w:fill="FFFFFF"/>
        </w:rPr>
        <w:t>Argentina</w:t>
      </w:r>
      <w:r w:rsidRPr="00B5383A">
        <w:rPr>
          <w:i/>
          <w:shd w:val="clear" w:color="auto" w:fill="FFFFFF"/>
        </w:rPr>
        <w:t xml:space="preserve">. </w:t>
      </w:r>
      <w:r w:rsidRPr="00B5383A">
        <w:rPr>
          <w:shd w:val="clear" w:color="auto" w:fill="FFFFFF"/>
        </w:rPr>
        <w:t xml:space="preserve">ISCO-88 in 1998-2006. PREALC (1982) in 1960, 1970. Interpolations: 1960-70. 2000-06: uses ISCO-88 with a correction for the methodological break in 2003.  </w:t>
      </w:r>
      <w:r w:rsidRPr="00B5383A">
        <w:rPr>
          <w:b/>
          <w:i/>
          <w:shd w:val="clear" w:color="auto" w:fill="FFFFFF"/>
        </w:rPr>
        <w:t>Brazil</w:t>
      </w:r>
      <w:r w:rsidRPr="00B5383A">
        <w:rPr>
          <w:shd w:val="clear" w:color="auto" w:fill="FFFFFF"/>
        </w:rPr>
        <w:t>.</w:t>
      </w:r>
      <w:r w:rsidRPr="00B5383A">
        <w:rPr>
          <w:b/>
          <w:i/>
          <w:shd w:val="clear" w:color="auto" w:fill="FFFFFF"/>
        </w:rPr>
        <w:t xml:space="preserve"> </w:t>
      </w:r>
      <w:r w:rsidRPr="00B5383A">
        <w:rPr>
          <w:shd w:val="clear" w:color="auto" w:fill="FFFFFF"/>
        </w:rPr>
        <w:t>ISCO-88 in 2000, 2002-07. ISCO-68 in 1981-90; 1992-93; 1995-99; 2001, 1971, and 1983 (in ILO Yearbooks) and 1976-2006 available online. PREALC (1982) in 1950, 1960, 1970. Interpolations: 1951-59; 1961-69; 1991; 1994; 2000.</w:t>
      </w:r>
    </w:p>
    <w:p w:rsidR="004078E0" w:rsidRPr="00B5383A" w:rsidRDefault="004078E0" w:rsidP="004078E0">
      <w:pPr>
        <w:rPr>
          <w:shd w:val="clear" w:color="auto" w:fill="FFFFFF"/>
        </w:rPr>
      </w:pPr>
      <w:r w:rsidRPr="00B5383A">
        <w:rPr>
          <w:shd w:val="clear" w:color="auto" w:fill="FFFFFF"/>
        </w:rPr>
        <w:t xml:space="preserve">2000-07: uses ISCO-88. Shares in 2000 and 2001 are as in 2002. </w:t>
      </w:r>
      <w:r w:rsidRPr="00B5383A">
        <w:rPr>
          <w:b/>
          <w:i/>
          <w:shd w:val="clear" w:color="auto" w:fill="FFFFFF"/>
        </w:rPr>
        <w:t>Chile</w:t>
      </w:r>
      <w:r w:rsidRPr="00B5383A">
        <w:rPr>
          <w:shd w:val="clear" w:color="auto" w:fill="FFFFFF"/>
        </w:rPr>
        <w:t xml:space="preserve">. ISCO-88 in 2002. ISCO-68 in 1960, 1971, and 1983 (in ILO Yearbooks), and 1976-2006 available online. The categories “mining” and “armed forces” are included in Group 3. PREALC (1982) 1952, 1960, 1970. In 1952 the total of categories 0 to 3 are split according to the structure in 1960. Interpolations: 1953-59; 1961-70; 1972-75. 2000-08: uses ISCO-68. </w:t>
      </w:r>
    </w:p>
    <w:p w:rsidR="004078E0" w:rsidRPr="00B5383A" w:rsidRDefault="004078E0" w:rsidP="004078E0">
      <w:pPr>
        <w:rPr>
          <w:shd w:val="clear" w:color="auto" w:fill="FFFFFF"/>
        </w:rPr>
      </w:pPr>
    </w:p>
    <w:p w:rsidR="004078E0" w:rsidRPr="00B5383A" w:rsidRDefault="004078E0" w:rsidP="004078E0">
      <w:pPr>
        <w:rPr>
          <w:shd w:val="clear" w:color="auto" w:fill="FFFFFF"/>
        </w:rPr>
      </w:pPr>
      <w:r w:rsidRPr="00B5383A">
        <w:rPr>
          <w:b/>
          <w:i/>
          <w:shd w:val="clear" w:color="auto" w:fill="FFFFFF"/>
        </w:rPr>
        <w:t>Colombia</w:t>
      </w:r>
      <w:r w:rsidRPr="00B5383A">
        <w:rPr>
          <w:shd w:val="clear" w:color="auto" w:fill="FFFFFF"/>
        </w:rPr>
        <w:t>. ISCO-68 in 1975-80; 1985-87; 1989-90; 1992-2000; 2001-08.  Data exclude the armed forces and are based on surveys on seven main cities. PREALC (1982) and ILO (</w:t>
      </w:r>
      <w:r w:rsidR="009F1A62">
        <w:rPr>
          <w:shd w:val="clear" w:color="auto" w:fill="FFFFFF"/>
        </w:rPr>
        <w:t xml:space="preserve">various </w:t>
      </w:r>
      <w:r w:rsidRPr="00B5383A">
        <w:rPr>
          <w:shd w:val="clear" w:color="auto" w:fill="FFFFFF"/>
        </w:rPr>
        <w:t>yearbooks</w:t>
      </w:r>
      <w:r w:rsidR="001C27CF">
        <w:rPr>
          <w:shd w:val="clear" w:color="auto" w:fill="FFFFFF"/>
        </w:rPr>
        <w:t>) in 1951, 1964, 1973 (only ILO</w:t>
      </w:r>
      <w:r w:rsidRPr="00B5383A">
        <w:rPr>
          <w:shd w:val="clear" w:color="auto" w:fill="FFFFFF"/>
        </w:rPr>
        <w:t xml:space="preserve">), and 1980. In 1951 the categories “managerial workers” and “clerical </w:t>
      </w:r>
      <w:r w:rsidRPr="00B5383A">
        <w:rPr>
          <w:shd w:val="clear" w:color="auto" w:fill="FFFFFF"/>
        </w:rPr>
        <w:lastRenderedPageBreak/>
        <w:t xml:space="preserve">and related workers” are split according to the structure in 1964. Interpolations: 1952-63; 1965-72; 1974-79. 2000-08: uses ISCO-68. Shares in 2000 are as in 2001. </w:t>
      </w:r>
      <w:r w:rsidRPr="00B5383A">
        <w:rPr>
          <w:b/>
          <w:i/>
          <w:shd w:val="clear" w:color="auto" w:fill="FFFFFF"/>
        </w:rPr>
        <w:t>Mexico</w:t>
      </w:r>
      <w:r w:rsidRPr="00B5383A">
        <w:rPr>
          <w:shd w:val="clear" w:color="auto" w:fill="FFFFFF"/>
        </w:rPr>
        <w:t xml:space="preserve">. ISCO-88 in 2000. ISCO-68 in 1988; 1991; 1993; 1995-2008. PREALC (1982) and ILO (yearbooks, compatible with ISCO-68) in 1950, 1960, 1970, 1975 (ILO), 1980 (ILO). Interpolations: 1951-59; 1961-69; 1971-74; 1976-79; 1981-87.2000-08: uses ISCO-88. </w:t>
      </w:r>
      <w:r w:rsidRPr="00B5383A">
        <w:rPr>
          <w:b/>
          <w:i/>
          <w:shd w:val="clear" w:color="auto" w:fill="FFFFFF"/>
        </w:rPr>
        <w:t>Venezuela</w:t>
      </w:r>
      <w:r w:rsidRPr="00B5383A">
        <w:rPr>
          <w:shd w:val="clear" w:color="auto" w:fill="FFFFFF"/>
        </w:rPr>
        <w:t>. ISCO-68 in 1976-2008. PREALC (1982) and ILO (yearbooks, compatible with ISCO-68) in 1950, 1961, 1971 (ILO), 1981 (ILO). In 1950 the categories “professionals”, “managerial workers” and “clerical and related workers” are split according to the structure in 1961. Interpolations: 1951-60; 1962-70; 1972-80. 2000-08: uses ISCO-68.</w:t>
      </w:r>
    </w:p>
    <w:p w:rsidR="004078E0" w:rsidRPr="00B5383A" w:rsidRDefault="004078E0" w:rsidP="004078E0">
      <w:pPr>
        <w:rPr>
          <w:shd w:val="clear" w:color="auto" w:fill="FFFFFF"/>
        </w:rPr>
      </w:pPr>
    </w:p>
    <w:p w:rsidR="004078E0" w:rsidRPr="00B5383A" w:rsidRDefault="004078E0" w:rsidP="004078E0">
      <w:pPr>
        <w:rPr>
          <w:shd w:val="clear" w:color="auto" w:fill="FFFFFF"/>
        </w:rPr>
      </w:pPr>
      <w:r w:rsidRPr="00B5383A">
        <w:rPr>
          <w:shd w:val="clear" w:color="auto" w:fill="FFFFFF"/>
        </w:rPr>
        <w:t>In all six countries for the final years of the current century the estimation is as follows: shares of Group 1 are kept equal to the last data point; those of Group 2 are estimated based on changes in the EAP share of manufacturing (ECLAC</w:t>
      </w:r>
      <w:r w:rsidR="00A14C46" w:rsidRPr="00B5383A">
        <w:rPr>
          <w:shd w:val="clear" w:color="auto" w:fill="FFFFFF"/>
        </w:rPr>
        <w:t xml:space="preserve"> website</w:t>
      </w:r>
      <w:r w:rsidRPr="00B5383A">
        <w:rPr>
          <w:shd w:val="clear" w:color="auto" w:fill="FFFFFF"/>
        </w:rPr>
        <w:t>); for Group 4</w:t>
      </w:r>
      <w:r w:rsidR="00393FB6" w:rsidRPr="00B5383A">
        <w:rPr>
          <w:shd w:val="clear" w:color="auto" w:fill="FFFFFF"/>
        </w:rPr>
        <w:t>,</w:t>
      </w:r>
      <w:r w:rsidRPr="00B5383A">
        <w:rPr>
          <w:shd w:val="clear" w:color="auto" w:fill="FFFFFF"/>
        </w:rPr>
        <w:t xml:space="preserve"> </w:t>
      </w:r>
      <w:r w:rsidR="004831F1" w:rsidRPr="00B5383A">
        <w:rPr>
          <w:shd w:val="clear" w:color="auto" w:fill="FFFFFF"/>
        </w:rPr>
        <w:t>I</w:t>
      </w:r>
      <w:r w:rsidRPr="00B5383A">
        <w:rPr>
          <w:shd w:val="clear" w:color="auto" w:fill="FFFFFF"/>
        </w:rPr>
        <w:t xml:space="preserve"> use changes in the </w:t>
      </w:r>
      <w:r w:rsidR="00005583">
        <w:rPr>
          <w:shd w:val="clear" w:color="auto" w:fill="FFFFFF"/>
        </w:rPr>
        <w:t xml:space="preserve">EAP </w:t>
      </w:r>
      <w:r w:rsidRPr="00B5383A">
        <w:rPr>
          <w:shd w:val="clear" w:color="auto" w:fill="FFFFFF"/>
        </w:rPr>
        <w:t>share of agriculture; shares for Group 3 are estimated as a residual.</w:t>
      </w:r>
    </w:p>
    <w:p w:rsidR="004078E0" w:rsidRPr="00B5383A" w:rsidRDefault="004078E0" w:rsidP="004078E0">
      <w:pPr>
        <w:rPr>
          <w:shd w:val="clear" w:color="auto" w:fill="FFFFFF"/>
        </w:rPr>
      </w:pPr>
    </w:p>
    <w:p w:rsidR="004078E0" w:rsidRPr="00B5383A" w:rsidRDefault="004078E0" w:rsidP="004078E0">
      <w:pPr>
        <w:rPr>
          <w:i/>
          <w:shd w:val="clear" w:color="auto" w:fill="FFFFFF"/>
        </w:rPr>
      </w:pPr>
      <w:r w:rsidRPr="00B5383A">
        <w:rPr>
          <w:i/>
          <w:shd w:val="clear" w:color="auto" w:fill="FFFFFF"/>
        </w:rPr>
        <w:t>Period 1900-1950</w:t>
      </w:r>
    </w:p>
    <w:p w:rsidR="004078E0" w:rsidRPr="00B5383A" w:rsidRDefault="004078E0" w:rsidP="004078E0">
      <w:pPr>
        <w:rPr>
          <w:shd w:val="clear" w:color="auto" w:fill="FFFFFF"/>
        </w:rPr>
      </w:pPr>
      <w:r w:rsidRPr="00B5383A">
        <w:rPr>
          <w:shd w:val="clear" w:color="auto" w:fill="FFFFFF"/>
        </w:rPr>
        <w:t xml:space="preserve">To complete the employment shares back from 1950 to 1900 </w:t>
      </w:r>
      <w:r w:rsidR="004831F1" w:rsidRPr="00B5383A">
        <w:rPr>
          <w:shd w:val="clear" w:color="auto" w:fill="FFFFFF"/>
        </w:rPr>
        <w:t>I</w:t>
      </w:r>
      <w:r w:rsidRPr="00B5383A">
        <w:rPr>
          <w:shd w:val="clear" w:color="auto" w:fill="FFFFFF"/>
        </w:rPr>
        <w:t xml:space="preserve"> rely on changes in three indicators constructed by FitzGerald (2008) as follows: </w:t>
      </w:r>
      <w:r w:rsidRPr="00B5383A">
        <w:rPr>
          <w:b/>
          <w:i/>
          <w:shd w:val="clear" w:color="auto" w:fill="FFFFFF"/>
        </w:rPr>
        <w:t>Group 1</w:t>
      </w:r>
      <w:r w:rsidRPr="00B5383A">
        <w:rPr>
          <w:shd w:val="clear" w:color="auto" w:fill="FFFFFF"/>
        </w:rPr>
        <w:t xml:space="preserve">, the stock of university graduates as a proportion of the total of those with primary education.  The stock of educational graduates is </w:t>
      </w:r>
      <w:r w:rsidR="00F82CA9">
        <w:rPr>
          <w:shd w:val="clear" w:color="auto" w:fill="FFFFFF"/>
        </w:rPr>
        <w:t>estimated</w:t>
      </w:r>
      <w:r w:rsidRPr="00B5383A">
        <w:rPr>
          <w:shd w:val="clear" w:color="auto" w:fill="FFFFFF"/>
        </w:rPr>
        <w:t xml:space="preserve"> using the perpetual inventory method applied to the data on enrolment in primary and tertiary education. </w:t>
      </w:r>
      <w:r w:rsidRPr="00B5383A">
        <w:rPr>
          <w:b/>
          <w:shd w:val="clear" w:color="auto" w:fill="FFFFFF"/>
        </w:rPr>
        <w:t>Group 2</w:t>
      </w:r>
      <w:r w:rsidRPr="00B5383A">
        <w:rPr>
          <w:shd w:val="clear" w:color="auto" w:fill="FFFFFF"/>
        </w:rPr>
        <w:t xml:space="preserve">, total employment in manufacturing and public administration as a proportion of the EAP. Manufacturing employment comes from census data and public administration employment is estimated from levels of government expenditure. </w:t>
      </w:r>
      <w:r w:rsidRPr="00B5383A">
        <w:rPr>
          <w:b/>
          <w:i/>
          <w:shd w:val="clear" w:color="auto" w:fill="FFFFFF"/>
        </w:rPr>
        <w:t>Group 3</w:t>
      </w:r>
      <w:r w:rsidRPr="00B5383A">
        <w:rPr>
          <w:shd w:val="clear" w:color="auto" w:fill="FFFFFF"/>
        </w:rPr>
        <w:t xml:space="preserve"> is estimated as the residual from the other three groups. </w:t>
      </w:r>
      <w:r w:rsidRPr="00B5383A">
        <w:rPr>
          <w:b/>
          <w:i/>
          <w:shd w:val="clear" w:color="auto" w:fill="FFFFFF"/>
        </w:rPr>
        <w:t>Group 4</w:t>
      </w:r>
      <w:r w:rsidRPr="00B5383A">
        <w:rPr>
          <w:shd w:val="clear" w:color="auto" w:fill="FFFFFF"/>
        </w:rPr>
        <w:t xml:space="preserve">, the agricultural </w:t>
      </w:r>
      <w:r w:rsidR="00F82CA9">
        <w:rPr>
          <w:shd w:val="clear" w:color="auto" w:fill="FFFFFF"/>
        </w:rPr>
        <w:t xml:space="preserve">EAP </w:t>
      </w:r>
      <w:r w:rsidRPr="00B5383A">
        <w:rPr>
          <w:shd w:val="clear" w:color="auto" w:fill="FFFFFF"/>
        </w:rPr>
        <w:t>share from census data. This includes not only agricultural workers as such, but also small farmers (i.e. peasants) and family labour on a non-wage basis.</w:t>
      </w:r>
    </w:p>
    <w:p w:rsidR="004078E0" w:rsidRPr="00B5383A" w:rsidRDefault="004078E0" w:rsidP="004078E0">
      <w:pPr>
        <w:rPr>
          <w:shd w:val="clear" w:color="auto" w:fill="FFFFFF"/>
        </w:rPr>
      </w:pPr>
    </w:p>
    <w:p w:rsidR="004078E0" w:rsidRPr="00B5383A" w:rsidRDefault="00163B87" w:rsidP="004078E0">
      <w:pPr>
        <w:rPr>
          <w:b/>
          <w:shd w:val="clear" w:color="auto" w:fill="FFFFFF"/>
        </w:rPr>
      </w:pPr>
      <w:r w:rsidRPr="00B5383A">
        <w:rPr>
          <w:b/>
          <w:shd w:val="clear" w:color="auto" w:fill="FFFFFF"/>
        </w:rPr>
        <w:t>II.</w:t>
      </w:r>
      <w:r w:rsidR="004078E0" w:rsidRPr="00B5383A">
        <w:rPr>
          <w:b/>
          <w:shd w:val="clear" w:color="auto" w:fill="FFFFFF"/>
        </w:rPr>
        <w:t>2. National income</w:t>
      </w:r>
    </w:p>
    <w:p w:rsidR="004078E0" w:rsidRPr="00B5383A" w:rsidRDefault="004078E0" w:rsidP="004078E0">
      <w:pPr>
        <w:rPr>
          <w:shd w:val="clear" w:color="auto" w:fill="FFFFFF"/>
        </w:rPr>
      </w:pPr>
      <w:r w:rsidRPr="00B5383A">
        <w:rPr>
          <w:shd w:val="clear" w:color="auto" w:fill="FFFFFF"/>
        </w:rPr>
        <w:t xml:space="preserve">Ideally, </w:t>
      </w:r>
      <w:r w:rsidR="004831F1" w:rsidRPr="00B5383A">
        <w:rPr>
          <w:shd w:val="clear" w:color="auto" w:fill="FFFFFF"/>
        </w:rPr>
        <w:t>I</w:t>
      </w:r>
      <w:r w:rsidRPr="00B5383A">
        <w:rPr>
          <w:shd w:val="clear" w:color="auto" w:fill="FFFFFF"/>
        </w:rPr>
        <w:t xml:space="preserve"> need to estimate national income deflated by the CPI so as to be consistent with the real wage series. This is done in two steps:</w:t>
      </w:r>
    </w:p>
    <w:p w:rsidR="004078E0" w:rsidRPr="00B5383A" w:rsidRDefault="004078E0" w:rsidP="004078E0">
      <w:pPr>
        <w:rPr>
          <w:shd w:val="clear" w:color="auto" w:fill="FFFFFF"/>
        </w:rPr>
      </w:pPr>
      <w:r w:rsidRPr="00B5383A">
        <w:rPr>
          <w:shd w:val="clear" w:color="auto" w:fill="FFFFFF"/>
        </w:rPr>
        <w:t xml:space="preserve">1. The original GDP series at 1970 prices are multiplied by a ratio of the implicit deflator to the CPI. </w:t>
      </w:r>
    </w:p>
    <w:p w:rsidR="004078E0" w:rsidRPr="00B5383A" w:rsidRDefault="004078E0" w:rsidP="004078E0">
      <w:pPr>
        <w:rPr>
          <w:shd w:val="clear" w:color="auto" w:fill="FFFFFF"/>
        </w:rPr>
      </w:pPr>
      <w:r w:rsidRPr="00B5383A">
        <w:rPr>
          <w:shd w:val="clear" w:color="auto" w:fill="FFFFFF"/>
        </w:rPr>
        <w:t xml:space="preserve">2. To convert the CPI deflated GDP series into National Income - when data or estimates are available - </w:t>
      </w:r>
      <w:r w:rsidR="004831F1" w:rsidRPr="00B5383A">
        <w:rPr>
          <w:shd w:val="clear" w:color="auto" w:fill="FFFFFF"/>
        </w:rPr>
        <w:t>I</w:t>
      </w:r>
      <w:r w:rsidRPr="00B5383A">
        <w:rPr>
          <w:shd w:val="clear" w:color="auto" w:fill="FFFFFF"/>
        </w:rPr>
        <w:t xml:space="preserve"> construct a ratio of National Income to GDP and apply that ratio to the GDP series. In general, such a ratio is calculated using the data on both National Income and GDP available at ECLAC </w:t>
      </w:r>
      <w:r w:rsidR="004831F1" w:rsidRPr="00B5383A">
        <w:rPr>
          <w:shd w:val="clear" w:color="auto" w:fill="FFFFFF"/>
        </w:rPr>
        <w:t>we</w:t>
      </w:r>
      <w:r w:rsidRPr="00B5383A">
        <w:rPr>
          <w:shd w:val="clear" w:color="auto" w:fill="FFFFFF"/>
        </w:rPr>
        <w:t xml:space="preserve">bsite (usually from 1970 onwards) and then </w:t>
      </w:r>
      <w:r w:rsidR="004831F1" w:rsidRPr="00B5383A">
        <w:rPr>
          <w:shd w:val="clear" w:color="auto" w:fill="FFFFFF"/>
        </w:rPr>
        <w:t>I</w:t>
      </w:r>
      <w:r w:rsidRPr="00B5383A">
        <w:rPr>
          <w:shd w:val="clear" w:color="auto" w:fill="FFFFFF"/>
        </w:rPr>
        <w:t xml:space="preserve"> complete the series back to 1950 from other sources. During the period 1900-50</w:t>
      </w:r>
      <w:r w:rsidR="009E64E5">
        <w:rPr>
          <w:shd w:val="clear" w:color="auto" w:fill="FFFFFF"/>
        </w:rPr>
        <w:t>,</w:t>
      </w:r>
      <w:r w:rsidRPr="00B5383A">
        <w:rPr>
          <w:shd w:val="clear" w:color="auto" w:fill="FFFFFF"/>
        </w:rPr>
        <w:t xml:space="preserve"> </w:t>
      </w:r>
      <w:r w:rsidR="004831F1" w:rsidRPr="00B5383A">
        <w:rPr>
          <w:shd w:val="clear" w:color="auto" w:fill="FFFFFF"/>
        </w:rPr>
        <w:t>I</w:t>
      </w:r>
      <w:r w:rsidRPr="00B5383A">
        <w:rPr>
          <w:shd w:val="clear" w:color="auto" w:fill="FFFFFF"/>
        </w:rPr>
        <w:t xml:space="preserve"> rely on the growth rates of the unemployment-adjusted GDP series</w:t>
      </w:r>
      <w:r w:rsidR="00870790">
        <w:rPr>
          <w:shd w:val="clear" w:color="auto" w:fill="FFFFFF"/>
        </w:rPr>
        <w:t xml:space="preserve"> (see bel</w:t>
      </w:r>
      <w:r w:rsidR="00F82CA9">
        <w:rPr>
          <w:shd w:val="clear" w:color="auto" w:fill="FFFFFF"/>
        </w:rPr>
        <w:t>ow)</w:t>
      </w:r>
      <w:r w:rsidRPr="00B5383A">
        <w:rPr>
          <w:shd w:val="clear" w:color="auto" w:fill="FFFFFF"/>
        </w:rPr>
        <w:t xml:space="preserve">. </w:t>
      </w:r>
    </w:p>
    <w:p w:rsidR="004078E0" w:rsidRPr="00B5383A" w:rsidRDefault="004078E0" w:rsidP="004078E0">
      <w:pPr>
        <w:rPr>
          <w:shd w:val="clear" w:color="auto" w:fill="FFFFFF"/>
        </w:rPr>
      </w:pPr>
    </w:p>
    <w:p w:rsidR="004078E0" w:rsidRPr="00B5383A" w:rsidRDefault="00870790" w:rsidP="004078E0">
      <w:pPr>
        <w:rPr>
          <w:shd w:val="clear" w:color="auto" w:fill="FFFFFF"/>
        </w:rPr>
      </w:pPr>
      <w:r>
        <w:rPr>
          <w:shd w:val="clear" w:color="auto" w:fill="FFFFFF"/>
        </w:rPr>
        <w:t>To obtain</w:t>
      </w:r>
      <w:r w:rsidR="004078E0" w:rsidRPr="00B5383A">
        <w:rPr>
          <w:shd w:val="clear" w:color="auto" w:fill="FFFFFF"/>
        </w:rPr>
        <w:t xml:space="preserve"> the relative income levels, </w:t>
      </w:r>
      <w:r w:rsidR="004831F1" w:rsidRPr="00B5383A">
        <w:rPr>
          <w:shd w:val="clear" w:color="auto" w:fill="FFFFFF"/>
        </w:rPr>
        <w:t>I</w:t>
      </w:r>
      <w:r w:rsidR="004078E0" w:rsidRPr="00B5383A">
        <w:rPr>
          <w:shd w:val="clear" w:color="auto" w:fill="FFFFFF"/>
        </w:rPr>
        <w:t xml:space="preserve"> need average overall income per worker series consistent with </w:t>
      </w:r>
      <w:r w:rsidR="00E73296" w:rsidRPr="00B5383A">
        <w:rPr>
          <w:shd w:val="clear" w:color="auto" w:fill="FFFFFF"/>
        </w:rPr>
        <w:t>my</w:t>
      </w:r>
      <w:r w:rsidR="004078E0" w:rsidRPr="00B5383A">
        <w:rPr>
          <w:shd w:val="clear" w:color="auto" w:fill="FFFFFF"/>
        </w:rPr>
        <w:t xml:space="preserve"> wage data. </w:t>
      </w:r>
      <w:r w:rsidR="004831F1" w:rsidRPr="00B5383A">
        <w:rPr>
          <w:shd w:val="clear" w:color="auto" w:fill="FFFFFF"/>
        </w:rPr>
        <w:t>I</w:t>
      </w:r>
      <w:r w:rsidR="004078E0" w:rsidRPr="00B5383A">
        <w:rPr>
          <w:shd w:val="clear" w:color="auto" w:fill="FFFFFF"/>
        </w:rPr>
        <w:t xml:space="preserve"> proceed as follows. First</w:t>
      </w:r>
      <w:r w:rsidR="007A23F7" w:rsidRPr="00B5383A">
        <w:rPr>
          <w:shd w:val="clear" w:color="auto" w:fill="FFFFFF"/>
        </w:rPr>
        <w:t>,</w:t>
      </w:r>
      <w:r w:rsidR="004078E0" w:rsidRPr="00B5383A">
        <w:rPr>
          <w:shd w:val="clear" w:color="auto" w:fill="FFFFFF"/>
        </w:rPr>
        <w:t xml:space="preserve"> </w:t>
      </w:r>
      <w:r w:rsidR="004831F1" w:rsidRPr="00B5383A">
        <w:rPr>
          <w:shd w:val="clear" w:color="auto" w:fill="FFFFFF"/>
        </w:rPr>
        <w:t>I</w:t>
      </w:r>
      <w:r w:rsidR="004078E0" w:rsidRPr="00B5383A">
        <w:rPr>
          <w:shd w:val="clear" w:color="auto" w:fill="FFFFFF"/>
        </w:rPr>
        <w:t xml:space="preserve"> calculate a weighted average monthly wage from </w:t>
      </w:r>
      <w:r w:rsidR="00E73296" w:rsidRPr="00B5383A">
        <w:rPr>
          <w:shd w:val="clear" w:color="auto" w:fill="FFFFFF"/>
        </w:rPr>
        <w:t>my</w:t>
      </w:r>
      <w:r w:rsidR="004078E0" w:rsidRPr="00B5383A">
        <w:rPr>
          <w:shd w:val="clear" w:color="auto" w:fill="FFFFFF"/>
        </w:rPr>
        <w:t xml:space="preserve"> series in 1970 (using the groups’ EAP shares as weights). Second, </w:t>
      </w:r>
      <w:r w:rsidR="004831F1" w:rsidRPr="00B5383A">
        <w:rPr>
          <w:shd w:val="clear" w:color="auto" w:fill="FFFFFF"/>
        </w:rPr>
        <w:t>I</w:t>
      </w:r>
      <w:r w:rsidR="004078E0" w:rsidRPr="00B5383A">
        <w:rPr>
          <w:shd w:val="clear" w:color="auto" w:fill="FFFFFF"/>
        </w:rPr>
        <w:t xml:space="preserve"> use estimates of the wage share of total national income in </w:t>
      </w:r>
      <w:r w:rsidR="00E07D9F">
        <w:rPr>
          <w:shd w:val="clear" w:color="auto" w:fill="FFFFFF"/>
        </w:rPr>
        <w:t>1970</w:t>
      </w:r>
      <w:r w:rsidR="004078E0" w:rsidRPr="00B5383A">
        <w:rPr>
          <w:shd w:val="clear" w:color="auto" w:fill="FFFFFF"/>
        </w:rPr>
        <w:t xml:space="preserve"> in order to calculate an average income per worker value in </w:t>
      </w:r>
      <w:r w:rsidR="00AF0181">
        <w:rPr>
          <w:shd w:val="clear" w:color="auto" w:fill="FFFFFF"/>
        </w:rPr>
        <w:t>such a year</w:t>
      </w:r>
      <w:r w:rsidR="004078E0" w:rsidRPr="00B5383A">
        <w:rPr>
          <w:shd w:val="clear" w:color="auto" w:fill="FFFFFF"/>
        </w:rPr>
        <w:t xml:space="preserve"> consistent with </w:t>
      </w:r>
      <w:r w:rsidR="00E73296" w:rsidRPr="00B5383A">
        <w:rPr>
          <w:shd w:val="clear" w:color="auto" w:fill="FFFFFF"/>
        </w:rPr>
        <w:t>my</w:t>
      </w:r>
      <w:r w:rsidR="004078E0" w:rsidRPr="00B5383A">
        <w:rPr>
          <w:shd w:val="clear" w:color="auto" w:fill="FFFFFF"/>
        </w:rPr>
        <w:t xml:space="preserve"> estimated average wage level. Then </w:t>
      </w:r>
      <w:r w:rsidR="004831F1" w:rsidRPr="00B5383A">
        <w:rPr>
          <w:shd w:val="clear" w:color="auto" w:fill="FFFFFF"/>
        </w:rPr>
        <w:t>I</w:t>
      </w:r>
      <w:r w:rsidR="004078E0" w:rsidRPr="00B5383A">
        <w:rPr>
          <w:shd w:val="clear" w:color="auto" w:fill="FFFFFF"/>
        </w:rPr>
        <w:t xml:space="preserve"> use the growth rate of the </w:t>
      </w:r>
      <w:r w:rsidR="00342C87">
        <w:rPr>
          <w:shd w:val="clear" w:color="auto" w:fill="FFFFFF"/>
        </w:rPr>
        <w:t>unemployment-</w:t>
      </w:r>
      <w:r w:rsidR="004078E0" w:rsidRPr="00B5383A">
        <w:rPr>
          <w:shd w:val="clear" w:color="auto" w:fill="FFFFFF"/>
        </w:rPr>
        <w:t xml:space="preserve">adjusted income per worker (at 1970 prices) series to go back to 1900 and forth to 2011. The level adjustment </w:t>
      </w:r>
      <w:r w:rsidR="00342C87">
        <w:rPr>
          <w:shd w:val="clear" w:color="auto" w:fill="FFFFFF"/>
        </w:rPr>
        <w:t xml:space="preserve">performed </w:t>
      </w:r>
      <w:r w:rsidR="004078E0" w:rsidRPr="00B5383A">
        <w:rPr>
          <w:shd w:val="clear" w:color="auto" w:fill="FFFFFF"/>
        </w:rPr>
        <w:t xml:space="preserve">in 1970 is also used to calibrate </w:t>
      </w:r>
      <w:r w:rsidR="00E73296" w:rsidRPr="00B5383A">
        <w:rPr>
          <w:shd w:val="clear" w:color="auto" w:fill="FFFFFF"/>
        </w:rPr>
        <w:t>my</w:t>
      </w:r>
      <w:r w:rsidR="004078E0" w:rsidRPr="00B5383A">
        <w:rPr>
          <w:shd w:val="clear" w:color="auto" w:fill="FFFFFF"/>
        </w:rPr>
        <w:t xml:space="preserve"> series and to take into account some of the fringe payments that are included </w:t>
      </w:r>
      <w:r w:rsidR="00EC0AD1">
        <w:rPr>
          <w:shd w:val="clear" w:color="auto" w:fill="FFFFFF"/>
        </w:rPr>
        <w:t>in</w:t>
      </w:r>
      <w:r w:rsidR="004078E0" w:rsidRPr="00B5383A">
        <w:rPr>
          <w:shd w:val="clear" w:color="auto" w:fill="FFFFFF"/>
        </w:rPr>
        <w:t xml:space="preserve"> the labour share on overall income but that are largely excluded from </w:t>
      </w:r>
      <w:r w:rsidR="00E73296" w:rsidRPr="00B5383A">
        <w:rPr>
          <w:shd w:val="clear" w:color="auto" w:fill="FFFFFF"/>
        </w:rPr>
        <w:t>my</w:t>
      </w:r>
      <w:r w:rsidR="004078E0" w:rsidRPr="00B5383A">
        <w:rPr>
          <w:shd w:val="clear" w:color="auto" w:fill="FFFFFF"/>
        </w:rPr>
        <w:t xml:space="preserve"> wage data.</w:t>
      </w:r>
    </w:p>
    <w:p w:rsidR="004078E0" w:rsidRPr="00B5383A" w:rsidRDefault="004078E0" w:rsidP="004078E0">
      <w:pPr>
        <w:rPr>
          <w:shd w:val="clear" w:color="auto" w:fill="FFFFFF"/>
        </w:rPr>
      </w:pPr>
    </w:p>
    <w:p w:rsidR="004078E0" w:rsidRPr="00B5383A" w:rsidRDefault="004078E0" w:rsidP="004078E0">
      <w:pPr>
        <w:rPr>
          <w:shd w:val="clear" w:color="auto" w:fill="FFFFFF"/>
        </w:rPr>
      </w:pPr>
      <w:r w:rsidRPr="00B5383A">
        <w:rPr>
          <w:i/>
          <w:shd w:val="clear" w:color="auto" w:fill="FFFFFF"/>
        </w:rPr>
        <w:t>Sources for National Income</w:t>
      </w:r>
      <w:r w:rsidRPr="00B5383A">
        <w:rPr>
          <w:shd w:val="clear" w:color="auto" w:fill="FFFFFF"/>
        </w:rPr>
        <w:t xml:space="preserve">: </w:t>
      </w:r>
      <w:r w:rsidRPr="00B5383A">
        <w:rPr>
          <w:b/>
          <w:i/>
          <w:shd w:val="clear" w:color="auto" w:fill="FFFFFF"/>
        </w:rPr>
        <w:t>Argentina</w:t>
      </w:r>
      <w:r w:rsidRPr="00B5383A">
        <w:rPr>
          <w:shd w:val="clear" w:color="auto" w:fill="FFFFFF"/>
        </w:rPr>
        <w:t xml:space="preserve">: 1993-2011 uses ECLAC website; 1950-1993 uses estimates in Kacef and </w:t>
      </w:r>
      <w:r w:rsidRPr="00FA715F">
        <w:rPr>
          <w:shd w:val="clear" w:color="auto" w:fill="FFFFFF"/>
        </w:rPr>
        <w:t xml:space="preserve">Manuelito (2008). </w:t>
      </w:r>
      <w:r w:rsidRPr="00FA715F">
        <w:rPr>
          <w:b/>
          <w:i/>
          <w:shd w:val="clear" w:color="auto" w:fill="FFFFFF"/>
        </w:rPr>
        <w:t>Brazil</w:t>
      </w:r>
      <w:r w:rsidRPr="00FA715F">
        <w:rPr>
          <w:shd w:val="clear" w:color="auto" w:fill="FFFFFF"/>
        </w:rPr>
        <w:t>: IBGE</w:t>
      </w:r>
      <w:r w:rsidR="00162269" w:rsidRPr="00FA715F">
        <w:rPr>
          <w:shd w:val="clear" w:color="auto" w:fill="FFFFFF"/>
        </w:rPr>
        <w:t xml:space="preserve"> (2003)</w:t>
      </w:r>
      <w:r w:rsidRPr="00FA715F">
        <w:rPr>
          <w:shd w:val="clear" w:color="auto" w:fill="FFFFFF"/>
        </w:rPr>
        <w:t xml:space="preserve"> from</w:t>
      </w:r>
      <w:r w:rsidRPr="00B5383A">
        <w:rPr>
          <w:shd w:val="clear" w:color="auto" w:fill="FFFFFF"/>
        </w:rPr>
        <w:t xml:space="preserve"> 1947 to 2011. </w:t>
      </w:r>
      <w:r w:rsidRPr="00B5383A">
        <w:rPr>
          <w:b/>
          <w:i/>
          <w:shd w:val="clear" w:color="auto" w:fill="FFFFFF"/>
        </w:rPr>
        <w:t>Chile</w:t>
      </w:r>
      <w:r w:rsidRPr="00B5383A">
        <w:rPr>
          <w:shd w:val="clear" w:color="auto" w:fill="FFFFFF"/>
        </w:rPr>
        <w:t xml:space="preserve">: 1960-2011 </w:t>
      </w:r>
      <w:r w:rsidRPr="00B5383A">
        <w:rPr>
          <w:shd w:val="clear" w:color="auto" w:fill="FFFFFF"/>
        </w:rPr>
        <w:lastRenderedPageBreak/>
        <w:t xml:space="preserve">uses ECLAC website; 1950-60 uses estimates in Kacef and Manuelito (2008). </w:t>
      </w:r>
      <w:r w:rsidRPr="00B5383A">
        <w:rPr>
          <w:b/>
          <w:i/>
          <w:shd w:val="clear" w:color="auto" w:fill="FFFFFF"/>
        </w:rPr>
        <w:t>Colombia</w:t>
      </w:r>
      <w:r w:rsidRPr="00B5383A">
        <w:rPr>
          <w:shd w:val="clear" w:color="auto" w:fill="FFFFFF"/>
        </w:rPr>
        <w:t xml:space="preserve">: 1970-2011use ECLAC website; 1962-70 uses ILO yearbooks; 1950-62 uses estimates in Kacef and Manuelito (2008). </w:t>
      </w:r>
      <w:r w:rsidRPr="00B5383A">
        <w:rPr>
          <w:b/>
          <w:i/>
          <w:shd w:val="clear" w:color="auto" w:fill="FFFFFF"/>
        </w:rPr>
        <w:t>Mexico</w:t>
      </w:r>
      <w:r w:rsidRPr="00B5383A">
        <w:rPr>
          <w:shd w:val="clear" w:color="auto" w:fill="FFFFFF"/>
        </w:rPr>
        <w:t xml:space="preserve">: 1970-2011 uses ECLAC website; 1950-70 uses estimates from Kacef and Manuelito (2008). </w:t>
      </w:r>
      <w:r w:rsidRPr="00B5383A">
        <w:rPr>
          <w:b/>
          <w:i/>
          <w:shd w:val="clear" w:color="auto" w:fill="FFFFFF"/>
        </w:rPr>
        <w:t>Venezuela</w:t>
      </w:r>
      <w:r w:rsidRPr="00B5383A">
        <w:rPr>
          <w:shd w:val="clear" w:color="auto" w:fill="FFFFFF"/>
        </w:rPr>
        <w:t>: 1998-2011 uses ECLAC website; 1950-98 uses BCV website (Venezuela Central Bank).</w:t>
      </w:r>
    </w:p>
    <w:p w:rsidR="004078E0" w:rsidRPr="00FA715F" w:rsidRDefault="004078E0" w:rsidP="004078E0">
      <w:pPr>
        <w:rPr>
          <w:shd w:val="clear" w:color="auto" w:fill="FFFFFF"/>
        </w:rPr>
      </w:pPr>
      <w:r w:rsidRPr="00B5383A">
        <w:rPr>
          <w:i/>
          <w:shd w:val="clear" w:color="auto" w:fill="FFFFFF"/>
        </w:rPr>
        <w:t>Sources for GDP at constant prices</w:t>
      </w:r>
      <w:r w:rsidRPr="00B5383A">
        <w:rPr>
          <w:shd w:val="clear" w:color="auto" w:fill="FFFFFF"/>
        </w:rPr>
        <w:t xml:space="preserve"> </w:t>
      </w:r>
      <w:r w:rsidRPr="00B5383A">
        <w:rPr>
          <w:i/>
          <w:shd w:val="clear" w:color="auto" w:fill="FFFFFF"/>
        </w:rPr>
        <w:t>and CPIs</w:t>
      </w:r>
      <w:r w:rsidRPr="00B5383A">
        <w:rPr>
          <w:shd w:val="clear" w:color="auto" w:fill="FFFFFF"/>
        </w:rPr>
        <w:t xml:space="preserve">: Chile 1900-1940, </w:t>
      </w:r>
      <w:r w:rsidR="004831F1" w:rsidRPr="00B5383A">
        <w:rPr>
          <w:shd w:val="clear" w:color="auto" w:fill="FFFFFF"/>
        </w:rPr>
        <w:t>I</w:t>
      </w:r>
      <w:r w:rsidRPr="00B5383A">
        <w:rPr>
          <w:shd w:val="clear" w:color="auto" w:fill="FFFFFF"/>
        </w:rPr>
        <w:t xml:space="preserve"> deflate the nominal GDP series in Haindl (2006) with the CPI. </w:t>
      </w:r>
      <w:r w:rsidRPr="00B5383A">
        <w:rPr>
          <w:shd w:val="clear" w:color="auto" w:fill="FFFFFF"/>
          <w:lang w:val="es-ES"/>
        </w:rPr>
        <w:t xml:space="preserve">Mexico 1900-1910 uses </w:t>
      </w:r>
      <w:r w:rsidRPr="00B5383A">
        <w:rPr>
          <w:i/>
          <w:shd w:val="clear" w:color="auto" w:fill="FFFFFF"/>
          <w:lang w:val="es-ES"/>
        </w:rPr>
        <w:t>Estadísticas Económicas del Porfiriato</w:t>
      </w:r>
      <w:r w:rsidR="00253FA7">
        <w:rPr>
          <w:shd w:val="clear" w:color="auto" w:fill="FFFFFF"/>
          <w:lang w:val="es-ES"/>
        </w:rPr>
        <w:t xml:space="preserve"> </w:t>
      </w:r>
      <w:r w:rsidR="00253FA7" w:rsidRPr="00FA715F">
        <w:rPr>
          <w:shd w:val="clear" w:color="auto" w:fill="FFFFFF"/>
          <w:lang w:val="es-ES"/>
        </w:rPr>
        <w:t>available at</w:t>
      </w:r>
      <w:r w:rsidR="00023795" w:rsidRPr="00FA715F">
        <w:rPr>
          <w:shd w:val="clear" w:color="auto" w:fill="FFFFFF"/>
          <w:lang w:val="es-ES"/>
        </w:rPr>
        <w:t xml:space="preserve"> ITAM </w:t>
      </w:r>
      <w:r w:rsidR="003A35EA" w:rsidRPr="00FA715F">
        <w:rPr>
          <w:shd w:val="clear" w:color="auto" w:fill="FFFFFF"/>
          <w:lang w:val="es-ES"/>
        </w:rPr>
        <w:t>(2004)</w:t>
      </w:r>
      <w:r w:rsidRPr="00FA715F">
        <w:rPr>
          <w:shd w:val="clear" w:color="auto" w:fill="FFFFFF"/>
          <w:lang w:val="es-ES"/>
        </w:rPr>
        <w:t xml:space="preserve">. </w:t>
      </w:r>
      <w:r w:rsidR="004B6702" w:rsidRPr="00FA715F">
        <w:rPr>
          <w:shd w:val="clear" w:color="auto" w:fill="FFFFFF"/>
          <w:lang w:val="es-ES"/>
        </w:rPr>
        <w:t>For</w:t>
      </w:r>
      <w:r w:rsidRPr="00FA715F">
        <w:rPr>
          <w:shd w:val="clear" w:color="auto" w:fill="FFFFFF"/>
          <w:lang w:val="es-ES"/>
        </w:rPr>
        <w:t xml:space="preserve"> Venezuela </w:t>
      </w:r>
      <w:r w:rsidR="004831F1" w:rsidRPr="00FA715F">
        <w:rPr>
          <w:shd w:val="clear" w:color="auto" w:fill="FFFFFF"/>
          <w:lang w:val="es-ES"/>
        </w:rPr>
        <w:t>I</w:t>
      </w:r>
      <w:r w:rsidRPr="00FA715F">
        <w:rPr>
          <w:shd w:val="clear" w:color="auto" w:fill="FFFFFF"/>
          <w:lang w:val="es-ES"/>
        </w:rPr>
        <w:t xml:space="preserve"> use De Corso (2013). </w:t>
      </w:r>
      <w:r w:rsidRPr="00FA715F">
        <w:rPr>
          <w:shd w:val="clear" w:color="auto" w:fill="FFFFFF"/>
        </w:rPr>
        <w:t xml:space="preserve">Otherwise </w:t>
      </w:r>
      <w:r w:rsidR="004831F1" w:rsidRPr="00FA715F">
        <w:rPr>
          <w:shd w:val="clear" w:color="auto" w:fill="FFFFFF"/>
        </w:rPr>
        <w:t>I</w:t>
      </w:r>
      <w:r w:rsidRPr="00FA715F">
        <w:rPr>
          <w:shd w:val="clear" w:color="auto" w:fill="FFFFFF"/>
        </w:rPr>
        <w:t xml:space="preserve"> use MOxLAD.</w:t>
      </w:r>
    </w:p>
    <w:p w:rsidR="004078E0" w:rsidRPr="00FA715F" w:rsidRDefault="004078E0" w:rsidP="004078E0">
      <w:pPr>
        <w:rPr>
          <w:shd w:val="clear" w:color="auto" w:fill="FFFFFF"/>
        </w:rPr>
      </w:pPr>
    </w:p>
    <w:p w:rsidR="004078E0" w:rsidRPr="00FA715F" w:rsidRDefault="00163B87" w:rsidP="004078E0">
      <w:pPr>
        <w:rPr>
          <w:b/>
          <w:shd w:val="clear" w:color="auto" w:fill="FFFFFF"/>
        </w:rPr>
      </w:pPr>
      <w:r w:rsidRPr="00FA715F">
        <w:rPr>
          <w:b/>
          <w:shd w:val="clear" w:color="auto" w:fill="FFFFFF"/>
        </w:rPr>
        <w:t>II.</w:t>
      </w:r>
      <w:r w:rsidR="004078E0" w:rsidRPr="00FA715F">
        <w:rPr>
          <w:b/>
          <w:shd w:val="clear" w:color="auto" w:fill="FFFFFF"/>
        </w:rPr>
        <w:t>3. Unemployment adjustment</w:t>
      </w:r>
    </w:p>
    <w:p w:rsidR="004078E0" w:rsidRPr="00FA715F" w:rsidRDefault="004078E0" w:rsidP="004078E0">
      <w:pPr>
        <w:rPr>
          <w:shd w:val="clear" w:color="auto" w:fill="FFFFFF"/>
        </w:rPr>
      </w:pPr>
      <w:r w:rsidRPr="00FA715F">
        <w:rPr>
          <w:shd w:val="clear" w:color="auto" w:fill="FFFFFF"/>
        </w:rPr>
        <w:t xml:space="preserve">To adjust for unemployment the income per person engaged series </w:t>
      </w:r>
      <w:r w:rsidR="004831F1" w:rsidRPr="00FA715F">
        <w:rPr>
          <w:shd w:val="clear" w:color="auto" w:fill="FFFFFF"/>
        </w:rPr>
        <w:t>I</w:t>
      </w:r>
      <w:r w:rsidRPr="00FA715F">
        <w:rPr>
          <w:shd w:val="clear" w:color="auto" w:fill="FFFFFF"/>
        </w:rPr>
        <w:t xml:space="preserve"> do as follows:</w:t>
      </w:r>
    </w:p>
    <w:p w:rsidR="004078E0" w:rsidRPr="00FA715F" w:rsidRDefault="004078E0" w:rsidP="004078E0">
      <w:pPr>
        <w:rPr>
          <w:shd w:val="clear" w:color="auto" w:fill="FFFFFF"/>
        </w:rPr>
      </w:pPr>
      <w:r w:rsidRPr="00FA715F">
        <w:rPr>
          <w:shd w:val="clear" w:color="auto" w:fill="FFFFFF"/>
        </w:rPr>
        <w:t xml:space="preserve">1. </w:t>
      </w:r>
      <w:r w:rsidR="004831F1" w:rsidRPr="00FA715F">
        <w:rPr>
          <w:shd w:val="clear" w:color="auto" w:fill="FFFFFF"/>
        </w:rPr>
        <w:t>I</w:t>
      </w:r>
      <w:r w:rsidRPr="00FA715F">
        <w:rPr>
          <w:shd w:val="clear" w:color="auto" w:fill="FFFFFF"/>
        </w:rPr>
        <w:t xml:space="preserve"> calculate a long-term unemployment rate as a 10-year moving average of</w:t>
      </w:r>
      <w:r w:rsidR="00EB0005" w:rsidRPr="00FA715F">
        <w:rPr>
          <w:shd w:val="clear" w:color="auto" w:fill="FFFFFF"/>
        </w:rPr>
        <w:t xml:space="preserve"> the yearly unemployment rates. O</w:t>
      </w:r>
      <w:r w:rsidRPr="00FA715F">
        <w:rPr>
          <w:shd w:val="clear" w:color="auto" w:fill="FFFFFF"/>
        </w:rPr>
        <w:t>utliers are sm</w:t>
      </w:r>
      <w:r w:rsidR="00EB0005" w:rsidRPr="00FA715F">
        <w:rPr>
          <w:shd w:val="clear" w:color="auto" w:fill="FFFFFF"/>
        </w:rPr>
        <w:t>oothed out, see below for specific years</w:t>
      </w:r>
      <w:r w:rsidRPr="00FA715F">
        <w:rPr>
          <w:shd w:val="clear" w:color="auto" w:fill="FFFFFF"/>
        </w:rPr>
        <w:t xml:space="preserve">. </w:t>
      </w:r>
    </w:p>
    <w:p w:rsidR="004078E0" w:rsidRPr="00FA715F" w:rsidRDefault="004078E0" w:rsidP="004078E0">
      <w:pPr>
        <w:rPr>
          <w:shd w:val="clear" w:color="auto" w:fill="FFFFFF"/>
        </w:rPr>
      </w:pPr>
      <w:r w:rsidRPr="00FA715F">
        <w:rPr>
          <w:shd w:val="clear" w:color="auto" w:fill="FFFFFF"/>
        </w:rPr>
        <w:t xml:space="preserve">2. </w:t>
      </w:r>
      <w:r w:rsidR="004831F1" w:rsidRPr="00FA715F">
        <w:rPr>
          <w:shd w:val="clear" w:color="auto" w:fill="FFFFFF"/>
        </w:rPr>
        <w:t>I</w:t>
      </w:r>
      <w:r w:rsidRPr="00FA715F">
        <w:rPr>
          <w:shd w:val="clear" w:color="auto" w:fill="FFFFFF"/>
        </w:rPr>
        <w:t xml:space="preserve"> calculate the deviations between yearly unemployment rates and the long-term rate. Those deviations are multiplied by </w:t>
      </w:r>
      <w:r w:rsidR="00E73296" w:rsidRPr="00FA715F">
        <w:rPr>
          <w:shd w:val="clear" w:color="auto" w:fill="FFFFFF"/>
        </w:rPr>
        <w:t>my</w:t>
      </w:r>
      <w:r w:rsidRPr="00FA715F">
        <w:rPr>
          <w:shd w:val="clear" w:color="auto" w:fill="FFFFFF"/>
        </w:rPr>
        <w:t xml:space="preserve"> original EAP series to estimate the number of unemployed people (relative to the natural rate), which are then subtracted from the EAP series to obtain adjusted EAP series. </w:t>
      </w:r>
    </w:p>
    <w:p w:rsidR="004078E0" w:rsidRPr="00FA715F" w:rsidRDefault="004078E0" w:rsidP="004078E0">
      <w:pPr>
        <w:rPr>
          <w:shd w:val="clear" w:color="auto" w:fill="FFFFFF"/>
        </w:rPr>
      </w:pPr>
      <w:r w:rsidRPr="00FA715F">
        <w:rPr>
          <w:shd w:val="clear" w:color="auto" w:fill="FFFFFF"/>
        </w:rPr>
        <w:t xml:space="preserve">3. A ratio of the original EAP series and the adjusted EAP series is then applied to the series of income per person engaged.  </w:t>
      </w:r>
    </w:p>
    <w:p w:rsidR="004078E0" w:rsidRPr="00FA715F" w:rsidRDefault="004078E0" w:rsidP="004078E0">
      <w:pPr>
        <w:rPr>
          <w:shd w:val="clear" w:color="auto" w:fill="FFFFFF"/>
        </w:rPr>
      </w:pPr>
      <w:r w:rsidRPr="00FA715F">
        <w:rPr>
          <w:shd w:val="clear" w:color="auto" w:fill="FFFFFF"/>
        </w:rPr>
        <w:t xml:space="preserve">Because of lack of unemployment rates at group level, in all cases </w:t>
      </w:r>
      <w:r w:rsidR="004831F1" w:rsidRPr="00FA715F">
        <w:rPr>
          <w:shd w:val="clear" w:color="auto" w:fill="FFFFFF"/>
        </w:rPr>
        <w:t>I</w:t>
      </w:r>
      <w:r w:rsidRPr="00FA715F">
        <w:rPr>
          <w:shd w:val="clear" w:color="auto" w:fill="FFFFFF"/>
        </w:rPr>
        <w:t xml:space="preserve"> assume that the overall jobless rate affects all groups equally. </w:t>
      </w:r>
      <w:r w:rsidR="004831F1" w:rsidRPr="00FA715F">
        <w:rPr>
          <w:shd w:val="clear" w:color="auto" w:fill="FFFFFF"/>
        </w:rPr>
        <w:t>I</w:t>
      </w:r>
      <w:r w:rsidRPr="00FA715F">
        <w:rPr>
          <w:shd w:val="clear" w:color="auto" w:fill="FFFFFF"/>
        </w:rPr>
        <w:t xml:space="preserve"> use the ECLAC website as source for unemployment rates in 1980-2011 in all cases. The sources for the remaining years are:</w:t>
      </w:r>
    </w:p>
    <w:p w:rsidR="004078E0" w:rsidRPr="00FA715F" w:rsidRDefault="004078E0" w:rsidP="004078E0">
      <w:pPr>
        <w:rPr>
          <w:shd w:val="clear" w:color="auto" w:fill="FFFFFF"/>
        </w:rPr>
      </w:pPr>
    </w:p>
    <w:p w:rsidR="00D14972" w:rsidRPr="00E50DA8" w:rsidRDefault="004078E0" w:rsidP="004078E0">
      <w:pPr>
        <w:rPr>
          <w:shd w:val="clear" w:color="auto" w:fill="FFFFFF"/>
          <w:lang w:val="es-ES"/>
        </w:rPr>
      </w:pPr>
      <w:r w:rsidRPr="00FA715F">
        <w:rPr>
          <w:b/>
          <w:i/>
          <w:shd w:val="clear" w:color="auto" w:fill="FFFFFF"/>
        </w:rPr>
        <w:t>Argentina</w:t>
      </w:r>
      <w:r w:rsidRPr="00FA715F">
        <w:rPr>
          <w:shd w:val="clear" w:color="auto" w:fill="FFFFFF"/>
        </w:rPr>
        <w:t xml:space="preserve">: 1970-80 uses ILO website. </w:t>
      </w:r>
      <w:r w:rsidR="00EB0005" w:rsidRPr="00FA715F">
        <w:rPr>
          <w:shd w:val="clear" w:color="auto" w:fill="FFFFFF"/>
        </w:rPr>
        <w:t>O</w:t>
      </w:r>
      <w:r w:rsidRPr="00FA715F">
        <w:rPr>
          <w:shd w:val="clear" w:color="auto" w:fill="FFFFFF"/>
        </w:rPr>
        <w:t xml:space="preserve">utliers in 1976, 1995-96, and 2000-03. In 1931-42 </w:t>
      </w:r>
      <w:r w:rsidR="004831F1" w:rsidRPr="00FA715F">
        <w:rPr>
          <w:shd w:val="clear" w:color="auto" w:fill="FFFFFF"/>
        </w:rPr>
        <w:t>I</w:t>
      </w:r>
      <w:r w:rsidRPr="00FA715F">
        <w:rPr>
          <w:shd w:val="clear" w:color="auto" w:fill="FFFFFF"/>
        </w:rPr>
        <w:t xml:space="preserve"> apply the same adjustment as in Mexico</w:t>
      </w:r>
      <w:r w:rsidR="001D4919" w:rsidRPr="00FA715F">
        <w:rPr>
          <w:shd w:val="clear" w:color="auto" w:fill="FFFFFF"/>
        </w:rPr>
        <w:t xml:space="preserve"> (see below)</w:t>
      </w:r>
      <w:r w:rsidRPr="00FA715F">
        <w:rPr>
          <w:shd w:val="clear" w:color="auto" w:fill="FFFFFF"/>
        </w:rPr>
        <w:t xml:space="preserve">. </w:t>
      </w:r>
      <w:r w:rsidRPr="00FA715F">
        <w:rPr>
          <w:b/>
          <w:i/>
          <w:shd w:val="clear" w:color="auto" w:fill="FFFFFF"/>
        </w:rPr>
        <w:t>Brazil</w:t>
      </w:r>
      <w:r w:rsidRPr="00FA715F">
        <w:rPr>
          <w:shd w:val="clear" w:color="auto" w:fill="FFFFFF"/>
        </w:rPr>
        <w:t xml:space="preserve">: 1977-80 uses ILO website. Outliers in 1981, 1984, and 2002. In 1931-42 </w:t>
      </w:r>
      <w:r w:rsidR="004831F1" w:rsidRPr="00FA715F">
        <w:rPr>
          <w:shd w:val="clear" w:color="auto" w:fill="FFFFFF"/>
        </w:rPr>
        <w:t>I</w:t>
      </w:r>
      <w:r w:rsidRPr="00FA715F">
        <w:rPr>
          <w:shd w:val="clear" w:color="auto" w:fill="FFFFFF"/>
        </w:rPr>
        <w:t xml:space="preserve"> apply the same adjustment as in Mexico. </w:t>
      </w:r>
      <w:r w:rsidRPr="00FA715F">
        <w:rPr>
          <w:b/>
          <w:i/>
          <w:shd w:val="clear" w:color="auto" w:fill="FFFFFF"/>
        </w:rPr>
        <w:t>Chile</w:t>
      </w:r>
      <w:r w:rsidRPr="00FA715F">
        <w:rPr>
          <w:shd w:val="clear" w:color="auto" w:fill="FFFFFF"/>
        </w:rPr>
        <w:t xml:space="preserve">: 1975-80 uses ILO website. Outliers in 1982, 1985, 1991, 1999, 2004, and 2009. In 1931-43 uses as proxy estimates of </w:t>
      </w:r>
      <w:r w:rsidRPr="00FA715F">
        <w:t>“</w:t>
      </w:r>
      <w:r w:rsidRPr="00FA715F">
        <w:rPr>
          <w:shd w:val="clear" w:color="auto" w:fill="FFFFFF"/>
        </w:rPr>
        <w:t xml:space="preserve">applicants for work” from the League of Nations </w:t>
      </w:r>
      <w:r w:rsidR="00D14972" w:rsidRPr="00FA715F">
        <w:rPr>
          <w:shd w:val="clear" w:color="auto" w:fill="FFFFFF"/>
        </w:rPr>
        <w:t>(1</w:t>
      </w:r>
      <w:r w:rsidR="00E50DA8" w:rsidRPr="00FA715F">
        <w:rPr>
          <w:shd w:val="clear" w:color="auto" w:fill="FFFFFF"/>
        </w:rPr>
        <w:t>926-1944)</w:t>
      </w:r>
      <w:r w:rsidRPr="00FA715F">
        <w:rPr>
          <w:shd w:val="clear" w:color="auto" w:fill="FFFFFF"/>
        </w:rPr>
        <w:t xml:space="preserve">. </w:t>
      </w:r>
      <w:r w:rsidRPr="00FA715F">
        <w:rPr>
          <w:b/>
          <w:i/>
          <w:shd w:val="clear" w:color="auto" w:fill="FFFFFF"/>
        </w:rPr>
        <w:t>Colombia</w:t>
      </w:r>
      <w:r w:rsidRPr="00FA715F">
        <w:rPr>
          <w:shd w:val="clear" w:color="auto" w:fill="FFFFFF"/>
        </w:rPr>
        <w:t xml:space="preserve">: 1975-80 uses ILO website. Outliers in 1980, 1984, 1986, 1999-2003, and 2009-10. </w:t>
      </w:r>
      <w:r w:rsidR="004831F1" w:rsidRPr="00FA715F">
        <w:rPr>
          <w:shd w:val="clear" w:color="auto" w:fill="FFFFFF"/>
        </w:rPr>
        <w:t>In 1931-42 I</w:t>
      </w:r>
      <w:r w:rsidRPr="00FA715F">
        <w:rPr>
          <w:shd w:val="clear" w:color="auto" w:fill="FFFFFF"/>
        </w:rPr>
        <w:t xml:space="preserve"> apply the same adjustment as in Mexico. </w:t>
      </w:r>
      <w:r w:rsidRPr="00FA715F">
        <w:rPr>
          <w:b/>
          <w:i/>
          <w:shd w:val="clear" w:color="auto" w:fill="FFFFFF"/>
        </w:rPr>
        <w:t>Mexico</w:t>
      </w:r>
      <w:r w:rsidRPr="00FA715F">
        <w:rPr>
          <w:shd w:val="clear" w:color="auto" w:fill="FFFFFF"/>
        </w:rPr>
        <w:t xml:space="preserve">: 1973-80 uses ITAM </w:t>
      </w:r>
      <w:r w:rsidR="00A46045" w:rsidRPr="00FA715F">
        <w:rPr>
          <w:shd w:val="clear" w:color="auto" w:fill="FFFFFF"/>
        </w:rPr>
        <w:t>(2004)</w:t>
      </w:r>
      <w:r w:rsidRPr="00FA715F">
        <w:rPr>
          <w:shd w:val="clear" w:color="auto" w:fill="FFFFFF"/>
        </w:rPr>
        <w:t>. Outliers</w:t>
      </w:r>
      <w:r w:rsidRPr="00B5383A">
        <w:rPr>
          <w:shd w:val="clear" w:color="auto" w:fill="FFFFFF"/>
        </w:rPr>
        <w:t xml:space="preserve"> in 1977, 1983, 1995, 2004, and 2009. In 1931-42 uses official estimates reported in Keesing (1977). </w:t>
      </w:r>
      <w:r w:rsidRPr="00B5383A">
        <w:rPr>
          <w:b/>
          <w:i/>
          <w:shd w:val="clear" w:color="auto" w:fill="FFFFFF"/>
          <w:lang w:val="es-ES"/>
        </w:rPr>
        <w:t>Venezuela</w:t>
      </w:r>
      <w:r w:rsidRPr="00B5383A">
        <w:rPr>
          <w:shd w:val="clear" w:color="auto" w:fill="FFFFFF"/>
          <w:lang w:val="es-ES"/>
        </w:rPr>
        <w:t>: 1928-80 uses Valecillos (2007). Outliers in 1984-85, 1990, and 1999-2004.</w:t>
      </w:r>
    </w:p>
    <w:p w:rsidR="00D14972" w:rsidRPr="00F50529" w:rsidRDefault="00D14972">
      <w:pPr>
        <w:rPr>
          <w:b/>
          <w:sz w:val="28"/>
          <w:szCs w:val="28"/>
          <w:lang w:val="es-ES"/>
        </w:rPr>
      </w:pPr>
    </w:p>
    <w:p w:rsidR="0008337F" w:rsidRPr="00F50529" w:rsidRDefault="0008337F">
      <w:pPr>
        <w:rPr>
          <w:b/>
          <w:sz w:val="28"/>
          <w:szCs w:val="28"/>
          <w:lang w:val="es-ES"/>
        </w:rPr>
      </w:pPr>
      <w:r w:rsidRPr="00F50529">
        <w:rPr>
          <w:b/>
          <w:sz w:val="28"/>
          <w:szCs w:val="28"/>
          <w:lang w:val="es-ES"/>
        </w:rPr>
        <w:br w:type="page"/>
      </w:r>
    </w:p>
    <w:p w:rsidR="009B5C85" w:rsidRPr="006D0CD8" w:rsidRDefault="009B5C85" w:rsidP="003558D0">
      <w:pPr>
        <w:spacing w:line="360" w:lineRule="auto"/>
        <w:rPr>
          <w:lang w:val="es-ES"/>
        </w:rPr>
      </w:pPr>
      <w:r w:rsidRPr="006D0CD8">
        <w:rPr>
          <w:b/>
          <w:sz w:val="28"/>
          <w:szCs w:val="28"/>
          <w:lang w:val="es-ES"/>
        </w:rPr>
        <w:lastRenderedPageBreak/>
        <w:t xml:space="preserve">References </w:t>
      </w:r>
    </w:p>
    <w:p w:rsidR="00055A6F" w:rsidRPr="00EB3807" w:rsidRDefault="00055A6F" w:rsidP="00F40DB0">
      <w:pPr>
        <w:ind w:left="142" w:hanging="142"/>
      </w:pPr>
      <w:r w:rsidRPr="00EB3807">
        <w:rPr>
          <w:rStyle w:val="SubtleReference"/>
          <w:lang w:val="es-ES"/>
        </w:rPr>
        <w:t>Abreu, M. de P.</w:t>
      </w:r>
      <w:r w:rsidR="00FE4377" w:rsidRPr="00EB3807">
        <w:rPr>
          <w:lang w:val="es-ES"/>
        </w:rPr>
        <w:t>, organiser,</w:t>
      </w:r>
      <w:r w:rsidRPr="00EB3807">
        <w:rPr>
          <w:lang w:val="es-ES"/>
        </w:rPr>
        <w:t xml:space="preserve"> (1990</w:t>
      </w:r>
      <w:r w:rsidR="00B2401A" w:rsidRPr="00EB3807">
        <w:rPr>
          <w:lang w:val="es-ES"/>
        </w:rPr>
        <w:t xml:space="preserve">): </w:t>
      </w:r>
      <w:r w:rsidRPr="00EB3807">
        <w:rPr>
          <w:i/>
          <w:lang w:val="es-ES"/>
        </w:rPr>
        <w:t>A Ordem do Progresso - Cem Anos de Política Econômica Republicana</w:t>
      </w:r>
      <w:r w:rsidRPr="00EB3807">
        <w:rPr>
          <w:lang w:val="es-ES"/>
        </w:rPr>
        <w:t xml:space="preserve">. </w:t>
      </w:r>
      <w:r w:rsidRPr="00EB3807">
        <w:t>Rio de Janeiro: Campus.</w:t>
      </w:r>
    </w:p>
    <w:p w:rsidR="00B3241F" w:rsidRPr="00EB3807" w:rsidRDefault="00B3241F" w:rsidP="00F40DB0">
      <w:pPr>
        <w:ind w:left="142" w:hanging="142"/>
        <w:contextualSpacing/>
        <w:rPr>
          <w:lang w:val="es-ES"/>
        </w:rPr>
      </w:pPr>
      <w:r w:rsidRPr="00EB3807">
        <w:rPr>
          <w:rStyle w:val="SubtleReference"/>
        </w:rPr>
        <w:t xml:space="preserve">Arroyo Abad, L. </w:t>
      </w:r>
      <w:bookmarkStart w:id="5" w:name="_Hlk485635760"/>
      <w:r w:rsidRPr="00EB3807">
        <w:t>and</w:t>
      </w:r>
      <w:bookmarkEnd w:id="5"/>
      <w:r w:rsidRPr="00EB3807">
        <w:rPr>
          <w:rStyle w:val="SubtleReference"/>
        </w:rPr>
        <w:t xml:space="preserve"> Astorga, P</w:t>
      </w:r>
      <w:r w:rsidRPr="00EB3807">
        <w:t>. (2016</w:t>
      </w:r>
      <w:r w:rsidR="00EC7C5E" w:rsidRPr="00EB3807">
        <w:t>): «</w:t>
      </w:r>
      <w:r w:rsidRPr="00EB3807">
        <w:t xml:space="preserve">Latin American Earnings Inequality in the Long Run». </w:t>
      </w:r>
      <w:r w:rsidRPr="00EB3807">
        <w:rPr>
          <w:i/>
          <w:lang w:val="es-ES"/>
        </w:rPr>
        <w:t>Cliometrica</w:t>
      </w:r>
      <w:r w:rsidRPr="00EB3807">
        <w:rPr>
          <w:lang w:val="es-ES"/>
        </w:rPr>
        <w:t>. doi:10.1007/s11698-016-0150-9.</w:t>
      </w:r>
    </w:p>
    <w:p w:rsidR="00486483" w:rsidRPr="00EB3807" w:rsidRDefault="00486483" w:rsidP="00F40DB0">
      <w:pPr>
        <w:ind w:left="142" w:hanging="142"/>
        <w:rPr>
          <w:lang w:val="es-ES"/>
        </w:rPr>
      </w:pPr>
      <w:r w:rsidRPr="00EB3807">
        <w:rPr>
          <w:rStyle w:val="SubtleReference"/>
          <w:lang w:val="es-ES"/>
        </w:rPr>
        <w:t>Bacha, E. L.</w:t>
      </w:r>
      <w:r w:rsidRPr="00EB3807">
        <w:rPr>
          <w:lang w:val="es-ES"/>
        </w:rPr>
        <w:t xml:space="preserve"> </w:t>
      </w:r>
      <w:r w:rsidR="00023795" w:rsidRPr="00EB3807">
        <w:rPr>
          <w:lang w:val="es-ES"/>
        </w:rPr>
        <w:t>(</w:t>
      </w:r>
      <w:r w:rsidRPr="00EB3807">
        <w:rPr>
          <w:lang w:val="es-ES"/>
        </w:rPr>
        <w:t>1979</w:t>
      </w:r>
      <w:r w:rsidR="00EC7C5E" w:rsidRPr="00EB3807">
        <w:rPr>
          <w:lang w:val="es-ES"/>
        </w:rPr>
        <w:t>): «</w:t>
      </w:r>
      <w:r w:rsidR="00101647" w:rsidRPr="00EB3807">
        <w:rPr>
          <w:lang w:val="es-ES"/>
        </w:rPr>
        <w:t>Crescimento Econômico, Salários Urbanos e Rurais: O C</w:t>
      </w:r>
      <w:r w:rsidRPr="00EB3807">
        <w:rPr>
          <w:lang w:val="es-ES"/>
        </w:rPr>
        <w:t>aso do Brasil</w:t>
      </w:r>
      <w:bookmarkStart w:id="6" w:name="_Hlk487822074"/>
      <w:r w:rsidR="00101647" w:rsidRPr="00EB3807">
        <w:rPr>
          <w:lang w:val="es-ES"/>
        </w:rPr>
        <w:t>»</w:t>
      </w:r>
      <w:bookmarkEnd w:id="6"/>
      <w:r w:rsidRPr="00EB3807">
        <w:rPr>
          <w:lang w:val="es-ES"/>
        </w:rPr>
        <w:t xml:space="preserve">. </w:t>
      </w:r>
      <w:r w:rsidRPr="00EB3807">
        <w:rPr>
          <w:i/>
          <w:lang w:val="es-ES"/>
        </w:rPr>
        <w:t>Pesquisa e Planejamento Econômico</w:t>
      </w:r>
      <w:r w:rsidRPr="00EB3807">
        <w:rPr>
          <w:lang w:val="es-ES"/>
        </w:rPr>
        <w:t xml:space="preserve">, 5(3), </w:t>
      </w:r>
      <w:r w:rsidR="00023795" w:rsidRPr="00EB3807">
        <w:rPr>
          <w:lang w:val="es-ES"/>
        </w:rPr>
        <w:t>pp.</w:t>
      </w:r>
      <w:r w:rsidRPr="00EB3807">
        <w:rPr>
          <w:lang w:val="es-ES"/>
        </w:rPr>
        <w:t>585-627.</w:t>
      </w:r>
    </w:p>
    <w:p w:rsidR="00541FBA" w:rsidRPr="00EB3807" w:rsidRDefault="00541FBA" w:rsidP="00F40DB0">
      <w:pPr>
        <w:ind w:left="142" w:hanging="142"/>
        <w:rPr>
          <w:lang w:val="es-ES"/>
        </w:rPr>
      </w:pPr>
      <w:r w:rsidRPr="00F50529">
        <w:rPr>
          <w:rStyle w:val="SubtleReference"/>
          <w:lang w:val="es-ES"/>
        </w:rPr>
        <w:t>Banco Central de Venezuela</w:t>
      </w:r>
      <w:r w:rsidRPr="00EB3807">
        <w:rPr>
          <w:lang w:val="es-ES"/>
        </w:rPr>
        <w:t xml:space="preserve"> </w:t>
      </w:r>
      <w:r w:rsidR="001F32EC" w:rsidRPr="00EB3807">
        <w:rPr>
          <w:lang w:val="es-ES"/>
        </w:rPr>
        <w:t>(BCV). Series Históricas, 1940-1999</w:t>
      </w:r>
      <w:r w:rsidRPr="00EB3807">
        <w:rPr>
          <w:lang w:val="es-ES"/>
        </w:rPr>
        <w:t>.</w:t>
      </w:r>
    </w:p>
    <w:p w:rsidR="001F32EC" w:rsidRPr="00EB3807" w:rsidRDefault="001F32EC" w:rsidP="00F40DB0">
      <w:pPr>
        <w:ind w:left="142" w:hanging="142"/>
        <w:rPr>
          <w:lang w:val="es-ES"/>
        </w:rPr>
      </w:pPr>
      <w:r w:rsidRPr="00EB3807">
        <w:rPr>
          <w:lang w:val="es-ES"/>
        </w:rPr>
        <w:t>http://www.bcv.org.ve/cuadros/series/series.asp</w:t>
      </w:r>
    </w:p>
    <w:p w:rsidR="00BE2E38" w:rsidRPr="00EB3807" w:rsidRDefault="00BE2E38" w:rsidP="00F40DB0">
      <w:pPr>
        <w:ind w:left="142" w:hanging="142"/>
        <w:rPr>
          <w:lang w:val="es-ES"/>
        </w:rPr>
      </w:pPr>
      <w:r w:rsidRPr="00EB3807">
        <w:rPr>
          <w:rStyle w:val="SubtleReference"/>
          <w:lang w:val="es-ES"/>
        </w:rPr>
        <w:t>Banco de México</w:t>
      </w:r>
      <w:r w:rsidR="00735BF0" w:rsidRPr="00EB3807">
        <w:rPr>
          <w:rStyle w:val="SubtleReference"/>
          <w:lang w:val="es-ES"/>
        </w:rPr>
        <w:t>.</w:t>
      </w:r>
      <w:r w:rsidRPr="00EB3807">
        <w:rPr>
          <w:lang w:val="es-ES"/>
        </w:rPr>
        <w:t xml:space="preserve"> </w:t>
      </w:r>
      <w:r w:rsidR="00735BF0" w:rsidRPr="00EB3807">
        <w:rPr>
          <w:lang w:val="es-ES"/>
        </w:rPr>
        <w:t>http://www.banxico.org.mx/</w:t>
      </w:r>
      <w:r w:rsidRPr="00EB3807">
        <w:rPr>
          <w:lang w:val="es-ES"/>
        </w:rPr>
        <w:t xml:space="preserve"> </w:t>
      </w:r>
    </w:p>
    <w:p w:rsidR="00BE2E38" w:rsidRPr="00EB3807" w:rsidRDefault="00BE2E38" w:rsidP="00F40DB0">
      <w:pPr>
        <w:ind w:left="142" w:hanging="142"/>
        <w:rPr>
          <w:lang w:val="es-ES"/>
        </w:rPr>
      </w:pPr>
      <w:r w:rsidRPr="00EB3807">
        <w:rPr>
          <w:rStyle w:val="SubtleReference"/>
          <w:lang w:val="es-ES"/>
        </w:rPr>
        <w:t>Banco de la República</w:t>
      </w:r>
      <w:r w:rsidR="00132498" w:rsidRPr="00EB3807">
        <w:rPr>
          <w:rStyle w:val="SubtleReference"/>
          <w:lang w:val="es-ES"/>
        </w:rPr>
        <w:t>.</w:t>
      </w:r>
      <w:r w:rsidRPr="00EB3807">
        <w:rPr>
          <w:lang w:val="es-ES"/>
        </w:rPr>
        <w:t xml:space="preserve"> </w:t>
      </w:r>
      <w:r w:rsidR="00132498" w:rsidRPr="00EB3807">
        <w:rPr>
          <w:lang w:val="es-ES"/>
        </w:rPr>
        <w:t>http://www.banrep.gov.co/</w:t>
      </w:r>
      <w:r w:rsidRPr="00EB3807">
        <w:rPr>
          <w:lang w:val="es-ES"/>
        </w:rPr>
        <w:t xml:space="preserve"> </w:t>
      </w:r>
    </w:p>
    <w:p w:rsidR="000924F6" w:rsidRPr="00EB3807" w:rsidRDefault="000924F6" w:rsidP="00F40DB0">
      <w:pPr>
        <w:ind w:left="142" w:hanging="142"/>
      </w:pPr>
      <w:r w:rsidRPr="00EB3807">
        <w:rPr>
          <w:rStyle w:val="SubtleReference"/>
          <w:lang w:val="es-ES"/>
        </w:rPr>
        <w:t>Baptista, A.</w:t>
      </w:r>
      <w:r w:rsidRPr="00EB3807">
        <w:rPr>
          <w:lang w:val="es-ES"/>
        </w:rPr>
        <w:t xml:space="preserve"> </w:t>
      </w:r>
      <w:r w:rsidR="00263F20" w:rsidRPr="00EB3807">
        <w:rPr>
          <w:lang w:val="es-ES"/>
        </w:rPr>
        <w:t>(</w:t>
      </w:r>
      <w:r w:rsidRPr="00EB3807">
        <w:rPr>
          <w:lang w:val="es-ES"/>
        </w:rPr>
        <w:t>1997</w:t>
      </w:r>
      <w:r w:rsidR="00263F20" w:rsidRPr="00EB3807">
        <w:rPr>
          <w:lang w:val="es-ES"/>
        </w:rPr>
        <w:t>):</w:t>
      </w:r>
      <w:r w:rsidRPr="00EB3807">
        <w:rPr>
          <w:lang w:val="es-ES"/>
        </w:rPr>
        <w:t xml:space="preserve"> </w:t>
      </w:r>
      <w:r w:rsidRPr="00EB3807">
        <w:rPr>
          <w:i/>
          <w:lang w:val="es-ES"/>
        </w:rPr>
        <w:t>Bases Cuantitativas de la Economía Venezolana, 1830–1995</w:t>
      </w:r>
      <w:r w:rsidRPr="00EB3807">
        <w:rPr>
          <w:lang w:val="es-ES"/>
        </w:rPr>
        <w:t xml:space="preserve">. </w:t>
      </w:r>
      <w:r w:rsidRPr="00F50529">
        <w:t>Ediciones</w:t>
      </w:r>
      <w:r w:rsidR="00810D8A" w:rsidRPr="00F50529">
        <w:t xml:space="preserve"> </w:t>
      </w:r>
      <w:r w:rsidRPr="00F50529">
        <w:t>Fundació</w:t>
      </w:r>
      <w:r w:rsidRPr="00EB3807">
        <w:t>n Polar, Caracas.</w:t>
      </w:r>
    </w:p>
    <w:p w:rsidR="00B3241F" w:rsidRPr="00EB3807" w:rsidRDefault="00B3241F" w:rsidP="00B3241F">
      <w:pPr>
        <w:autoSpaceDE w:val="0"/>
        <w:autoSpaceDN w:val="0"/>
        <w:adjustRightInd w:val="0"/>
        <w:ind w:left="142" w:hanging="142"/>
      </w:pPr>
      <w:r w:rsidRPr="00EB3807">
        <w:rPr>
          <w:rStyle w:val="SubtleReference"/>
        </w:rPr>
        <w:t>Berg, E.J</w:t>
      </w:r>
      <w:r w:rsidRPr="00EB3807">
        <w:t xml:space="preserve">. (1968): «Wage Structure in Less Developed Countries». Center for Research on </w:t>
      </w:r>
      <w:r w:rsidRPr="00EB3807">
        <w:rPr>
          <w:i/>
        </w:rPr>
        <w:t>Economic Development. Discussion Paper</w:t>
      </w:r>
      <w:r w:rsidRPr="00EB3807">
        <w:t xml:space="preserve"> 1. University of Michigan.</w:t>
      </w:r>
    </w:p>
    <w:p w:rsidR="00B3241F" w:rsidRPr="00EB3807" w:rsidRDefault="00B3241F" w:rsidP="00B3241F">
      <w:pPr>
        <w:autoSpaceDE w:val="0"/>
        <w:autoSpaceDN w:val="0"/>
        <w:adjustRightInd w:val="0"/>
        <w:ind w:left="142" w:hanging="142"/>
      </w:pPr>
      <w:r w:rsidRPr="00EB3807">
        <w:rPr>
          <w:rStyle w:val="SubtleReference"/>
        </w:rPr>
        <w:t xml:space="preserve">Bértola, L. </w:t>
      </w:r>
      <w:r w:rsidRPr="00EB3807">
        <w:t>and</w:t>
      </w:r>
      <w:r w:rsidRPr="00EB3807">
        <w:rPr>
          <w:rStyle w:val="SubtleReference"/>
        </w:rPr>
        <w:t xml:space="preserve"> Ocampo, J.A.</w:t>
      </w:r>
      <w:r w:rsidRPr="00EB3807">
        <w:t xml:space="preserve"> (2012): </w:t>
      </w:r>
      <w:r w:rsidRPr="00EB3807">
        <w:rPr>
          <w:i/>
        </w:rPr>
        <w:t>The Economic Development of Latin America since Independence</w:t>
      </w:r>
      <w:r w:rsidRPr="00EB3807">
        <w:t>. Oxford University Press, Oxford.</w:t>
      </w:r>
    </w:p>
    <w:p w:rsidR="000924F6" w:rsidRPr="00EB3807" w:rsidRDefault="00B3241F" w:rsidP="00B3241F">
      <w:pPr>
        <w:autoSpaceDE w:val="0"/>
        <w:autoSpaceDN w:val="0"/>
        <w:adjustRightInd w:val="0"/>
        <w:ind w:left="142" w:hanging="142"/>
        <w:rPr>
          <w:lang w:val="es-ES"/>
        </w:rPr>
      </w:pPr>
      <w:r w:rsidRPr="00EB3807">
        <w:rPr>
          <w:rStyle w:val="SubtleReference"/>
        </w:rPr>
        <w:t xml:space="preserve">Campos, R.M., Lopez-Calva, L.F. </w:t>
      </w:r>
      <w:r w:rsidRPr="00EB3807">
        <w:t>and</w:t>
      </w:r>
      <w:r w:rsidRPr="00EB3807">
        <w:rPr>
          <w:rStyle w:val="SubtleReference"/>
        </w:rPr>
        <w:t xml:space="preserve"> Lustig, N</w:t>
      </w:r>
      <w:r w:rsidRPr="00EB3807">
        <w:t xml:space="preserve">. (2015): </w:t>
      </w:r>
      <w:bookmarkStart w:id="7" w:name="_Hlk485999573"/>
      <w:r w:rsidRPr="00EB3807">
        <w:t>«</w:t>
      </w:r>
      <w:bookmarkEnd w:id="7"/>
      <w:r w:rsidRPr="00EB3807">
        <w:t>Declining Wages for College-educated Workers in Mexico: Degraded Tertiary Education or Skills Obsolescence?</w:t>
      </w:r>
      <w:bookmarkStart w:id="8" w:name="_Hlk485999585"/>
      <w:r w:rsidRPr="00EB3807">
        <w:t>»</w:t>
      </w:r>
      <w:bookmarkEnd w:id="8"/>
      <w:r w:rsidRPr="00EB3807">
        <w:t xml:space="preserve"> </w:t>
      </w:r>
      <w:r w:rsidRPr="00EB3807">
        <w:rPr>
          <w:i/>
          <w:lang w:val="es-ES"/>
        </w:rPr>
        <w:t>Tulane Economics Working Paper</w:t>
      </w:r>
      <w:r w:rsidRPr="00EB3807">
        <w:rPr>
          <w:lang w:val="es-ES"/>
        </w:rPr>
        <w:t xml:space="preserve"> 1522</w:t>
      </w:r>
      <w:r w:rsidR="00E1561B" w:rsidRPr="00EB3807">
        <w:rPr>
          <w:lang w:val="es-ES"/>
        </w:rPr>
        <w:t xml:space="preserve">. </w:t>
      </w:r>
    </w:p>
    <w:p w:rsidR="000924F6" w:rsidRPr="00EB3807" w:rsidRDefault="00023795" w:rsidP="00F40DB0">
      <w:pPr>
        <w:autoSpaceDE w:val="0"/>
        <w:autoSpaceDN w:val="0"/>
        <w:adjustRightInd w:val="0"/>
        <w:ind w:left="142" w:hanging="142"/>
        <w:rPr>
          <w:lang w:val="es-ES"/>
        </w:rPr>
      </w:pPr>
      <w:r w:rsidRPr="00EB3807">
        <w:rPr>
          <w:rStyle w:val="SubtleReference"/>
          <w:lang w:val="es-ES"/>
        </w:rPr>
        <w:t>Cardim, M</w:t>
      </w:r>
      <w:r w:rsidR="000924F6" w:rsidRPr="00EB3807">
        <w:rPr>
          <w:rStyle w:val="SubtleReference"/>
          <w:lang w:val="es-ES"/>
        </w:rPr>
        <w:t>.</w:t>
      </w:r>
      <w:r w:rsidR="000924F6" w:rsidRPr="00EB3807">
        <w:rPr>
          <w:lang w:val="es-ES"/>
        </w:rPr>
        <w:t xml:space="preserve"> (1936</w:t>
      </w:r>
      <w:r w:rsidR="00EC7C5E" w:rsidRPr="00EB3807">
        <w:rPr>
          <w:lang w:val="es-ES"/>
        </w:rPr>
        <w:t>): «</w:t>
      </w:r>
      <w:r w:rsidR="000924F6" w:rsidRPr="00EB3807">
        <w:rPr>
          <w:lang w:val="es-ES"/>
        </w:rPr>
        <w:t>Ensaio de</w:t>
      </w:r>
      <w:r w:rsidR="00101647" w:rsidRPr="00EB3807">
        <w:rPr>
          <w:lang w:val="es-ES"/>
        </w:rPr>
        <w:t xml:space="preserve"> Analyse de Factores Economia e F</w:t>
      </w:r>
      <w:r w:rsidR="000924F6" w:rsidRPr="00EB3807">
        <w:rPr>
          <w:lang w:val="es-ES"/>
        </w:rPr>
        <w:t>inancas do Estado de S. Paulo e do Brasil (apêndice estatístico)</w:t>
      </w:r>
      <w:r w:rsidR="003656B1" w:rsidRPr="00EB3807">
        <w:rPr>
          <w:lang w:val="es-ES"/>
        </w:rPr>
        <w:t>»</w:t>
      </w:r>
      <w:r w:rsidR="000924F6" w:rsidRPr="00EB3807">
        <w:rPr>
          <w:lang w:val="es-ES"/>
        </w:rPr>
        <w:t>. Secreto de Agricul. In</w:t>
      </w:r>
      <w:r w:rsidR="006E01C0" w:rsidRPr="00EB3807">
        <w:rPr>
          <w:lang w:val="es-ES"/>
        </w:rPr>
        <w:t xml:space="preserve">dustria e Commercio, Estado de São </w:t>
      </w:r>
      <w:r w:rsidR="000924F6" w:rsidRPr="00EB3807">
        <w:rPr>
          <w:lang w:val="es-ES"/>
        </w:rPr>
        <w:t>Paulo.</w:t>
      </w:r>
    </w:p>
    <w:p w:rsidR="003F4212" w:rsidRPr="00EB3807" w:rsidRDefault="003F4212" w:rsidP="00F40DB0">
      <w:pPr>
        <w:autoSpaceDE w:val="0"/>
        <w:autoSpaceDN w:val="0"/>
        <w:adjustRightInd w:val="0"/>
        <w:ind w:left="142" w:hanging="142"/>
        <w:rPr>
          <w:lang w:val="es-ES"/>
        </w:rPr>
      </w:pPr>
      <w:r w:rsidRPr="00EB3807">
        <w:rPr>
          <w:rStyle w:val="SubtleReference"/>
          <w:lang w:val="es-ES"/>
        </w:rPr>
        <w:t>Carrillo Batalla</w:t>
      </w:r>
      <w:r w:rsidR="00BA7F35" w:rsidRPr="00EB3807">
        <w:rPr>
          <w:rStyle w:val="SubtleReference"/>
          <w:lang w:val="es-ES"/>
        </w:rPr>
        <w:t>,</w:t>
      </w:r>
      <w:r w:rsidRPr="00EB3807">
        <w:rPr>
          <w:rStyle w:val="SubtleReference"/>
          <w:lang w:val="es-ES"/>
        </w:rPr>
        <w:t xml:space="preserve"> T</w:t>
      </w:r>
      <w:r w:rsidR="00BA7F35" w:rsidRPr="00EB3807">
        <w:rPr>
          <w:rStyle w:val="SubtleReference"/>
          <w:lang w:val="es-ES"/>
        </w:rPr>
        <w:t>.</w:t>
      </w:r>
      <w:r w:rsidRPr="00EB3807">
        <w:rPr>
          <w:rStyle w:val="SubtleReference"/>
          <w:lang w:val="es-ES"/>
        </w:rPr>
        <w:t>E.</w:t>
      </w:r>
      <w:r w:rsidRPr="00EB3807">
        <w:rPr>
          <w:lang w:val="es-ES"/>
        </w:rPr>
        <w:t xml:space="preserve"> </w:t>
      </w:r>
      <w:r w:rsidR="00BA7F35" w:rsidRPr="00EB3807">
        <w:rPr>
          <w:lang w:val="es-ES"/>
        </w:rPr>
        <w:t>(</w:t>
      </w:r>
      <w:r w:rsidR="00AF5146" w:rsidRPr="00EB3807">
        <w:rPr>
          <w:lang w:val="es-ES"/>
        </w:rPr>
        <w:t xml:space="preserve">2002, </w:t>
      </w:r>
      <w:r w:rsidRPr="00EB3807">
        <w:rPr>
          <w:lang w:val="es-ES"/>
        </w:rPr>
        <w:t>2003</w:t>
      </w:r>
      <w:r w:rsidR="00BA7F35" w:rsidRPr="00EB3807">
        <w:rPr>
          <w:lang w:val="es-ES"/>
        </w:rPr>
        <w:t>):</w:t>
      </w:r>
      <w:r w:rsidRPr="00EB3807">
        <w:rPr>
          <w:lang w:val="es-ES"/>
        </w:rPr>
        <w:t xml:space="preserve"> </w:t>
      </w:r>
      <w:r w:rsidRPr="00EB3807">
        <w:rPr>
          <w:i/>
          <w:lang w:val="es-ES"/>
        </w:rPr>
        <w:t>Cuentas Nacionales de Venezuela 1800-1935</w:t>
      </w:r>
      <w:r w:rsidRPr="00EB3807">
        <w:rPr>
          <w:lang w:val="es-ES"/>
        </w:rPr>
        <w:t>. Vol. 1-6. Banco Central de Venezuela: Caracas.</w:t>
      </w:r>
    </w:p>
    <w:p w:rsidR="000924F6" w:rsidRPr="00F50529" w:rsidRDefault="000924F6" w:rsidP="00F40DB0">
      <w:pPr>
        <w:autoSpaceDE w:val="0"/>
        <w:autoSpaceDN w:val="0"/>
        <w:adjustRightInd w:val="0"/>
        <w:ind w:left="142" w:hanging="142"/>
        <w:rPr>
          <w:lang w:val="es-ES"/>
        </w:rPr>
      </w:pPr>
      <w:r w:rsidRPr="00F50529">
        <w:rPr>
          <w:rStyle w:val="SubtleReference"/>
          <w:lang w:val="es-ES"/>
        </w:rPr>
        <w:t>Catão, L</w:t>
      </w:r>
      <w:r w:rsidR="00023795" w:rsidRPr="00F50529">
        <w:rPr>
          <w:rStyle w:val="SubtleReference"/>
          <w:lang w:val="es-ES"/>
        </w:rPr>
        <w:t>.</w:t>
      </w:r>
      <w:r w:rsidRPr="00F50529">
        <w:rPr>
          <w:rStyle w:val="SubtleReference"/>
          <w:lang w:val="es-ES"/>
        </w:rPr>
        <w:t>A</w:t>
      </w:r>
      <w:r w:rsidR="00023795" w:rsidRPr="00F50529">
        <w:rPr>
          <w:rStyle w:val="SubtleReference"/>
          <w:lang w:val="es-ES"/>
        </w:rPr>
        <w:t>.</w:t>
      </w:r>
      <w:r w:rsidRPr="00F50529">
        <w:rPr>
          <w:rStyle w:val="SubtleReference"/>
          <w:lang w:val="es-ES"/>
        </w:rPr>
        <w:t>V.</w:t>
      </w:r>
      <w:r w:rsidRPr="00F50529">
        <w:rPr>
          <w:lang w:val="es-ES"/>
        </w:rPr>
        <w:t xml:space="preserve"> </w:t>
      </w:r>
      <w:r w:rsidR="00023795" w:rsidRPr="00F50529">
        <w:rPr>
          <w:lang w:val="es-ES"/>
        </w:rPr>
        <w:t>(1992</w:t>
      </w:r>
      <w:r w:rsidR="00EC7C5E" w:rsidRPr="00F50529">
        <w:rPr>
          <w:lang w:val="es-ES"/>
        </w:rPr>
        <w:t>): «</w:t>
      </w:r>
      <w:r w:rsidR="003656B1" w:rsidRPr="00F50529">
        <w:rPr>
          <w:lang w:val="es-ES"/>
        </w:rPr>
        <w:t>A New W</w:t>
      </w:r>
      <w:r w:rsidRPr="00F50529">
        <w:rPr>
          <w:lang w:val="es-ES"/>
        </w:rPr>
        <w:t>holesale</w:t>
      </w:r>
      <w:r w:rsidR="003656B1" w:rsidRPr="00F50529">
        <w:rPr>
          <w:lang w:val="es-ES"/>
        </w:rPr>
        <w:t xml:space="preserve"> Price Index for Brazil during the P</w:t>
      </w:r>
      <w:r w:rsidRPr="00F50529">
        <w:rPr>
          <w:lang w:val="es-ES"/>
        </w:rPr>
        <w:t>eriod 1870-1913</w:t>
      </w:r>
      <w:r w:rsidR="003656B1" w:rsidRPr="00F50529">
        <w:rPr>
          <w:lang w:val="es-ES"/>
        </w:rPr>
        <w:t>»</w:t>
      </w:r>
      <w:r w:rsidRPr="00F50529">
        <w:rPr>
          <w:lang w:val="es-ES"/>
        </w:rPr>
        <w:t xml:space="preserve">. </w:t>
      </w:r>
      <w:r w:rsidRPr="00F50529">
        <w:rPr>
          <w:i/>
          <w:lang w:val="es-ES"/>
        </w:rPr>
        <w:t>Revista Brasileira de Economia</w:t>
      </w:r>
      <w:r w:rsidR="000001CB" w:rsidRPr="00F50529">
        <w:rPr>
          <w:lang w:val="es-ES"/>
        </w:rPr>
        <w:t>,</w:t>
      </w:r>
      <w:r w:rsidR="00EC7C5E" w:rsidRPr="00F50529">
        <w:rPr>
          <w:lang w:val="es-ES"/>
        </w:rPr>
        <w:t xml:space="preserve"> 46 (4), </w:t>
      </w:r>
      <w:r w:rsidR="00023795" w:rsidRPr="00F50529">
        <w:rPr>
          <w:lang w:val="es-ES"/>
        </w:rPr>
        <w:t>pp.</w:t>
      </w:r>
      <w:r w:rsidRPr="00F50529">
        <w:rPr>
          <w:lang w:val="es-ES"/>
        </w:rPr>
        <w:t>519-33.</w:t>
      </w:r>
    </w:p>
    <w:p w:rsidR="008A6CE6" w:rsidRPr="00F50529" w:rsidRDefault="008A6CE6" w:rsidP="00F40DB0">
      <w:pPr>
        <w:ind w:left="142" w:hanging="142"/>
        <w:rPr>
          <w:lang w:val="es-ES"/>
        </w:rPr>
      </w:pPr>
      <w:r w:rsidRPr="00F50529">
        <w:rPr>
          <w:rStyle w:val="SubtleReference"/>
          <w:lang w:val="es-ES"/>
        </w:rPr>
        <w:t>Centro de Estudios para el Desarrollo Argentino</w:t>
      </w:r>
      <w:r w:rsidRPr="00EB3807">
        <w:rPr>
          <w:lang w:val="es-ES"/>
        </w:rPr>
        <w:t xml:space="preserve"> (CENDA). </w:t>
      </w:r>
      <w:r w:rsidRPr="00EB3807">
        <w:t>CPI for seven Provinces from January 2005 to December 2011.</w:t>
      </w:r>
      <w:r w:rsidR="00C738E8" w:rsidRPr="00EB3807">
        <w:t xml:space="preserve"> </w:t>
      </w:r>
      <w:r w:rsidR="00C738E8" w:rsidRPr="00F50529">
        <w:rPr>
          <w:lang w:val="es-ES"/>
        </w:rPr>
        <w:t>Available at http://www.cenda.org.ar/</w:t>
      </w:r>
    </w:p>
    <w:p w:rsidR="006876EE" w:rsidRPr="00EB3807" w:rsidRDefault="00087C35" w:rsidP="00F40DB0">
      <w:pPr>
        <w:ind w:left="142" w:hanging="142"/>
        <w:rPr>
          <w:lang w:val="es-ES"/>
        </w:rPr>
      </w:pPr>
      <w:r w:rsidRPr="00EB3807">
        <w:rPr>
          <w:rStyle w:val="SubtleReference"/>
          <w:lang w:val="es-ES"/>
        </w:rPr>
        <w:t>Cortazar R</w:t>
      </w:r>
      <w:r w:rsidR="00023795" w:rsidRPr="00EB3807">
        <w:rPr>
          <w:rStyle w:val="SubtleReference"/>
          <w:lang w:val="es-ES"/>
        </w:rPr>
        <w:t xml:space="preserve">. </w:t>
      </w:r>
      <w:r w:rsidR="00C97B5C" w:rsidRPr="00EB3807">
        <w:rPr>
          <w:lang w:val="es-ES"/>
        </w:rPr>
        <w:t>and</w:t>
      </w:r>
      <w:r w:rsidR="00023795" w:rsidRPr="00EB3807">
        <w:rPr>
          <w:rStyle w:val="SubtleReference"/>
          <w:lang w:val="es-ES"/>
        </w:rPr>
        <w:t xml:space="preserve"> </w:t>
      </w:r>
      <w:r w:rsidRPr="00EB3807">
        <w:rPr>
          <w:rStyle w:val="SubtleReference"/>
          <w:lang w:val="es-ES"/>
        </w:rPr>
        <w:t>Marshall J.</w:t>
      </w:r>
      <w:r w:rsidR="00023795" w:rsidRPr="00EB3807">
        <w:rPr>
          <w:lang w:val="es-ES"/>
        </w:rPr>
        <w:t xml:space="preserve"> (</w:t>
      </w:r>
      <w:r w:rsidRPr="00EB3807">
        <w:rPr>
          <w:lang w:val="es-ES"/>
        </w:rPr>
        <w:t>1980</w:t>
      </w:r>
      <w:r w:rsidR="00EC7C5E" w:rsidRPr="00EB3807">
        <w:rPr>
          <w:lang w:val="es-ES"/>
        </w:rPr>
        <w:t>): «</w:t>
      </w:r>
      <w:r w:rsidR="00C97B5C" w:rsidRPr="00EB3807">
        <w:rPr>
          <w:lang w:val="es-ES"/>
        </w:rPr>
        <w:t>Í</w:t>
      </w:r>
      <w:r w:rsidR="003656B1" w:rsidRPr="00EB3807">
        <w:rPr>
          <w:lang w:val="es-ES"/>
        </w:rPr>
        <w:t>ndice de P</w:t>
      </w:r>
      <w:r w:rsidR="006876EE" w:rsidRPr="00EB3807">
        <w:rPr>
          <w:lang w:val="es-ES"/>
        </w:rPr>
        <w:t>recios al</w:t>
      </w:r>
      <w:r w:rsidR="003656B1" w:rsidRPr="00EB3807">
        <w:rPr>
          <w:lang w:val="es-ES"/>
        </w:rPr>
        <w:t xml:space="preserve"> C</w:t>
      </w:r>
      <w:r w:rsidR="00412EBC" w:rsidRPr="00EB3807">
        <w:rPr>
          <w:lang w:val="es-ES"/>
        </w:rPr>
        <w:t>onsumidor en Chile: 1970-1978</w:t>
      </w:r>
      <w:r w:rsidR="003656B1" w:rsidRPr="00EB3807">
        <w:rPr>
          <w:lang w:val="es-ES"/>
        </w:rPr>
        <w:t>».</w:t>
      </w:r>
      <w:r w:rsidR="006876EE" w:rsidRPr="00EB3807">
        <w:rPr>
          <w:lang w:val="es-ES"/>
        </w:rPr>
        <w:t xml:space="preserve"> </w:t>
      </w:r>
      <w:r w:rsidR="002C26E6" w:rsidRPr="00EB3807">
        <w:rPr>
          <w:i/>
          <w:lang w:val="es-ES"/>
        </w:rPr>
        <w:t>Colecció</w:t>
      </w:r>
      <w:r w:rsidR="006876EE" w:rsidRPr="00EB3807">
        <w:rPr>
          <w:i/>
          <w:lang w:val="es-ES"/>
        </w:rPr>
        <w:t>n Estudios CIEPLAN</w:t>
      </w:r>
      <w:r w:rsidR="006876EE" w:rsidRPr="00EB3807">
        <w:rPr>
          <w:lang w:val="es-ES"/>
        </w:rPr>
        <w:t>, no. 4. Santiago: CIEPLAN</w:t>
      </w:r>
    </w:p>
    <w:p w:rsidR="000924F6" w:rsidRPr="00EB3807" w:rsidRDefault="000924F6" w:rsidP="00F40DB0">
      <w:pPr>
        <w:autoSpaceDE w:val="0"/>
        <w:autoSpaceDN w:val="0"/>
        <w:adjustRightInd w:val="0"/>
        <w:ind w:left="142" w:hanging="142"/>
        <w:rPr>
          <w:lang w:val="es-ES"/>
        </w:rPr>
      </w:pPr>
      <w:r w:rsidRPr="00EB3807">
        <w:rPr>
          <w:rStyle w:val="SubtleReference"/>
          <w:lang w:val="es-ES"/>
        </w:rPr>
        <w:t>Cortes Conde, R.</w:t>
      </w:r>
      <w:r w:rsidRPr="00EB3807">
        <w:rPr>
          <w:lang w:val="es-ES"/>
        </w:rPr>
        <w:t xml:space="preserve"> </w:t>
      </w:r>
      <w:r w:rsidR="00C57F2F" w:rsidRPr="00EB3807">
        <w:rPr>
          <w:lang w:val="es-ES"/>
        </w:rPr>
        <w:t>(</w:t>
      </w:r>
      <w:r w:rsidRPr="00EB3807">
        <w:rPr>
          <w:lang w:val="es-ES"/>
        </w:rPr>
        <w:t>1979</w:t>
      </w:r>
      <w:r w:rsidR="00C57F2F" w:rsidRPr="00EB3807">
        <w:rPr>
          <w:lang w:val="es-ES"/>
        </w:rPr>
        <w:t>):</w:t>
      </w:r>
      <w:r w:rsidRPr="00EB3807">
        <w:rPr>
          <w:lang w:val="es-ES"/>
        </w:rPr>
        <w:t xml:space="preserve"> </w:t>
      </w:r>
      <w:r w:rsidRPr="00EB3807">
        <w:rPr>
          <w:i/>
          <w:lang w:val="es-ES"/>
        </w:rPr>
        <w:t>El Progreso Argentino, 1880- 1914</w:t>
      </w:r>
      <w:r w:rsidRPr="00EB3807">
        <w:rPr>
          <w:lang w:val="es-ES"/>
        </w:rPr>
        <w:t>. Editorial Sudamericana,  Buenos Aires.</w:t>
      </w:r>
    </w:p>
    <w:p w:rsidR="00472EF7" w:rsidRPr="00EB3807" w:rsidRDefault="00472EF7" w:rsidP="00F40DB0">
      <w:pPr>
        <w:autoSpaceDE w:val="0"/>
        <w:autoSpaceDN w:val="0"/>
        <w:adjustRightInd w:val="0"/>
        <w:ind w:left="142" w:hanging="142"/>
        <w:rPr>
          <w:lang w:val="es-ES"/>
        </w:rPr>
      </w:pPr>
      <w:r w:rsidRPr="00EB3807">
        <w:rPr>
          <w:rStyle w:val="SubtleReference"/>
          <w:lang w:val="es-ES"/>
        </w:rPr>
        <w:t>De Corso</w:t>
      </w:r>
      <w:r w:rsidR="00023795" w:rsidRPr="00EB3807">
        <w:rPr>
          <w:rStyle w:val="SubtleReference"/>
          <w:lang w:val="es-ES"/>
        </w:rPr>
        <w:t>,</w:t>
      </w:r>
      <w:r w:rsidRPr="00EB3807">
        <w:rPr>
          <w:rStyle w:val="SubtleReference"/>
          <w:lang w:val="es-ES"/>
        </w:rPr>
        <w:t xml:space="preserve"> G.</w:t>
      </w:r>
      <w:r w:rsidRPr="00EB3807">
        <w:rPr>
          <w:lang w:val="es-ES"/>
        </w:rPr>
        <w:t xml:space="preserve"> </w:t>
      </w:r>
      <w:r w:rsidR="00023795" w:rsidRPr="00EB3807">
        <w:rPr>
          <w:lang w:val="es-ES"/>
        </w:rPr>
        <w:t>(</w:t>
      </w:r>
      <w:r w:rsidRPr="00EB3807">
        <w:rPr>
          <w:lang w:val="es-ES"/>
        </w:rPr>
        <w:t>2013</w:t>
      </w:r>
      <w:r w:rsidR="00EC7C5E" w:rsidRPr="00EB3807">
        <w:rPr>
          <w:lang w:val="es-ES"/>
        </w:rPr>
        <w:t>): «</w:t>
      </w:r>
      <w:r w:rsidR="003656B1" w:rsidRPr="00EB3807">
        <w:rPr>
          <w:lang w:val="es-ES"/>
        </w:rPr>
        <w:t>El Crecimiento Económico de Venezuela desde la Oligarquía Conservadora hasta la Revolución B</w:t>
      </w:r>
      <w:r w:rsidRPr="00EB3807">
        <w:rPr>
          <w:lang w:val="es-ES"/>
        </w:rPr>
        <w:t>olivariana: 1830-2012</w:t>
      </w:r>
      <w:r w:rsidR="003656B1" w:rsidRPr="00EB3807">
        <w:rPr>
          <w:lang w:val="es-ES"/>
        </w:rPr>
        <w:t>. Una Visión C</w:t>
      </w:r>
      <w:r w:rsidRPr="00EB3807">
        <w:rPr>
          <w:lang w:val="es-ES"/>
        </w:rPr>
        <w:t>uantitativa</w:t>
      </w:r>
      <w:r w:rsidR="003656B1" w:rsidRPr="00EB3807">
        <w:rPr>
          <w:lang w:val="es-ES"/>
        </w:rPr>
        <w:t>»</w:t>
      </w:r>
      <w:r w:rsidRPr="00EB3807">
        <w:rPr>
          <w:lang w:val="es-ES"/>
        </w:rPr>
        <w:t xml:space="preserve">. </w:t>
      </w:r>
      <w:r w:rsidR="006E01C0" w:rsidRPr="00EB3807">
        <w:rPr>
          <w:i/>
          <w:lang w:val="es-ES"/>
        </w:rPr>
        <w:t>Revista de Histo</w:t>
      </w:r>
      <w:r w:rsidRPr="00EB3807">
        <w:rPr>
          <w:i/>
          <w:lang w:val="es-ES"/>
        </w:rPr>
        <w:t>ria Económica</w:t>
      </w:r>
      <w:r w:rsidR="008B1367" w:rsidRPr="00EB3807">
        <w:rPr>
          <w:lang w:val="es-ES"/>
        </w:rPr>
        <w:t xml:space="preserve"> 31(3), </w:t>
      </w:r>
      <w:r w:rsidR="003656B1" w:rsidRPr="00EB3807">
        <w:rPr>
          <w:lang w:val="es-ES"/>
        </w:rPr>
        <w:t>pp.</w:t>
      </w:r>
      <w:r w:rsidRPr="00EB3807">
        <w:rPr>
          <w:lang w:val="es-ES"/>
        </w:rPr>
        <w:t>321-358.</w:t>
      </w:r>
    </w:p>
    <w:p w:rsidR="00B55E8F" w:rsidRPr="00EB3807" w:rsidRDefault="00B55E8F" w:rsidP="00F40DB0">
      <w:pPr>
        <w:autoSpaceDE w:val="0"/>
        <w:autoSpaceDN w:val="0"/>
        <w:adjustRightInd w:val="0"/>
        <w:ind w:left="142" w:hanging="142"/>
        <w:rPr>
          <w:lang w:val="es-ES"/>
        </w:rPr>
      </w:pPr>
      <w:r w:rsidRPr="00F50529">
        <w:rPr>
          <w:rStyle w:val="SubtleReference"/>
          <w:lang w:val="es-ES"/>
        </w:rPr>
        <w:t>Departamento Administrativo Nacional de Estadística</w:t>
      </w:r>
      <w:r w:rsidRPr="00EB3807">
        <w:rPr>
          <w:lang w:val="es-ES"/>
        </w:rPr>
        <w:t xml:space="preserve"> (DANE). </w:t>
      </w:r>
      <w:r w:rsidRPr="00EB3807">
        <w:rPr>
          <w:i/>
          <w:lang w:val="es-ES"/>
        </w:rPr>
        <w:t xml:space="preserve">Encuestas </w:t>
      </w:r>
      <w:r w:rsidR="00430796" w:rsidRPr="00EB3807">
        <w:rPr>
          <w:i/>
          <w:lang w:val="es-ES"/>
        </w:rPr>
        <w:t>Nacional de Hogares</w:t>
      </w:r>
      <w:r w:rsidRPr="00EB3807">
        <w:rPr>
          <w:lang w:val="es-ES"/>
        </w:rPr>
        <w:t>.</w:t>
      </w:r>
      <w:r w:rsidR="003311BD" w:rsidRPr="00EB3807">
        <w:rPr>
          <w:lang w:val="es-ES"/>
        </w:rPr>
        <w:t xml:space="preserve"> Available at http://www.dane.gov.co/</w:t>
      </w:r>
    </w:p>
    <w:p w:rsidR="000001CB" w:rsidRPr="00EB3807" w:rsidRDefault="001759BB" w:rsidP="00F40DB0">
      <w:pPr>
        <w:ind w:left="142" w:hanging="142"/>
        <w:rPr>
          <w:lang w:val="es-ES"/>
        </w:rPr>
      </w:pPr>
      <w:r w:rsidRPr="00EB3807">
        <w:rPr>
          <w:rStyle w:val="SubtleReference"/>
          <w:lang w:val="es-ES"/>
        </w:rPr>
        <w:t xml:space="preserve">Díaz, J., Lüders, R. </w:t>
      </w:r>
      <w:r w:rsidRPr="00EB3807">
        <w:rPr>
          <w:lang w:val="es-ES"/>
        </w:rPr>
        <w:t>and</w:t>
      </w:r>
      <w:r w:rsidRPr="00EB3807">
        <w:rPr>
          <w:rStyle w:val="SubtleReference"/>
          <w:lang w:val="es-ES"/>
        </w:rPr>
        <w:t xml:space="preserve"> Wagner,</w:t>
      </w:r>
      <w:r w:rsidRPr="00EB3807">
        <w:rPr>
          <w:lang w:val="es-ES"/>
        </w:rPr>
        <w:t xml:space="preserve"> G. (2005): </w:t>
      </w:r>
      <w:r w:rsidRPr="00EB3807">
        <w:rPr>
          <w:i/>
          <w:lang w:val="es-ES"/>
        </w:rPr>
        <w:t>Chile 1820-2000: La República en Cifras</w:t>
      </w:r>
      <w:r w:rsidRPr="00EB3807">
        <w:rPr>
          <w:lang w:val="es-ES"/>
        </w:rPr>
        <w:t>. Santiago, Chile</w:t>
      </w:r>
      <w:r w:rsidR="000001CB" w:rsidRPr="00EB3807">
        <w:rPr>
          <w:lang w:val="es-ES"/>
        </w:rPr>
        <w:t xml:space="preserve">. </w:t>
      </w:r>
    </w:p>
    <w:p w:rsidR="00F432E1" w:rsidRPr="00EB3807" w:rsidRDefault="000924F6" w:rsidP="00F40DB0">
      <w:pPr>
        <w:autoSpaceDE w:val="0"/>
        <w:autoSpaceDN w:val="0"/>
        <w:adjustRightInd w:val="0"/>
        <w:ind w:left="142" w:hanging="142"/>
        <w:rPr>
          <w:lang w:val="es-ES"/>
        </w:rPr>
      </w:pPr>
      <w:r w:rsidRPr="00F50529">
        <w:rPr>
          <w:rStyle w:val="SubtleReference"/>
          <w:lang w:val="es-ES"/>
        </w:rPr>
        <w:t>Dirección Nacional de Planeación</w:t>
      </w:r>
      <w:r w:rsidRPr="00EB3807">
        <w:rPr>
          <w:lang w:val="es-ES"/>
        </w:rPr>
        <w:t xml:space="preserve"> (DNP). Estadísticas Históricas de Colombia.</w:t>
      </w:r>
      <w:r w:rsidR="00F432E1" w:rsidRPr="00EB3807">
        <w:rPr>
          <w:lang w:val="es-ES"/>
        </w:rPr>
        <w:t xml:space="preserve"> </w:t>
      </w:r>
    </w:p>
    <w:p w:rsidR="000924F6" w:rsidRPr="00EB3807" w:rsidRDefault="00F432E1" w:rsidP="00F432E1">
      <w:pPr>
        <w:autoSpaceDE w:val="0"/>
        <w:autoSpaceDN w:val="0"/>
        <w:adjustRightInd w:val="0"/>
        <w:ind w:left="142"/>
      </w:pPr>
      <w:r w:rsidRPr="00EB3807">
        <w:t>Available at https://www.dnp.gov.co/</w:t>
      </w:r>
    </w:p>
    <w:p w:rsidR="000924F6" w:rsidRPr="00EB3807" w:rsidRDefault="00AE1222" w:rsidP="00F40DB0">
      <w:pPr>
        <w:autoSpaceDE w:val="0"/>
        <w:autoSpaceDN w:val="0"/>
        <w:adjustRightInd w:val="0"/>
        <w:ind w:left="142" w:hanging="142"/>
        <w:rPr>
          <w:lang w:val="es-ES"/>
        </w:rPr>
      </w:pPr>
      <w:r w:rsidRPr="00EB3807">
        <w:rPr>
          <w:rStyle w:val="SubtleReference"/>
          <w:lang w:val="es-ES"/>
        </w:rPr>
        <w:t>Echavarría, J.J.</w:t>
      </w:r>
      <w:r w:rsidRPr="00EB3807">
        <w:rPr>
          <w:lang w:val="es-ES"/>
        </w:rPr>
        <w:t xml:space="preserve"> </w:t>
      </w:r>
      <w:r w:rsidR="000924F6" w:rsidRPr="00EB3807">
        <w:rPr>
          <w:lang w:val="es-ES"/>
        </w:rPr>
        <w:t>(1999)</w:t>
      </w:r>
      <w:r w:rsidRPr="00EB3807">
        <w:rPr>
          <w:lang w:val="es-ES"/>
        </w:rPr>
        <w:t>:</w:t>
      </w:r>
      <w:r w:rsidR="000924F6" w:rsidRPr="00EB3807">
        <w:rPr>
          <w:lang w:val="es-ES"/>
        </w:rPr>
        <w:t xml:space="preserve"> </w:t>
      </w:r>
      <w:r w:rsidR="000924F6" w:rsidRPr="00EB3807">
        <w:rPr>
          <w:i/>
          <w:lang w:val="es-ES"/>
        </w:rPr>
        <w:t>Crisis e Industrialización.</w:t>
      </w:r>
      <w:r w:rsidRPr="00EB3807">
        <w:rPr>
          <w:i/>
          <w:lang w:val="es-ES"/>
        </w:rPr>
        <w:t xml:space="preserve"> Las Lecciones de los Treintas</w:t>
      </w:r>
      <w:r w:rsidRPr="00EB3807">
        <w:rPr>
          <w:lang w:val="es-ES"/>
        </w:rPr>
        <w:t xml:space="preserve">. </w:t>
      </w:r>
      <w:r w:rsidR="000924F6" w:rsidRPr="00EB3807">
        <w:rPr>
          <w:lang w:val="es-ES"/>
        </w:rPr>
        <w:t>TM Editores,</w:t>
      </w:r>
      <w:r w:rsidR="00ED1A4C" w:rsidRPr="00EB3807">
        <w:rPr>
          <w:lang w:val="es-ES"/>
        </w:rPr>
        <w:t xml:space="preserve"> </w:t>
      </w:r>
      <w:r w:rsidR="000924F6" w:rsidRPr="00EB3807">
        <w:rPr>
          <w:lang w:val="es-ES"/>
        </w:rPr>
        <w:t>Banco de la República, Fedesarrollo, Bogotá</w:t>
      </w:r>
      <w:r w:rsidR="0037190A" w:rsidRPr="00EB3807">
        <w:rPr>
          <w:lang w:val="es-ES"/>
        </w:rPr>
        <w:t>.</w:t>
      </w:r>
    </w:p>
    <w:p w:rsidR="001B0673" w:rsidRPr="001B0673" w:rsidRDefault="001B0673" w:rsidP="001B0673">
      <w:pPr>
        <w:ind w:left="142" w:hanging="142"/>
        <w:contextualSpacing/>
        <w:rPr>
          <w:rFonts w:eastAsia="MS Mincho"/>
          <w:lang w:val="es-ES" w:eastAsia="en-US"/>
        </w:rPr>
      </w:pPr>
      <w:bookmarkStart w:id="9" w:name="_Hlk488047148"/>
      <w:r w:rsidRPr="00F50529">
        <w:rPr>
          <w:rStyle w:val="SubtleReference"/>
          <w:lang w:val="es-ES"/>
        </w:rPr>
        <w:t xml:space="preserve">Economic Commission for Latin America, </w:t>
      </w:r>
      <w:r w:rsidRPr="00F50529">
        <w:rPr>
          <w:rFonts w:eastAsia="MS Mincho"/>
          <w:lang w:val="es-ES" w:eastAsia="en-US"/>
        </w:rPr>
        <w:t xml:space="preserve">ECLA. </w:t>
      </w:r>
      <w:r w:rsidRPr="001F45A6">
        <w:rPr>
          <w:rFonts w:eastAsia="MS Mincho"/>
          <w:lang w:val="es-ES" w:eastAsia="en-US"/>
        </w:rPr>
        <w:t xml:space="preserve">(1978): </w:t>
      </w:r>
      <w:r w:rsidRPr="001F45A6">
        <w:rPr>
          <w:lang w:val="es-ES"/>
        </w:rPr>
        <w:t>«</w:t>
      </w:r>
      <w:r w:rsidRPr="001F45A6">
        <w:rPr>
          <w:rFonts w:eastAsia="MS Mincho"/>
          <w:lang w:val="es-ES" w:eastAsia="en-US"/>
        </w:rPr>
        <w:t>Series históricas del crecimiento de América Latina</w:t>
      </w:r>
      <w:r w:rsidRPr="001F45A6">
        <w:rPr>
          <w:lang w:val="es-ES"/>
        </w:rPr>
        <w:t>»</w:t>
      </w:r>
      <w:r w:rsidRPr="001F45A6">
        <w:rPr>
          <w:rFonts w:eastAsia="MS Mincho"/>
          <w:lang w:val="es-ES" w:eastAsia="en-US"/>
        </w:rPr>
        <w:t xml:space="preserve">. </w:t>
      </w:r>
      <w:r w:rsidRPr="001B0673">
        <w:rPr>
          <w:rFonts w:eastAsia="MS Mincho"/>
          <w:i/>
          <w:lang w:val="es-ES" w:eastAsia="en-US"/>
        </w:rPr>
        <w:t>Cuadernos Estadísticos de la CEPAL</w:t>
      </w:r>
      <w:r w:rsidRPr="001B0673">
        <w:rPr>
          <w:rFonts w:eastAsia="MS Mincho"/>
          <w:lang w:val="es-ES" w:eastAsia="en-US"/>
        </w:rPr>
        <w:t xml:space="preserve"> 3, Santiago de Chile.</w:t>
      </w:r>
    </w:p>
    <w:p w:rsidR="001B0673" w:rsidRPr="001B0673" w:rsidRDefault="001B0673" w:rsidP="001B0673">
      <w:pPr>
        <w:ind w:left="142" w:hanging="142"/>
        <w:contextualSpacing/>
        <w:rPr>
          <w:lang w:val="es-ES"/>
        </w:rPr>
      </w:pPr>
      <w:r w:rsidRPr="001B0673">
        <w:rPr>
          <w:rStyle w:val="SubtleReference"/>
          <w:lang w:val="es-ES"/>
        </w:rPr>
        <w:t xml:space="preserve">Economic Commission for Latin America </w:t>
      </w:r>
      <w:bookmarkEnd w:id="9"/>
      <w:r w:rsidRPr="001B0673">
        <w:rPr>
          <w:rStyle w:val="SubtleReference"/>
          <w:lang w:val="es-ES"/>
        </w:rPr>
        <w:t>and the Caribbean</w:t>
      </w:r>
      <w:r w:rsidRPr="001B0673">
        <w:rPr>
          <w:lang w:val="es-ES"/>
        </w:rPr>
        <w:t>, ECLAC. http://www.cepal.org/</w:t>
      </w:r>
    </w:p>
    <w:p w:rsidR="00216AD5" w:rsidRPr="00F50529" w:rsidRDefault="001B0673" w:rsidP="00F40DB0">
      <w:pPr>
        <w:ind w:left="142" w:hanging="142"/>
        <w:contextualSpacing/>
        <w:rPr>
          <w:rFonts w:eastAsia="MS Mincho"/>
          <w:lang w:eastAsia="en-US"/>
        </w:rPr>
      </w:pPr>
      <w:r w:rsidRPr="001B0673">
        <w:rPr>
          <w:rStyle w:val="SubtleReference"/>
        </w:rPr>
        <w:t>Economic Commission for Latin America and the Caribbean</w:t>
      </w:r>
      <w:r w:rsidRPr="001B0673">
        <w:t>, ECLAC</w:t>
      </w:r>
      <w:r w:rsidR="00216AD5" w:rsidRPr="001B0673">
        <w:rPr>
          <w:rStyle w:val="SubtleReference"/>
          <w:rFonts w:eastAsia="MS Mincho"/>
        </w:rPr>
        <w:t>.</w:t>
      </w:r>
      <w:r w:rsidR="00216AD5" w:rsidRPr="001B0673">
        <w:rPr>
          <w:rFonts w:eastAsia="MS Mincho"/>
          <w:lang w:eastAsia="en-US"/>
        </w:rPr>
        <w:t xml:space="preserve"> </w:t>
      </w:r>
      <w:r w:rsidR="00BA26B8" w:rsidRPr="00EB3807">
        <w:rPr>
          <w:rFonts w:eastAsia="MS Mincho"/>
          <w:lang w:val="es-ES" w:eastAsia="en-US"/>
        </w:rPr>
        <w:t>(</w:t>
      </w:r>
      <w:r w:rsidR="00216AD5" w:rsidRPr="00EB3807">
        <w:rPr>
          <w:rFonts w:eastAsia="MS Mincho"/>
          <w:lang w:val="es-ES" w:eastAsia="en-US"/>
        </w:rPr>
        <w:t>2000</w:t>
      </w:r>
      <w:r w:rsidR="00BA26B8" w:rsidRPr="00EB3807">
        <w:rPr>
          <w:rFonts w:eastAsia="MS Mincho"/>
          <w:lang w:val="es-ES" w:eastAsia="en-US"/>
        </w:rPr>
        <w:t>):</w:t>
      </w:r>
      <w:r w:rsidR="00216AD5" w:rsidRPr="00EB3807">
        <w:rPr>
          <w:rFonts w:eastAsia="MS Mincho"/>
          <w:lang w:val="es-ES" w:eastAsia="en-US"/>
        </w:rPr>
        <w:t xml:space="preserve"> </w:t>
      </w:r>
      <w:r w:rsidR="00216AD5" w:rsidRPr="00EB3807">
        <w:rPr>
          <w:rFonts w:eastAsia="MS Mincho"/>
          <w:i/>
          <w:lang w:val="es-ES" w:eastAsia="en-US"/>
        </w:rPr>
        <w:t>Panorama Social in América Latina</w:t>
      </w:r>
      <w:r w:rsidR="00216AD5" w:rsidRPr="00EB3807">
        <w:rPr>
          <w:rFonts w:eastAsia="MS Mincho"/>
          <w:lang w:val="es-ES" w:eastAsia="en-US"/>
        </w:rPr>
        <w:t xml:space="preserve">. </w:t>
      </w:r>
      <w:r w:rsidR="00216AD5" w:rsidRPr="00EB3807">
        <w:rPr>
          <w:rFonts w:eastAsia="MS Mincho"/>
          <w:lang w:val="en-US" w:eastAsia="en-US"/>
        </w:rPr>
        <w:t>UN Economic Commission for Latin America and the Caribbean</w:t>
      </w:r>
      <w:r w:rsidR="00BA26B8" w:rsidRPr="00EB3807">
        <w:rPr>
          <w:rFonts w:eastAsia="MS Mincho"/>
          <w:lang w:val="en-US" w:eastAsia="en-US"/>
        </w:rPr>
        <w:t>.</w:t>
      </w:r>
      <w:r w:rsidR="006A7B1A" w:rsidRPr="00EB3807">
        <w:rPr>
          <w:rFonts w:eastAsia="MS Mincho"/>
          <w:lang w:val="en-US" w:eastAsia="en-US"/>
        </w:rPr>
        <w:t xml:space="preserve"> </w:t>
      </w:r>
      <w:r w:rsidR="006A7B1A" w:rsidRPr="00F50529">
        <w:rPr>
          <w:rFonts w:eastAsia="MS Mincho"/>
          <w:lang w:eastAsia="en-US"/>
        </w:rPr>
        <w:t>Santiago de Chile.</w:t>
      </w:r>
    </w:p>
    <w:p w:rsidR="000924F6" w:rsidRPr="00EB3807" w:rsidRDefault="000924F6" w:rsidP="00F40DB0">
      <w:pPr>
        <w:autoSpaceDE w:val="0"/>
        <w:autoSpaceDN w:val="0"/>
        <w:adjustRightInd w:val="0"/>
        <w:ind w:left="142" w:hanging="142"/>
      </w:pPr>
      <w:r w:rsidRPr="00EB3807">
        <w:rPr>
          <w:rStyle w:val="SubtleReference"/>
          <w:lang w:val="es-ES"/>
        </w:rPr>
        <w:lastRenderedPageBreak/>
        <w:t>Ferreres, O.</w:t>
      </w:r>
      <w:r w:rsidRPr="00EB3807">
        <w:rPr>
          <w:lang w:val="es-ES"/>
        </w:rPr>
        <w:t xml:space="preserve"> </w:t>
      </w:r>
      <w:r w:rsidR="00AE1222" w:rsidRPr="00EB3807">
        <w:rPr>
          <w:lang w:val="es-ES"/>
        </w:rPr>
        <w:t>(</w:t>
      </w:r>
      <w:r w:rsidRPr="00EB3807">
        <w:rPr>
          <w:lang w:val="es-ES"/>
        </w:rPr>
        <w:t>2005</w:t>
      </w:r>
      <w:r w:rsidR="00AE1222" w:rsidRPr="00EB3807">
        <w:rPr>
          <w:lang w:val="es-ES"/>
        </w:rPr>
        <w:t>):</w:t>
      </w:r>
      <w:r w:rsidRPr="00EB3807">
        <w:rPr>
          <w:lang w:val="es-ES"/>
        </w:rPr>
        <w:t xml:space="preserve"> </w:t>
      </w:r>
      <w:r w:rsidRPr="00EB3807">
        <w:rPr>
          <w:i/>
          <w:lang w:val="es-ES"/>
        </w:rPr>
        <w:t>Dos Siglos de Economía Argentina (1810-2004)</w:t>
      </w:r>
      <w:r w:rsidRPr="00EB3807">
        <w:rPr>
          <w:lang w:val="es-ES"/>
        </w:rPr>
        <w:t xml:space="preserve">. </w:t>
      </w:r>
      <w:r w:rsidRPr="00EB3807">
        <w:t>Fundación Norte y Sur</w:t>
      </w:r>
      <w:r w:rsidR="00AE1222" w:rsidRPr="00EB3807">
        <w:t>, Buenos Aires</w:t>
      </w:r>
      <w:r w:rsidRPr="00EB3807">
        <w:t>.</w:t>
      </w:r>
    </w:p>
    <w:p w:rsidR="008A4FB3" w:rsidRPr="00EB3807" w:rsidRDefault="008A4FB3" w:rsidP="00F40DB0">
      <w:pPr>
        <w:autoSpaceDE w:val="0"/>
        <w:autoSpaceDN w:val="0"/>
        <w:adjustRightInd w:val="0"/>
        <w:ind w:left="142" w:hanging="142"/>
        <w:rPr>
          <w:shd w:val="clear" w:color="auto" w:fill="FFFFFF"/>
          <w:lang w:val="es-ES"/>
        </w:rPr>
      </w:pPr>
      <w:r w:rsidRPr="00EB3807">
        <w:rPr>
          <w:rStyle w:val="SubtleReference"/>
        </w:rPr>
        <w:t>FitzGerald, V</w:t>
      </w:r>
      <w:r w:rsidR="00023795" w:rsidRPr="00EB3807">
        <w:rPr>
          <w:rStyle w:val="SubtleReference"/>
        </w:rPr>
        <w:t>.</w:t>
      </w:r>
      <w:r w:rsidRPr="00EB3807">
        <w:rPr>
          <w:rStyle w:val="SubtleReference"/>
        </w:rPr>
        <w:t>F</w:t>
      </w:r>
      <w:r w:rsidR="00023795" w:rsidRPr="00EB3807">
        <w:rPr>
          <w:rStyle w:val="SubtleReference"/>
        </w:rPr>
        <w:t>.</w:t>
      </w:r>
      <w:r w:rsidRPr="00EB3807">
        <w:rPr>
          <w:rStyle w:val="SubtleReference"/>
        </w:rPr>
        <w:t>K.</w:t>
      </w:r>
      <w:r w:rsidRPr="00EB3807">
        <w:rPr>
          <w:shd w:val="clear" w:color="auto" w:fill="FFFFFF"/>
        </w:rPr>
        <w:t xml:space="preserve"> </w:t>
      </w:r>
      <w:r w:rsidR="00023795" w:rsidRPr="00EB3807">
        <w:rPr>
          <w:shd w:val="clear" w:color="auto" w:fill="FFFFFF"/>
        </w:rPr>
        <w:t>(</w:t>
      </w:r>
      <w:r w:rsidRPr="00EB3807">
        <w:rPr>
          <w:shd w:val="clear" w:color="auto" w:fill="FFFFFF"/>
        </w:rPr>
        <w:t>2008</w:t>
      </w:r>
      <w:r w:rsidR="00EC7C5E" w:rsidRPr="00EB3807">
        <w:rPr>
          <w:shd w:val="clear" w:color="auto" w:fill="FFFFFF"/>
        </w:rPr>
        <w:t>): «</w:t>
      </w:r>
      <w:r w:rsidR="006D4D5F" w:rsidRPr="00EB3807">
        <w:rPr>
          <w:shd w:val="clear" w:color="auto" w:fill="FFFFFF"/>
        </w:rPr>
        <w:t>Economic Development and Fluctuations in Earnings Inequality in the very Long Run: The E</w:t>
      </w:r>
      <w:r w:rsidRPr="00EB3807">
        <w:rPr>
          <w:shd w:val="clear" w:color="auto" w:fill="FFFFFF"/>
        </w:rPr>
        <w:t>vidence from Latin America 1900-2000</w:t>
      </w:r>
      <w:r w:rsidR="006D4D5F" w:rsidRPr="00EB3807">
        <w:t>»</w:t>
      </w:r>
      <w:r w:rsidRPr="00EB3807">
        <w:rPr>
          <w:shd w:val="clear" w:color="auto" w:fill="FFFFFF"/>
        </w:rPr>
        <w:t xml:space="preserve">. </w:t>
      </w:r>
      <w:r w:rsidRPr="00EB3807">
        <w:rPr>
          <w:i/>
          <w:shd w:val="clear" w:color="auto" w:fill="FFFFFF"/>
          <w:lang w:val="es-ES"/>
        </w:rPr>
        <w:t>Journal of International Development</w:t>
      </w:r>
      <w:r w:rsidR="006D4D5F" w:rsidRPr="00EB3807">
        <w:rPr>
          <w:shd w:val="clear" w:color="auto" w:fill="FFFFFF"/>
          <w:lang w:val="es-ES"/>
        </w:rPr>
        <w:t>, 20, pp.</w:t>
      </w:r>
      <w:r w:rsidRPr="00EB3807">
        <w:rPr>
          <w:shd w:val="clear" w:color="auto" w:fill="FFFFFF"/>
          <w:lang w:val="es-ES"/>
        </w:rPr>
        <w:t>1028-1048.</w:t>
      </w:r>
    </w:p>
    <w:p w:rsidR="00443A34" w:rsidRPr="00EB3807" w:rsidRDefault="008B1367" w:rsidP="00F40DB0">
      <w:pPr>
        <w:autoSpaceDE w:val="0"/>
        <w:autoSpaceDN w:val="0"/>
        <w:adjustRightInd w:val="0"/>
        <w:ind w:left="142" w:hanging="142"/>
      </w:pPr>
      <w:r w:rsidRPr="00EB3807">
        <w:rPr>
          <w:rStyle w:val="SubtleReference"/>
          <w:lang w:val="es-ES"/>
        </w:rPr>
        <w:t>González</w:t>
      </w:r>
      <w:r w:rsidR="00023795" w:rsidRPr="00EB3807">
        <w:rPr>
          <w:rStyle w:val="SubtleReference"/>
          <w:lang w:val="es-ES"/>
        </w:rPr>
        <w:t>,</w:t>
      </w:r>
      <w:r w:rsidRPr="00EB3807">
        <w:rPr>
          <w:rStyle w:val="SubtleReference"/>
          <w:lang w:val="es-ES"/>
        </w:rPr>
        <w:t xml:space="preserve"> M</w:t>
      </w:r>
      <w:r w:rsidR="00023795" w:rsidRPr="00EB3807">
        <w:rPr>
          <w:rStyle w:val="SubtleReference"/>
          <w:lang w:val="es-ES"/>
        </w:rPr>
        <w:t>.</w:t>
      </w:r>
      <w:r w:rsidRPr="00EB3807">
        <w:rPr>
          <w:rStyle w:val="SubtleReference"/>
          <w:lang w:val="es-ES"/>
        </w:rPr>
        <w:t>L</w:t>
      </w:r>
      <w:r w:rsidR="00023795" w:rsidRPr="00EB3807">
        <w:rPr>
          <w:rStyle w:val="SubtleReference"/>
          <w:lang w:val="es-ES"/>
        </w:rPr>
        <w:t>.</w:t>
      </w:r>
      <w:r w:rsidRPr="00EB3807">
        <w:rPr>
          <w:lang w:val="es-ES"/>
        </w:rPr>
        <w:t xml:space="preserve"> (2004</w:t>
      </w:r>
      <w:r w:rsidR="00EC7C5E" w:rsidRPr="00EB3807">
        <w:rPr>
          <w:lang w:val="es-ES"/>
        </w:rPr>
        <w:t>): «</w:t>
      </w:r>
      <w:r w:rsidR="006D4D5F" w:rsidRPr="00EB3807">
        <w:rPr>
          <w:lang w:val="es-ES"/>
        </w:rPr>
        <w:t>Fuentes de Información sobre S</w:t>
      </w:r>
      <w:r w:rsidR="00443A34" w:rsidRPr="00EB3807">
        <w:rPr>
          <w:lang w:val="es-ES"/>
        </w:rPr>
        <w:t>alario</w:t>
      </w:r>
      <w:r w:rsidR="006D4D5F" w:rsidRPr="00EB3807">
        <w:rPr>
          <w:lang w:val="es-ES"/>
        </w:rPr>
        <w:t>s: Metodologías y S</w:t>
      </w:r>
      <w:r w:rsidR="00443A34" w:rsidRPr="00EB3807">
        <w:rPr>
          <w:lang w:val="es-ES"/>
        </w:rPr>
        <w:t>eries</w:t>
      </w:r>
      <w:r w:rsidR="006D4D5F" w:rsidRPr="00EB3807">
        <w:rPr>
          <w:lang w:val="es-ES"/>
        </w:rPr>
        <w:t>»</w:t>
      </w:r>
      <w:r w:rsidR="00443A34" w:rsidRPr="00EB3807">
        <w:rPr>
          <w:lang w:val="es-ES"/>
        </w:rPr>
        <w:t xml:space="preserve">. </w:t>
      </w:r>
      <w:r w:rsidR="00443A34" w:rsidRPr="00EB3807">
        <w:rPr>
          <w:i/>
        </w:rPr>
        <w:t>Documentos de Trabajo del CEPED</w:t>
      </w:r>
      <w:r w:rsidR="00443A34" w:rsidRPr="00EB3807">
        <w:t>, March.</w:t>
      </w:r>
    </w:p>
    <w:p w:rsidR="000924F6" w:rsidRPr="00F50529" w:rsidRDefault="006C37B1" w:rsidP="00F40DB0">
      <w:pPr>
        <w:autoSpaceDE w:val="0"/>
        <w:autoSpaceDN w:val="0"/>
        <w:adjustRightInd w:val="0"/>
        <w:ind w:left="142" w:hanging="142"/>
        <w:rPr>
          <w:lang w:val="es-ES"/>
        </w:rPr>
      </w:pPr>
      <w:r w:rsidRPr="00EB3807">
        <w:rPr>
          <w:rStyle w:val="SubtleReference"/>
        </w:rPr>
        <w:t>Gómez-Galvarr</w:t>
      </w:r>
      <w:r w:rsidR="00412EBC" w:rsidRPr="00EB3807">
        <w:rPr>
          <w:rStyle w:val="SubtleReference"/>
        </w:rPr>
        <w:t>iato</w:t>
      </w:r>
      <w:r w:rsidR="00023795" w:rsidRPr="00EB3807">
        <w:rPr>
          <w:rStyle w:val="SubtleReference"/>
        </w:rPr>
        <w:t>,</w:t>
      </w:r>
      <w:r w:rsidR="00412EBC" w:rsidRPr="00EB3807">
        <w:rPr>
          <w:rStyle w:val="SubtleReference"/>
        </w:rPr>
        <w:t xml:space="preserve"> A.</w:t>
      </w:r>
      <w:r w:rsidR="00412EBC" w:rsidRPr="00EB3807">
        <w:t xml:space="preserve"> </w:t>
      </w:r>
      <w:r w:rsidR="00023795" w:rsidRPr="00EB3807">
        <w:t>(</w:t>
      </w:r>
      <w:r w:rsidR="00412EBC" w:rsidRPr="00EB3807">
        <w:t>2002</w:t>
      </w:r>
      <w:r w:rsidR="00EC7C5E" w:rsidRPr="00EB3807">
        <w:t>): «</w:t>
      </w:r>
      <w:r w:rsidR="006D4D5F" w:rsidRPr="00EB3807">
        <w:t>Measuring the Impact of Institutional Changes in Capital-Labor Relations in the Mexican T</w:t>
      </w:r>
      <w:r w:rsidR="000924F6" w:rsidRPr="00EB3807">
        <w:t>extile</w:t>
      </w:r>
      <w:r w:rsidR="006D4D5F" w:rsidRPr="00EB3807">
        <w:t xml:space="preserve"> I</w:t>
      </w:r>
      <w:r w:rsidRPr="00EB3807">
        <w:t>ndustry, 1900-1930</w:t>
      </w:r>
      <w:r w:rsidR="006D4D5F" w:rsidRPr="00EB3807">
        <w:t>»</w:t>
      </w:r>
      <w:r w:rsidRPr="00EB3807">
        <w:t>. In Bortz J</w:t>
      </w:r>
      <w:r w:rsidR="006D4D5F" w:rsidRPr="00EB3807">
        <w:t>.</w:t>
      </w:r>
      <w:r w:rsidRPr="00EB3807">
        <w:t>L</w:t>
      </w:r>
      <w:r w:rsidR="006D4D5F" w:rsidRPr="00EB3807">
        <w:t>.</w:t>
      </w:r>
      <w:r w:rsidRPr="00EB3807">
        <w:t>,</w:t>
      </w:r>
      <w:r w:rsidR="006D4D5F" w:rsidRPr="00EB3807">
        <w:t xml:space="preserve"> and</w:t>
      </w:r>
      <w:r w:rsidRPr="00EB3807">
        <w:t xml:space="preserve"> </w:t>
      </w:r>
      <w:r w:rsidR="000924F6" w:rsidRPr="00EB3807">
        <w:t>Haber</w:t>
      </w:r>
      <w:r w:rsidR="006D4D5F" w:rsidRPr="00EB3807">
        <w:t>,</w:t>
      </w:r>
      <w:r w:rsidR="000924F6" w:rsidRPr="00EB3807">
        <w:t xml:space="preserve"> </w:t>
      </w:r>
      <w:r w:rsidRPr="00EB3807">
        <w:t>S</w:t>
      </w:r>
      <w:r w:rsidR="006D4D5F" w:rsidRPr="00EB3807">
        <w:t>,</w:t>
      </w:r>
      <w:r w:rsidRPr="00EB3807">
        <w:t xml:space="preserve"> </w:t>
      </w:r>
      <w:r w:rsidR="006D4D5F" w:rsidRPr="00EB3807">
        <w:t xml:space="preserve">(Eds), </w:t>
      </w:r>
      <w:r w:rsidR="000924F6" w:rsidRPr="00EB3807">
        <w:rPr>
          <w:i/>
        </w:rPr>
        <w:t>The Mexican Economy, 1870-1930</w:t>
      </w:r>
      <w:r w:rsidR="000924F6" w:rsidRPr="00EB3807">
        <w:t xml:space="preserve">. </w:t>
      </w:r>
      <w:r w:rsidR="000924F6" w:rsidRPr="00F50529">
        <w:rPr>
          <w:lang w:val="es-ES"/>
        </w:rPr>
        <w:t>Stanford University Press.</w:t>
      </w:r>
    </w:p>
    <w:p w:rsidR="00B2513B" w:rsidRPr="00EB3807" w:rsidRDefault="00B2513B" w:rsidP="00F40DB0">
      <w:pPr>
        <w:autoSpaceDE w:val="0"/>
        <w:autoSpaceDN w:val="0"/>
        <w:adjustRightInd w:val="0"/>
        <w:ind w:left="142" w:hanging="142"/>
        <w:rPr>
          <w:shd w:val="clear" w:color="auto" w:fill="FFFFFF"/>
          <w:lang w:val="es-ES"/>
        </w:rPr>
      </w:pPr>
      <w:r w:rsidRPr="00EB3807">
        <w:rPr>
          <w:rStyle w:val="SubtleReference"/>
          <w:lang w:val="es-ES"/>
        </w:rPr>
        <w:t>Haindl, E.</w:t>
      </w:r>
      <w:r w:rsidRPr="00EB3807">
        <w:rPr>
          <w:shd w:val="clear" w:color="auto" w:fill="FFFFFF"/>
          <w:lang w:val="es-ES"/>
        </w:rPr>
        <w:t xml:space="preserve"> </w:t>
      </w:r>
      <w:r w:rsidR="00571F68" w:rsidRPr="00EB3807">
        <w:rPr>
          <w:shd w:val="clear" w:color="auto" w:fill="FFFFFF"/>
          <w:lang w:val="es-ES"/>
        </w:rPr>
        <w:t>(</w:t>
      </w:r>
      <w:r w:rsidRPr="00EB3807">
        <w:rPr>
          <w:shd w:val="clear" w:color="auto" w:fill="FFFFFF"/>
          <w:lang w:val="es-ES"/>
        </w:rPr>
        <w:t>2008</w:t>
      </w:r>
      <w:r w:rsidR="00571F68" w:rsidRPr="00EB3807">
        <w:rPr>
          <w:shd w:val="clear" w:color="auto" w:fill="FFFFFF"/>
          <w:lang w:val="es-ES"/>
        </w:rPr>
        <w:t>):</w:t>
      </w:r>
      <w:r w:rsidRPr="00EB3807">
        <w:rPr>
          <w:shd w:val="clear" w:color="auto" w:fill="FFFFFF"/>
          <w:lang w:val="es-ES"/>
        </w:rPr>
        <w:t xml:space="preserve"> </w:t>
      </w:r>
      <w:r w:rsidRPr="00EB3807">
        <w:rPr>
          <w:i/>
          <w:shd w:val="clear" w:color="auto" w:fill="FFFFFF"/>
          <w:lang w:val="es-ES"/>
        </w:rPr>
        <w:t>Chile y su Desarrollo Económico en el Siglo XX</w:t>
      </w:r>
      <w:r w:rsidRPr="00EB3807">
        <w:rPr>
          <w:shd w:val="clear" w:color="auto" w:fill="FFFFFF"/>
          <w:lang w:val="es-ES"/>
        </w:rPr>
        <w:t>. Editorial Andrés Bello, Chile.</w:t>
      </w:r>
    </w:p>
    <w:p w:rsidR="000924F6" w:rsidRPr="00EB3807" w:rsidRDefault="000B682B" w:rsidP="00F40DB0">
      <w:pPr>
        <w:autoSpaceDE w:val="0"/>
        <w:autoSpaceDN w:val="0"/>
        <w:adjustRightInd w:val="0"/>
        <w:ind w:left="142" w:hanging="142"/>
        <w:rPr>
          <w:lang w:val="es-ES"/>
        </w:rPr>
      </w:pPr>
      <w:r w:rsidRPr="000B682B">
        <w:rPr>
          <w:rStyle w:val="SubtleReference"/>
          <w:lang w:val="es-ES"/>
        </w:rPr>
        <w:t>Instituto de Estudios Económicos sobre la Realidad Argentina y Latinoamericana</w:t>
      </w:r>
      <w:r>
        <w:rPr>
          <w:lang w:val="es-ES"/>
        </w:rPr>
        <w:t xml:space="preserve">, </w:t>
      </w:r>
      <w:r w:rsidR="006C37B1" w:rsidRPr="00EB3807">
        <w:rPr>
          <w:lang w:val="es-ES"/>
        </w:rPr>
        <w:t>IEERAL</w:t>
      </w:r>
      <w:r w:rsidR="003F715A" w:rsidRPr="00EB3807">
        <w:rPr>
          <w:lang w:val="es-ES"/>
        </w:rPr>
        <w:t>.</w:t>
      </w:r>
      <w:r w:rsidR="006C37B1" w:rsidRPr="00EB3807">
        <w:rPr>
          <w:lang w:val="es-ES"/>
        </w:rPr>
        <w:t xml:space="preserve"> (1986)</w:t>
      </w:r>
      <w:r w:rsidR="003F715A" w:rsidRPr="00EB3807">
        <w:rPr>
          <w:lang w:val="es-ES"/>
        </w:rPr>
        <w:t>:</w:t>
      </w:r>
      <w:r w:rsidR="000924F6" w:rsidRPr="00EB3807">
        <w:rPr>
          <w:lang w:val="es-ES"/>
        </w:rPr>
        <w:t xml:space="preserve"> </w:t>
      </w:r>
      <w:r w:rsidR="000924F6" w:rsidRPr="00EB3807">
        <w:rPr>
          <w:i/>
          <w:lang w:val="es-ES"/>
        </w:rPr>
        <w:t>Estadísticas de la Evolución Económica Argentina, 1913-1984</w:t>
      </w:r>
      <w:r w:rsidR="000924F6" w:rsidRPr="00EB3807">
        <w:rPr>
          <w:lang w:val="es-ES"/>
        </w:rPr>
        <w:t>. Córdoba.</w:t>
      </w:r>
    </w:p>
    <w:p w:rsidR="002D210C" w:rsidRPr="00EB3807" w:rsidRDefault="002D210C" w:rsidP="00F40DB0">
      <w:pPr>
        <w:ind w:left="142" w:hanging="142"/>
        <w:rPr>
          <w:lang w:val="es-ES"/>
        </w:rPr>
      </w:pPr>
      <w:r w:rsidRPr="00EB3807">
        <w:rPr>
          <w:rStyle w:val="SubtleReference"/>
          <w:lang w:val="es-ES"/>
        </w:rPr>
        <w:t>Instituto</w:t>
      </w:r>
      <w:r w:rsidR="00997FA5">
        <w:rPr>
          <w:rStyle w:val="SubtleReference"/>
          <w:lang w:val="es-ES"/>
        </w:rPr>
        <w:t xml:space="preserve"> Brasileiro de Geografía e Estat</w:t>
      </w:r>
      <w:r w:rsidRPr="00EB3807">
        <w:rPr>
          <w:rStyle w:val="SubtleReference"/>
          <w:lang w:val="es-ES"/>
        </w:rPr>
        <w:t>ística</w:t>
      </w:r>
      <w:r w:rsidRPr="00EB3807">
        <w:rPr>
          <w:lang w:val="es-ES"/>
        </w:rPr>
        <w:t xml:space="preserve">, IBGE. </w:t>
      </w:r>
      <w:hyperlink r:id="rId9" w:history="1">
        <w:r w:rsidRPr="00EB3807">
          <w:rPr>
            <w:rStyle w:val="Hyperlink"/>
            <w:lang w:val="es-ES"/>
          </w:rPr>
          <w:t>http://www.ibge.gov.br/</w:t>
        </w:r>
      </w:hyperlink>
    </w:p>
    <w:p w:rsidR="00E36CF6" w:rsidRPr="00EB3807" w:rsidRDefault="00E36CF6" w:rsidP="00E36CF6">
      <w:pPr>
        <w:ind w:left="142" w:hanging="142"/>
        <w:rPr>
          <w:lang w:val="es-ES"/>
        </w:rPr>
      </w:pPr>
      <w:r w:rsidRPr="00EB3807">
        <w:rPr>
          <w:rStyle w:val="SubtleReference"/>
          <w:lang w:val="es-ES"/>
        </w:rPr>
        <w:t xml:space="preserve">Instituto Brasileiro de Geografía </w:t>
      </w:r>
      <w:r w:rsidR="00997FA5">
        <w:rPr>
          <w:rStyle w:val="SubtleReference"/>
          <w:lang w:val="es-ES"/>
        </w:rPr>
        <w:t>e Estat</w:t>
      </w:r>
      <w:r w:rsidRPr="00EB3807">
        <w:rPr>
          <w:rStyle w:val="SubtleReference"/>
          <w:lang w:val="es-ES"/>
        </w:rPr>
        <w:t>ística</w:t>
      </w:r>
      <w:r w:rsidRPr="00EB3807">
        <w:rPr>
          <w:lang w:val="es-ES"/>
        </w:rPr>
        <w:t xml:space="preserve">, IBGE, (1924, 1934-1939, 1941/1945-1954). </w:t>
      </w:r>
      <w:r w:rsidRPr="00EB3807">
        <w:rPr>
          <w:i/>
          <w:lang w:val="es-ES"/>
        </w:rPr>
        <w:t>Anuario Estatistico do Brasil</w:t>
      </w:r>
      <w:r w:rsidRPr="00EB3807">
        <w:rPr>
          <w:lang w:val="es-ES"/>
        </w:rPr>
        <w:t>. Rio de Janeiro.</w:t>
      </w:r>
    </w:p>
    <w:p w:rsidR="008E7516" w:rsidRPr="00EB3807" w:rsidRDefault="008E7516" w:rsidP="00F40DB0">
      <w:pPr>
        <w:ind w:left="142" w:hanging="142"/>
        <w:rPr>
          <w:lang w:val="es-ES"/>
        </w:rPr>
      </w:pPr>
      <w:r w:rsidRPr="00EB3807">
        <w:rPr>
          <w:rStyle w:val="SubtleReference"/>
          <w:lang w:val="es-ES"/>
        </w:rPr>
        <w:t>Instituto</w:t>
      </w:r>
      <w:r w:rsidR="00997FA5">
        <w:rPr>
          <w:rStyle w:val="SubtleReference"/>
          <w:lang w:val="es-ES"/>
        </w:rPr>
        <w:t xml:space="preserve"> Brasileiro de Geografía e Estat</w:t>
      </w:r>
      <w:r w:rsidRPr="00EB3807">
        <w:rPr>
          <w:rStyle w:val="SubtleReference"/>
          <w:lang w:val="es-ES"/>
        </w:rPr>
        <w:t>ística</w:t>
      </w:r>
      <w:r w:rsidRPr="00EB3807">
        <w:rPr>
          <w:lang w:val="es-ES"/>
        </w:rPr>
        <w:t xml:space="preserve">, IBGE, (2003): </w:t>
      </w:r>
      <w:r w:rsidRPr="00EB3807">
        <w:rPr>
          <w:i/>
          <w:lang w:val="es-ES"/>
        </w:rPr>
        <w:t>Estatísticas do Século XX</w:t>
      </w:r>
      <w:r w:rsidRPr="00EB3807">
        <w:rPr>
          <w:lang w:val="es-ES"/>
        </w:rPr>
        <w:t>. Rio de Janeiro: IBGE. In: http://www.ibge.gov.br/seculoxx/default.shtm</w:t>
      </w:r>
    </w:p>
    <w:p w:rsidR="008E7516" w:rsidRPr="00EB3807" w:rsidRDefault="008E7516" w:rsidP="00F40DB0">
      <w:pPr>
        <w:ind w:left="142" w:hanging="142"/>
      </w:pPr>
      <w:r w:rsidRPr="00EB3807">
        <w:rPr>
          <w:rStyle w:val="SubtleReference"/>
          <w:lang w:val="es-ES"/>
        </w:rPr>
        <w:t>Instituto de Pesquisa Econômica Aplicada</w:t>
      </w:r>
      <w:r w:rsidRPr="00EB3807">
        <w:rPr>
          <w:lang w:val="es-ES"/>
        </w:rPr>
        <w:t xml:space="preserve"> (IPEA). </w:t>
      </w:r>
      <w:r w:rsidRPr="00EB3807">
        <w:rPr>
          <w:i/>
        </w:rPr>
        <w:t>IPEA Data</w:t>
      </w:r>
      <w:r w:rsidRPr="00EB3807">
        <w:t xml:space="preserve">. Available from: </w:t>
      </w:r>
      <w:hyperlink r:id="rId10" w:history="1">
        <w:r w:rsidRPr="00EB3807">
          <w:rPr>
            <w:rStyle w:val="Hyperlink"/>
          </w:rPr>
          <w:t>http://www.ipeadata.gov.br/ipeaweb.dll/ipeadata?598502812</w:t>
        </w:r>
      </w:hyperlink>
    </w:p>
    <w:p w:rsidR="00DE091F" w:rsidRPr="00EB3807" w:rsidRDefault="00DE091F" w:rsidP="00F40DB0">
      <w:pPr>
        <w:ind w:left="142" w:hanging="142"/>
        <w:rPr>
          <w:lang w:val="es-ES"/>
        </w:rPr>
      </w:pPr>
      <w:r w:rsidRPr="00F50529">
        <w:rPr>
          <w:rStyle w:val="SubtleReference"/>
          <w:lang w:val="es-ES"/>
        </w:rPr>
        <w:t>Instituto Nacional de Estadística y Censos de la República Argentina</w:t>
      </w:r>
      <w:r w:rsidRPr="00EB3807">
        <w:rPr>
          <w:lang w:val="es-ES"/>
        </w:rPr>
        <w:t xml:space="preserve"> (INDEC). http://www.indec.mecon.ar/</w:t>
      </w:r>
    </w:p>
    <w:p w:rsidR="008E7516" w:rsidRPr="00EB3807" w:rsidRDefault="008E7516" w:rsidP="00F40DB0">
      <w:pPr>
        <w:ind w:left="142" w:hanging="142"/>
        <w:rPr>
          <w:lang w:val="es-ES"/>
        </w:rPr>
      </w:pPr>
      <w:r w:rsidRPr="00F50529">
        <w:rPr>
          <w:rStyle w:val="SubtleReference"/>
          <w:lang w:val="es-ES"/>
        </w:rPr>
        <w:t>Instituto Nacional de Estadística Geografía e Informática</w:t>
      </w:r>
      <w:r w:rsidRPr="00EB3807">
        <w:rPr>
          <w:lang w:val="es-ES"/>
        </w:rPr>
        <w:t xml:space="preserve">, INEGI, (1990): </w:t>
      </w:r>
      <w:r w:rsidRPr="00EB3807">
        <w:rPr>
          <w:i/>
          <w:lang w:val="es-ES"/>
        </w:rPr>
        <w:t>Estadísticas Históricas de México</w:t>
      </w:r>
      <w:r w:rsidRPr="00EB3807">
        <w:rPr>
          <w:lang w:val="es-ES"/>
        </w:rPr>
        <w:t xml:space="preserve">. </w:t>
      </w:r>
      <w:r w:rsidR="00160A3E" w:rsidRPr="00EB3807">
        <w:rPr>
          <w:lang w:val="es-ES"/>
        </w:rPr>
        <w:t>INEGI: Mexico City, DF</w:t>
      </w:r>
      <w:r w:rsidRPr="00EB3807">
        <w:rPr>
          <w:lang w:val="es-ES"/>
        </w:rPr>
        <w:t>.</w:t>
      </w:r>
    </w:p>
    <w:p w:rsidR="008E7516" w:rsidRPr="00EB3807" w:rsidRDefault="008E7516" w:rsidP="00F40DB0">
      <w:pPr>
        <w:ind w:left="142" w:hanging="142"/>
        <w:rPr>
          <w:lang w:val="es-ES"/>
        </w:rPr>
      </w:pPr>
      <w:r w:rsidRPr="00F50529">
        <w:rPr>
          <w:rStyle w:val="SubtleReference"/>
          <w:lang w:val="es-ES"/>
        </w:rPr>
        <w:t>Instituto Nacional de Estadísticas de Chile</w:t>
      </w:r>
      <w:r w:rsidRPr="00EB3807">
        <w:rPr>
          <w:lang w:val="es-ES"/>
        </w:rPr>
        <w:t xml:space="preserve"> (INE). http://www.ine.cl/</w:t>
      </w:r>
    </w:p>
    <w:p w:rsidR="008E7516" w:rsidRPr="00EB3807" w:rsidRDefault="008E7516" w:rsidP="00F40DB0">
      <w:pPr>
        <w:ind w:left="142" w:hanging="142"/>
      </w:pPr>
      <w:r w:rsidRPr="00F50529">
        <w:rPr>
          <w:rStyle w:val="SubtleReference"/>
          <w:lang w:val="es-ES"/>
        </w:rPr>
        <w:t>Instituto Tecnológico Autónomo de México</w:t>
      </w:r>
      <w:r w:rsidRPr="00EB3807">
        <w:rPr>
          <w:lang w:val="es-ES"/>
        </w:rPr>
        <w:t xml:space="preserve">, ITAM, (2004): </w:t>
      </w:r>
      <w:r w:rsidRPr="00EB3807">
        <w:rPr>
          <w:i/>
          <w:lang w:val="es-ES"/>
        </w:rPr>
        <w:t>Estadísticas Históricas de México</w:t>
      </w:r>
      <w:r w:rsidRPr="00EB3807">
        <w:rPr>
          <w:lang w:val="es-ES"/>
        </w:rPr>
        <w:t xml:space="preserve">. </w:t>
      </w:r>
      <w:r w:rsidRPr="00EB3807">
        <w:t>Available from: http://biblioteca.itam.mx/recursos/ehm.html#sector</w:t>
      </w:r>
    </w:p>
    <w:p w:rsidR="00F86E49" w:rsidRPr="00EB3807" w:rsidRDefault="00F86E49" w:rsidP="00F86E49">
      <w:pPr>
        <w:ind w:left="142" w:hanging="142"/>
        <w:contextualSpacing/>
      </w:pPr>
      <w:r w:rsidRPr="00EB3807">
        <w:rPr>
          <w:rStyle w:val="SubtleReference"/>
        </w:rPr>
        <w:t>International Labour Organization.</w:t>
      </w:r>
      <w:r w:rsidRPr="00EB3807">
        <w:t xml:space="preserve"> (1936-1964): </w:t>
      </w:r>
      <w:r w:rsidRPr="00EB3807">
        <w:rPr>
          <w:i/>
        </w:rPr>
        <w:t>International Labour Review</w:t>
      </w:r>
      <w:r w:rsidRPr="00EB3807">
        <w:t>. ILO Publications: Geneva.</w:t>
      </w:r>
    </w:p>
    <w:p w:rsidR="000001CB" w:rsidRPr="00EB3807" w:rsidRDefault="00F86E49" w:rsidP="00F86E49">
      <w:pPr>
        <w:ind w:left="142" w:hanging="142"/>
        <w:contextualSpacing/>
        <w:rPr>
          <w:lang w:val="es-ES"/>
        </w:rPr>
      </w:pPr>
      <w:r w:rsidRPr="00EB3807">
        <w:rPr>
          <w:rStyle w:val="SubtleReference"/>
        </w:rPr>
        <w:t>International Labour Organization.</w:t>
      </w:r>
      <w:r w:rsidRPr="00EB3807">
        <w:t xml:space="preserve"> (1964-1982): </w:t>
      </w:r>
      <w:r w:rsidRPr="00EB3807">
        <w:rPr>
          <w:i/>
        </w:rPr>
        <w:t>Yearbook of Labour Statistics</w:t>
      </w:r>
      <w:r w:rsidRPr="00EB3807">
        <w:t xml:space="preserve">. </w:t>
      </w:r>
      <w:r w:rsidRPr="00EB3807">
        <w:rPr>
          <w:lang w:val="es-ES"/>
        </w:rPr>
        <w:t>ILO Publications: Geneva.</w:t>
      </w:r>
    </w:p>
    <w:p w:rsidR="00395E3E" w:rsidRPr="00EB3807" w:rsidRDefault="00F86E49" w:rsidP="00F86E49">
      <w:pPr>
        <w:autoSpaceDE w:val="0"/>
        <w:autoSpaceDN w:val="0"/>
        <w:adjustRightInd w:val="0"/>
        <w:ind w:left="142" w:hanging="142"/>
        <w:rPr>
          <w:lang w:val="es-ES"/>
        </w:rPr>
      </w:pPr>
      <w:r w:rsidRPr="00EB3807">
        <w:rPr>
          <w:rStyle w:val="SubtleReference"/>
          <w:lang w:val="es-ES"/>
        </w:rPr>
        <w:t xml:space="preserve">Jaramillo, C.F., Nupia, O. </w:t>
      </w:r>
      <w:r w:rsidRPr="00EB3807">
        <w:rPr>
          <w:lang w:val="es-ES"/>
        </w:rPr>
        <w:t>and</w:t>
      </w:r>
      <w:r w:rsidRPr="00EB3807">
        <w:rPr>
          <w:rStyle w:val="SubtleReference"/>
          <w:lang w:val="es-ES"/>
        </w:rPr>
        <w:t xml:space="preserve"> Romero, C.A</w:t>
      </w:r>
      <w:r w:rsidRPr="00EB3807">
        <w:rPr>
          <w:lang w:val="es-ES"/>
        </w:rPr>
        <w:t>. (2000): «Integración en el Mercado L</w:t>
      </w:r>
      <w:r w:rsidR="00722694" w:rsidRPr="00EB3807">
        <w:rPr>
          <w:lang w:val="es-ES"/>
        </w:rPr>
        <w:t xml:space="preserve">aboral Colombiano: 1945-1998». </w:t>
      </w:r>
      <w:r w:rsidRPr="00EB3807">
        <w:rPr>
          <w:i/>
          <w:lang w:val="es-ES"/>
        </w:rPr>
        <w:t>Borradores de Economía</w:t>
      </w:r>
      <w:r w:rsidRPr="00EB3807">
        <w:rPr>
          <w:lang w:val="es-ES"/>
        </w:rPr>
        <w:t>,148, Banco de la República, Bogotá</w:t>
      </w:r>
      <w:r w:rsidR="00395E3E" w:rsidRPr="00EB3807">
        <w:rPr>
          <w:lang w:val="es-ES"/>
        </w:rPr>
        <w:t>.</w:t>
      </w:r>
    </w:p>
    <w:p w:rsidR="00546B49" w:rsidRPr="00F50529" w:rsidRDefault="00546B49" w:rsidP="00546B49">
      <w:pPr>
        <w:autoSpaceDE w:val="0"/>
        <w:autoSpaceDN w:val="0"/>
        <w:adjustRightInd w:val="0"/>
        <w:ind w:left="142" w:hanging="142"/>
        <w:rPr>
          <w:shd w:val="clear" w:color="auto" w:fill="FFFFFF"/>
        </w:rPr>
      </w:pPr>
      <w:r w:rsidRPr="00EB3807">
        <w:rPr>
          <w:rStyle w:val="SubtleReference"/>
          <w:lang w:val="es-ES"/>
        </w:rPr>
        <w:t>Kacef</w:t>
      </w:r>
      <w:r w:rsidR="00023795" w:rsidRPr="00EB3807">
        <w:rPr>
          <w:rStyle w:val="SubtleReference"/>
          <w:lang w:val="es-ES"/>
        </w:rPr>
        <w:t>,</w:t>
      </w:r>
      <w:r w:rsidRPr="00EB3807">
        <w:rPr>
          <w:rStyle w:val="SubtleReference"/>
          <w:lang w:val="es-ES"/>
        </w:rPr>
        <w:t xml:space="preserve"> O</w:t>
      </w:r>
      <w:r w:rsidR="00023795" w:rsidRPr="00EB3807">
        <w:rPr>
          <w:rStyle w:val="SubtleReference"/>
          <w:lang w:val="es-ES"/>
        </w:rPr>
        <w:t>.</w:t>
      </w:r>
      <w:r w:rsidR="00023795" w:rsidRPr="00EB3807">
        <w:rPr>
          <w:shd w:val="clear" w:color="auto" w:fill="FFFFFF"/>
          <w:lang w:val="es-ES"/>
        </w:rPr>
        <w:t xml:space="preserve"> and</w:t>
      </w:r>
      <w:r w:rsidRPr="00EB3807">
        <w:rPr>
          <w:shd w:val="clear" w:color="auto" w:fill="FFFFFF"/>
          <w:lang w:val="es-ES"/>
        </w:rPr>
        <w:t xml:space="preserve"> </w:t>
      </w:r>
      <w:r w:rsidRPr="00EB3807">
        <w:rPr>
          <w:rStyle w:val="SubtleReference"/>
          <w:lang w:val="es-ES"/>
        </w:rPr>
        <w:t>Manuelito</w:t>
      </w:r>
      <w:r w:rsidR="00023795" w:rsidRPr="00EB3807">
        <w:rPr>
          <w:rStyle w:val="SubtleReference"/>
          <w:lang w:val="es-ES"/>
        </w:rPr>
        <w:t>,</w:t>
      </w:r>
      <w:r w:rsidRPr="00EB3807">
        <w:rPr>
          <w:rStyle w:val="SubtleReference"/>
          <w:lang w:val="es-ES"/>
        </w:rPr>
        <w:t xml:space="preserve"> S.</w:t>
      </w:r>
      <w:r w:rsidRPr="00EB3807">
        <w:rPr>
          <w:shd w:val="clear" w:color="auto" w:fill="FFFFFF"/>
          <w:lang w:val="es-ES"/>
        </w:rPr>
        <w:t xml:space="preserve"> </w:t>
      </w:r>
      <w:r w:rsidR="00023795" w:rsidRPr="00EB3807">
        <w:rPr>
          <w:shd w:val="clear" w:color="auto" w:fill="FFFFFF"/>
          <w:lang w:val="es-ES"/>
        </w:rPr>
        <w:t>(2008</w:t>
      </w:r>
      <w:r w:rsidR="00722694" w:rsidRPr="00EB3807">
        <w:rPr>
          <w:shd w:val="clear" w:color="auto" w:fill="FFFFFF"/>
          <w:lang w:val="es-ES"/>
        </w:rPr>
        <w:t xml:space="preserve">): </w:t>
      </w:r>
      <w:r w:rsidRPr="00EB3807">
        <w:rPr>
          <w:i/>
          <w:shd w:val="clear" w:color="auto" w:fill="FFFFFF"/>
          <w:lang w:val="es-ES"/>
        </w:rPr>
        <w:t>El Ingreso Nacional Bruto Disponible en América Latina: una Perspectiva de Largo Plazo</w:t>
      </w:r>
      <w:r w:rsidRPr="00EB3807">
        <w:rPr>
          <w:shd w:val="clear" w:color="auto" w:fill="FFFFFF"/>
          <w:lang w:val="es-ES"/>
        </w:rPr>
        <w:t xml:space="preserve">. </w:t>
      </w:r>
      <w:r w:rsidRPr="00F50529">
        <w:rPr>
          <w:shd w:val="clear" w:color="auto" w:fill="FFFFFF"/>
        </w:rPr>
        <w:t>Serie Macroeconomía del Desarrollo. CEPAL, Santiago de Chile.</w:t>
      </w:r>
    </w:p>
    <w:p w:rsidR="00546B49" w:rsidRPr="00EB3807" w:rsidRDefault="00546B49" w:rsidP="00546B49">
      <w:pPr>
        <w:autoSpaceDE w:val="0"/>
        <w:autoSpaceDN w:val="0"/>
        <w:adjustRightInd w:val="0"/>
        <w:ind w:left="142" w:hanging="142"/>
        <w:rPr>
          <w:shd w:val="clear" w:color="auto" w:fill="FFFFFF"/>
        </w:rPr>
      </w:pPr>
      <w:r w:rsidRPr="00EB3807">
        <w:rPr>
          <w:rStyle w:val="SubtleReference"/>
        </w:rPr>
        <w:t>Keesing</w:t>
      </w:r>
      <w:r w:rsidR="00023795" w:rsidRPr="00EB3807">
        <w:rPr>
          <w:rStyle w:val="SubtleReference"/>
        </w:rPr>
        <w:t>,</w:t>
      </w:r>
      <w:r w:rsidRPr="00EB3807">
        <w:rPr>
          <w:rStyle w:val="SubtleReference"/>
        </w:rPr>
        <w:t xml:space="preserve"> D</w:t>
      </w:r>
      <w:r w:rsidR="00023795" w:rsidRPr="00EB3807">
        <w:rPr>
          <w:rStyle w:val="SubtleReference"/>
        </w:rPr>
        <w:t>.</w:t>
      </w:r>
      <w:r w:rsidRPr="00EB3807">
        <w:rPr>
          <w:rStyle w:val="SubtleReference"/>
        </w:rPr>
        <w:t>B.</w:t>
      </w:r>
      <w:r w:rsidRPr="00EB3807">
        <w:rPr>
          <w:shd w:val="clear" w:color="auto" w:fill="FFFFFF"/>
        </w:rPr>
        <w:t xml:space="preserve"> </w:t>
      </w:r>
      <w:r w:rsidR="00023795" w:rsidRPr="00EB3807">
        <w:rPr>
          <w:shd w:val="clear" w:color="auto" w:fill="FFFFFF"/>
        </w:rPr>
        <w:t>(1977</w:t>
      </w:r>
      <w:r w:rsidR="00EC7C5E" w:rsidRPr="00EB3807">
        <w:rPr>
          <w:shd w:val="clear" w:color="auto" w:fill="FFFFFF"/>
        </w:rPr>
        <w:t>): «</w:t>
      </w:r>
      <w:r w:rsidR="00CD6470" w:rsidRPr="00EB3807">
        <w:rPr>
          <w:shd w:val="clear" w:color="auto" w:fill="FFFFFF"/>
        </w:rPr>
        <w:t>Employment and Lack of E</w:t>
      </w:r>
      <w:r w:rsidRPr="00EB3807">
        <w:rPr>
          <w:shd w:val="clear" w:color="auto" w:fill="FFFFFF"/>
        </w:rPr>
        <w:t>mployment in Mexico, 1900-70</w:t>
      </w:r>
      <w:r w:rsidR="00CD6470" w:rsidRPr="00EB3807">
        <w:t>»</w:t>
      </w:r>
      <w:r w:rsidRPr="00EB3807">
        <w:rPr>
          <w:shd w:val="clear" w:color="auto" w:fill="FFFFFF"/>
        </w:rPr>
        <w:t xml:space="preserve">. In </w:t>
      </w:r>
      <w:r w:rsidRPr="00EB3807">
        <w:rPr>
          <w:rStyle w:val="SubtleReference"/>
        </w:rPr>
        <w:t>Wilkie</w:t>
      </w:r>
      <w:r w:rsidR="00877B51" w:rsidRPr="00EB3807">
        <w:rPr>
          <w:rStyle w:val="SubtleReference"/>
        </w:rPr>
        <w:t>,</w:t>
      </w:r>
      <w:r w:rsidRPr="00EB3807">
        <w:rPr>
          <w:rStyle w:val="SubtleReference"/>
        </w:rPr>
        <w:t xml:space="preserve"> J</w:t>
      </w:r>
      <w:r w:rsidR="00023795" w:rsidRPr="00EB3807">
        <w:rPr>
          <w:rStyle w:val="SubtleReference"/>
        </w:rPr>
        <w:t>.</w:t>
      </w:r>
      <w:r w:rsidRPr="00EB3807">
        <w:rPr>
          <w:rStyle w:val="SubtleReference"/>
        </w:rPr>
        <w:t>W</w:t>
      </w:r>
      <w:r w:rsidR="00023795" w:rsidRPr="00EB3807">
        <w:rPr>
          <w:rStyle w:val="SubtleReference"/>
        </w:rPr>
        <w:t>.</w:t>
      </w:r>
      <w:r w:rsidR="00023795" w:rsidRPr="00EB3807">
        <w:rPr>
          <w:shd w:val="clear" w:color="auto" w:fill="FFFFFF"/>
        </w:rPr>
        <w:t xml:space="preserve"> and</w:t>
      </w:r>
      <w:r w:rsidRPr="00EB3807">
        <w:rPr>
          <w:shd w:val="clear" w:color="auto" w:fill="FFFFFF"/>
        </w:rPr>
        <w:t xml:space="preserve"> </w:t>
      </w:r>
      <w:r w:rsidRPr="00EB3807">
        <w:rPr>
          <w:rStyle w:val="SubtleReference"/>
        </w:rPr>
        <w:t>Ruddle</w:t>
      </w:r>
      <w:r w:rsidR="00023795" w:rsidRPr="00EB3807">
        <w:rPr>
          <w:rStyle w:val="SubtleReference"/>
        </w:rPr>
        <w:t>,</w:t>
      </w:r>
      <w:r w:rsidRPr="00EB3807">
        <w:rPr>
          <w:rStyle w:val="SubtleReference"/>
        </w:rPr>
        <w:t xml:space="preserve"> K</w:t>
      </w:r>
      <w:r w:rsidR="00023795" w:rsidRPr="00EB3807">
        <w:rPr>
          <w:shd w:val="clear" w:color="auto" w:fill="FFFFFF"/>
        </w:rPr>
        <w:t>.</w:t>
      </w:r>
      <w:r w:rsidR="00CD6470" w:rsidRPr="00EB3807">
        <w:rPr>
          <w:shd w:val="clear" w:color="auto" w:fill="FFFFFF"/>
        </w:rPr>
        <w:t xml:space="preserve"> (eds),</w:t>
      </w:r>
      <w:r w:rsidRPr="00EB3807">
        <w:rPr>
          <w:shd w:val="clear" w:color="auto" w:fill="FFFFFF"/>
        </w:rPr>
        <w:t xml:space="preserve"> </w:t>
      </w:r>
      <w:r w:rsidRPr="00EB3807">
        <w:rPr>
          <w:i/>
          <w:shd w:val="clear" w:color="auto" w:fill="FFFFFF"/>
        </w:rPr>
        <w:t>Quantitative Latin American Studies: Methods and Findings</w:t>
      </w:r>
      <w:r w:rsidRPr="00EB3807">
        <w:rPr>
          <w:shd w:val="clear" w:color="auto" w:fill="FFFFFF"/>
        </w:rPr>
        <w:t>. SALA Supplement Series 6, UCLA, Los Angeles</w:t>
      </w:r>
      <w:r w:rsidR="00023795" w:rsidRPr="00EB3807">
        <w:rPr>
          <w:shd w:val="clear" w:color="auto" w:fill="FFFFFF"/>
        </w:rPr>
        <w:t>.</w:t>
      </w:r>
    </w:p>
    <w:p w:rsidR="00E50DA8" w:rsidRPr="00EB3807" w:rsidRDefault="00E50DA8" w:rsidP="006D5BE0">
      <w:pPr>
        <w:autoSpaceDE w:val="0"/>
        <w:autoSpaceDN w:val="0"/>
        <w:adjustRightInd w:val="0"/>
        <w:ind w:left="142" w:hanging="142"/>
        <w:rPr>
          <w:rStyle w:val="SubtleReference"/>
        </w:rPr>
      </w:pPr>
      <w:r w:rsidRPr="00EB3807">
        <w:rPr>
          <w:rStyle w:val="SubtleReference"/>
        </w:rPr>
        <w:t xml:space="preserve">League of Nations (1926-1944): </w:t>
      </w:r>
      <w:r w:rsidRPr="00EB3807">
        <w:rPr>
          <w:i/>
        </w:rPr>
        <w:t>Statistical Yearbooks</w:t>
      </w:r>
      <w:r w:rsidRPr="00EB3807">
        <w:t>. League of Nations Publications: Geneva.</w:t>
      </w:r>
    </w:p>
    <w:p w:rsidR="00CB7170" w:rsidRPr="00EB3807" w:rsidRDefault="006D5BE0" w:rsidP="006D5BE0">
      <w:pPr>
        <w:autoSpaceDE w:val="0"/>
        <w:autoSpaceDN w:val="0"/>
        <w:adjustRightInd w:val="0"/>
        <w:ind w:left="142" w:hanging="142"/>
        <w:rPr>
          <w:lang w:val="es-ES"/>
        </w:rPr>
      </w:pPr>
      <w:r w:rsidRPr="00EB3807">
        <w:rPr>
          <w:rStyle w:val="SubtleReference"/>
          <w:lang w:val="es-ES"/>
        </w:rPr>
        <w:t>Lobo, E.M</w:t>
      </w:r>
      <w:r w:rsidRPr="00EB3807">
        <w:rPr>
          <w:lang w:val="es-ES"/>
        </w:rPr>
        <w:t xml:space="preserve">. (1978): </w:t>
      </w:r>
      <w:r w:rsidRPr="00EB3807">
        <w:rPr>
          <w:i/>
          <w:lang w:val="es-ES"/>
        </w:rPr>
        <w:t>História do Rio de Janeiro (do Capital Comercial ao Industrial e Financiero)</w:t>
      </w:r>
      <w:r w:rsidRPr="00EB3807">
        <w:rPr>
          <w:lang w:val="es-ES"/>
        </w:rPr>
        <w:t>. Rio de Janeiro, IBMEC.</w:t>
      </w:r>
    </w:p>
    <w:p w:rsidR="00CB7170" w:rsidRPr="00EB3807" w:rsidRDefault="00CB7170" w:rsidP="00F40DB0">
      <w:pPr>
        <w:autoSpaceDE w:val="0"/>
        <w:autoSpaceDN w:val="0"/>
        <w:adjustRightInd w:val="0"/>
        <w:ind w:left="142" w:hanging="142"/>
        <w:rPr>
          <w:lang w:val="es-ES"/>
        </w:rPr>
      </w:pPr>
      <w:r w:rsidRPr="00EB3807">
        <w:rPr>
          <w:rStyle w:val="SubtleReference"/>
          <w:lang w:val="es-ES"/>
        </w:rPr>
        <w:t>Londoño, J</w:t>
      </w:r>
      <w:r w:rsidR="00A33235" w:rsidRPr="00EB3807">
        <w:rPr>
          <w:rStyle w:val="SubtleReference"/>
          <w:lang w:val="es-ES"/>
        </w:rPr>
        <w:t>.</w:t>
      </w:r>
      <w:r w:rsidRPr="00EB3807">
        <w:rPr>
          <w:rStyle w:val="SubtleReference"/>
          <w:lang w:val="es-ES"/>
        </w:rPr>
        <w:t>L.</w:t>
      </w:r>
      <w:r w:rsidRPr="00EB3807">
        <w:rPr>
          <w:lang w:val="es-ES"/>
        </w:rPr>
        <w:t xml:space="preserve"> </w:t>
      </w:r>
      <w:r w:rsidR="00A33235" w:rsidRPr="00EB3807">
        <w:rPr>
          <w:lang w:val="es-ES"/>
        </w:rPr>
        <w:t>(</w:t>
      </w:r>
      <w:r w:rsidR="006E539A" w:rsidRPr="00EB3807">
        <w:rPr>
          <w:lang w:val="es-ES"/>
        </w:rPr>
        <w:t>1995</w:t>
      </w:r>
      <w:r w:rsidR="00A33235" w:rsidRPr="00EB3807">
        <w:rPr>
          <w:lang w:val="es-ES"/>
        </w:rPr>
        <w:t>):</w:t>
      </w:r>
      <w:r w:rsidRPr="00EB3807">
        <w:rPr>
          <w:lang w:val="es-ES"/>
        </w:rPr>
        <w:t xml:space="preserve"> </w:t>
      </w:r>
      <w:r w:rsidR="006E539A" w:rsidRPr="00EB3807">
        <w:rPr>
          <w:i/>
          <w:lang w:val="es-ES"/>
        </w:rPr>
        <w:t>Distribución del Ingreso y Desarrollo E</w:t>
      </w:r>
      <w:r w:rsidRPr="00EB3807">
        <w:rPr>
          <w:i/>
          <w:lang w:val="es-ES"/>
        </w:rPr>
        <w:t>co</w:t>
      </w:r>
      <w:r w:rsidR="00D5577D" w:rsidRPr="00EB3807">
        <w:rPr>
          <w:i/>
          <w:lang w:val="es-ES"/>
        </w:rPr>
        <w:t>nómico. Colombia en el siglo XX</w:t>
      </w:r>
      <w:r w:rsidR="00D5577D" w:rsidRPr="00EB3807">
        <w:rPr>
          <w:lang w:val="es-ES"/>
        </w:rPr>
        <w:t>.</w:t>
      </w:r>
      <w:r w:rsidRPr="00EB3807">
        <w:rPr>
          <w:lang w:val="es-ES"/>
        </w:rPr>
        <w:t xml:space="preserve"> Bogotá, Tercer Mundo Editores, Banco de la República, Fedesarrollo.</w:t>
      </w:r>
    </w:p>
    <w:p w:rsidR="00410B92" w:rsidRPr="00EB3807" w:rsidRDefault="00023795" w:rsidP="00F40DB0">
      <w:pPr>
        <w:ind w:left="142" w:hanging="142"/>
        <w:rPr>
          <w:lang w:val="es-ES"/>
        </w:rPr>
      </w:pPr>
      <w:r w:rsidRPr="00EB3807">
        <w:rPr>
          <w:rStyle w:val="SubtleReference"/>
          <w:lang w:val="es-ES"/>
        </w:rPr>
        <w:t>López Mejía, A.</w:t>
      </w:r>
      <w:r w:rsidRPr="00EB3807">
        <w:rPr>
          <w:lang w:val="es-ES"/>
        </w:rPr>
        <w:t xml:space="preserve"> (1990</w:t>
      </w:r>
      <w:r w:rsidR="00EC7C5E" w:rsidRPr="00EB3807">
        <w:rPr>
          <w:lang w:val="es-ES"/>
        </w:rPr>
        <w:t>): «</w:t>
      </w:r>
      <w:r w:rsidR="00CD6470" w:rsidRPr="00EB3807">
        <w:rPr>
          <w:lang w:val="es-ES"/>
        </w:rPr>
        <w:t>La Estabilización de la Economía Colombiana después de la Guerra de los Mil Días y el Período de Transición M</w:t>
      </w:r>
      <w:r w:rsidR="00410B92" w:rsidRPr="00EB3807">
        <w:rPr>
          <w:lang w:val="es-ES"/>
        </w:rPr>
        <w:t>onetari</w:t>
      </w:r>
      <w:r w:rsidR="00CD6470" w:rsidRPr="00EB3807">
        <w:rPr>
          <w:lang w:val="es-ES"/>
        </w:rPr>
        <w:t>a C</w:t>
      </w:r>
      <w:r w:rsidRPr="00EB3807">
        <w:rPr>
          <w:lang w:val="es-ES"/>
        </w:rPr>
        <w:t>omprendido entre 1903 y 1923</w:t>
      </w:r>
      <w:r w:rsidR="00CD6470" w:rsidRPr="00EB3807">
        <w:rPr>
          <w:lang w:val="es-ES"/>
        </w:rPr>
        <w:t>». I</w:t>
      </w:r>
      <w:r w:rsidR="00410B92" w:rsidRPr="00EB3807">
        <w:rPr>
          <w:lang w:val="es-ES"/>
        </w:rPr>
        <w:t xml:space="preserve">n </w:t>
      </w:r>
      <w:r w:rsidR="00410B92" w:rsidRPr="00EB3807">
        <w:rPr>
          <w:rStyle w:val="SubtleReference"/>
          <w:lang w:val="es-ES"/>
        </w:rPr>
        <w:t>López</w:t>
      </w:r>
      <w:r w:rsidRPr="00EB3807">
        <w:rPr>
          <w:rStyle w:val="SubtleReference"/>
          <w:lang w:val="es-ES"/>
        </w:rPr>
        <w:t>,</w:t>
      </w:r>
      <w:r w:rsidR="00410B92" w:rsidRPr="00EB3807">
        <w:rPr>
          <w:rStyle w:val="SubtleReference"/>
          <w:lang w:val="es-ES"/>
        </w:rPr>
        <w:t xml:space="preserve"> A</w:t>
      </w:r>
      <w:r w:rsidR="00410B92" w:rsidRPr="00EB3807">
        <w:rPr>
          <w:lang w:val="es-ES"/>
        </w:rPr>
        <w:t xml:space="preserve">. and </w:t>
      </w:r>
      <w:r w:rsidR="00410B92" w:rsidRPr="00EB3807">
        <w:rPr>
          <w:rStyle w:val="SubtleReference"/>
          <w:lang w:val="es-ES"/>
        </w:rPr>
        <w:t>A. Meisel</w:t>
      </w:r>
      <w:r w:rsidR="00410B92" w:rsidRPr="00EB3807">
        <w:rPr>
          <w:lang w:val="es-ES"/>
        </w:rPr>
        <w:t xml:space="preserve"> (eds.), </w:t>
      </w:r>
      <w:r w:rsidR="00410B92" w:rsidRPr="00EB3807">
        <w:rPr>
          <w:i/>
          <w:lang w:val="es-ES"/>
        </w:rPr>
        <w:t>El Banco de la República. Antecedentes, Evolución y Estructura</w:t>
      </w:r>
      <w:r w:rsidR="00410B92" w:rsidRPr="00EB3807">
        <w:rPr>
          <w:lang w:val="es-ES"/>
        </w:rPr>
        <w:t xml:space="preserve">, Bogotá: Banco de la República. </w:t>
      </w:r>
    </w:p>
    <w:p w:rsidR="00472EF7" w:rsidRPr="00EB3807" w:rsidRDefault="006D5BE0" w:rsidP="00F40DB0">
      <w:pPr>
        <w:autoSpaceDE w:val="0"/>
        <w:autoSpaceDN w:val="0"/>
        <w:adjustRightInd w:val="0"/>
        <w:ind w:left="142" w:hanging="142"/>
        <w:rPr>
          <w:lang w:val="es-ES"/>
        </w:rPr>
      </w:pPr>
      <w:r w:rsidRPr="00EB3807">
        <w:rPr>
          <w:rStyle w:val="SubtleReference"/>
          <w:lang w:val="es-ES"/>
        </w:rPr>
        <w:t>Lopéz Uribe, M.P</w:t>
      </w:r>
      <w:r w:rsidRPr="00EB3807">
        <w:rPr>
          <w:lang w:val="es-ES"/>
        </w:rPr>
        <w:t xml:space="preserve">. (2008): «Diferenciación Salarial y Condiciones de Vida en Bogotá, 1900-1950». </w:t>
      </w:r>
      <w:r w:rsidRPr="00EB3807">
        <w:rPr>
          <w:i/>
          <w:lang w:val="es-ES"/>
        </w:rPr>
        <w:t>Documentos CEDE</w:t>
      </w:r>
      <w:r w:rsidRPr="00EB3807">
        <w:rPr>
          <w:lang w:val="es-ES"/>
        </w:rPr>
        <w:t xml:space="preserve"> 25, November</w:t>
      </w:r>
      <w:r w:rsidR="00472EF7" w:rsidRPr="00EB3807">
        <w:rPr>
          <w:lang w:val="es-ES"/>
        </w:rPr>
        <w:t>.</w:t>
      </w:r>
    </w:p>
    <w:p w:rsidR="000001CB" w:rsidRPr="00EB3807" w:rsidRDefault="000001CB" w:rsidP="00F40DB0">
      <w:pPr>
        <w:ind w:left="142" w:hanging="142"/>
        <w:contextualSpacing/>
        <w:rPr>
          <w:lang w:val="es-ES"/>
        </w:rPr>
      </w:pPr>
      <w:r w:rsidRPr="00EB3807">
        <w:rPr>
          <w:rStyle w:val="SubtleReference"/>
          <w:lang w:val="es-ES"/>
        </w:rPr>
        <w:lastRenderedPageBreak/>
        <w:t>Lucas</w:t>
      </w:r>
      <w:r w:rsidR="00490A0C" w:rsidRPr="00EB3807">
        <w:rPr>
          <w:rStyle w:val="SubtleReference"/>
          <w:lang w:val="es-ES"/>
        </w:rPr>
        <w:t>,</w:t>
      </w:r>
      <w:r w:rsidRPr="00EB3807">
        <w:rPr>
          <w:rStyle w:val="SubtleReference"/>
          <w:lang w:val="es-ES"/>
        </w:rPr>
        <w:t xml:space="preserve"> G</w:t>
      </w:r>
      <w:r w:rsidR="00490A0C" w:rsidRPr="00EB3807">
        <w:rPr>
          <w:rStyle w:val="SubtleReference"/>
          <w:lang w:val="es-ES"/>
        </w:rPr>
        <w:t>.</w:t>
      </w:r>
      <w:r w:rsidRPr="00EB3807">
        <w:rPr>
          <w:lang w:val="es-ES"/>
        </w:rPr>
        <w:t xml:space="preserve"> (1991)</w:t>
      </w:r>
      <w:r w:rsidR="00490A0C" w:rsidRPr="00EB3807">
        <w:rPr>
          <w:lang w:val="es-ES"/>
        </w:rPr>
        <w:t xml:space="preserve">: </w:t>
      </w:r>
      <w:r w:rsidR="00490A0C" w:rsidRPr="00EB3807">
        <w:rPr>
          <w:i/>
          <w:lang w:val="es-ES"/>
        </w:rPr>
        <w:t>Sueldos y S</w:t>
      </w:r>
      <w:r w:rsidRPr="00EB3807">
        <w:rPr>
          <w:i/>
          <w:lang w:val="es-ES"/>
        </w:rPr>
        <w:t>a</w:t>
      </w:r>
      <w:r w:rsidR="00490A0C" w:rsidRPr="00EB3807">
        <w:rPr>
          <w:i/>
          <w:lang w:val="es-ES"/>
        </w:rPr>
        <w:t>larios en Venezuela (1800-1936)</w:t>
      </w:r>
      <w:r w:rsidR="00490A0C" w:rsidRPr="00EB3807">
        <w:rPr>
          <w:lang w:val="es-ES"/>
        </w:rPr>
        <w:t>.</w:t>
      </w:r>
      <w:r w:rsidRPr="00EB3807">
        <w:rPr>
          <w:lang w:val="es-ES"/>
        </w:rPr>
        <w:t xml:space="preserve"> Doctoral Thesis</w:t>
      </w:r>
      <w:r w:rsidR="00C74E43" w:rsidRPr="00EB3807">
        <w:rPr>
          <w:lang w:val="es-ES"/>
        </w:rPr>
        <w:t>,</w:t>
      </w:r>
      <w:r w:rsidRPr="00EB3807">
        <w:rPr>
          <w:lang w:val="es-ES"/>
        </w:rPr>
        <w:t xml:space="preserve"> Universidad Católica Andrés Bello</w:t>
      </w:r>
      <w:r w:rsidR="00C74E43" w:rsidRPr="00EB3807">
        <w:rPr>
          <w:lang w:val="es-ES"/>
        </w:rPr>
        <w:t>, Caracas</w:t>
      </w:r>
      <w:r w:rsidRPr="00EB3807">
        <w:rPr>
          <w:lang w:val="es-ES"/>
        </w:rPr>
        <w:t>.</w:t>
      </w:r>
    </w:p>
    <w:p w:rsidR="001212B0" w:rsidRPr="00EB3807" w:rsidRDefault="00490A0C" w:rsidP="00F40DB0">
      <w:pPr>
        <w:autoSpaceDE w:val="0"/>
        <w:autoSpaceDN w:val="0"/>
        <w:adjustRightInd w:val="0"/>
        <w:ind w:left="142" w:hanging="142"/>
        <w:rPr>
          <w:lang w:val="es-ES"/>
        </w:rPr>
      </w:pPr>
      <w:r w:rsidRPr="00EB3807">
        <w:rPr>
          <w:rStyle w:val="SubtleReference"/>
          <w:lang w:val="es-ES"/>
        </w:rPr>
        <w:t>Macín, F</w:t>
      </w:r>
      <w:r w:rsidR="001212B0" w:rsidRPr="00EB3807">
        <w:rPr>
          <w:rStyle w:val="SubtleReference"/>
          <w:lang w:val="es-ES"/>
        </w:rPr>
        <w:t>.</w:t>
      </w:r>
      <w:r w:rsidR="001212B0" w:rsidRPr="00EB3807">
        <w:rPr>
          <w:lang w:val="es-ES"/>
        </w:rPr>
        <w:t xml:space="preserve"> </w:t>
      </w:r>
      <w:r w:rsidRPr="00EB3807">
        <w:rPr>
          <w:lang w:val="es-ES"/>
        </w:rPr>
        <w:t>(</w:t>
      </w:r>
      <w:r w:rsidR="001212B0" w:rsidRPr="00EB3807">
        <w:rPr>
          <w:lang w:val="es-ES"/>
        </w:rPr>
        <w:t>1947</w:t>
      </w:r>
      <w:r w:rsidRPr="00EB3807">
        <w:rPr>
          <w:lang w:val="es-ES"/>
        </w:rPr>
        <w:t>):</w:t>
      </w:r>
      <w:r w:rsidR="001212B0" w:rsidRPr="00EB3807">
        <w:rPr>
          <w:lang w:val="es-ES"/>
        </w:rPr>
        <w:t xml:space="preserve"> </w:t>
      </w:r>
      <w:r w:rsidR="001212B0" w:rsidRPr="00EB3807">
        <w:rPr>
          <w:i/>
          <w:lang w:val="es-ES"/>
        </w:rPr>
        <w:t>Los Salarios en México</w:t>
      </w:r>
      <w:r w:rsidR="001212B0" w:rsidRPr="00EB3807">
        <w:rPr>
          <w:lang w:val="es-ES"/>
        </w:rPr>
        <w:t>. México, Fondo de Cultura Editorial.</w:t>
      </w:r>
    </w:p>
    <w:p w:rsidR="001212B0" w:rsidRPr="00EB3807" w:rsidRDefault="00B4328A" w:rsidP="00F40DB0">
      <w:pPr>
        <w:ind w:left="142" w:hanging="142"/>
        <w:contextualSpacing/>
      </w:pPr>
      <w:r w:rsidRPr="00EB3807">
        <w:rPr>
          <w:rStyle w:val="SubtleReference"/>
        </w:rPr>
        <w:t xml:space="preserve">Mamalakis, M. </w:t>
      </w:r>
      <w:r w:rsidR="003946E1" w:rsidRPr="00EB3807">
        <w:t>(</w:t>
      </w:r>
      <w:r w:rsidRPr="00EB3807">
        <w:t>1983</w:t>
      </w:r>
      <w:r w:rsidR="003946E1" w:rsidRPr="00EB3807">
        <w:t>):</w:t>
      </w:r>
      <w:r w:rsidR="001212B0" w:rsidRPr="00EB3807">
        <w:t xml:space="preserve"> </w:t>
      </w:r>
      <w:r w:rsidR="001212B0" w:rsidRPr="00EB3807">
        <w:rPr>
          <w:i/>
        </w:rPr>
        <w:t>H</w:t>
      </w:r>
      <w:r w:rsidRPr="00EB3807">
        <w:rPr>
          <w:i/>
        </w:rPr>
        <w:t xml:space="preserve">istorical Statistics of Chile. </w:t>
      </w:r>
      <w:r w:rsidR="001212B0" w:rsidRPr="00EB3807">
        <w:rPr>
          <w:i/>
        </w:rPr>
        <w:t>Demography and Labor Force, Vol. 2</w:t>
      </w:r>
      <w:r w:rsidR="001212B0" w:rsidRPr="00EB3807">
        <w:t>. Greenwood Press, Westport, CT; London, England, 1-420.</w:t>
      </w:r>
    </w:p>
    <w:p w:rsidR="00CC7F0E" w:rsidRPr="00EB3807" w:rsidRDefault="001D47CE" w:rsidP="00F40DB0">
      <w:pPr>
        <w:autoSpaceDE w:val="0"/>
        <w:autoSpaceDN w:val="0"/>
        <w:adjustRightInd w:val="0"/>
        <w:ind w:left="142" w:hanging="142"/>
        <w:rPr>
          <w:lang w:val="es-ES"/>
        </w:rPr>
      </w:pPr>
      <w:r w:rsidRPr="00EB3807">
        <w:rPr>
          <w:rStyle w:val="SubtleReference"/>
        </w:rPr>
        <w:t>Matus, M</w:t>
      </w:r>
      <w:r w:rsidRPr="00EB3807">
        <w:t xml:space="preserve">. (2009): </w:t>
      </w:r>
      <w:r w:rsidRPr="00EB3807">
        <w:rPr>
          <w:i/>
        </w:rPr>
        <w:t>Precios y Salarios Reales en Chile durante el Ciclo Salitrero</w:t>
      </w:r>
      <w:r w:rsidRPr="00EB3807">
        <w:t xml:space="preserve">, 1880-1930. </w:t>
      </w:r>
      <w:r w:rsidRPr="00EB3807">
        <w:rPr>
          <w:lang w:val="en-US"/>
        </w:rPr>
        <w:t xml:space="preserve">Ph.D. dissertation. </w:t>
      </w:r>
      <w:r w:rsidRPr="00EB3807">
        <w:rPr>
          <w:lang w:val="es-ES"/>
        </w:rPr>
        <w:t>Universitat de Barcelona, Barcelona</w:t>
      </w:r>
      <w:r w:rsidR="00CC7F0E" w:rsidRPr="00EB3807">
        <w:rPr>
          <w:lang w:val="es-ES"/>
        </w:rPr>
        <w:t>.</w:t>
      </w:r>
    </w:p>
    <w:p w:rsidR="00CB7170" w:rsidRPr="00EB3807" w:rsidRDefault="00CB7170" w:rsidP="00F40DB0">
      <w:pPr>
        <w:autoSpaceDE w:val="0"/>
        <w:autoSpaceDN w:val="0"/>
        <w:adjustRightInd w:val="0"/>
        <w:ind w:left="142" w:hanging="142"/>
        <w:rPr>
          <w:lang w:val="es-ES"/>
        </w:rPr>
      </w:pPr>
      <w:r w:rsidRPr="00EB3807">
        <w:rPr>
          <w:rStyle w:val="SubtleReference"/>
          <w:lang w:val="es-ES"/>
        </w:rPr>
        <w:t>McBeth, B.</w:t>
      </w:r>
      <w:r w:rsidRPr="00EB3807">
        <w:rPr>
          <w:lang w:val="es-ES"/>
        </w:rPr>
        <w:t xml:space="preserve"> </w:t>
      </w:r>
      <w:r w:rsidR="006555EB" w:rsidRPr="00EB3807">
        <w:rPr>
          <w:lang w:val="es-ES"/>
        </w:rPr>
        <w:t>(</w:t>
      </w:r>
      <w:r w:rsidRPr="00EB3807">
        <w:rPr>
          <w:lang w:val="es-ES"/>
        </w:rPr>
        <w:t>2011</w:t>
      </w:r>
      <w:r w:rsidR="00EC7C5E" w:rsidRPr="00EB3807">
        <w:rPr>
          <w:lang w:val="es-ES"/>
        </w:rPr>
        <w:t>): «</w:t>
      </w:r>
      <w:r w:rsidR="00722694" w:rsidRPr="00EB3807">
        <w:rPr>
          <w:lang w:val="es-ES"/>
        </w:rPr>
        <w:t>El I</w:t>
      </w:r>
      <w:r w:rsidRPr="00EB3807">
        <w:rPr>
          <w:lang w:val="es-ES"/>
        </w:rPr>
        <w:t>mp</w:t>
      </w:r>
      <w:r w:rsidR="00722694" w:rsidRPr="00EB3807">
        <w:rPr>
          <w:lang w:val="es-ES"/>
        </w:rPr>
        <w:t>acto E</w:t>
      </w:r>
      <w:r w:rsidRPr="00EB3807">
        <w:rPr>
          <w:lang w:val="es-ES"/>
        </w:rPr>
        <w:t xml:space="preserve">conómico, </w:t>
      </w:r>
      <w:r w:rsidR="00722694" w:rsidRPr="00EB3807">
        <w:rPr>
          <w:lang w:val="es-ES"/>
        </w:rPr>
        <w:t>Político y Social de las Compañías P</w:t>
      </w:r>
      <w:r w:rsidRPr="00EB3807">
        <w:rPr>
          <w:lang w:val="es-ES"/>
        </w:rPr>
        <w:t>etroleras en el Zulia, 1922-1935</w:t>
      </w:r>
      <w:r w:rsidR="003A6329" w:rsidRPr="00EB3807">
        <w:rPr>
          <w:lang w:val="es-ES"/>
        </w:rPr>
        <w:t>»</w:t>
      </w:r>
      <w:r w:rsidRPr="00EB3807">
        <w:rPr>
          <w:i/>
          <w:lang w:val="es-ES"/>
        </w:rPr>
        <w:t xml:space="preserve">. Nueva Economía, 34, </w:t>
      </w:r>
      <w:r w:rsidRPr="00EB3807">
        <w:rPr>
          <w:lang w:val="es-ES"/>
        </w:rPr>
        <w:t xml:space="preserve">November, </w:t>
      </w:r>
      <w:r w:rsidR="006555EB" w:rsidRPr="00EB3807">
        <w:rPr>
          <w:lang w:val="es-ES"/>
        </w:rPr>
        <w:t>pp.</w:t>
      </w:r>
      <w:r w:rsidRPr="00EB3807">
        <w:rPr>
          <w:lang w:val="es-ES"/>
        </w:rPr>
        <w:t>77-164.</w:t>
      </w:r>
    </w:p>
    <w:p w:rsidR="004D3E49" w:rsidRPr="00EB3807" w:rsidRDefault="004D3E49" w:rsidP="00F40DB0">
      <w:pPr>
        <w:ind w:left="142" w:hanging="142"/>
        <w:rPr>
          <w:lang w:val="es-ES"/>
        </w:rPr>
      </w:pPr>
      <w:r w:rsidRPr="00F50529">
        <w:rPr>
          <w:rStyle w:val="SubtleReference"/>
          <w:lang w:val="es-ES"/>
        </w:rPr>
        <w:t>Minist</w:t>
      </w:r>
      <w:r w:rsidR="004D3352" w:rsidRPr="00F50529">
        <w:rPr>
          <w:rStyle w:val="SubtleReference"/>
          <w:lang w:val="es-ES"/>
        </w:rPr>
        <w:t>erio da Agricultura, Industria e</w:t>
      </w:r>
      <w:r w:rsidRPr="00F50529">
        <w:rPr>
          <w:rStyle w:val="SubtleReference"/>
          <w:lang w:val="es-ES"/>
        </w:rPr>
        <w:t xml:space="preserve"> Com</w:t>
      </w:r>
      <w:r w:rsidR="004D3352" w:rsidRPr="00F50529">
        <w:rPr>
          <w:rStyle w:val="SubtleReference"/>
          <w:lang w:val="es-ES"/>
        </w:rPr>
        <w:t>m</w:t>
      </w:r>
      <w:r w:rsidRPr="00F50529">
        <w:rPr>
          <w:rStyle w:val="SubtleReference"/>
          <w:lang w:val="es-ES"/>
        </w:rPr>
        <w:t>ercio do Brasil</w:t>
      </w:r>
      <w:r w:rsidR="004D3352" w:rsidRPr="00EB3807">
        <w:rPr>
          <w:lang w:val="es-ES"/>
        </w:rPr>
        <w:t xml:space="preserve">. </w:t>
      </w:r>
      <w:r w:rsidR="00CD4740" w:rsidRPr="00EB3807">
        <w:rPr>
          <w:lang w:val="es-ES"/>
        </w:rPr>
        <w:t>(</w:t>
      </w:r>
      <w:r w:rsidR="004D3352" w:rsidRPr="00EB3807">
        <w:rPr>
          <w:lang w:val="es-ES"/>
        </w:rPr>
        <w:t>1924</w:t>
      </w:r>
      <w:r w:rsidR="00CD4740" w:rsidRPr="00EB3807">
        <w:rPr>
          <w:lang w:val="es-ES"/>
        </w:rPr>
        <w:t xml:space="preserve">): </w:t>
      </w:r>
      <w:r w:rsidR="004D3352" w:rsidRPr="00EB3807">
        <w:rPr>
          <w:i/>
          <w:lang w:val="es-ES"/>
        </w:rPr>
        <w:t>Resumo de Varias Estatisticas Economico-Financeiras</w:t>
      </w:r>
      <w:r w:rsidR="004D3352" w:rsidRPr="00EB3807">
        <w:rPr>
          <w:lang w:val="es-ES"/>
        </w:rPr>
        <w:t>. Rio de Janeiro.</w:t>
      </w:r>
    </w:p>
    <w:p w:rsidR="001212B0" w:rsidRPr="00EB3807" w:rsidRDefault="001212B0" w:rsidP="00F40DB0">
      <w:pPr>
        <w:autoSpaceDE w:val="0"/>
        <w:autoSpaceDN w:val="0"/>
        <w:adjustRightInd w:val="0"/>
        <w:ind w:left="142" w:hanging="142"/>
        <w:rPr>
          <w:lang w:val="es-ES"/>
        </w:rPr>
      </w:pPr>
      <w:r w:rsidRPr="00F50529">
        <w:rPr>
          <w:rStyle w:val="SubtleReference"/>
          <w:lang w:val="es-ES"/>
        </w:rPr>
        <w:t>Ministerio del Trabajo Empleo y Seguridad Social de Argentina</w:t>
      </w:r>
      <w:r w:rsidRPr="00EB3807">
        <w:rPr>
          <w:lang w:val="es-ES"/>
        </w:rPr>
        <w:t>. http://www.trabajo.gov.ar/</w:t>
      </w:r>
    </w:p>
    <w:p w:rsidR="001212B0" w:rsidRPr="00EB3807" w:rsidRDefault="00993272" w:rsidP="00F40DB0">
      <w:pPr>
        <w:autoSpaceDE w:val="0"/>
        <w:autoSpaceDN w:val="0"/>
        <w:adjustRightInd w:val="0"/>
        <w:ind w:left="142" w:hanging="142"/>
      </w:pPr>
      <w:r w:rsidRPr="00EB3807">
        <w:rPr>
          <w:rStyle w:val="SubtleReference"/>
        </w:rPr>
        <w:t>Mitchell</w:t>
      </w:r>
      <w:r w:rsidR="005217D4" w:rsidRPr="00EB3807">
        <w:rPr>
          <w:rStyle w:val="SubtleReference"/>
        </w:rPr>
        <w:t>,</w:t>
      </w:r>
      <w:r w:rsidRPr="00EB3807">
        <w:rPr>
          <w:rStyle w:val="SubtleReference"/>
        </w:rPr>
        <w:t xml:space="preserve"> B</w:t>
      </w:r>
      <w:r w:rsidR="005217D4" w:rsidRPr="00EB3807">
        <w:rPr>
          <w:rStyle w:val="SubtleReference"/>
        </w:rPr>
        <w:t>.R.</w:t>
      </w:r>
      <w:r w:rsidR="005217D4" w:rsidRPr="00EB3807">
        <w:t xml:space="preserve"> (</w:t>
      </w:r>
      <w:r w:rsidR="00711224" w:rsidRPr="00EB3807">
        <w:t>200</w:t>
      </w:r>
      <w:r w:rsidR="001212B0" w:rsidRPr="00EB3807">
        <w:t>3</w:t>
      </w:r>
      <w:r w:rsidR="005217D4" w:rsidRPr="00EB3807">
        <w:t>):</w:t>
      </w:r>
      <w:r w:rsidR="001212B0" w:rsidRPr="00EB3807">
        <w:rPr>
          <w:i/>
        </w:rPr>
        <w:t xml:space="preserve"> International Economic Statistics: The Americas 1750-1988</w:t>
      </w:r>
      <w:r w:rsidR="005217D4" w:rsidRPr="00EB3807">
        <w:t xml:space="preserve">. </w:t>
      </w:r>
      <w:r w:rsidR="001212B0" w:rsidRPr="00EB3807">
        <w:t>London: Macmillan</w:t>
      </w:r>
      <w:r w:rsidR="005217D4" w:rsidRPr="00EB3807">
        <w:t>.</w:t>
      </w:r>
    </w:p>
    <w:p w:rsidR="006616EC" w:rsidRPr="00EB3807" w:rsidRDefault="005B74B9" w:rsidP="00F40DB0">
      <w:pPr>
        <w:ind w:left="142" w:hanging="142"/>
        <w:contextualSpacing/>
        <w:rPr>
          <w:lang w:val="es-ES"/>
        </w:rPr>
      </w:pPr>
      <w:r w:rsidRPr="00EB3807">
        <w:rPr>
          <w:rStyle w:val="SubtleReference"/>
        </w:rPr>
        <w:t>Montevideo-Oxford Latin American Economic History Database</w:t>
      </w:r>
      <w:r w:rsidRPr="00EB3807">
        <w:t xml:space="preserve">, MOXLAD. </w:t>
      </w:r>
      <w:r w:rsidRPr="00EB3807">
        <w:rPr>
          <w:lang w:val="es-ES"/>
        </w:rPr>
        <w:t>The Latin American Centre, Oxford University, and the Universidad de la República (Uruguay)</w:t>
      </w:r>
      <w:r w:rsidR="006616EC" w:rsidRPr="00EB3807">
        <w:rPr>
          <w:lang w:val="es-ES"/>
        </w:rPr>
        <w:t xml:space="preserve">. </w:t>
      </w:r>
    </w:p>
    <w:p w:rsidR="00CB7170" w:rsidRPr="00EB3807" w:rsidRDefault="00CB7170" w:rsidP="00F40DB0">
      <w:pPr>
        <w:autoSpaceDE w:val="0"/>
        <w:autoSpaceDN w:val="0"/>
        <w:adjustRightInd w:val="0"/>
        <w:ind w:left="142" w:hanging="142"/>
        <w:rPr>
          <w:lang w:val="es-ES"/>
        </w:rPr>
      </w:pPr>
      <w:r w:rsidRPr="00EB3807">
        <w:rPr>
          <w:rStyle w:val="SubtleReference"/>
          <w:lang w:val="es-ES"/>
        </w:rPr>
        <w:t>Palacios, M.</w:t>
      </w:r>
      <w:r w:rsidRPr="00EB3807">
        <w:rPr>
          <w:lang w:val="es-ES"/>
        </w:rPr>
        <w:t xml:space="preserve"> </w:t>
      </w:r>
      <w:r w:rsidR="005217D4" w:rsidRPr="00EB3807">
        <w:rPr>
          <w:lang w:val="es-ES"/>
        </w:rPr>
        <w:t>(</w:t>
      </w:r>
      <w:r w:rsidRPr="00EB3807">
        <w:rPr>
          <w:lang w:val="es-ES"/>
        </w:rPr>
        <w:t>1983</w:t>
      </w:r>
      <w:r w:rsidR="005217D4" w:rsidRPr="00EB3807">
        <w:rPr>
          <w:lang w:val="es-ES"/>
        </w:rPr>
        <w:t>):</w:t>
      </w:r>
      <w:r w:rsidRPr="00EB3807">
        <w:rPr>
          <w:lang w:val="es-ES"/>
        </w:rPr>
        <w:t xml:space="preserve"> </w:t>
      </w:r>
      <w:r w:rsidRPr="00EB3807">
        <w:rPr>
          <w:i/>
          <w:lang w:val="es-ES"/>
        </w:rPr>
        <w:t>El Café en Colombia 1850-197</w:t>
      </w:r>
      <w:r w:rsidR="005217D4" w:rsidRPr="00EB3807">
        <w:rPr>
          <w:i/>
          <w:lang w:val="es-ES"/>
        </w:rPr>
        <w:t>0: Una Historia Social, Económica y P</w:t>
      </w:r>
      <w:r w:rsidRPr="00EB3807">
        <w:rPr>
          <w:i/>
          <w:lang w:val="es-ES"/>
        </w:rPr>
        <w:t>olítica</w:t>
      </w:r>
      <w:r w:rsidRPr="00EB3807">
        <w:rPr>
          <w:lang w:val="es-ES"/>
        </w:rPr>
        <w:t>. México D.F.: El Colegio de México.</w:t>
      </w:r>
    </w:p>
    <w:p w:rsidR="00D505A0" w:rsidRDefault="00D505A0" w:rsidP="00F40DB0">
      <w:pPr>
        <w:autoSpaceDE w:val="0"/>
        <w:autoSpaceDN w:val="0"/>
        <w:adjustRightInd w:val="0"/>
        <w:ind w:left="142" w:hanging="142"/>
        <w:rPr>
          <w:lang w:val="es-ES"/>
        </w:rPr>
      </w:pPr>
      <w:bookmarkStart w:id="10" w:name="_Hlk485394139"/>
      <w:r w:rsidRPr="00C70682">
        <w:rPr>
          <w:rStyle w:val="SubtleReference"/>
          <w:lang w:val="es-ES"/>
        </w:rPr>
        <w:t>Programa Regional del Empleo para América Latina y el Caribe</w:t>
      </w:r>
      <w:r>
        <w:rPr>
          <w:lang w:val="es-ES"/>
        </w:rPr>
        <w:t xml:space="preserve">, </w:t>
      </w:r>
      <w:r w:rsidRPr="001970B7">
        <w:rPr>
          <w:lang w:val="es-ES"/>
        </w:rPr>
        <w:t xml:space="preserve">PREALC. </w:t>
      </w:r>
      <w:r>
        <w:rPr>
          <w:lang w:val="es-ES"/>
        </w:rPr>
        <w:t>(</w:t>
      </w:r>
      <w:r w:rsidRPr="001970B7">
        <w:rPr>
          <w:lang w:val="es-ES"/>
        </w:rPr>
        <w:t>1982</w:t>
      </w:r>
      <w:r>
        <w:rPr>
          <w:lang w:val="es-ES"/>
        </w:rPr>
        <w:t>):</w:t>
      </w:r>
      <w:r w:rsidRPr="001970B7">
        <w:rPr>
          <w:lang w:val="es-ES"/>
        </w:rPr>
        <w:t xml:space="preserve"> </w:t>
      </w:r>
      <w:r w:rsidRPr="008B716E">
        <w:rPr>
          <w:i/>
          <w:lang w:val="es-ES"/>
        </w:rPr>
        <w:t>Mercado de Trabajo en Cifras</w:t>
      </w:r>
      <w:r w:rsidRPr="001970B7">
        <w:rPr>
          <w:lang w:val="es-ES"/>
        </w:rPr>
        <w:t xml:space="preserve">. </w:t>
      </w:r>
      <w:r w:rsidRPr="00D505A0">
        <w:rPr>
          <w:lang w:val="es-ES"/>
        </w:rPr>
        <w:t>1950-1980. PREALC publications, Lima.</w:t>
      </w:r>
    </w:p>
    <w:p w:rsidR="00CB7170" w:rsidRPr="00EB3807" w:rsidRDefault="00211022" w:rsidP="00F40DB0">
      <w:pPr>
        <w:autoSpaceDE w:val="0"/>
        <w:autoSpaceDN w:val="0"/>
        <w:adjustRightInd w:val="0"/>
        <w:ind w:left="142" w:hanging="142"/>
      </w:pPr>
      <w:r w:rsidRPr="00EB3807">
        <w:rPr>
          <w:rStyle w:val="SubtleReference"/>
          <w:lang w:val="es-ES"/>
        </w:rPr>
        <w:t>Rodríguez Weber, J</w:t>
      </w:r>
      <w:r w:rsidRPr="00EB3807">
        <w:rPr>
          <w:lang w:val="es-ES"/>
        </w:rPr>
        <w:t xml:space="preserve">. (2014): </w:t>
      </w:r>
      <w:bookmarkEnd w:id="10"/>
      <w:r w:rsidRPr="00EB3807">
        <w:rPr>
          <w:i/>
          <w:lang w:val="es-ES"/>
        </w:rPr>
        <w:t>La Economía Política de la Desigualdad del Ingreso en Chile, 1850-2009</w:t>
      </w:r>
      <w:r w:rsidRPr="00EB3807">
        <w:rPr>
          <w:lang w:val="es-ES"/>
        </w:rPr>
        <w:t xml:space="preserve">. </w:t>
      </w:r>
      <w:r w:rsidRPr="00EB3807">
        <w:t>Doctoral Thesis, Universidad de la República, Uruguay</w:t>
      </w:r>
      <w:r w:rsidR="00CB7170" w:rsidRPr="00EB3807">
        <w:t>.</w:t>
      </w:r>
    </w:p>
    <w:p w:rsidR="00B80C22" w:rsidRPr="00EB3807" w:rsidRDefault="007B67B9" w:rsidP="00F40DB0">
      <w:pPr>
        <w:ind w:left="142" w:hanging="142"/>
        <w:contextualSpacing/>
        <w:rPr>
          <w:lang w:val="en-US"/>
        </w:rPr>
      </w:pPr>
      <w:r w:rsidRPr="00EB3807">
        <w:rPr>
          <w:rStyle w:val="SubtleReference"/>
        </w:rPr>
        <w:t>Shipley</w:t>
      </w:r>
      <w:r w:rsidR="001B4032" w:rsidRPr="00EB3807">
        <w:rPr>
          <w:rStyle w:val="SubtleReference"/>
        </w:rPr>
        <w:t>,</w:t>
      </w:r>
      <w:r w:rsidRPr="00EB3807">
        <w:rPr>
          <w:rStyle w:val="SubtleReference"/>
        </w:rPr>
        <w:t xml:space="preserve"> R</w:t>
      </w:r>
      <w:r w:rsidR="001B4032" w:rsidRPr="00EB3807">
        <w:rPr>
          <w:rStyle w:val="SubtleReference"/>
        </w:rPr>
        <w:t>.</w:t>
      </w:r>
      <w:r w:rsidRPr="00EB3807">
        <w:rPr>
          <w:rStyle w:val="SubtleReference"/>
        </w:rPr>
        <w:t>E.</w:t>
      </w:r>
      <w:r w:rsidRPr="00EB3807">
        <w:rPr>
          <w:lang w:val="en-US"/>
        </w:rPr>
        <w:t xml:space="preserve"> </w:t>
      </w:r>
      <w:r w:rsidR="001B4032" w:rsidRPr="00EB3807">
        <w:rPr>
          <w:lang w:val="en-US"/>
        </w:rPr>
        <w:t>(</w:t>
      </w:r>
      <w:r w:rsidRPr="00EB3807">
        <w:rPr>
          <w:lang w:val="en-US"/>
        </w:rPr>
        <w:t>1977</w:t>
      </w:r>
      <w:r w:rsidR="001B4032" w:rsidRPr="00EB3807">
        <w:rPr>
          <w:lang w:val="en-US"/>
        </w:rPr>
        <w:t>):</w:t>
      </w:r>
      <w:r w:rsidR="00B80C22" w:rsidRPr="00EB3807">
        <w:rPr>
          <w:lang w:val="en-US"/>
        </w:rPr>
        <w:t xml:space="preserve"> </w:t>
      </w:r>
      <w:r w:rsidR="00B80C22" w:rsidRPr="00EB3807">
        <w:rPr>
          <w:i/>
          <w:lang w:val="en-US"/>
        </w:rPr>
        <w:t>On the Outside Looking In: A Social History of the Porteño Worker during the “Golden Age” of Argentine Development, 1914-1930</w:t>
      </w:r>
      <w:r w:rsidR="00B80C22" w:rsidRPr="00EB3807">
        <w:rPr>
          <w:lang w:val="en-US"/>
        </w:rPr>
        <w:t>. Ph.D. dissertation, Rutgers University.</w:t>
      </w:r>
    </w:p>
    <w:p w:rsidR="00655F13" w:rsidRPr="00EB3807" w:rsidRDefault="00655F13" w:rsidP="00F40DB0">
      <w:pPr>
        <w:autoSpaceDE w:val="0"/>
        <w:autoSpaceDN w:val="0"/>
        <w:adjustRightInd w:val="0"/>
        <w:ind w:left="142" w:hanging="142"/>
      </w:pPr>
      <w:r w:rsidRPr="00EB3807">
        <w:rPr>
          <w:rStyle w:val="SubtleReference"/>
        </w:rPr>
        <w:t>Thorp</w:t>
      </w:r>
      <w:r w:rsidR="006555EB" w:rsidRPr="00EB3807">
        <w:rPr>
          <w:rStyle w:val="SubtleReference"/>
        </w:rPr>
        <w:t xml:space="preserve">, R. </w:t>
      </w:r>
      <w:r w:rsidR="006555EB" w:rsidRPr="00EB3807">
        <w:t>and</w:t>
      </w:r>
      <w:r w:rsidRPr="00EB3807">
        <w:t xml:space="preserve"> </w:t>
      </w:r>
      <w:r w:rsidRPr="00EB3807">
        <w:rPr>
          <w:rStyle w:val="SubtleReference"/>
        </w:rPr>
        <w:t>Londoño</w:t>
      </w:r>
      <w:r w:rsidR="006555EB" w:rsidRPr="00EB3807">
        <w:rPr>
          <w:rStyle w:val="SubtleReference"/>
        </w:rPr>
        <w:t>,</w:t>
      </w:r>
      <w:r w:rsidR="007C7651" w:rsidRPr="00EB3807">
        <w:rPr>
          <w:rStyle w:val="SubtleReference"/>
        </w:rPr>
        <w:t xml:space="preserve"> C</w:t>
      </w:r>
      <w:r w:rsidRPr="00EB3807">
        <w:rPr>
          <w:rStyle w:val="SubtleReference"/>
        </w:rPr>
        <w:t>.</w:t>
      </w:r>
      <w:r w:rsidRPr="00EB3807">
        <w:t xml:space="preserve"> </w:t>
      </w:r>
      <w:r w:rsidR="006555EB" w:rsidRPr="00EB3807">
        <w:t>(</w:t>
      </w:r>
      <w:r w:rsidR="0043743C" w:rsidRPr="00EB3807">
        <w:t>1984</w:t>
      </w:r>
      <w:r w:rsidR="00EC7C5E" w:rsidRPr="00EB3807">
        <w:t>): «</w:t>
      </w:r>
      <w:r w:rsidR="00722694" w:rsidRPr="00EB3807">
        <w:t>The Effect of the 1929 D</w:t>
      </w:r>
      <w:r w:rsidR="0043743C" w:rsidRPr="00EB3807">
        <w:t>epression on Peru and Colombia</w:t>
      </w:r>
      <w:r w:rsidR="003A6329" w:rsidRPr="00EB3807">
        <w:t>». I</w:t>
      </w:r>
      <w:r w:rsidR="0043743C" w:rsidRPr="00EB3807">
        <w:t>n Thorp</w:t>
      </w:r>
      <w:r w:rsidR="003A6329" w:rsidRPr="00EB3807">
        <w:t>,</w:t>
      </w:r>
      <w:r w:rsidR="006555EB" w:rsidRPr="00EB3807">
        <w:t xml:space="preserve"> R.</w:t>
      </w:r>
      <w:r w:rsidR="003A6329" w:rsidRPr="00EB3807">
        <w:t xml:space="preserve"> (ed.),</w:t>
      </w:r>
      <w:r w:rsidR="0043743C" w:rsidRPr="00EB3807">
        <w:t xml:space="preserve"> </w:t>
      </w:r>
      <w:r w:rsidR="0043743C" w:rsidRPr="00EB3807">
        <w:rPr>
          <w:i/>
        </w:rPr>
        <w:t>Latin America in the 1930’s: The Role of the Periphery in the World Crisis</w:t>
      </w:r>
      <w:r w:rsidR="0043743C" w:rsidRPr="00EB3807">
        <w:t>, Macmillan and St. Antony’s College (UK), St. Martin’s Press (USA).</w:t>
      </w:r>
    </w:p>
    <w:p w:rsidR="00980289" w:rsidRPr="00F50529" w:rsidRDefault="00BB7FBF" w:rsidP="00F40DB0">
      <w:pPr>
        <w:autoSpaceDE w:val="0"/>
        <w:autoSpaceDN w:val="0"/>
        <w:adjustRightInd w:val="0"/>
        <w:ind w:left="142" w:hanging="142"/>
        <w:rPr>
          <w:lang w:val="es-ES"/>
        </w:rPr>
      </w:pPr>
      <w:r w:rsidRPr="00EB3807">
        <w:rPr>
          <w:rStyle w:val="SubtleReference"/>
        </w:rPr>
        <w:t>Urrutia</w:t>
      </w:r>
      <w:r w:rsidR="005822E1" w:rsidRPr="00EB3807">
        <w:rPr>
          <w:rStyle w:val="SubtleReference"/>
        </w:rPr>
        <w:t>,</w:t>
      </w:r>
      <w:r w:rsidRPr="00EB3807">
        <w:rPr>
          <w:rStyle w:val="SubtleReference"/>
        </w:rPr>
        <w:t xml:space="preserve"> </w:t>
      </w:r>
      <w:r w:rsidR="00980289" w:rsidRPr="00EB3807">
        <w:rPr>
          <w:rStyle w:val="SubtleReference"/>
        </w:rPr>
        <w:t>M</w:t>
      </w:r>
      <w:r w:rsidR="005822E1" w:rsidRPr="00EB3807">
        <w:rPr>
          <w:rStyle w:val="SubtleReference"/>
        </w:rPr>
        <w:t xml:space="preserve">. </w:t>
      </w:r>
      <w:r w:rsidR="005822E1" w:rsidRPr="00EB3807">
        <w:t>and</w:t>
      </w:r>
      <w:r w:rsidR="005822E1" w:rsidRPr="00EB3807">
        <w:rPr>
          <w:rStyle w:val="SubtleReference"/>
        </w:rPr>
        <w:t xml:space="preserve"> </w:t>
      </w:r>
      <w:r w:rsidR="00980289" w:rsidRPr="00EB3807">
        <w:rPr>
          <w:rStyle w:val="SubtleReference"/>
        </w:rPr>
        <w:t>Arrubla</w:t>
      </w:r>
      <w:r w:rsidR="005822E1" w:rsidRPr="00EB3807">
        <w:rPr>
          <w:rStyle w:val="SubtleReference"/>
        </w:rPr>
        <w:t>,</w:t>
      </w:r>
      <w:r w:rsidR="00980289" w:rsidRPr="00EB3807">
        <w:rPr>
          <w:rStyle w:val="SubtleReference"/>
        </w:rPr>
        <w:t xml:space="preserve"> M</w:t>
      </w:r>
      <w:r w:rsidR="005822E1" w:rsidRPr="00EB3807">
        <w:rPr>
          <w:rStyle w:val="SubtleReference"/>
        </w:rPr>
        <w:t>.</w:t>
      </w:r>
      <w:r w:rsidR="00980289" w:rsidRPr="00EB3807">
        <w:rPr>
          <w:rStyle w:val="SubtleReference"/>
        </w:rPr>
        <w:t xml:space="preserve"> (ed.)</w:t>
      </w:r>
      <w:r w:rsidR="00980289" w:rsidRPr="00EB3807">
        <w:t xml:space="preserve">. </w:t>
      </w:r>
      <w:r w:rsidR="005822E1" w:rsidRPr="00F50529">
        <w:rPr>
          <w:lang w:val="es-ES"/>
        </w:rPr>
        <w:t>(1970):</w:t>
      </w:r>
      <w:r w:rsidR="00980289" w:rsidRPr="00F50529">
        <w:rPr>
          <w:lang w:val="es-ES"/>
        </w:rPr>
        <w:t xml:space="preserve"> </w:t>
      </w:r>
      <w:r w:rsidR="00980289" w:rsidRPr="00F50529">
        <w:rPr>
          <w:i/>
          <w:lang w:val="es-ES"/>
        </w:rPr>
        <w:t>Estadísticas Históricas de Colombia</w:t>
      </w:r>
      <w:r w:rsidR="005822E1" w:rsidRPr="00F50529">
        <w:rPr>
          <w:lang w:val="es-ES"/>
        </w:rPr>
        <w:t xml:space="preserve">. </w:t>
      </w:r>
      <w:r w:rsidR="00980289" w:rsidRPr="00F50529">
        <w:rPr>
          <w:lang w:val="es-ES"/>
        </w:rPr>
        <w:t>Universidad Nacional de Colombia, Bogotá.</w:t>
      </w:r>
    </w:p>
    <w:p w:rsidR="003F10B3" w:rsidRPr="00EB3807" w:rsidRDefault="003F10B3" w:rsidP="003F10B3">
      <w:pPr>
        <w:autoSpaceDE w:val="0"/>
        <w:autoSpaceDN w:val="0"/>
        <w:adjustRightInd w:val="0"/>
        <w:ind w:left="142" w:hanging="142"/>
        <w:rPr>
          <w:lang w:val="es-ES"/>
        </w:rPr>
      </w:pPr>
      <w:r w:rsidRPr="00EB3807">
        <w:rPr>
          <w:rStyle w:val="SubtleReference"/>
          <w:lang w:val="es-ES"/>
        </w:rPr>
        <w:t xml:space="preserve">Urrutia, M. </w:t>
      </w:r>
      <w:r w:rsidRPr="00EB3807">
        <w:rPr>
          <w:lang w:val="es-ES"/>
        </w:rPr>
        <w:t>and</w:t>
      </w:r>
      <w:r w:rsidRPr="00EB3807">
        <w:rPr>
          <w:rStyle w:val="SubtleReference"/>
          <w:lang w:val="es-ES"/>
        </w:rPr>
        <w:t xml:space="preserve"> Ruiz, M.</w:t>
      </w:r>
      <w:r w:rsidRPr="00EB3807">
        <w:rPr>
          <w:lang w:val="es-ES"/>
        </w:rPr>
        <w:t xml:space="preserve"> (2010): «Ciento Setenta Años de Salarios en Colombia». </w:t>
      </w:r>
      <w:r w:rsidRPr="00EB3807">
        <w:rPr>
          <w:i/>
          <w:lang w:val="es-ES"/>
        </w:rPr>
        <w:t>Documentos CEDES</w:t>
      </w:r>
      <w:r w:rsidRPr="00EB3807">
        <w:rPr>
          <w:lang w:val="es-ES"/>
        </w:rPr>
        <w:t xml:space="preserve"> 12. Facultad de Economía de la Universidad de los Andes.</w:t>
      </w:r>
    </w:p>
    <w:p w:rsidR="003F10B3" w:rsidRPr="00EB3807" w:rsidRDefault="003F10B3" w:rsidP="003F10B3">
      <w:pPr>
        <w:autoSpaceDE w:val="0"/>
        <w:autoSpaceDN w:val="0"/>
        <w:adjustRightInd w:val="0"/>
        <w:ind w:left="142" w:hanging="142"/>
      </w:pPr>
      <w:r w:rsidRPr="00EB3807">
        <w:rPr>
          <w:rStyle w:val="SubtleReference"/>
        </w:rPr>
        <w:t>United States Department of Labor</w:t>
      </w:r>
      <w:r w:rsidRPr="00EB3807">
        <w:rPr>
          <w:lang w:val="en-US"/>
        </w:rPr>
        <w:t>, USDL. (</w:t>
      </w:r>
      <w:r w:rsidRPr="00EB3807">
        <w:t xml:space="preserve">1900): </w:t>
      </w:r>
      <w:r w:rsidRPr="00EB3807">
        <w:rPr>
          <w:i/>
          <w:lang w:val="en-US"/>
        </w:rPr>
        <w:t>Fifteenth Annual Report of the Commissioner of Labor: Wages in Commercial Countries</w:t>
      </w:r>
      <w:r w:rsidRPr="00EB3807">
        <w:rPr>
          <w:lang w:val="en-US"/>
        </w:rPr>
        <w:t>, 2 volumes GPO, Washington D.C..</w:t>
      </w:r>
    </w:p>
    <w:p w:rsidR="00CB7170" w:rsidRPr="00EB3807" w:rsidRDefault="002E387F" w:rsidP="00F40DB0">
      <w:pPr>
        <w:ind w:left="142" w:hanging="142"/>
        <w:rPr>
          <w:lang w:val="es-ES"/>
        </w:rPr>
      </w:pPr>
      <w:r w:rsidRPr="00EB3807">
        <w:rPr>
          <w:rStyle w:val="SubtleReference"/>
          <w:lang w:val="es-ES"/>
        </w:rPr>
        <w:t>Valecillos, H</w:t>
      </w:r>
      <w:r w:rsidRPr="00EB3807">
        <w:rPr>
          <w:lang w:val="es-ES"/>
        </w:rPr>
        <w:t xml:space="preserve">. (2007): </w:t>
      </w:r>
      <w:r w:rsidRPr="00EB3807">
        <w:rPr>
          <w:i/>
          <w:lang w:val="es-ES"/>
        </w:rPr>
        <w:t>Crecimiento Económico, Mercado de Tra</w:t>
      </w:r>
      <w:r w:rsidR="005822E1" w:rsidRPr="00EB3807">
        <w:rPr>
          <w:i/>
          <w:lang w:val="es-ES"/>
        </w:rPr>
        <w:t>bajo y Pobreza. La E</w:t>
      </w:r>
      <w:r w:rsidRPr="00EB3807">
        <w:rPr>
          <w:i/>
          <w:lang w:val="es-ES"/>
        </w:rPr>
        <w:t>xperiencia Venezolana en el Siglo XX</w:t>
      </w:r>
      <w:r w:rsidRPr="00EB3807">
        <w:rPr>
          <w:lang w:val="es-ES"/>
        </w:rPr>
        <w:t>. Ediciones Quinto Patio, Caracas</w:t>
      </w:r>
      <w:r w:rsidR="00CB7170" w:rsidRPr="00EB3807">
        <w:rPr>
          <w:lang w:val="es-ES"/>
        </w:rPr>
        <w:t>.</w:t>
      </w:r>
    </w:p>
    <w:p w:rsidR="00CB7170" w:rsidRPr="00EB3807" w:rsidRDefault="00BB7FBF" w:rsidP="00F40DB0">
      <w:pPr>
        <w:ind w:left="142" w:hanging="142"/>
        <w:rPr>
          <w:lang w:val="es-ES"/>
        </w:rPr>
      </w:pPr>
      <w:r w:rsidRPr="00EB3807">
        <w:rPr>
          <w:rStyle w:val="SubtleReference"/>
          <w:lang w:val="es-ES"/>
        </w:rPr>
        <w:t>Valecillos</w:t>
      </w:r>
      <w:r w:rsidR="00A203AA" w:rsidRPr="00EB3807">
        <w:rPr>
          <w:rStyle w:val="SubtleReference"/>
          <w:lang w:val="es-ES"/>
        </w:rPr>
        <w:t>,</w:t>
      </w:r>
      <w:r w:rsidR="00CB7170" w:rsidRPr="00EB3807">
        <w:rPr>
          <w:rStyle w:val="SubtleReference"/>
          <w:lang w:val="es-ES"/>
        </w:rPr>
        <w:t xml:space="preserve"> H. </w:t>
      </w:r>
      <w:r w:rsidR="00A203AA" w:rsidRPr="00EB3807">
        <w:rPr>
          <w:rStyle w:val="SubtleReference"/>
          <w:lang w:val="es-ES"/>
        </w:rPr>
        <w:t>(</w:t>
      </w:r>
      <w:r w:rsidR="00CB7170" w:rsidRPr="00EB3807">
        <w:rPr>
          <w:lang w:val="es-ES"/>
        </w:rPr>
        <w:t>1990</w:t>
      </w:r>
      <w:r w:rsidR="00A203AA" w:rsidRPr="00EB3807">
        <w:rPr>
          <w:lang w:val="es-ES"/>
        </w:rPr>
        <w:t>):</w:t>
      </w:r>
      <w:r w:rsidR="00CB7170" w:rsidRPr="00EB3807">
        <w:rPr>
          <w:lang w:val="es-ES"/>
        </w:rPr>
        <w:t xml:space="preserve"> </w:t>
      </w:r>
      <w:r w:rsidR="00CB7170" w:rsidRPr="00EB3807">
        <w:rPr>
          <w:i/>
          <w:lang w:val="es-ES"/>
        </w:rPr>
        <w:t>Estadísticas Socio-laborales de Venezuela. Series Históricas</w:t>
      </w:r>
      <w:r w:rsidR="00CB7170" w:rsidRPr="00EB3807">
        <w:rPr>
          <w:lang w:val="es-ES"/>
        </w:rPr>
        <w:t>, two volumes. BCV, Caracas.</w:t>
      </w:r>
    </w:p>
    <w:p w:rsidR="00CB7170" w:rsidRPr="00EB3807" w:rsidRDefault="00BB7FBF" w:rsidP="00F40DB0">
      <w:pPr>
        <w:autoSpaceDE w:val="0"/>
        <w:autoSpaceDN w:val="0"/>
        <w:adjustRightInd w:val="0"/>
        <w:ind w:left="142" w:hanging="142"/>
        <w:rPr>
          <w:lang w:val="es-ES"/>
        </w:rPr>
      </w:pPr>
      <w:r w:rsidRPr="00EB3807">
        <w:rPr>
          <w:rStyle w:val="SubtleReference"/>
          <w:lang w:val="es-ES"/>
        </w:rPr>
        <w:t>Vandellós</w:t>
      </w:r>
      <w:r w:rsidR="006555EB" w:rsidRPr="00EB3807">
        <w:rPr>
          <w:rStyle w:val="SubtleReference"/>
          <w:lang w:val="es-ES"/>
        </w:rPr>
        <w:t>,</w:t>
      </w:r>
      <w:r w:rsidRPr="00EB3807">
        <w:rPr>
          <w:rStyle w:val="SubtleReference"/>
          <w:lang w:val="es-ES"/>
        </w:rPr>
        <w:t xml:space="preserve"> </w:t>
      </w:r>
      <w:r w:rsidR="00CB7170" w:rsidRPr="00EB3807">
        <w:rPr>
          <w:rStyle w:val="SubtleReference"/>
          <w:lang w:val="es-ES"/>
        </w:rPr>
        <w:t>J</w:t>
      </w:r>
      <w:r w:rsidR="006555EB" w:rsidRPr="00EB3807">
        <w:rPr>
          <w:rStyle w:val="SubtleReference"/>
          <w:lang w:val="es-ES"/>
        </w:rPr>
        <w:t>.</w:t>
      </w:r>
      <w:r w:rsidR="00CB7170" w:rsidRPr="00EB3807">
        <w:rPr>
          <w:rStyle w:val="SubtleReference"/>
          <w:lang w:val="es-ES"/>
        </w:rPr>
        <w:t>A.</w:t>
      </w:r>
      <w:r w:rsidR="00CB7170" w:rsidRPr="00EB3807">
        <w:rPr>
          <w:lang w:val="es-ES"/>
        </w:rPr>
        <w:t xml:space="preserve"> </w:t>
      </w:r>
      <w:r w:rsidR="006555EB" w:rsidRPr="00EB3807">
        <w:rPr>
          <w:lang w:val="es-ES"/>
        </w:rPr>
        <w:t>(1941</w:t>
      </w:r>
      <w:r w:rsidR="00EC7C5E" w:rsidRPr="00EB3807">
        <w:rPr>
          <w:lang w:val="es-ES"/>
        </w:rPr>
        <w:t>): «</w:t>
      </w:r>
      <w:r w:rsidR="00CB7170" w:rsidRPr="00EB3807">
        <w:rPr>
          <w:lang w:val="es-ES"/>
        </w:rPr>
        <w:t>Bosquejo de la Economía Venezolana</w:t>
      </w:r>
      <w:r w:rsidR="00C47B7F" w:rsidRPr="00EB3807">
        <w:rPr>
          <w:lang w:val="es-ES"/>
        </w:rPr>
        <w:t>»</w:t>
      </w:r>
      <w:r w:rsidR="00CB7170" w:rsidRPr="00EB3807">
        <w:rPr>
          <w:lang w:val="es-ES"/>
        </w:rPr>
        <w:t>, mimeo, Caracas</w:t>
      </w:r>
      <w:r w:rsidRPr="00EB3807">
        <w:rPr>
          <w:lang w:val="es-ES"/>
        </w:rPr>
        <w:t>.</w:t>
      </w:r>
    </w:p>
    <w:p w:rsidR="00810D8A" w:rsidRPr="00F50529" w:rsidRDefault="00BB7FBF" w:rsidP="00F40DB0">
      <w:pPr>
        <w:ind w:left="142" w:hanging="142"/>
        <w:rPr>
          <w:lang w:val="es-ES"/>
        </w:rPr>
      </w:pPr>
      <w:r w:rsidRPr="00EB3807">
        <w:rPr>
          <w:rStyle w:val="SubtleReference"/>
          <w:lang w:val="es-ES"/>
        </w:rPr>
        <w:t>Varela Sendin</w:t>
      </w:r>
      <w:r w:rsidR="006555EB" w:rsidRPr="00EB3807">
        <w:rPr>
          <w:rStyle w:val="SubtleReference"/>
          <w:lang w:val="es-ES"/>
        </w:rPr>
        <w:t>,</w:t>
      </w:r>
      <w:r w:rsidR="00810D8A" w:rsidRPr="00EB3807">
        <w:rPr>
          <w:rStyle w:val="SubtleReference"/>
          <w:lang w:val="es-ES"/>
        </w:rPr>
        <w:t xml:space="preserve"> P.</w:t>
      </w:r>
      <w:r w:rsidR="00810D8A" w:rsidRPr="00EB3807">
        <w:rPr>
          <w:lang w:val="es-ES"/>
        </w:rPr>
        <w:t xml:space="preserve"> </w:t>
      </w:r>
      <w:r w:rsidR="006555EB" w:rsidRPr="00EB3807">
        <w:rPr>
          <w:lang w:val="es-ES"/>
        </w:rPr>
        <w:t>(1972</w:t>
      </w:r>
      <w:r w:rsidR="00EC7C5E" w:rsidRPr="00EB3807">
        <w:rPr>
          <w:lang w:val="es-ES"/>
        </w:rPr>
        <w:t>): «</w:t>
      </w:r>
      <w:r w:rsidR="00C47B7F" w:rsidRPr="00EB3807">
        <w:rPr>
          <w:lang w:val="es-ES"/>
        </w:rPr>
        <w:t>Elaboração de um Índice de Salários R</w:t>
      </w:r>
      <w:r w:rsidR="00810D8A" w:rsidRPr="00EB3807">
        <w:rPr>
          <w:lang w:val="es-ES"/>
        </w:rPr>
        <w:t>urais para o Estado de São Paulo</w:t>
      </w:r>
      <w:r w:rsidR="00C47B7F" w:rsidRPr="00EB3807">
        <w:rPr>
          <w:lang w:val="es-ES"/>
        </w:rPr>
        <w:t>»</w:t>
      </w:r>
      <w:r w:rsidR="00810D8A" w:rsidRPr="00EB3807">
        <w:rPr>
          <w:lang w:val="es-ES"/>
        </w:rPr>
        <w:t xml:space="preserve">. </w:t>
      </w:r>
      <w:r w:rsidR="00810D8A" w:rsidRPr="00EB3807">
        <w:rPr>
          <w:i/>
          <w:lang w:val="es-ES"/>
        </w:rPr>
        <w:t>Boletim Técnico do Instituto de Economia Agrícola</w:t>
      </w:r>
      <w:r w:rsidR="00810D8A" w:rsidRPr="00EB3807">
        <w:rPr>
          <w:lang w:val="es-ES"/>
        </w:rPr>
        <w:t xml:space="preserve">. Vol 2. </w:t>
      </w:r>
      <w:r w:rsidR="006555EB" w:rsidRPr="00F50529">
        <w:rPr>
          <w:lang w:val="es-ES"/>
        </w:rPr>
        <w:t>September,</w:t>
      </w:r>
      <w:r w:rsidR="00810D8A" w:rsidRPr="00F50529">
        <w:rPr>
          <w:lang w:val="es-ES"/>
        </w:rPr>
        <w:t xml:space="preserve"> </w:t>
      </w:r>
      <w:r w:rsidR="006555EB" w:rsidRPr="00F50529">
        <w:rPr>
          <w:lang w:val="es-ES"/>
        </w:rPr>
        <w:t>pp.</w:t>
      </w:r>
      <w:r w:rsidR="00810D8A" w:rsidRPr="00F50529">
        <w:rPr>
          <w:lang w:val="es-ES"/>
        </w:rPr>
        <w:t>167-189.</w:t>
      </w:r>
    </w:p>
    <w:p w:rsidR="00810D8A" w:rsidRPr="00EB3807" w:rsidRDefault="00BB7FBF" w:rsidP="00F40DB0">
      <w:pPr>
        <w:autoSpaceDE w:val="0"/>
        <w:autoSpaceDN w:val="0"/>
        <w:adjustRightInd w:val="0"/>
        <w:ind w:left="142" w:hanging="142"/>
      </w:pPr>
      <w:r w:rsidRPr="00EB3807">
        <w:rPr>
          <w:rStyle w:val="SubtleReference"/>
        </w:rPr>
        <w:t>Wells</w:t>
      </w:r>
      <w:r w:rsidR="006555EB" w:rsidRPr="00EB3807">
        <w:rPr>
          <w:rStyle w:val="SubtleReference"/>
        </w:rPr>
        <w:t>,</w:t>
      </w:r>
      <w:r w:rsidR="00810D8A" w:rsidRPr="00EB3807">
        <w:rPr>
          <w:rStyle w:val="SubtleReference"/>
        </w:rPr>
        <w:t xml:space="preserve"> J.</w:t>
      </w:r>
      <w:r w:rsidR="00810D8A" w:rsidRPr="00EB3807">
        <w:t xml:space="preserve"> </w:t>
      </w:r>
      <w:r w:rsidR="006555EB" w:rsidRPr="00EB3807">
        <w:t>(</w:t>
      </w:r>
      <w:r w:rsidR="00810D8A" w:rsidRPr="00EB3807">
        <w:t>1983</w:t>
      </w:r>
      <w:r w:rsidR="00EC7C5E" w:rsidRPr="00EB3807">
        <w:t>): «</w:t>
      </w:r>
      <w:r w:rsidR="00C47B7F" w:rsidRPr="00EB3807">
        <w:t>Industrial Accumulation and Living Standards in the Long-Run: The São Paulo Industrial Working Class, 1930-1975, P</w:t>
      </w:r>
      <w:r w:rsidR="00810D8A" w:rsidRPr="00EB3807">
        <w:t>art II</w:t>
      </w:r>
      <w:r w:rsidR="00C47B7F" w:rsidRPr="00EB3807">
        <w:t>»</w:t>
      </w:r>
      <w:r w:rsidR="00810D8A" w:rsidRPr="00EB3807">
        <w:t xml:space="preserve">. </w:t>
      </w:r>
      <w:r w:rsidR="00810D8A" w:rsidRPr="00EB3807">
        <w:rPr>
          <w:i/>
        </w:rPr>
        <w:t>Journal of Development Studies</w:t>
      </w:r>
      <w:r w:rsidR="00810D8A" w:rsidRPr="00EB3807">
        <w:t xml:space="preserve">, April, </w:t>
      </w:r>
      <w:r w:rsidR="006555EB" w:rsidRPr="00EB3807">
        <w:t>pp.</w:t>
      </w:r>
      <w:r w:rsidR="00810D8A" w:rsidRPr="00EB3807">
        <w:t>297-328.</w:t>
      </w:r>
    </w:p>
    <w:p w:rsidR="0032553F" w:rsidRPr="00EB3807" w:rsidRDefault="00325B7D" w:rsidP="00F40DB0">
      <w:pPr>
        <w:autoSpaceDE w:val="0"/>
        <w:autoSpaceDN w:val="0"/>
        <w:adjustRightInd w:val="0"/>
        <w:ind w:left="142" w:hanging="142"/>
      </w:pPr>
      <w:r w:rsidRPr="00EB3807">
        <w:rPr>
          <w:rStyle w:val="SubtleReference"/>
        </w:rPr>
        <w:t>Willebald</w:t>
      </w:r>
      <w:r w:rsidR="00B33D94" w:rsidRPr="00EB3807">
        <w:rPr>
          <w:rStyle w:val="SubtleReference"/>
        </w:rPr>
        <w:t>,</w:t>
      </w:r>
      <w:r w:rsidRPr="00EB3807">
        <w:rPr>
          <w:rStyle w:val="SubtleReference"/>
        </w:rPr>
        <w:t xml:space="preserve"> H.</w:t>
      </w:r>
      <w:r w:rsidRPr="00EB3807">
        <w:t xml:space="preserve"> </w:t>
      </w:r>
      <w:r w:rsidR="00B33D94" w:rsidRPr="00EB3807">
        <w:t>(</w:t>
      </w:r>
      <w:r w:rsidRPr="00EB3807">
        <w:t>2011</w:t>
      </w:r>
      <w:r w:rsidR="00B33D94" w:rsidRPr="00EB3807">
        <w:t xml:space="preserve">): </w:t>
      </w:r>
      <w:r w:rsidR="00B33D94" w:rsidRPr="00EB3807">
        <w:rPr>
          <w:i/>
        </w:rPr>
        <w:t>Natural Resources, Settler Economies and Economic D</w:t>
      </w:r>
      <w:r w:rsidR="0032553F" w:rsidRPr="00EB3807">
        <w:rPr>
          <w:i/>
        </w:rPr>
        <w:t>evelopment d</w:t>
      </w:r>
      <w:r w:rsidR="00B33D94" w:rsidRPr="00EB3807">
        <w:rPr>
          <w:i/>
        </w:rPr>
        <w:t>uring the First Globalization: Land Frontier Expansion and Institutional A</w:t>
      </w:r>
      <w:r w:rsidR="0032553F" w:rsidRPr="00EB3807">
        <w:rPr>
          <w:i/>
        </w:rPr>
        <w:t>rrangements</w:t>
      </w:r>
      <w:r w:rsidR="0032553F" w:rsidRPr="00EB3807">
        <w:t>. Ph.D. dissertation. Universidad Carlos III, Madrid.</w:t>
      </w:r>
    </w:p>
    <w:p w:rsidR="00CB7170" w:rsidRPr="00EB3807" w:rsidRDefault="0073238D" w:rsidP="00F40DB0">
      <w:pPr>
        <w:autoSpaceDE w:val="0"/>
        <w:autoSpaceDN w:val="0"/>
        <w:adjustRightInd w:val="0"/>
        <w:ind w:left="142" w:hanging="142"/>
      </w:pPr>
      <w:r w:rsidRPr="00EB3807">
        <w:rPr>
          <w:rStyle w:val="SubtleReference"/>
        </w:rPr>
        <w:t>Williamson, J.G</w:t>
      </w:r>
      <w:r w:rsidRPr="00EB3807">
        <w:t xml:space="preserve">. (1998): «Real Wages and Relative Factor Prices in the Third World 1820-1940: Latin America». </w:t>
      </w:r>
      <w:r w:rsidRPr="00EB3807">
        <w:rPr>
          <w:i/>
        </w:rPr>
        <w:t>Harvard Institute of Economic Research WP 1853</w:t>
      </w:r>
      <w:r w:rsidR="00CB7170" w:rsidRPr="00EB3807">
        <w:t>.</w:t>
      </w:r>
    </w:p>
    <w:p w:rsidR="00137C28" w:rsidRPr="00E37549" w:rsidRDefault="00BB7FBF" w:rsidP="006555EB">
      <w:pPr>
        <w:spacing w:line="276" w:lineRule="auto"/>
        <w:ind w:left="142" w:hanging="142"/>
      </w:pPr>
      <w:r w:rsidRPr="00EB3807">
        <w:rPr>
          <w:rStyle w:val="SubtleReference"/>
        </w:rPr>
        <w:t>Wilkie</w:t>
      </w:r>
      <w:r w:rsidR="005941A3" w:rsidRPr="00EB3807">
        <w:rPr>
          <w:rStyle w:val="SubtleReference"/>
        </w:rPr>
        <w:t xml:space="preserve">, </w:t>
      </w:r>
      <w:r w:rsidRPr="00EB3807">
        <w:rPr>
          <w:rStyle w:val="SubtleReference"/>
        </w:rPr>
        <w:t>J</w:t>
      </w:r>
      <w:r w:rsidR="005941A3" w:rsidRPr="00EB3807">
        <w:rPr>
          <w:rStyle w:val="SubtleReference"/>
        </w:rPr>
        <w:t>.W.</w:t>
      </w:r>
      <w:r w:rsidR="00AB5A16" w:rsidRPr="00EB3807">
        <w:rPr>
          <w:rStyle w:val="SubtleReference"/>
        </w:rPr>
        <w:t xml:space="preserve"> </w:t>
      </w:r>
      <w:r w:rsidR="005941A3" w:rsidRPr="00EB3807">
        <w:rPr>
          <w:rStyle w:val="SubtleReference"/>
        </w:rPr>
        <w:t>(</w:t>
      </w:r>
      <w:r w:rsidRPr="00EB3807">
        <w:rPr>
          <w:rStyle w:val="SubtleReference"/>
        </w:rPr>
        <w:t>1974</w:t>
      </w:r>
      <w:r w:rsidR="005941A3" w:rsidRPr="00EB3807">
        <w:rPr>
          <w:rStyle w:val="SubtleReference"/>
        </w:rPr>
        <w:t xml:space="preserve">): </w:t>
      </w:r>
      <w:r w:rsidR="00810D8A" w:rsidRPr="00EB3807">
        <w:rPr>
          <w:i/>
        </w:rPr>
        <w:t>Statistics and National Policies</w:t>
      </w:r>
      <w:r w:rsidR="005941A3" w:rsidRPr="00EB3807">
        <w:t>.</w:t>
      </w:r>
      <w:r w:rsidR="00810D8A" w:rsidRPr="00EB3807">
        <w:t xml:space="preserve"> Los Angeles: Latin American Center Publications, UCLA.</w:t>
      </w:r>
    </w:p>
    <w:sectPr w:rsidR="00137C28" w:rsidRPr="00E37549" w:rsidSect="00C74E43">
      <w:footerReference w:type="default" r:id="rId11"/>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3D2" w:rsidRDefault="00FB73D2" w:rsidP="00660104">
      <w:r>
        <w:separator/>
      </w:r>
    </w:p>
  </w:endnote>
  <w:endnote w:type="continuationSeparator" w:id="0">
    <w:p w:rsidR="00FB73D2" w:rsidRDefault="00FB73D2" w:rsidP="0066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QYPCUK+Palatino-Bold">
    <w:altName w:val="Book Antiqua"/>
    <w:panose1 w:val="00000000000000000000"/>
    <w:charset w:val="00"/>
    <w:family w:val="roman"/>
    <w:notTrueType/>
    <w:pitch w:val="default"/>
    <w:sig w:usb0="00000003" w:usb1="00000000" w:usb2="00000000" w:usb3="00000000" w:csb0="00000001" w:csb1="00000000"/>
  </w:font>
  <w:font w:name="JUXMAY+Palatino-Roman">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300" w:rsidRDefault="00D73300">
    <w:pPr>
      <w:pStyle w:val="Footer"/>
      <w:jc w:val="center"/>
    </w:pPr>
    <w:r>
      <w:fldChar w:fldCharType="begin"/>
    </w:r>
    <w:r>
      <w:instrText xml:space="preserve"> PAGE   \* MERGEFORMAT </w:instrText>
    </w:r>
    <w:r>
      <w:fldChar w:fldCharType="separate"/>
    </w:r>
    <w:r w:rsidR="0061722C">
      <w:rPr>
        <w:noProof/>
      </w:rPr>
      <w:t>1</w:t>
    </w:r>
    <w:r>
      <w:rPr>
        <w:noProof/>
      </w:rPr>
      <w:fldChar w:fldCharType="end"/>
    </w:r>
  </w:p>
  <w:p w:rsidR="00D73300" w:rsidRDefault="00D7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3D2" w:rsidRDefault="00FB73D2" w:rsidP="00660104">
      <w:r>
        <w:separator/>
      </w:r>
    </w:p>
  </w:footnote>
  <w:footnote w:type="continuationSeparator" w:id="0">
    <w:p w:rsidR="00FB73D2" w:rsidRDefault="00FB73D2" w:rsidP="00660104">
      <w:r>
        <w:continuationSeparator/>
      </w:r>
    </w:p>
  </w:footnote>
  <w:footnote w:id="1">
    <w:p w:rsidR="00D73300" w:rsidRDefault="00D73300" w:rsidP="00B92056">
      <w:pPr>
        <w:pStyle w:val="FootnoteText"/>
      </w:pPr>
      <w:r>
        <w:rPr>
          <w:rStyle w:val="FootnoteReference"/>
        </w:rPr>
        <w:footnoteRef/>
      </w:r>
      <w:r>
        <w:t xml:space="preserve"> Total EAP is split into u</w:t>
      </w:r>
      <w:r w:rsidRPr="003D2FD9">
        <w:t>rban (formal, informal and domestic service), and rural (mod</w:t>
      </w:r>
      <w:r>
        <w:t xml:space="preserve">ern and traditional sectors). The low-income EAP is </w:t>
      </w:r>
      <w:r w:rsidRPr="00F21AEB">
        <w:t xml:space="preserve">obtained by </w:t>
      </w:r>
      <w:r>
        <w:t>adding up the corresponding EAP</w:t>
      </w:r>
      <w:r w:rsidRPr="00F21AEB">
        <w:t xml:space="preserve"> of traditional agriculture, urban domestic services</w:t>
      </w:r>
      <w:r>
        <w:t>, and half of the urban informal sector.</w:t>
      </w:r>
    </w:p>
  </w:footnote>
  <w:footnote w:id="2">
    <w:p w:rsidR="00D73300" w:rsidRDefault="00D73300" w:rsidP="00B92056">
      <w:pPr>
        <w:pStyle w:val="FootnoteText"/>
      </w:pPr>
      <w:r>
        <w:rPr>
          <w:rStyle w:val="FootnoteReference"/>
        </w:rPr>
        <w:footnoteRef/>
      </w:r>
      <w:r>
        <w:t xml:space="preserve"> </w:t>
      </w:r>
      <w:r w:rsidRPr="002E07D9">
        <w:t xml:space="preserve">The choice of these occupations as representative of </w:t>
      </w:r>
      <w:r>
        <w:t xml:space="preserve">semi-skilled workers is supported by Berg (1968: </w:t>
      </w:r>
      <w:r w:rsidRPr="002E07D9">
        <w:t>13) in his study on the wage structure in developing countries: “The distribution of skills is likely to be skewed heavily to the low skill side within any classification (e.g. crafts such as electricians and carpenters). Most workers classified as skilled workers (e.g. carpenters) in less developed countries are more often than not specialised semi-skilled workers”.</w:t>
      </w:r>
    </w:p>
  </w:footnote>
  <w:footnote w:id="3">
    <w:p w:rsidR="00D73300" w:rsidRDefault="00D73300" w:rsidP="00B92056">
      <w:pPr>
        <w:pStyle w:val="FootnoteText"/>
      </w:pPr>
      <w:r>
        <w:rPr>
          <w:rStyle w:val="FootnoteReference"/>
        </w:rPr>
        <w:footnoteRef/>
      </w:r>
      <w:r>
        <w:t xml:space="preserve"> This </w:t>
      </w:r>
      <w:r w:rsidRPr="009A2BA0">
        <w:t xml:space="preserve">average wage is originally </w:t>
      </w:r>
      <w:r>
        <w:t>in hourly terms and is converted</w:t>
      </w:r>
      <w:r w:rsidRPr="009A2BA0">
        <w:t xml:space="preserve"> in monthly terms by assuming 8 hours per day and 24 days per month.  </w:t>
      </w:r>
    </w:p>
  </w:footnote>
  <w:footnote w:id="4">
    <w:p w:rsidR="00D73300" w:rsidRDefault="00D73300" w:rsidP="00F746C1">
      <w:pPr>
        <w:pStyle w:val="FootnoteText"/>
      </w:pPr>
      <w:r>
        <w:rPr>
          <w:rStyle w:val="FootnoteReference"/>
        </w:rPr>
        <w:footnoteRef/>
      </w:r>
      <w:r>
        <w:t xml:space="preserve"> </w:t>
      </w:r>
      <w:r w:rsidRPr="002818EB">
        <w:t>For a given year “t” in the interpolated period</w:t>
      </w:r>
      <w:r>
        <w:t xml:space="preserve"> </w:t>
      </w:r>
      <w:r w:rsidRPr="0004108B">
        <w:rPr>
          <w:i/>
        </w:rPr>
        <w:t>y</w:t>
      </w:r>
      <w:r>
        <w:rPr>
          <w:i/>
          <w:vertAlign w:val="subscript"/>
        </w:rPr>
        <w:t>0</w:t>
      </w:r>
      <w:r>
        <w:t>-</w:t>
      </w:r>
      <w:r w:rsidRPr="0004108B">
        <w:rPr>
          <w:i/>
        </w:rPr>
        <w:t>y</w:t>
      </w:r>
      <w:r>
        <w:rPr>
          <w:i/>
          <w:vertAlign w:val="subscript"/>
        </w:rPr>
        <w:t>n</w:t>
      </w:r>
      <w:r w:rsidRPr="0004108B">
        <w:rPr>
          <w:vertAlign w:val="subscript"/>
        </w:rPr>
        <w:t xml:space="preserve"> </w:t>
      </w:r>
      <w:r w:rsidRPr="002818EB">
        <w:t xml:space="preserve">, the </w:t>
      </w:r>
      <w:r>
        <w:t>in-between values are</w:t>
      </w:r>
      <w:r w:rsidRPr="002818EB">
        <w:t xml:space="preserve"> estimated according to the following expression: </w:t>
      </w:r>
      <w:r w:rsidRPr="0004108B">
        <w:rPr>
          <w:i/>
        </w:rPr>
        <w:t>y</w:t>
      </w:r>
      <w:r w:rsidRPr="0004108B">
        <w:rPr>
          <w:i/>
          <w:vertAlign w:val="subscript"/>
        </w:rPr>
        <w:t>t</w:t>
      </w:r>
      <w:r w:rsidRPr="002818EB">
        <w:t xml:space="preserve"> = </w:t>
      </w:r>
      <w:r w:rsidRPr="0004108B">
        <w:rPr>
          <w:i/>
        </w:rPr>
        <w:t>y</w:t>
      </w:r>
      <w:r w:rsidRPr="0004108B">
        <w:rPr>
          <w:i/>
          <w:vertAlign w:val="subscript"/>
        </w:rPr>
        <w:t>t-1</w:t>
      </w:r>
      <w:r w:rsidRPr="0004108B">
        <w:rPr>
          <w:vertAlign w:val="subscript"/>
        </w:rPr>
        <w:t xml:space="preserve"> </w:t>
      </w:r>
      <w:r w:rsidRPr="002818EB">
        <w:t>* [(</w:t>
      </w:r>
      <w:r w:rsidRPr="0004108B">
        <w:rPr>
          <w:i/>
        </w:rPr>
        <w:t>x</w:t>
      </w:r>
      <w:r w:rsidRPr="0004108B">
        <w:rPr>
          <w:i/>
          <w:vertAlign w:val="subscript"/>
        </w:rPr>
        <w:t>t</w:t>
      </w:r>
      <w:r w:rsidRPr="002818EB">
        <w:t xml:space="preserve"> / </w:t>
      </w:r>
      <w:r w:rsidRPr="0004108B">
        <w:rPr>
          <w:i/>
        </w:rPr>
        <w:t>x</w:t>
      </w:r>
      <w:r w:rsidRPr="0004108B">
        <w:rPr>
          <w:i/>
          <w:vertAlign w:val="subscript"/>
        </w:rPr>
        <w:t>t-1</w:t>
      </w:r>
      <w:r w:rsidRPr="002818EB">
        <w:t>)]/ [(</w:t>
      </w:r>
      <w:r w:rsidRPr="0004108B">
        <w:rPr>
          <w:i/>
        </w:rPr>
        <w:t>x</w:t>
      </w:r>
      <w:r w:rsidRPr="0004108B">
        <w:rPr>
          <w:i/>
          <w:vertAlign w:val="subscript"/>
        </w:rPr>
        <w:t>n</w:t>
      </w:r>
      <w:r w:rsidRPr="0004108B">
        <w:rPr>
          <w:i/>
        </w:rPr>
        <w:t>/x</w:t>
      </w:r>
      <w:r w:rsidRPr="0004108B">
        <w:rPr>
          <w:i/>
          <w:vertAlign w:val="subscript"/>
        </w:rPr>
        <w:t>0</w:t>
      </w:r>
      <w:r w:rsidRPr="002818EB">
        <w:t>)/(</w:t>
      </w:r>
      <w:r w:rsidRPr="0004108B">
        <w:rPr>
          <w:i/>
        </w:rPr>
        <w:t>y</w:t>
      </w:r>
      <w:r w:rsidRPr="0004108B">
        <w:rPr>
          <w:i/>
          <w:vertAlign w:val="subscript"/>
        </w:rPr>
        <w:t>n</w:t>
      </w:r>
      <w:r w:rsidRPr="0004108B">
        <w:rPr>
          <w:i/>
        </w:rPr>
        <w:t>/y</w:t>
      </w:r>
      <w:r w:rsidRPr="0004108B">
        <w:rPr>
          <w:i/>
          <w:vertAlign w:val="subscript"/>
        </w:rPr>
        <w:t>0</w:t>
      </w:r>
      <w:r w:rsidRPr="002818EB">
        <w:t xml:space="preserve">)]1/n. This method is used in Willebald </w:t>
      </w:r>
      <w:r w:rsidRPr="00043A74">
        <w:t>(2011) and Rodríguez</w:t>
      </w:r>
      <w:r w:rsidRPr="002818EB">
        <w:t xml:space="preserve"> Weber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120B"/>
    <w:multiLevelType w:val="hybridMultilevel"/>
    <w:tmpl w:val="C2942DA2"/>
    <w:lvl w:ilvl="0" w:tplc="95DA7B46">
      <w:start w:val="8"/>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68053B"/>
    <w:multiLevelType w:val="hybridMultilevel"/>
    <w:tmpl w:val="47EA5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740F7D"/>
    <w:multiLevelType w:val="hybridMultilevel"/>
    <w:tmpl w:val="A13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C33F0F"/>
    <w:multiLevelType w:val="hybridMultilevel"/>
    <w:tmpl w:val="CAF8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2A1AF0"/>
    <w:multiLevelType w:val="hybridMultilevel"/>
    <w:tmpl w:val="425AE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8C0322"/>
    <w:multiLevelType w:val="hybridMultilevel"/>
    <w:tmpl w:val="9736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400FF"/>
    <w:multiLevelType w:val="hybridMultilevel"/>
    <w:tmpl w:val="D67C0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9723CE"/>
    <w:multiLevelType w:val="hybridMultilevel"/>
    <w:tmpl w:val="BE427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9A6E41"/>
    <w:multiLevelType w:val="hybridMultilevel"/>
    <w:tmpl w:val="E3E4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433B9"/>
    <w:multiLevelType w:val="hybridMultilevel"/>
    <w:tmpl w:val="D986829A"/>
    <w:lvl w:ilvl="0" w:tplc="4DAE93A8">
      <w:start w:val="1"/>
      <w:numFmt w:val="decimal"/>
      <w:lvlText w:val="%1."/>
      <w:lvlJc w:val="left"/>
      <w:pPr>
        <w:ind w:left="720" w:hanging="720"/>
      </w:pPr>
      <w:rPr>
        <w:rFonts w:cs="Times New Roman" w:hint="default"/>
        <w:sz w:val="26"/>
        <w:szCs w:val="2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84100B"/>
    <w:multiLevelType w:val="hybridMultilevel"/>
    <w:tmpl w:val="1B0622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0E081E"/>
    <w:multiLevelType w:val="hybridMultilevel"/>
    <w:tmpl w:val="14D6D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24036"/>
    <w:multiLevelType w:val="hybridMultilevel"/>
    <w:tmpl w:val="C696EFC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3FCD648F"/>
    <w:multiLevelType w:val="hybridMultilevel"/>
    <w:tmpl w:val="4156D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05351B"/>
    <w:multiLevelType w:val="hybridMultilevel"/>
    <w:tmpl w:val="10481BB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A530B4B"/>
    <w:multiLevelType w:val="hybridMultilevel"/>
    <w:tmpl w:val="C22C9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7B7241"/>
    <w:multiLevelType w:val="hybridMultilevel"/>
    <w:tmpl w:val="50DEABE0"/>
    <w:lvl w:ilvl="0" w:tplc="E6501288">
      <w:start w:val="2"/>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D5167D8"/>
    <w:multiLevelType w:val="hybridMultilevel"/>
    <w:tmpl w:val="3418C3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727391A"/>
    <w:multiLevelType w:val="multilevel"/>
    <w:tmpl w:val="A4A25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818534F"/>
    <w:multiLevelType w:val="hybridMultilevel"/>
    <w:tmpl w:val="EF76319C"/>
    <w:lvl w:ilvl="0" w:tplc="78748886">
      <w:start w:val="1"/>
      <w:numFmt w:val="decimal"/>
      <w:lvlText w:val="(%1)"/>
      <w:lvlJc w:val="left"/>
      <w:pPr>
        <w:ind w:left="927" w:hanging="360"/>
      </w:pPr>
      <w:rPr>
        <w:rFonts w:hint="default"/>
        <w:lang w:val="es-E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9DC2450"/>
    <w:multiLevelType w:val="hybridMultilevel"/>
    <w:tmpl w:val="7FA4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415B9"/>
    <w:multiLevelType w:val="hybridMultilevel"/>
    <w:tmpl w:val="EA80D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E1543"/>
    <w:multiLevelType w:val="hybridMultilevel"/>
    <w:tmpl w:val="619C0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C762F7"/>
    <w:multiLevelType w:val="hybridMultilevel"/>
    <w:tmpl w:val="B062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2F25CD"/>
    <w:multiLevelType w:val="hybridMultilevel"/>
    <w:tmpl w:val="3EC0A91E"/>
    <w:lvl w:ilvl="0" w:tplc="D0DE71B8">
      <w:start w:val="1"/>
      <w:numFmt w:val="decimal"/>
      <w:lvlText w:val="%1."/>
      <w:lvlJc w:val="left"/>
      <w:pPr>
        <w:ind w:left="720" w:hanging="360"/>
      </w:pPr>
      <w:rPr>
        <w:rFonts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4B11F9E"/>
    <w:multiLevelType w:val="hybridMultilevel"/>
    <w:tmpl w:val="29EA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FB6D9A"/>
    <w:multiLevelType w:val="hybridMultilevel"/>
    <w:tmpl w:val="F07C6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254E04"/>
    <w:multiLevelType w:val="hybridMultilevel"/>
    <w:tmpl w:val="7168124A"/>
    <w:lvl w:ilvl="0" w:tplc="B63CCE38">
      <w:start w:val="3"/>
      <w:numFmt w:val="decimal"/>
      <w:lvlText w:val="%1."/>
      <w:lvlJc w:val="left"/>
      <w:pPr>
        <w:ind w:left="720" w:hanging="720"/>
      </w:pPr>
      <w:rPr>
        <w:rFonts w:cs="Times New Roman" w:hint="default"/>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C176DD"/>
    <w:multiLevelType w:val="hybridMultilevel"/>
    <w:tmpl w:val="86DE9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A215A6"/>
    <w:multiLevelType w:val="hybridMultilevel"/>
    <w:tmpl w:val="4D288464"/>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C255E2"/>
    <w:multiLevelType w:val="multilevel"/>
    <w:tmpl w:val="07549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AC034B"/>
    <w:multiLevelType w:val="hybridMultilevel"/>
    <w:tmpl w:val="120EE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BF07B6"/>
    <w:multiLevelType w:val="hybridMultilevel"/>
    <w:tmpl w:val="C39A5CE0"/>
    <w:lvl w:ilvl="0" w:tplc="251C28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435E64"/>
    <w:multiLevelType w:val="hybridMultilevel"/>
    <w:tmpl w:val="E20699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24"/>
  </w:num>
  <w:num w:numId="4">
    <w:abstractNumId w:val="3"/>
  </w:num>
  <w:num w:numId="5">
    <w:abstractNumId w:val="25"/>
  </w:num>
  <w:num w:numId="6">
    <w:abstractNumId w:val="1"/>
  </w:num>
  <w:num w:numId="7">
    <w:abstractNumId w:val="20"/>
  </w:num>
  <w:num w:numId="8">
    <w:abstractNumId w:val="26"/>
  </w:num>
  <w:num w:numId="9">
    <w:abstractNumId w:val="7"/>
  </w:num>
  <w:num w:numId="10">
    <w:abstractNumId w:val="22"/>
  </w:num>
  <w:num w:numId="11">
    <w:abstractNumId w:val="8"/>
  </w:num>
  <w:num w:numId="12">
    <w:abstractNumId w:val="14"/>
  </w:num>
  <w:num w:numId="13">
    <w:abstractNumId w:val="0"/>
  </w:num>
  <w:num w:numId="14">
    <w:abstractNumId w:val="18"/>
  </w:num>
  <w:num w:numId="15">
    <w:abstractNumId w:val="17"/>
  </w:num>
  <w:num w:numId="16">
    <w:abstractNumId w:val="23"/>
  </w:num>
  <w:num w:numId="17">
    <w:abstractNumId w:val="31"/>
  </w:num>
  <w:num w:numId="18">
    <w:abstractNumId w:val="15"/>
  </w:num>
  <w:num w:numId="19">
    <w:abstractNumId w:val="4"/>
  </w:num>
  <w:num w:numId="20">
    <w:abstractNumId w:val="33"/>
  </w:num>
  <w:num w:numId="21">
    <w:abstractNumId w:val="29"/>
  </w:num>
  <w:num w:numId="22">
    <w:abstractNumId w:val="2"/>
  </w:num>
  <w:num w:numId="23">
    <w:abstractNumId w:val="5"/>
  </w:num>
  <w:num w:numId="24">
    <w:abstractNumId w:val="10"/>
  </w:num>
  <w:num w:numId="25">
    <w:abstractNumId w:val="28"/>
  </w:num>
  <w:num w:numId="26">
    <w:abstractNumId w:val="27"/>
  </w:num>
  <w:num w:numId="27">
    <w:abstractNumId w:val="6"/>
  </w:num>
  <w:num w:numId="28">
    <w:abstractNumId w:val="19"/>
  </w:num>
  <w:num w:numId="29">
    <w:abstractNumId w:val="9"/>
  </w:num>
  <w:num w:numId="30">
    <w:abstractNumId w:val="30"/>
  </w:num>
  <w:num w:numId="31">
    <w:abstractNumId w:val="13"/>
  </w:num>
  <w:num w:numId="32">
    <w:abstractNumId w:val="12"/>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3F"/>
    <w:rsid w:val="000001CB"/>
    <w:rsid w:val="000013CD"/>
    <w:rsid w:val="000018B1"/>
    <w:rsid w:val="000021F3"/>
    <w:rsid w:val="000022D7"/>
    <w:rsid w:val="00002807"/>
    <w:rsid w:val="0000295B"/>
    <w:rsid w:val="000029DD"/>
    <w:rsid w:val="00002A52"/>
    <w:rsid w:val="00002EDD"/>
    <w:rsid w:val="0000317B"/>
    <w:rsid w:val="00003280"/>
    <w:rsid w:val="00003325"/>
    <w:rsid w:val="00003691"/>
    <w:rsid w:val="00003F73"/>
    <w:rsid w:val="00004322"/>
    <w:rsid w:val="00004635"/>
    <w:rsid w:val="00004A1A"/>
    <w:rsid w:val="00005028"/>
    <w:rsid w:val="00005097"/>
    <w:rsid w:val="000051FC"/>
    <w:rsid w:val="00005239"/>
    <w:rsid w:val="00005257"/>
    <w:rsid w:val="0000540F"/>
    <w:rsid w:val="00005511"/>
    <w:rsid w:val="00005583"/>
    <w:rsid w:val="00005760"/>
    <w:rsid w:val="00005BBE"/>
    <w:rsid w:val="00006512"/>
    <w:rsid w:val="00006618"/>
    <w:rsid w:val="0000669A"/>
    <w:rsid w:val="00006E5F"/>
    <w:rsid w:val="00006F23"/>
    <w:rsid w:val="0000714D"/>
    <w:rsid w:val="00007450"/>
    <w:rsid w:val="000076EE"/>
    <w:rsid w:val="00007993"/>
    <w:rsid w:val="00007C81"/>
    <w:rsid w:val="00007E6E"/>
    <w:rsid w:val="00007F9A"/>
    <w:rsid w:val="00010355"/>
    <w:rsid w:val="000107F3"/>
    <w:rsid w:val="00010C8E"/>
    <w:rsid w:val="000113C9"/>
    <w:rsid w:val="00011460"/>
    <w:rsid w:val="00011617"/>
    <w:rsid w:val="000117A1"/>
    <w:rsid w:val="000118B1"/>
    <w:rsid w:val="0001195E"/>
    <w:rsid w:val="000119E3"/>
    <w:rsid w:val="00012169"/>
    <w:rsid w:val="0001246F"/>
    <w:rsid w:val="00012558"/>
    <w:rsid w:val="000126AD"/>
    <w:rsid w:val="000130A2"/>
    <w:rsid w:val="0001328A"/>
    <w:rsid w:val="0001366A"/>
    <w:rsid w:val="000139BA"/>
    <w:rsid w:val="000140BD"/>
    <w:rsid w:val="000141AA"/>
    <w:rsid w:val="000141FF"/>
    <w:rsid w:val="00014734"/>
    <w:rsid w:val="00014EC6"/>
    <w:rsid w:val="000154F6"/>
    <w:rsid w:val="00015AC0"/>
    <w:rsid w:val="000167C0"/>
    <w:rsid w:val="00016859"/>
    <w:rsid w:val="000168B3"/>
    <w:rsid w:val="0001698E"/>
    <w:rsid w:val="00016CA1"/>
    <w:rsid w:val="00016D18"/>
    <w:rsid w:val="0001700F"/>
    <w:rsid w:val="000172BB"/>
    <w:rsid w:val="000178B1"/>
    <w:rsid w:val="000179DF"/>
    <w:rsid w:val="00017B5E"/>
    <w:rsid w:val="0002004C"/>
    <w:rsid w:val="00020827"/>
    <w:rsid w:val="00020844"/>
    <w:rsid w:val="00020BEE"/>
    <w:rsid w:val="00020D08"/>
    <w:rsid w:val="000210A8"/>
    <w:rsid w:val="00021263"/>
    <w:rsid w:val="00021814"/>
    <w:rsid w:val="00021B0E"/>
    <w:rsid w:val="00021F5B"/>
    <w:rsid w:val="00021FE9"/>
    <w:rsid w:val="00022308"/>
    <w:rsid w:val="0002255A"/>
    <w:rsid w:val="000226FE"/>
    <w:rsid w:val="0002295D"/>
    <w:rsid w:val="00023127"/>
    <w:rsid w:val="00023519"/>
    <w:rsid w:val="00023795"/>
    <w:rsid w:val="00023C68"/>
    <w:rsid w:val="00023D89"/>
    <w:rsid w:val="0002428B"/>
    <w:rsid w:val="0002511F"/>
    <w:rsid w:val="0002513A"/>
    <w:rsid w:val="000252B4"/>
    <w:rsid w:val="0002538B"/>
    <w:rsid w:val="000254FF"/>
    <w:rsid w:val="00025707"/>
    <w:rsid w:val="00025C7F"/>
    <w:rsid w:val="00025D27"/>
    <w:rsid w:val="000261E7"/>
    <w:rsid w:val="0002652C"/>
    <w:rsid w:val="00026CC5"/>
    <w:rsid w:val="00026FE8"/>
    <w:rsid w:val="000270BF"/>
    <w:rsid w:val="000276F4"/>
    <w:rsid w:val="0002775F"/>
    <w:rsid w:val="00027A73"/>
    <w:rsid w:val="00027C22"/>
    <w:rsid w:val="00027EE9"/>
    <w:rsid w:val="00030228"/>
    <w:rsid w:val="00030F2F"/>
    <w:rsid w:val="00031898"/>
    <w:rsid w:val="00031B61"/>
    <w:rsid w:val="000322A7"/>
    <w:rsid w:val="00032334"/>
    <w:rsid w:val="00032646"/>
    <w:rsid w:val="00032A5E"/>
    <w:rsid w:val="000334D4"/>
    <w:rsid w:val="000338DE"/>
    <w:rsid w:val="00033915"/>
    <w:rsid w:val="00033D40"/>
    <w:rsid w:val="00033FE8"/>
    <w:rsid w:val="00034043"/>
    <w:rsid w:val="0003412E"/>
    <w:rsid w:val="00034715"/>
    <w:rsid w:val="00034797"/>
    <w:rsid w:val="00034A90"/>
    <w:rsid w:val="000359F8"/>
    <w:rsid w:val="00035BC6"/>
    <w:rsid w:val="00035E57"/>
    <w:rsid w:val="00036E78"/>
    <w:rsid w:val="00037401"/>
    <w:rsid w:val="000374BD"/>
    <w:rsid w:val="00037628"/>
    <w:rsid w:val="00037872"/>
    <w:rsid w:val="00040425"/>
    <w:rsid w:val="00040646"/>
    <w:rsid w:val="0004095F"/>
    <w:rsid w:val="00040E1F"/>
    <w:rsid w:val="0004108B"/>
    <w:rsid w:val="00041264"/>
    <w:rsid w:val="000419EF"/>
    <w:rsid w:val="00041A41"/>
    <w:rsid w:val="00041B27"/>
    <w:rsid w:val="00041C05"/>
    <w:rsid w:val="0004218D"/>
    <w:rsid w:val="000426B4"/>
    <w:rsid w:val="0004296C"/>
    <w:rsid w:val="00042BD9"/>
    <w:rsid w:val="0004305C"/>
    <w:rsid w:val="00043197"/>
    <w:rsid w:val="000431FD"/>
    <w:rsid w:val="00043462"/>
    <w:rsid w:val="00043A74"/>
    <w:rsid w:val="00043B1D"/>
    <w:rsid w:val="00043B56"/>
    <w:rsid w:val="0004406C"/>
    <w:rsid w:val="00044423"/>
    <w:rsid w:val="00044445"/>
    <w:rsid w:val="00044543"/>
    <w:rsid w:val="00044594"/>
    <w:rsid w:val="000448A8"/>
    <w:rsid w:val="00046188"/>
    <w:rsid w:val="000463C0"/>
    <w:rsid w:val="00046577"/>
    <w:rsid w:val="00046580"/>
    <w:rsid w:val="00046854"/>
    <w:rsid w:val="0004687A"/>
    <w:rsid w:val="0004745B"/>
    <w:rsid w:val="0004746A"/>
    <w:rsid w:val="00050237"/>
    <w:rsid w:val="00050330"/>
    <w:rsid w:val="0005080D"/>
    <w:rsid w:val="0005151D"/>
    <w:rsid w:val="000517E1"/>
    <w:rsid w:val="00051BDD"/>
    <w:rsid w:val="0005207A"/>
    <w:rsid w:val="00052172"/>
    <w:rsid w:val="00052312"/>
    <w:rsid w:val="00052382"/>
    <w:rsid w:val="00052942"/>
    <w:rsid w:val="00052CA3"/>
    <w:rsid w:val="00052D0D"/>
    <w:rsid w:val="00052DC3"/>
    <w:rsid w:val="0005347D"/>
    <w:rsid w:val="000534C4"/>
    <w:rsid w:val="00053B07"/>
    <w:rsid w:val="000540CF"/>
    <w:rsid w:val="00054196"/>
    <w:rsid w:val="000542D8"/>
    <w:rsid w:val="0005486E"/>
    <w:rsid w:val="000549A1"/>
    <w:rsid w:val="00054DFB"/>
    <w:rsid w:val="00055A17"/>
    <w:rsid w:val="00055A6F"/>
    <w:rsid w:val="00055D0E"/>
    <w:rsid w:val="00055E0C"/>
    <w:rsid w:val="00056337"/>
    <w:rsid w:val="00056A8B"/>
    <w:rsid w:val="00056CA6"/>
    <w:rsid w:val="000570CB"/>
    <w:rsid w:val="000570D0"/>
    <w:rsid w:val="000571F8"/>
    <w:rsid w:val="000578FB"/>
    <w:rsid w:val="00057E20"/>
    <w:rsid w:val="000602B3"/>
    <w:rsid w:val="00060646"/>
    <w:rsid w:val="00061070"/>
    <w:rsid w:val="00061144"/>
    <w:rsid w:val="00061464"/>
    <w:rsid w:val="0006169A"/>
    <w:rsid w:val="000617FE"/>
    <w:rsid w:val="00061911"/>
    <w:rsid w:val="00061B2F"/>
    <w:rsid w:val="0006208A"/>
    <w:rsid w:val="000620F2"/>
    <w:rsid w:val="0006242B"/>
    <w:rsid w:val="00062524"/>
    <w:rsid w:val="00062527"/>
    <w:rsid w:val="0006272D"/>
    <w:rsid w:val="00062A43"/>
    <w:rsid w:val="00062A97"/>
    <w:rsid w:val="00062D39"/>
    <w:rsid w:val="00063461"/>
    <w:rsid w:val="0006353E"/>
    <w:rsid w:val="0006387E"/>
    <w:rsid w:val="00063C5B"/>
    <w:rsid w:val="00063EA7"/>
    <w:rsid w:val="0006433C"/>
    <w:rsid w:val="000646FC"/>
    <w:rsid w:val="000647FA"/>
    <w:rsid w:val="00064A68"/>
    <w:rsid w:val="00064B1B"/>
    <w:rsid w:val="00065B38"/>
    <w:rsid w:val="00065B8A"/>
    <w:rsid w:val="00065BDC"/>
    <w:rsid w:val="00065F1A"/>
    <w:rsid w:val="00066C4F"/>
    <w:rsid w:val="00066EE7"/>
    <w:rsid w:val="000674DA"/>
    <w:rsid w:val="00067B18"/>
    <w:rsid w:val="00067F3D"/>
    <w:rsid w:val="0007007B"/>
    <w:rsid w:val="000701C4"/>
    <w:rsid w:val="0007081B"/>
    <w:rsid w:val="0007088D"/>
    <w:rsid w:val="00070999"/>
    <w:rsid w:val="00070B03"/>
    <w:rsid w:val="00070B9D"/>
    <w:rsid w:val="00070F61"/>
    <w:rsid w:val="000718B0"/>
    <w:rsid w:val="00071913"/>
    <w:rsid w:val="00071F85"/>
    <w:rsid w:val="00071FD3"/>
    <w:rsid w:val="00072701"/>
    <w:rsid w:val="0007282F"/>
    <w:rsid w:val="00072954"/>
    <w:rsid w:val="00072F61"/>
    <w:rsid w:val="00073368"/>
    <w:rsid w:val="0007421E"/>
    <w:rsid w:val="0007499C"/>
    <w:rsid w:val="00074ACE"/>
    <w:rsid w:val="00074DEC"/>
    <w:rsid w:val="00074E13"/>
    <w:rsid w:val="00074FCC"/>
    <w:rsid w:val="0007537E"/>
    <w:rsid w:val="00075626"/>
    <w:rsid w:val="000757AF"/>
    <w:rsid w:val="00075891"/>
    <w:rsid w:val="00075C80"/>
    <w:rsid w:val="0007616A"/>
    <w:rsid w:val="00076190"/>
    <w:rsid w:val="0007693A"/>
    <w:rsid w:val="0007695B"/>
    <w:rsid w:val="00076966"/>
    <w:rsid w:val="00076BCF"/>
    <w:rsid w:val="000773F3"/>
    <w:rsid w:val="00077711"/>
    <w:rsid w:val="00077942"/>
    <w:rsid w:val="00077F6C"/>
    <w:rsid w:val="00080782"/>
    <w:rsid w:val="000808B4"/>
    <w:rsid w:val="00080A8F"/>
    <w:rsid w:val="00080FB3"/>
    <w:rsid w:val="00081115"/>
    <w:rsid w:val="000814A9"/>
    <w:rsid w:val="000815C9"/>
    <w:rsid w:val="00082487"/>
    <w:rsid w:val="0008259C"/>
    <w:rsid w:val="00082BCF"/>
    <w:rsid w:val="0008337F"/>
    <w:rsid w:val="000834A0"/>
    <w:rsid w:val="00083F90"/>
    <w:rsid w:val="00084422"/>
    <w:rsid w:val="000845F8"/>
    <w:rsid w:val="0008472D"/>
    <w:rsid w:val="000848B9"/>
    <w:rsid w:val="00084F17"/>
    <w:rsid w:val="000852AA"/>
    <w:rsid w:val="0008532D"/>
    <w:rsid w:val="0008541C"/>
    <w:rsid w:val="000855EB"/>
    <w:rsid w:val="000855EC"/>
    <w:rsid w:val="0008574D"/>
    <w:rsid w:val="00085BC0"/>
    <w:rsid w:val="00085FC8"/>
    <w:rsid w:val="00086327"/>
    <w:rsid w:val="0008704F"/>
    <w:rsid w:val="00087320"/>
    <w:rsid w:val="000878A7"/>
    <w:rsid w:val="00087C35"/>
    <w:rsid w:val="00087DC7"/>
    <w:rsid w:val="00087EA2"/>
    <w:rsid w:val="00090126"/>
    <w:rsid w:val="00090419"/>
    <w:rsid w:val="000904B2"/>
    <w:rsid w:val="000904EE"/>
    <w:rsid w:val="00090669"/>
    <w:rsid w:val="00090B03"/>
    <w:rsid w:val="00090C77"/>
    <w:rsid w:val="000913AE"/>
    <w:rsid w:val="00091849"/>
    <w:rsid w:val="00091B58"/>
    <w:rsid w:val="00092230"/>
    <w:rsid w:val="0009237D"/>
    <w:rsid w:val="000924F6"/>
    <w:rsid w:val="00092E03"/>
    <w:rsid w:val="00092F1A"/>
    <w:rsid w:val="000930B2"/>
    <w:rsid w:val="000932A5"/>
    <w:rsid w:val="0009394E"/>
    <w:rsid w:val="00093EA2"/>
    <w:rsid w:val="00094165"/>
    <w:rsid w:val="000943BD"/>
    <w:rsid w:val="000944A7"/>
    <w:rsid w:val="000947CF"/>
    <w:rsid w:val="00094D85"/>
    <w:rsid w:val="00095044"/>
    <w:rsid w:val="000950A9"/>
    <w:rsid w:val="000951C5"/>
    <w:rsid w:val="000956D3"/>
    <w:rsid w:val="000960F5"/>
    <w:rsid w:val="00096266"/>
    <w:rsid w:val="000964D2"/>
    <w:rsid w:val="00096AE4"/>
    <w:rsid w:val="00096DCA"/>
    <w:rsid w:val="00096DD1"/>
    <w:rsid w:val="00096FFC"/>
    <w:rsid w:val="000973B4"/>
    <w:rsid w:val="0009740F"/>
    <w:rsid w:val="00097D61"/>
    <w:rsid w:val="000A00EF"/>
    <w:rsid w:val="000A03EB"/>
    <w:rsid w:val="000A060E"/>
    <w:rsid w:val="000A084E"/>
    <w:rsid w:val="000A0910"/>
    <w:rsid w:val="000A0B75"/>
    <w:rsid w:val="000A0CCA"/>
    <w:rsid w:val="000A0FF9"/>
    <w:rsid w:val="000A100A"/>
    <w:rsid w:val="000A15AC"/>
    <w:rsid w:val="000A1FCA"/>
    <w:rsid w:val="000A21C4"/>
    <w:rsid w:val="000A2447"/>
    <w:rsid w:val="000A28E1"/>
    <w:rsid w:val="000A2B93"/>
    <w:rsid w:val="000A2DC8"/>
    <w:rsid w:val="000A32D1"/>
    <w:rsid w:val="000A375B"/>
    <w:rsid w:val="000A3B8B"/>
    <w:rsid w:val="000A4065"/>
    <w:rsid w:val="000A4139"/>
    <w:rsid w:val="000A53CD"/>
    <w:rsid w:val="000A5C9C"/>
    <w:rsid w:val="000A6521"/>
    <w:rsid w:val="000A691C"/>
    <w:rsid w:val="000A697E"/>
    <w:rsid w:val="000A6F96"/>
    <w:rsid w:val="000A7527"/>
    <w:rsid w:val="000A75DB"/>
    <w:rsid w:val="000A78B3"/>
    <w:rsid w:val="000B054B"/>
    <w:rsid w:val="000B08DB"/>
    <w:rsid w:val="000B0ADB"/>
    <w:rsid w:val="000B1003"/>
    <w:rsid w:val="000B13BF"/>
    <w:rsid w:val="000B1544"/>
    <w:rsid w:val="000B1D41"/>
    <w:rsid w:val="000B2986"/>
    <w:rsid w:val="000B30A6"/>
    <w:rsid w:val="000B31D4"/>
    <w:rsid w:val="000B3856"/>
    <w:rsid w:val="000B3AE1"/>
    <w:rsid w:val="000B3F17"/>
    <w:rsid w:val="000B4378"/>
    <w:rsid w:val="000B43DC"/>
    <w:rsid w:val="000B4419"/>
    <w:rsid w:val="000B4EDA"/>
    <w:rsid w:val="000B508C"/>
    <w:rsid w:val="000B5148"/>
    <w:rsid w:val="000B52BF"/>
    <w:rsid w:val="000B6407"/>
    <w:rsid w:val="000B67F7"/>
    <w:rsid w:val="000B682B"/>
    <w:rsid w:val="000B684D"/>
    <w:rsid w:val="000B69B1"/>
    <w:rsid w:val="000B6A4D"/>
    <w:rsid w:val="000B6AA6"/>
    <w:rsid w:val="000B71ED"/>
    <w:rsid w:val="000B7342"/>
    <w:rsid w:val="000B783B"/>
    <w:rsid w:val="000B7C82"/>
    <w:rsid w:val="000B7EB5"/>
    <w:rsid w:val="000C0592"/>
    <w:rsid w:val="000C1417"/>
    <w:rsid w:val="000C16F6"/>
    <w:rsid w:val="000C1C4F"/>
    <w:rsid w:val="000C1DAA"/>
    <w:rsid w:val="000C2474"/>
    <w:rsid w:val="000C2495"/>
    <w:rsid w:val="000C2840"/>
    <w:rsid w:val="000C2A17"/>
    <w:rsid w:val="000C2BBC"/>
    <w:rsid w:val="000C3473"/>
    <w:rsid w:val="000C3CD5"/>
    <w:rsid w:val="000C413B"/>
    <w:rsid w:val="000C413F"/>
    <w:rsid w:val="000C4808"/>
    <w:rsid w:val="000C490D"/>
    <w:rsid w:val="000C4C11"/>
    <w:rsid w:val="000C52DA"/>
    <w:rsid w:val="000C543F"/>
    <w:rsid w:val="000C5495"/>
    <w:rsid w:val="000C54D8"/>
    <w:rsid w:val="000C6282"/>
    <w:rsid w:val="000C634F"/>
    <w:rsid w:val="000C67C0"/>
    <w:rsid w:val="000C7249"/>
    <w:rsid w:val="000C725A"/>
    <w:rsid w:val="000C7C6F"/>
    <w:rsid w:val="000D0041"/>
    <w:rsid w:val="000D05CD"/>
    <w:rsid w:val="000D06DB"/>
    <w:rsid w:val="000D08E1"/>
    <w:rsid w:val="000D0B03"/>
    <w:rsid w:val="000D10F9"/>
    <w:rsid w:val="000D14CF"/>
    <w:rsid w:val="000D2184"/>
    <w:rsid w:val="000D24D8"/>
    <w:rsid w:val="000D2737"/>
    <w:rsid w:val="000D2939"/>
    <w:rsid w:val="000D2AEF"/>
    <w:rsid w:val="000D2E47"/>
    <w:rsid w:val="000D3A42"/>
    <w:rsid w:val="000D3D67"/>
    <w:rsid w:val="000D3EB1"/>
    <w:rsid w:val="000D4CA5"/>
    <w:rsid w:val="000D5DE5"/>
    <w:rsid w:val="000D5FAF"/>
    <w:rsid w:val="000D60F0"/>
    <w:rsid w:val="000D63EE"/>
    <w:rsid w:val="000D645D"/>
    <w:rsid w:val="000D6B25"/>
    <w:rsid w:val="000D6D3F"/>
    <w:rsid w:val="000D6F2B"/>
    <w:rsid w:val="000D718B"/>
    <w:rsid w:val="000D7578"/>
    <w:rsid w:val="000D7D99"/>
    <w:rsid w:val="000E02B5"/>
    <w:rsid w:val="000E0AF1"/>
    <w:rsid w:val="000E0C21"/>
    <w:rsid w:val="000E0E89"/>
    <w:rsid w:val="000E0FEA"/>
    <w:rsid w:val="000E120F"/>
    <w:rsid w:val="000E1480"/>
    <w:rsid w:val="000E2825"/>
    <w:rsid w:val="000E3D80"/>
    <w:rsid w:val="000E3F8D"/>
    <w:rsid w:val="000E41E2"/>
    <w:rsid w:val="000E433F"/>
    <w:rsid w:val="000E4747"/>
    <w:rsid w:val="000E49D4"/>
    <w:rsid w:val="000E59EF"/>
    <w:rsid w:val="000E5D30"/>
    <w:rsid w:val="000E610A"/>
    <w:rsid w:val="000E61F9"/>
    <w:rsid w:val="000E69C6"/>
    <w:rsid w:val="000E6BCE"/>
    <w:rsid w:val="000E6D18"/>
    <w:rsid w:val="000E7474"/>
    <w:rsid w:val="000E7B5B"/>
    <w:rsid w:val="000F028C"/>
    <w:rsid w:val="000F0BE4"/>
    <w:rsid w:val="000F0D1B"/>
    <w:rsid w:val="000F11F5"/>
    <w:rsid w:val="000F121A"/>
    <w:rsid w:val="000F149D"/>
    <w:rsid w:val="000F1817"/>
    <w:rsid w:val="000F1E2B"/>
    <w:rsid w:val="000F2306"/>
    <w:rsid w:val="000F232C"/>
    <w:rsid w:val="000F25E7"/>
    <w:rsid w:val="000F29D7"/>
    <w:rsid w:val="000F2BEA"/>
    <w:rsid w:val="000F2D9E"/>
    <w:rsid w:val="000F2EAE"/>
    <w:rsid w:val="000F34EE"/>
    <w:rsid w:val="000F3AC7"/>
    <w:rsid w:val="000F486F"/>
    <w:rsid w:val="000F4961"/>
    <w:rsid w:val="000F56B3"/>
    <w:rsid w:val="000F5BF6"/>
    <w:rsid w:val="000F614E"/>
    <w:rsid w:val="000F66B1"/>
    <w:rsid w:val="000F722C"/>
    <w:rsid w:val="000F7798"/>
    <w:rsid w:val="000F7B99"/>
    <w:rsid w:val="000F7F1B"/>
    <w:rsid w:val="00100F8B"/>
    <w:rsid w:val="0010102F"/>
    <w:rsid w:val="00101129"/>
    <w:rsid w:val="00101503"/>
    <w:rsid w:val="00101647"/>
    <w:rsid w:val="001017B7"/>
    <w:rsid w:val="00101A55"/>
    <w:rsid w:val="00101E26"/>
    <w:rsid w:val="0010231D"/>
    <w:rsid w:val="001027D6"/>
    <w:rsid w:val="00102B2B"/>
    <w:rsid w:val="0010320B"/>
    <w:rsid w:val="00103F0B"/>
    <w:rsid w:val="001043B1"/>
    <w:rsid w:val="00104EB1"/>
    <w:rsid w:val="00104F1B"/>
    <w:rsid w:val="00104F30"/>
    <w:rsid w:val="0010534E"/>
    <w:rsid w:val="001056F1"/>
    <w:rsid w:val="001059A2"/>
    <w:rsid w:val="0010651A"/>
    <w:rsid w:val="001066E5"/>
    <w:rsid w:val="00106772"/>
    <w:rsid w:val="00106EC0"/>
    <w:rsid w:val="00107003"/>
    <w:rsid w:val="001071FF"/>
    <w:rsid w:val="0010751E"/>
    <w:rsid w:val="00107650"/>
    <w:rsid w:val="00107715"/>
    <w:rsid w:val="00107CEA"/>
    <w:rsid w:val="00107D7F"/>
    <w:rsid w:val="00107EBD"/>
    <w:rsid w:val="001102E4"/>
    <w:rsid w:val="0011095C"/>
    <w:rsid w:val="00111537"/>
    <w:rsid w:val="0011296B"/>
    <w:rsid w:val="00112AA4"/>
    <w:rsid w:val="00112CDA"/>
    <w:rsid w:val="00112D19"/>
    <w:rsid w:val="00113121"/>
    <w:rsid w:val="00113149"/>
    <w:rsid w:val="00113433"/>
    <w:rsid w:val="00113720"/>
    <w:rsid w:val="001137F9"/>
    <w:rsid w:val="00113AF5"/>
    <w:rsid w:val="00114B22"/>
    <w:rsid w:val="00114D36"/>
    <w:rsid w:val="00114EB7"/>
    <w:rsid w:val="00115023"/>
    <w:rsid w:val="00115030"/>
    <w:rsid w:val="001152EF"/>
    <w:rsid w:val="001157D5"/>
    <w:rsid w:val="001160F6"/>
    <w:rsid w:val="00116261"/>
    <w:rsid w:val="00116422"/>
    <w:rsid w:val="00116502"/>
    <w:rsid w:val="00116828"/>
    <w:rsid w:val="00116BFD"/>
    <w:rsid w:val="0011726C"/>
    <w:rsid w:val="00117884"/>
    <w:rsid w:val="0011795A"/>
    <w:rsid w:val="00117D09"/>
    <w:rsid w:val="00117D84"/>
    <w:rsid w:val="001208A5"/>
    <w:rsid w:val="001208D7"/>
    <w:rsid w:val="00120945"/>
    <w:rsid w:val="00120982"/>
    <w:rsid w:val="00120C40"/>
    <w:rsid w:val="00120D76"/>
    <w:rsid w:val="00120DFD"/>
    <w:rsid w:val="001212B0"/>
    <w:rsid w:val="001213B0"/>
    <w:rsid w:val="0012162C"/>
    <w:rsid w:val="001217BD"/>
    <w:rsid w:val="00121B4E"/>
    <w:rsid w:val="00121BA1"/>
    <w:rsid w:val="00121C04"/>
    <w:rsid w:val="0012260C"/>
    <w:rsid w:val="00122626"/>
    <w:rsid w:val="00122762"/>
    <w:rsid w:val="00122EDB"/>
    <w:rsid w:val="00122FB5"/>
    <w:rsid w:val="00122FE2"/>
    <w:rsid w:val="00123959"/>
    <w:rsid w:val="00123986"/>
    <w:rsid w:val="00123B1F"/>
    <w:rsid w:val="00123DEB"/>
    <w:rsid w:val="00124E52"/>
    <w:rsid w:val="00124FA9"/>
    <w:rsid w:val="0012522E"/>
    <w:rsid w:val="00125336"/>
    <w:rsid w:val="0012540D"/>
    <w:rsid w:val="00125807"/>
    <w:rsid w:val="00125D01"/>
    <w:rsid w:val="00125E20"/>
    <w:rsid w:val="0012645B"/>
    <w:rsid w:val="00126881"/>
    <w:rsid w:val="001268F3"/>
    <w:rsid w:val="00126F17"/>
    <w:rsid w:val="001273BC"/>
    <w:rsid w:val="001275AB"/>
    <w:rsid w:val="00127C46"/>
    <w:rsid w:val="00127DB2"/>
    <w:rsid w:val="00127FEC"/>
    <w:rsid w:val="00130661"/>
    <w:rsid w:val="0013119F"/>
    <w:rsid w:val="001312D4"/>
    <w:rsid w:val="00131549"/>
    <w:rsid w:val="001317AF"/>
    <w:rsid w:val="00131A38"/>
    <w:rsid w:val="001323C5"/>
    <w:rsid w:val="00132498"/>
    <w:rsid w:val="001324A3"/>
    <w:rsid w:val="0013252D"/>
    <w:rsid w:val="001329DA"/>
    <w:rsid w:val="00132C0A"/>
    <w:rsid w:val="00132FC3"/>
    <w:rsid w:val="0013317F"/>
    <w:rsid w:val="001332D5"/>
    <w:rsid w:val="00134062"/>
    <w:rsid w:val="0013422C"/>
    <w:rsid w:val="00134765"/>
    <w:rsid w:val="00134E84"/>
    <w:rsid w:val="00134FA5"/>
    <w:rsid w:val="00135212"/>
    <w:rsid w:val="0013528D"/>
    <w:rsid w:val="00135352"/>
    <w:rsid w:val="00135B11"/>
    <w:rsid w:val="00135D1D"/>
    <w:rsid w:val="0013626E"/>
    <w:rsid w:val="001364E0"/>
    <w:rsid w:val="0013682B"/>
    <w:rsid w:val="0013685F"/>
    <w:rsid w:val="00136BE6"/>
    <w:rsid w:val="0013710E"/>
    <w:rsid w:val="001371C0"/>
    <w:rsid w:val="001379B2"/>
    <w:rsid w:val="00137A3A"/>
    <w:rsid w:val="00137C28"/>
    <w:rsid w:val="00137D05"/>
    <w:rsid w:val="00137EA1"/>
    <w:rsid w:val="0014017E"/>
    <w:rsid w:val="001401A2"/>
    <w:rsid w:val="0014026C"/>
    <w:rsid w:val="00140272"/>
    <w:rsid w:val="0014099D"/>
    <w:rsid w:val="001409A0"/>
    <w:rsid w:val="0014106E"/>
    <w:rsid w:val="001418E9"/>
    <w:rsid w:val="00141A4A"/>
    <w:rsid w:val="00141CF0"/>
    <w:rsid w:val="00142079"/>
    <w:rsid w:val="0014231F"/>
    <w:rsid w:val="0014271D"/>
    <w:rsid w:val="00142891"/>
    <w:rsid w:val="00143198"/>
    <w:rsid w:val="0014357B"/>
    <w:rsid w:val="001443EF"/>
    <w:rsid w:val="00144833"/>
    <w:rsid w:val="00144E56"/>
    <w:rsid w:val="00144FAD"/>
    <w:rsid w:val="00145033"/>
    <w:rsid w:val="0014528B"/>
    <w:rsid w:val="00146AE3"/>
    <w:rsid w:val="00146B52"/>
    <w:rsid w:val="00146E9D"/>
    <w:rsid w:val="001471F1"/>
    <w:rsid w:val="001474AA"/>
    <w:rsid w:val="001501A7"/>
    <w:rsid w:val="001509E0"/>
    <w:rsid w:val="00150E6A"/>
    <w:rsid w:val="00151627"/>
    <w:rsid w:val="001517EC"/>
    <w:rsid w:val="00151A6A"/>
    <w:rsid w:val="00151C55"/>
    <w:rsid w:val="00152526"/>
    <w:rsid w:val="00152699"/>
    <w:rsid w:val="00152931"/>
    <w:rsid w:val="00152ABB"/>
    <w:rsid w:val="00152C0A"/>
    <w:rsid w:val="00152F20"/>
    <w:rsid w:val="00153185"/>
    <w:rsid w:val="00153584"/>
    <w:rsid w:val="0015379E"/>
    <w:rsid w:val="00153828"/>
    <w:rsid w:val="00153D7F"/>
    <w:rsid w:val="00154014"/>
    <w:rsid w:val="001542D5"/>
    <w:rsid w:val="001543D2"/>
    <w:rsid w:val="00154792"/>
    <w:rsid w:val="001547A0"/>
    <w:rsid w:val="0015485D"/>
    <w:rsid w:val="00154EA3"/>
    <w:rsid w:val="0015505D"/>
    <w:rsid w:val="001550F7"/>
    <w:rsid w:val="0015550D"/>
    <w:rsid w:val="00155795"/>
    <w:rsid w:val="0015591E"/>
    <w:rsid w:val="00155F5A"/>
    <w:rsid w:val="00156295"/>
    <w:rsid w:val="0015692E"/>
    <w:rsid w:val="00156984"/>
    <w:rsid w:val="00156F89"/>
    <w:rsid w:val="00157275"/>
    <w:rsid w:val="0015759E"/>
    <w:rsid w:val="00157FE3"/>
    <w:rsid w:val="0016024F"/>
    <w:rsid w:val="00160A3E"/>
    <w:rsid w:val="0016115B"/>
    <w:rsid w:val="00161E82"/>
    <w:rsid w:val="00161FFC"/>
    <w:rsid w:val="00162269"/>
    <w:rsid w:val="00162313"/>
    <w:rsid w:val="001623E2"/>
    <w:rsid w:val="00162A4E"/>
    <w:rsid w:val="00162AF8"/>
    <w:rsid w:val="00163331"/>
    <w:rsid w:val="00163406"/>
    <w:rsid w:val="001636CA"/>
    <w:rsid w:val="001638F6"/>
    <w:rsid w:val="00163AA8"/>
    <w:rsid w:val="00163B87"/>
    <w:rsid w:val="00163C59"/>
    <w:rsid w:val="00163CEB"/>
    <w:rsid w:val="00164145"/>
    <w:rsid w:val="00164901"/>
    <w:rsid w:val="001649BC"/>
    <w:rsid w:val="001649DF"/>
    <w:rsid w:val="00164B4C"/>
    <w:rsid w:val="00164FB6"/>
    <w:rsid w:val="00165778"/>
    <w:rsid w:val="00165A17"/>
    <w:rsid w:val="00165A33"/>
    <w:rsid w:val="00165A6F"/>
    <w:rsid w:val="0016602B"/>
    <w:rsid w:val="0016617D"/>
    <w:rsid w:val="001666A9"/>
    <w:rsid w:val="0016698C"/>
    <w:rsid w:val="00166A34"/>
    <w:rsid w:val="00166B09"/>
    <w:rsid w:val="00166EF9"/>
    <w:rsid w:val="00167581"/>
    <w:rsid w:val="00167B17"/>
    <w:rsid w:val="00170181"/>
    <w:rsid w:val="0017020E"/>
    <w:rsid w:val="001704B1"/>
    <w:rsid w:val="0017076B"/>
    <w:rsid w:val="0017084A"/>
    <w:rsid w:val="0017132F"/>
    <w:rsid w:val="00171400"/>
    <w:rsid w:val="001715D4"/>
    <w:rsid w:val="00171C7A"/>
    <w:rsid w:val="00171E4A"/>
    <w:rsid w:val="0017213E"/>
    <w:rsid w:val="00172257"/>
    <w:rsid w:val="00173884"/>
    <w:rsid w:val="00173ABF"/>
    <w:rsid w:val="00173E6B"/>
    <w:rsid w:val="00173E6C"/>
    <w:rsid w:val="001740DD"/>
    <w:rsid w:val="0017444B"/>
    <w:rsid w:val="00174504"/>
    <w:rsid w:val="0017460C"/>
    <w:rsid w:val="00174B60"/>
    <w:rsid w:val="00174BF0"/>
    <w:rsid w:val="00174D1D"/>
    <w:rsid w:val="00174E00"/>
    <w:rsid w:val="001750CA"/>
    <w:rsid w:val="0017528B"/>
    <w:rsid w:val="00175487"/>
    <w:rsid w:val="0017561D"/>
    <w:rsid w:val="001759BB"/>
    <w:rsid w:val="00175D61"/>
    <w:rsid w:val="00175F43"/>
    <w:rsid w:val="00176181"/>
    <w:rsid w:val="001762FB"/>
    <w:rsid w:val="0017636B"/>
    <w:rsid w:val="00176501"/>
    <w:rsid w:val="00176952"/>
    <w:rsid w:val="00176C1B"/>
    <w:rsid w:val="00176FEA"/>
    <w:rsid w:val="00177071"/>
    <w:rsid w:val="00177172"/>
    <w:rsid w:val="001771AA"/>
    <w:rsid w:val="001778BE"/>
    <w:rsid w:val="00177B88"/>
    <w:rsid w:val="00177DF6"/>
    <w:rsid w:val="00177E13"/>
    <w:rsid w:val="00177F92"/>
    <w:rsid w:val="00180102"/>
    <w:rsid w:val="00180677"/>
    <w:rsid w:val="00180F26"/>
    <w:rsid w:val="0018139E"/>
    <w:rsid w:val="0018157F"/>
    <w:rsid w:val="001817F3"/>
    <w:rsid w:val="001819CC"/>
    <w:rsid w:val="00182D5C"/>
    <w:rsid w:val="00183131"/>
    <w:rsid w:val="001836C5"/>
    <w:rsid w:val="001837E2"/>
    <w:rsid w:val="001838F3"/>
    <w:rsid w:val="00183D80"/>
    <w:rsid w:val="00183E71"/>
    <w:rsid w:val="0018445F"/>
    <w:rsid w:val="00184520"/>
    <w:rsid w:val="00184B9E"/>
    <w:rsid w:val="00184C9B"/>
    <w:rsid w:val="00184CC6"/>
    <w:rsid w:val="00185111"/>
    <w:rsid w:val="00185361"/>
    <w:rsid w:val="00185447"/>
    <w:rsid w:val="00186152"/>
    <w:rsid w:val="00186236"/>
    <w:rsid w:val="001863DD"/>
    <w:rsid w:val="001867C0"/>
    <w:rsid w:val="00186C87"/>
    <w:rsid w:val="00187076"/>
    <w:rsid w:val="00187B2C"/>
    <w:rsid w:val="00187B93"/>
    <w:rsid w:val="00187BC9"/>
    <w:rsid w:val="0019004C"/>
    <w:rsid w:val="00190E89"/>
    <w:rsid w:val="001911A9"/>
    <w:rsid w:val="00191639"/>
    <w:rsid w:val="00191B97"/>
    <w:rsid w:val="00191C44"/>
    <w:rsid w:val="00191CD2"/>
    <w:rsid w:val="00191E31"/>
    <w:rsid w:val="00191F33"/>
    <w:rsid w:val="001922AD"/>
    <w:rsid w:val="001923F4"/>
    <w:rsid w:val="0019286B"/>
    <w:rsid w:val="001929BD"/>
    <w:rsid w:val="00192CA1"/>
    <w:rsid w:val="00193047"/>
    <w:rsid w:val="00193CDE"/>
    <w:rsid w:val="0019408F"/>
    <w:rsid w:val="00194154"/>
    <w:rsid w:val="0019478F"/>
    <w:rsid w:val="00195172"/>
    <w:rsid w:val="001952B0"/>
    <w:rsid w:val="00195336"/>
    <w:rsid w:val="00195406"/>
    <w:rsid w:val="00195577"/>
    <w:rsid w:val="001958B4"/>
    <w:rsid w:val="00195A37"/>
    <w:rsid w:val="00195A84"/>
    <w:rsid w:val="00195BEE"/>
    <w:rsid w:val="00196270"/>
    <w:rsid w:val="00196917"/>
    <w:rsid w:val="001969E7"/>
    <w:rsid w:val="00196BFE"/>
    <w:rsid w:val="00196F11"/>
    <w:rsid w:val="00197099"/>
    <w:rsid w:val="00197D38"/>
    <w:rsid w:val="001A07DC"/>
    <w:rsid w:val="001A0803"/>
    <w:rsid w:val="001A0901"/>
    <w:rsid w:val="001A100D"/>
    <w:rsid w:val="001A107D"/>
    <w:rsid w:val="001A1092"/>
    <w:rsid w:val="001A146B"/>
    <w:rsid w:val="001A1A5D"/>
    <w:rsid w:val="001A1D85"/>
    <w:rsid w:val="001A1F18"/>
    <w:rsid w:val="001A237F"/>
    <w:rsid w:val="001A23C5"/>
    <w:rsid w:val="001A2455"/>
    <w:rsid w:val="001A282A"/>
    <w:rsid w:val="001A28BF"/>
    <w:rsid w:val="001A2B13"/>
    <w:rsid w:val="001A2DE1"/>
    <w:rsid w:val="001A3137"/>
    <w:rsid w:val="001A321F"/>
    <w:rsid w:val="001A34E2"/>
    <w:rsid w:val="001A35E1"/>
    <w:rsid w:val="001A38A0"/>
    <w:rsid w:val="001A39A2"/>
    <w:rsid w:val="001A3AC4"/>
    <w:rsid w:val="001A43DA"/>
    <w:rsid w:val="001A5921"/>
    <w:rsid w:val="001A5C24"/>
    <w:rsid w:val="001A5C4B"/>
    <w:rsid w:val="001A64B9"/>
    <w:rsid w:val="001A650A"/>
    <w:rsid w:val="001A6AF9"/>
    <w:rsid w:val="001A73EB"/>
    <w:rsid w:val="001A764E"/>
    <w:rsid w:val="001A771B"/>
    <w:rsid w:val="001A7C78"/>
    <w:rsid w:val="001A7F8D"/>
    <w:rsid w:val="001B052F"/>
    <w:rsid w:val="001B0652"/>
    <w:rsid w:val="001B0673"/>
    <w:rsid w:val="001B0965"/>
    <w:rsid w:val="001B0AF6"/>
    <w:rsid w:val="001B0B1B"/>
    <w:rsid w:val="001B10AA"/>
    <w:rsid w:val="001B1AE6"/>
    <w:rsid w:val="001B2DD2"/>
    <w:rsid w:val="001B2FA6"/>
    <w:rsid w:val="001B3973"/>
    <w:rsid w:val="001B3E74"/>
    <w:rsid w:val="001B3FDD"/>
    <w:rsid w:val="001B4016"/>
    <w:rsid w:val="001B4032"/>
    <w:rsid w:val="001B45AD"/>
    <w:rsid w:val="001B47A8"/>
    <w:rsid w:val="001B522B"/>
    <w:rsid w:val="001B566D"/>
    <w:rsid w:val="001B5C89"/>
    <w:rsid w:val="001B5F86"/>
    <w:rsid w:val="001B6284"/>
    <w:rsid w:val="001B6426"/>
    <w:rsid w:val="001B6636"/>
    <w:rsid w:val="001B6CE1"/>
    <w:rsid w:val="001B6E70"/>
    <w:rsid w:val="001B6F38"/>
    <w:rsid w:val="001B746D"/>
    <w:rsid w:val="001B79EF"/>
    <w:rsid w:val="001B7C2A"/>
    <w:rsid w:val="001C0CA1"/>
    <w:rsid w:val="001C18C4"/>
    <w:rsid w:val="001C197F"/>
    <w:rsid w:val="001C1AA4"/>
    <w:rsid w:val="001C1D25"/>
    <w:rsid w:val="001C27CF"/>
    <w:rsid w:val="001C29D9"/>
    <w:rsid w:val="001C2C54"/>
    <w:rsid w:val="001C35E4"/>
    <w:rsid w:val="001C4278"/>
    <w:rsid w:val="001C497C"/>
    <w:rsid w:val="001C4AB9"/>
    <w:rsid w:val="001C4C81"/>
    <w:rsid w:val="001C57C1"/>
    <w:rsid w:val="001C5862"/>
    <w:rsid w:val="001C5C14"/>
    <w:rsid w:val="001C604B"/>
    <w:rsid w:val="001C7158"/>
    <w:rsid w:val="001C7329"/>
    <w:rsid w:val="001C74F0"/>
    <w:rsid w:val="001C7A5D"/>
    <w:rsid w:val="001C7CA4"/>
    <w:rsid w:val="001C7E51"/>
    <w:rsid w:val="001C7F0F"/>
    <w:rsid w:val="001D0480"/>
    <w:rsid w:val="001D0DB2"/>
    <w:rsid w:val="001D120B"/>
    <w:rsid w:val="001D144B"/>
    <w:rsid w:val="001D149A"/>
    <w:rsid w:val="001D154A"/>
    <w:rsid w:val="001D164C"/>
    <w:rsid w:val="001D2842"/>
    <w:rsid w:val="001D2D14"/>
    <w:rsid w:val="001D2ECE"/>
    <w:rsid w:val="001D3337"/>
    <w:rsid w:val="001D3499"/>
    <w:rsid w:val="001D3B4E"/>
    <w:rsid w:val="001D3BF9"/>
    <w:rsid w:val="001D3D5F"/>
    <w:rsid w:val="001D4316"/>
    <w:rsid w:val="001D4352"/>
    <w:rsid w:val="001D4399"/>
    <w:rsid w:val="001D4687"/>
    <w:rsid w:val="001D47CE"/>
    <w:rsid w:val="001D4919"/>
    <w:rsid w:val="001D4B74"/>
    <w:rsid w:val="001D5044"/>
    <w:rsid w:val="001D509D"/>
    <w:rsid w:val="001D52E4"/>
    <w:rsid w:val="001D5823"/>
    <w:rsid w:val="001D5B83"/>
    <w:rsid w:val="001D5E6C"/>
    <w:rsid w:val="001D6224"/>
    <w:rsid w:val="001D66BB"/>
    <w:rsid w:val="001D6715"/>
    <w:rsid w:val="001D692E"/>
    <w:rsid w:val="001D72B8"/>
    <w:rsid w:val="001D76D0"/>
    <w:rsid w:val="001D7A19"/>
    <w:rsid w:val="001D7A8D"/>
    <w:rsid w:val="001E0335"/>
    <w:rsid w:val="001E04C1"/>
    <w:rsid w:val="001E0675"/>
    <w:rsid w:val="001E09E8"/>
    <w:rsid w:val="001E0A7F"/>
    <w:rsid w:val="001E0D03"/>
    <w:rsid w:val="001E0E26"/>
    <w:rsid w:val="001E0FD3"/>
    <w:rsid w:val="001E1102"/>
    <w:rsid w:val="001E16FB"/>
    <w:rsid w:val="001E1749"/>
    <w:rsid w:val="001E1B5A"/>
    <w:rsid w:val="001E1F9B"/>
    <w:rsid w:val="001E231F"/>
    <w:rsid w:val="001E2F67"/>
    <w:rsid w:val="001E31EA"/>
    <w:rsid w:val="001E332E"/>
    <w:rsid w:val="001E37AE"/>
    <w:rsid w:val="001E38BC"/>
    <w:rsid w:val="001E3A98"/>
    <w:rsid w:val="001E3F20"/>
    <w:rsid w:val="001E4329"/>
    <w:rsid w:val="001E4638"/>
    <w:rsid w:val="001E4CAB"/>
    <w:rsid w:val="001E5A30"/>
    <w:rsid w:val="001E5BA0"/>
    <w:rsid w:val="001E5C64"/>
    <w:rsid w:val="001E5EEE"/>
    <w:rsid w:val="001E6518"/>
    <w:rsid w:val="001E66DF"/>
    <w:rsid w:val="001E69D0"/>
    <w:rsid w:val="001E6E3B"/>
    <w:rsid w:val="001E70E5"/>
    <w:rsid w:val="001E7344"/>
    <w:rsid w:val="001E79E5"/>
    <w:rsid w:val="001F009F"/>
    <w:rsid w:val="001F019D"/>
    <w:rsid w:val="001F04CB"/>
    <w:rsid w:val="001F0617"/>
    <w:rsid w:val="001F06ED"/>
    <w:rsid w:val="001F0784"/>
    <w:rsid w:val="001F0EBC"/>
    <w:rsid w:val="001F0F7E"/>
    <w:rsid w:val="001F1044"/>
    <w:rsid w:val="001F2790"/>
    <w:rsid w:val="001F29C2"/>
    <w:rsid w:val="001F2C37"/>
    <w:rsid w:val="001F2C62"/>
    <w:rsid w:val="001F2F05"/>
    <w:rsid w:val="001F32EC"/>
    <w:rsid w:val="001F3D9C"/>
    <w:rsid w:val="001F3EEC"/>
    <w:rsid w:val="001F404D"/>
    <w:rsid w:val="001F4922"/>
    <w:rsid w:val="001F4989"/>
    <w:rsid w:val="001F508F"/>
    <w:rsid w:val="001F66EA"/>
    <w:rsid w:val="001F6AB1"/>
    <w:rsid w:val="001F6CE6"/>
    <w:rsid w:val="001F6DAB"/>
    <w:rsid w:val="001F6FCE"/>
    <w:rsid w:val="001F7E00"/>
    <w:rsid w:val="00200C8C"/>
    <w:rsid w:val="00200FFE"/>
    <w:rsid w:val="0020121C"/>
    <w:rsid w:val="0020126D"/>
    <w:rsid w:val="0020195A"/>
    <w:rsid w:val="00201DDF"/>
    <w:rsid w:val="002021AA"/>
    <w:rsid w:val="00202A7B"/>
    <w:rsid w:val="00202FC0"/>
    <w:rsid w:val="002036A3"/>
    <w:rsid w:val="00203B06"/>
    <w:rsid w:val="00204D16"/>
    <w:rsid w:val="002051CE"/>
    <w:rsid w:val="002064E7"/>
    <w:rsid w:val="002065A3"/>
    <w:rsid w:val="0020666A"/>
    <w:rsid w:val="00206D0A"/>
    <w:rsid w:val="00207D2A"/>
    <w:rsid w:val="00210618"/>
    <w:rsid w:val="0021078B"/>
    <w:rsid w:val="002109C3"/>
    <w:rsid w:val="00210F02"/>
    <w:rsid w:val="00211022"/>
    <w:rsid w:val="0021159B"/>
    <w:rsid w:val="00211A42"/>
    <w:rsid w:val="00212439"/>
    <w:rsid w:val="0021247C"/>
    <w:rsid w:val="00212575"/>
    <w:rsid w:val="002130AB"/>
    <w:rsid w:val="0021323F"/>
    <w:rsid w:val="0021344E"/>
    <w:rsid w:val="00213492"/>
    <w:rsid w:val="002135C1"/>
    <w:rsid w:val="00213A8E"/>
    <w:rsid w:val="00213AF9"/>
    <w:rsid w:val="002145F2"/>
    <w:rsid w:val="00214B3F"/>
    <w:rsid w:val="00214EBB"/>
    <w:rsid w:val="002151D8"/>
    <w:rsid w:val="002152CA"/>
    <w:rsid w:val="002158C7"/>
    <w:rsid w:val="002159D5"/>
    <w:rsid w:val="00215A20"/>
    <w:rsid w:val="002166C6"/>
    <w:rsid w:val="002168AC"/>
    <w:rsid w:val="00216A44"/>
    <w:rsid w:val="00216AD5"/>
    <w:rsid w:val="00216C69"/>
    <w:rsid w:val="00216DF4"/>
    <w:rsid w:val="00216E41"/>
    <w:rsid w:val="00217365"/>
    <w:rsid w:val="00217663"/>
    <w:rsid w:val="002176FE"/>
    <w:rsid w:val="00217AA6"/>
    <w:rsid w:val="00217FFE"/>
    <w:rsid w:val="00220C86"/>
    <w:rsid w:val="00220F4E"/>
    <w:rsid w:val="00221021"/>
    <w:rsid w:val="00221239"/>
    <w:rsid w:val="002218B8"/>
    <w:rsid w:val="00221A55"/>
    <w:rsid w:val="00222786"/>
    <w:rsid w:val="002228D2"/>
    <w:rsid w:val="002228F0"/>
    <w:rsid w:val="00222D8B"/>
    <w:rsid w:val="002233B0"/>
    <w:rsid w:val="002237BE"/>
    <w:rsid w:val="0022387D"/>
    <w:rsid w:val="00223ABD"/>
    <w:rsid w:val="00223DC1"/>
    <w:rsid w:val="00223EA3"/>
    <w:rsid w:val="002246E2"/>
    <w:rsid w:val="00224D48"/>
    <w:rsid w:val="0022519C"/>
    <w:rsid w:val="0022540C"/>
    <w:rsid w:val="00225A00"/>
    <w:rsid w:val="00225B7E"/>
    <w:rsid w:val="00225D79"/>
    <w:rsid w:val="00225F2A"/>
    <w:rsid w:val="00226060"/>
    <w:rsid w:val="00226284"/>
    <w:rsid w:val="0022644C"/>
    <w:rsid w:val="002268E0"/>
    <w:rsid w:val="00226A92"/>
    <w:rsid w:val="00227D12"/>
    <w:rsid w:val="002304F0"/>
    <w:rsid w:val="00230780"/>
    <w:rsid w:val="00230D5F"/>
    <w:rsid w:val="00230EBA"/>
    <w:rsid w:val="00231517"/>
    <w:rsid w:val="00231972"/>
    <w:rsid w:val="00231BB8"/>
    <w:rsid w:val="00231FBE"/>
    <w:rsid w:val="00232073"/>
    <w:rsid w:val="0023212D"/>
    <w:rsid w:val="002323F5"/>
    <w:rsid w:val="0023257A"/>
    <w:rsid w:val="0023276A"/>
    <w:rsid w:val="00232A00"/>
    <w:rsid w:val="00232E2A"/>
    <w:rsid w:val="002330C0"/>
    <w:rsid w:val="002336D8"/>
    <w:rsid w:val="00233C35"/>
    <w:rsid w:val="00234578"/>
    <w:rsid w:val="002348F7"/>
    <w:rsid w:val="00234D86"/>
    <w:rsid w:val="00235144"/>
    <w:rsid w:val="002351DA"/>
    <w:rsid w:val="002358A2"/>
    <w:rsid w:val="002358D1"/>
    <w:rsid w:val="0023598F"/>
    <w:rsid w:val="00235B06"/>
    <w:rsid w:val="00235BB2"/>
    <w:rsid w:val="00235C3E"/>
    <w:rsid w:val="00235D82"/>
    <w:rsid w:val="00235EFE"/>
    <w:rsid w:val="00236655"/>
    <w:rsid w:val="00236BCC"/>
    <w:rsid w:val="00236D34"/>
    <w:rsid w:val="00236F4D"/>
    <w:rsid w:val="00236FDA"/>
    <w:rsid w:val="002374A9"/>
    <w:rsid w:val="0023773B"/>
    <w:rsid w:val="00237999"/>
    <w:rsid w:val="00237B65"/>
    <w:rsid w:val="002403CC"/>
    <w:rsid w:val="0024078E"/>
    <w:rsid w:val="00240A6A"/>
    <w:rsid w:val="00240BB8"/>
    <w:rsid w:val="00240E22"/>
    <w:rsid w:val="00241234"/>
    <w:rsid w:val="0024145F"/>
    <w:rsid w:val="00241C17"/>
    <w:rsid w:val="0024218A"/>
    <w:rsid w:val="002421C4"/>
    <w:rsid w:val="0024237B"/>
    <w:rsid w:val="002424BD"/>
    <w:rsid w:val="00242C03"/>
    <w:rsid w:val="002435F9"/>
    <w:rsid w:val="00244267"/>
    <w:rsid w:val="00244652"/>
    <w:rsid w:val="00245814"/>
    <w:rsid w:val="00246300"/>
    <w:rsid w:val="00246341"/>
    <w:rsid w:val="00246760"/>
    <w:rsid w:val="00246879"/>
    <w:rsid w:val="00246FEF"/>
    <w:rsid w:val="00247053"/>
    <w:rsid w:val="002471A1"/>
    <w:rsid w:val="00247C12"/>
    <w:rsid w:val="00247C1A"/>
    <w:rsid w:val="00247CDF"/>
    <w:rsid w:val="00250277"/>
    <w:rsid w:val="00250305"/>
    <w:rsid w:val="00250429"/>
    <w:rsid w:val="0025062E"/>
    <w:rsid w:val="002509E7"/>
    <w:rsid w:val="00250EE7"/>
    <w:rsid w:val="00250EF3"/>
    <w:rsid w:val="00251142"/>
    <w:rsid w:val="00251268"/>
    <w:rsid w:val="002516E9"/>
    <w:rsid w:val="00251F94"/>
    <w:rsid w:val="00252381"/>
    <w:rsid w:val="002524DA"/>
    <w:rsid w:val="0025292B"/>
    <w:rsid w:val="002531AD"/>
    <w:rsid w:val="0025382A"/>
    <w:rsid w:val="00253865"/>
    <w:rsid w:val="00253AB0"/>
    <w:rsid w:val="00253FA7"/>
    <w:rsid w:val="00254095"/>
    <w:rsid w:val="00254172"/>
    <w:rsid w:val="002544C5"/>
    <w:rsid w:val="00254C49"/>
    <w:rsid w:val="0025592F"/>
    <w:rsid w:val="0025661A"/>
    <w:rsid w:val="00256D0F"/>
    <w:rsid w:val="002577FA"/>
    <w:rsid w:val="00257B7F"/>
    <w:rsid w:val="002611A5"/>
    <w:rsid w:val="00261299"/>
    <w:rsid w:val="00261401"/>
    <w:rsid w:val="002616B0"/>
    <w:rsid w:val="002626A1"/>
    <w:rsid w:val="00262B37"/>
    <w:rsid w:val="00262C47"/>
    <w:rsid w:val="00263690"/>
    <w:rsid w:val="002636D3"/>
    <w:rsid w:val="00263792"/>
    <w:rsid w:val="00263F20"/>
    <w:rsid w:val="0026450B"/>
    <w:rsid w:val="002645C7"/>
    <w:rsid w:val="0026483C"/>
    <w:rsid w:val="00264A5E"/>
    <w:rsid w:val="00265379"/>
    <w:rsid w:val="00265C09"/>
    <w:rsid w:val="002660F3"/>
    <w:rsid w:val="002662FA"/>
    <w:rsid w:val="00266C99"/>
    <w:rsid w:val="002670B2"/>
    <w:rsid w:val="00267243"/>
    <w:rsid w:val="002673A7"/>
    <w:rsid w:val="0026747C"/>
    <w:rsid w:val="00267C88"/>
    <w:rsid w:val="00267F10"/>
    <w:rsid w:val="00270506"/>
    <w:rsid w:val="0027095F"/>
    <w:rsid w:val="00270B26"/>
    <w:rsid w:val="00270B56"/>
    <w:rsid w:val="00270C51"/>
    <w:rsid w:val="00270D53"/>
    <w:rsid w:val="00270EF1"/>
    <w:rsid w:val="00270F0A"/>
    <w:rsid w:val="00271112"/>
    <w:rsid w:val="00271912"/>
    <w:rsid w:val="00271B56"/>
    <w:rsid w:val="00271E7D"/>
    <w:rsid w:val="00272DCB"/>
    <w:rsid w:val="00273BA6"/>
    <w:rsid w:val="00273CD0"/>
    <w:rsid w:val="00273D8C"/>
    <w:rsid w:val="00274208"/>
    <w:rsid w:val="002742D4"/>
    <w:rsid w:val="0027452C"/>
    <w:rsid w:val="0027492F"/>
    <w:rsid w:val="002758E3"/>
    <w:rsid w:val="00275E52"/>
    <w:rsid w:val="002760A5"/>
    <w:rsid w:val="0027648A"/>
    <w:rsid w:val="00276C56"/>
    <w:rsid w:val="00276E95"/>
    <w:rsid w:val="00276FB5"/>
    <w:rsid w:val="00277546"/>
    <w:rsid w:val="00277748"/>
    <w:rsid w:val="00277D73"/>
    <w:rsid w:val="00281170"/>
    <w:rsid w:val="002818EB"/>
    <w:rsid w:val="00281CE9"/>
    <w:rsid w:val="002821BB"/>
    <w:rsid w:val="002822C1"/>
    <w:rsid w:val="00282C9C"/>
    <w:rsid w:val="00282DE8"/>
    <w:rsid w:val="002831CF"/>
    <w:rsid w:val="0028337A"/>
    <w:rsid w:val="00283610"/>
    <w:rsid w:val="00283612"/>
    <w:rsid w:val="00283ECB"/>
    <w:rsid w:val="0028474A"/>
    <w:rsid w:val="002848A7"/>
    <w:rsid w:val="00284B94"/>
    <w:rsid w:val="002850F4"/>
    <w:rsid w:val="0028510D"/>
    <w:rsid w:val="002851B3"/>
    <w:rsid w:val="002857E1"/>
    <w:rsid w:val="00285960"/>
    <w:rsid w:val="00285F4C"/>
    <w:rsid w:val="002862DD"/>
    <w:rsid w:val="00286338"/>
    <w:rsid w:val="002865AC"/>
    <w:rsid w:val="00287ABC"/>
    <w:rsid w:val="00287E43"/>
    <w:rsid w:val="0029025A"/>
    <w:rsid w:val="00290356"/>
    <w:rsid w:val="002907B2"/>
    <w:rsid w:val="002907ED"/>
    <w:rsid w:val="00290883"/>
    <w:rsid w:val="0029097E"/>
    <w:rsid w:val="00290FBA"/>
    <w:rsid w:val="00291004"/>
    <w:rsid w:val="00291092"/>
    <w:rsid w:val="00291277"/>
    <w:rsid w:val="00291298"/>
    <w:rsid w:val="00291379"/>
    <w:rsid w:val="00291819"/>
    <w:rsid w:val="00291900"/>
    <w:rsid w:val="00291F4F"/>
    <w:rsid w:val="0029238F"/>
    <w:rsid w:val="00292A42"/>
    <w:rsid w:val="00292A8F"/>
    <w:rsid w:val="00292C15"/>
    <w:rsid w:val="00292FFE"/>
    <w:rsid w:val="002932B0"/>
    <w:rsid w:val="00293927"/>
    <w:rsid w:val="002942B7"/>
    <w:rsid w:val="002944BD"/>
    <w:rsid w:val="00294BD9"/>
    <w:rsid w:val="00294D58"/>
    <w:rsid w:val="0029542C"/>
    <w:rsid w:val="00295581"/>
    <w:rsid w:val="00295582"/>
    <w:rsid w:val="002957D3"/>
    <w:rsid w:val="00296187"/>
    <w:rsid w:val="00296242"/>
    <w:rsid w:val="002963AF"/>
    <w:rsid w:val="002965C2"/>
    <w:rsid w:val="0029671A"/>
    <w:rsid w:val="00296D92"/>
    <w:rsid w:val="0029762A"/>
    <w:rsid w:val="00297900"/>
    <w:rsid w:val="00297AF2"/>
    <w:rsid w:val="00297C37"/>
    <w:rsid w:val="00297C7A"/>
    <w:rsid w:val="002A04EF"/>
    <w:rsid w:val="002A1126"/>
    <w:rsid w:val="002A1766"/>
    <w:rsid w:val="002A1A1D"/>
    <w:rsid w:val="002A1B6A"/>
    <w:rsid w:val="002A2711"/>
    <w:rsid w:val="002A2BE0"/>
    <w:rsid w:val="002A30EF"/>
    <w:rsid w:val="002A3488"/>
    <w:rsid w:val="002A3518"/>
    <w:rsid w:val="002A45CD"/>
    <w:rsid w:val="002A4711"/>
    <w:rsid w:val="002A520C"/>
    <w:rsid w:val="002A5507"/>
    <w:rsid w:val="002A5929"/>
    <w:rsid w:val="002A5A94"/>
    <w:rsid w:val="002A60AD"/>
    <w:rsid w:val="002A60BD"/>
    <w:rsid w:val="002A62D7"/>
    <w:rsid w:val="002A72F1"/>
    <w:rsid w:val="002A7504"/>
    <w:rsid w:val="002A754F"/>
    <w:rsid w:val="002A763E"/>
    <w:rsid w:val="002A7DD8"/>
    <w:rsid w:val="002A7E30"/>
    <w:rsid w:val="002B04D6"/>
    <w:rsid w:val="002B0593"/>
    <w:rsid w:val="002B0854"/>
    <w:rsid w:val="002B0891"/>
    <w:rsid w:val="002B10CC"/>
    <w:rsid w:val="002B1379"/>
    <w:rsid w:val="002B1628"/>
    <w:rsid w:val="002B1902"/>
    <w:rsid w:val="002B1AB8"/>
    <w:rsid w:val="002B1BE7"/>
    <w:rsid w:val="002B1D2B"/>
    <w:rsid w:val="002B1FC3"/>
    <w:rsid w:val="002B247B"/>
    <w:rsid w:val="002B2663"/>
    <w:rsid w:val="002B29F4"/>
    <w:rsid w:val="002B2B92"/>
    <w:rsid w:val="002B3A70"/>
    <w:rsid w:val="002B40CB"/>
    <w:rsid w:val="002B437F"/>
    <w:rsid w:val="002B48BD"/>
    <w:rsid w:val="002B5336"/>
    <w:rsid w:val="002B5578"/>
    <w:rsid w:val="002B58BA"/>
    <w:rsid w:val="002B598F"/>
    <w:rsid w:val="002B662D"/>
    <w:rsid w:val="002B695E"/>
    <w:rsid w:val="002B6993"/>
    <w:rsid w:val="002B6A20"/>
    <w:rsid w:val="002B6A75"/>
    <w:rsid w:val="002B7420"/>
    <w:rsid w:val="002B747F"/>
    <w:rsid w:val="002B7718"/>
    <w:rsid w:val="002B79F8"/>
    <w:rsid w:val="002B7F36"/>
    <w:rsid w:val="002C0256"/>
    <w:rsid w:val="002C0578"/>
    <w:rsid w:val="002C0B6A"/>
    <w:rsid w:val="002C0E81"/>
    <w:rsid w:val="002C1C18"/>
    <w:rsid w:val="002C202C"/>
    <w:rsid w:val="002C25FA"/>
    <w:rsid w:val="002C26B4"/>
    <w:rsid w:val="002C26CF"/>
    <w:rsid w:val="002C26E6"/>
    <w:rsid w:val="002C30E0"/>
    <w:rsid w:val="002C345A"/>
    <w:rsid w:val="002C35C5"/>
    <w:rsid w:val="002C38F5"/>
    <w:rsid w:val="002C3C40"/>
    <w:rsid w:val="002C40A7"/>
    <w:rsid w:val="002C4614"/>
    <w:rsid w:val="002C476E"/>
    <w:rsid w:val="002C4C30"/>
    <w:rsid w:val="002C530D"/>
    <w:rsid w:val="002C59FC"/>
    <w:rsid w:val="002C62D7"/>
    <w:rsid w:val="002C636F"/>
    <w:rsid w:val="002C63E4"/>
    <w:rsid w:val="002C65DB"/>
    <w:rsid w:val="002C6E8B"/>
    <w:rsid w:val="002C7E0B"/>
    <w:rsid w:val="002D03CA"/>
    <w:rsid w:val="002D0824"/>
    <w:rsid w:val="002D0AA1"/>
    <w:rsid w:val="002D0FB6"/>
    <w:rsid w:val="002D13DC"/>
    <w:rsid w:val="002D210C"/>
    <w:rsid w:val="002D2364"/>
    <w:rsid w:val="002D239A"/>
    <w:rsid w:val="002D28B8"/>
    <w:rsid w:val="002D2C75"/>
    <w:rsid w:val="002D2C8D"/>
    <w:rsid w:val="002D2E7A"/>
    <w:rsid w:val="002D3AC1"/>
    <w:rsid w:val="002D3B95"/>
    <w:rsid w:val="002D400E"/>
    <w:rsid w:val="002D43F7"/>
    <w:rsid w:val="002D4DF6"/>
    <w:rsid w:val="002D4E68"/>
    <w:rsid w:val="002D5562"/>
    <w:rsid w:val="002D580A"/>
    <w:rsid w:val="002D598B"/>
    <w:rsid w:val="002D5C5A"/>
    <w:rsid w:val="002D5CF4"/>
    <w:rsid w:val="002D5DD5"/>
    <w:rsid w:val="002D621C"/>
    <w:rsid w:val="002D6811"/>
    <w:rsid w:val="002D7071"/>
    <w:rsid w:val="002D76A5"/>
    <w:rsid w:val="002D78F8"/>
    <w:rsid w:val="002D7C9F"/>
    <w:rsid w:val="002D7EEF"/>
    <w:rsid w:val="002E0233"/>
    <w:rsid w:val="002E035E"/>
    <w:rsid w:val="002E0702"/>
    <w:rsid w:val="002E07D9"/>
    <w:rsid w:val="002E09B6"/>
    <w:rsid w:val="002E0A0D"/>
    <w:rsid w:val="002E13EF"/>
    <w:rsid w:val="002E1AA2"/>
    <w:rsid w:val="002E1BF9"/>
    <w:rsid w:val="002E2029"/>
    <w:rsid w:val="002E225E"/>
    <w:rsid w:val="002E23E4"/>
    <w:rsid w:val="002E2DFA"/>
    <w:rsid w:val="002E30DC"/>
    <w:rsid w:val="002E30F1"/>
    <w:rsid w:val="002E387F"/>
    <w:rsid w:val="002E39BF"/>
    <w:rsid w:val="002E3AF0"/>
    <w:rsid w:val="002E3C87"/>
    <w:rsid w:val="002E41E6"/>
    <w:rsid w:val="002E460A"/>
    <w:rsid w:val="002E525C"/>
    <w:rsid w:val="002E5679"/>
    <w:rsid w:val="002E5745"/>
    <w:rsid w:val="002E5FC0"/>
    <w:rsid w:val="002E6036"/>
    <w:rsid w:val="002E60B5"/>
    <w:rsid w:val="002E6820"/>
    <w:rsid w:val="002E685D"/>
    <w:rsid w:val="002E6B0B"/>
    <w:rsid w:val="002E70F4"/>
    <w:rsid w:val="002E7880"/>
    <w:rsid w:val="002E7C86"/>
    <w:rsid w:val="002E7CE1"/>
    <w:rsid w:val="002E7D45"/>
    <w:rsid w:val="002F0151"/>
    <w:rsid w:val="002F03A5"/>
    <w:rsid w:val="002F09E5"/>
    <w:rsid w:val="002F0E72"/>
    <w:rsid w:val="002F1109"/>
    <w:rsid w:val="002F110B"/>
    <w:rsid w:val="002F1187"/>
    <w:rsid w:val="002F15A8"/>
    <w:rsid w:val="002F1D1E"/>
    <w:rsid w:val="002F2150"/>
    <w:rsid w:val="002F2367"/>
    <w:rsid w:val="002F3254"/>
    <w:rsid w:val="002F3765"/>
    <w:rsid w:val="002F4210"/>
    <w:rsid w:val="002F42AD"/>
    <w:rsid w:val="002F45E5"/>
    <w:rsid w:val="002F4CE3"/>
    <w:rsid w:val="002F5611"/>
    <w:rsid w:val="002F587F"/>
    <w:rsid w:val="002F592A"/>
    <w:rsid w:val="002F5C73"/>
    <w:rsid w:val="002F5CF7"/>
    <w:rsid w:val="002F5FF3"/>
    <w:rsid w:val="002F5FFB"/>
    <w:rsid w:val="002F65E1"/>
    <w:rsid w:val="002F6D8E"/>
    <w:rsid w:val="002F7140"/>
    <w:rsid w:val="002F7722"/>
    <w:rsid w:val="002F7EF0"/>
    <w:rsid w:val="0030005C"/>
    <w:rsid w:val="00300BD4"/>
    <w:rsid w:val="003013FF"/>
    <w:rsid w:val="003018B7"/>
    <w:rsid w:val="00301986"/>
    <w:rsid w:val="00301E58"/>
    <w:rsid w:val="0030289D"/>
    <w:rsid w:val="00302DA2"/>
    <w:rsid w:val="00302DB2"/>
    <w:rsid w:val="00302EA6"/>
    <w:rsid w:val="00302FB2"/>
    <w:rsid w:val="00302FEB"/>
    <w:rsid w:val="00303023"/>
    <w:rsid w:val="003034B9"/>
    <w:rsid w:val="003035B3"/>
    <w:rsid w:val="00303843"/>
    <w:rsid w:val="00303AD9"/>
    <w:rsid w:val="00303E74"/>
    <w:rsid w:val="00303EA2"/>
    <w:rsid w:val="00303FA2"/>
    <w:rsid w:val="00304159"/>
    <w:rsid w:val="00304506"/>
    <w:rsid w:val="003046F6"/>
    <w:rsid w:val="0030496F"/>
    <w:rsid w:val="00304D0D"/>
    <w:rsid w:val="00304EF3"/>
    <w:rsid w:val="00305574"/>
    <w:rsid w:val="00305D25"/>
    <w:rsid w:val="00305DC0"/>
    <w:rsid w:val="00305F0F"/>
    <w:rsid w:val="00305FCA"/>
    <w:rsid w:val="003064CE"/>
    <w:rsid w:val="00306D17"/>
    <w:rsid w:val="00306E39"/>
    <w:rsid w:val="0030777B"/>
    <w:rsid w:val="00307A0A"/>
    <w:rsid w:val="00307E70"/>
    <w:rsid w:val="00310244"/>
    <w:rsid w:val="00310797"/>
    <w:rsid w:val="00310931"/>
    <w:rsid w:val="00310A8B"/>
    <w:rsid w:val="00310B91"/>
    <w:rsid w:val="003110E4"/>
    <w:rsid w:val="00311A1F"/>
    <w:rsid w:val="00311CB5"/>
    <w:rsid w:val="0031276A"/>
    <w:rsid w:val="0031294D"/>
    <w:rsid w:val="00312C13"/>
    <w:rsid w:val="00312CC7"/>
    <w:rsid w:val="0031387E"/>
    <w:rsid w:val="003138D0"/>
    <w:rsid w:val="00313B69"/>
    <w:rsid w:val="00313D15"/>
    <w:rsid w:val="003140A2"/>
    <w:rsid w:val="00314504"/>
    <w:rsid w:val="00314860"/>
    <w:rsid w:val="00314985"/>
    <w:rsid w:val="00314B06"/>
    <w:rsid w:val="00314B76"/>
    <w:rsid w:val="0031558D"/>
    <w:rsid w:val="00315E6A"/>
    <w:rsid w:val="00315F80"/>
    <w:rsid w:val="00315FF5"/>
    <w:rsid w:val="003161C9"/>
    <w:rsid w:val="00316BA7"/>
    <w:rsid w:val="00316C30"/>
    <w:rsid w:val="00316D58"/>
    <w:rsid w:val="00316D65"/>
    <w:rsid w:val="003171F8"/>
    <w:rsid w:val="0031744E"/>
    <w:rsid w:val="00317952"/>
    <w:rsid w:val="00317C70"/>
    <w:rsid w:val="00320DC7"/>
    <w:rsid w:val="00320EC4"/>
    <w:rsid w:val="003213A8"/>
    <w:rsid w:val="0032168E"/>
    <w:rsid w:val="003218B8"/>
    <w:rsid w:val="00321CAE"/>
    <w:rsid w:val="00321DC3"/>
    <w:rsid w:val="00321F09"/>
    <w:rsid w:val="00322BBA"/>
    <w:rsid w:val="00322F7D"/>
    <w:rsid w:val="00323C9E"/>
    <w:rsid w:val="00323E5E"/>
    <w:rsid w:val="003242AE"/>
    <w:rsid w:val="003244EB"/>
    <w:rsid w:val="0032451C"/>
    <w:rsid w:val="00324862"/>
    <w:rsid w:val="00324F85"/>
    <w:rsid w:val="003251CB"/>
    <w:rsid w:val="0032530B"/>
    <w:rsid w:val="0032553F"/>
    <w:rsid w:val="00325751"/>
    <w:rsid w:val="00325B7D"/>
    <w:rsid w:val="00325EC9"/>
    <w:rsid w:val="00325F4F"/>
    <w:rsid w:val="00326316"/>
    <w:rsid w:val="003263D6"/>
    <w:rsid w:val="0032642E"/>
    <w:rsid w:val="003264E8"/>
    <w:rsid w:val="00326615"/>
    <w:rsid w:val="003272B3"/>
    <w:rsid w:val="00330196"/>
    <w:rsid w:val="0033068F"/>
    <w:rsid w:val="00330AA4"/>
    <w:rsid w:val="00330B13"/>
    <w:rsid w:val="003310A3"/>
    <w:rsid w:val="003310AF"/>
    <w:rsid w:val="0033110A"/>
    <w:rsid w:val="00331170"/>
    <w:rsid w:val="003311BD"/>
    <w:rsid w:val="00331576"/>
    <w:rsid w:val="0033176A"/>
    <w:rsid w:val="00331B94"/>
    <w:rsid w:val="0033254E"/>
    <w:rsid w:val="0033276A"/>
    <w:rsid w:val="00332BAC"/>
    <w:rsid w:val="003331C8"/>
    <w:rsid w:val="003338C4"/>
    <w:rsid w:val="00333F7A"/>
    <w:rsid w:val="00334D7F"/>
    <w:rsid w:val="00335566"/>
    <w:rsid w:val="003356B0"/>
    <w:rsid w:val="00335AB9"/>
    <w:rsid w:val="00335B77"/>
    <w:rsid w:val="00335D88"/>
    <w:rsid w:val="00335E26"/>
    <w:rsid w:val="00336233"/>
    <w:rsid w:val="00336487"/>
    <w:rsid w:val="00336862"/>
    <w:rsid w:val="003369C8"/>
    <w:rsid w:val="00337547"/>
    <w:rsid w:val="003375F0"/>
    <w:rsid w:val="00340235"/>
    <w:rsid w:val="003404F7"/>
    <w:rsid w:val="0034117C"/>
    <w:rsid w:val="0034118F"/>
    <w:rsid w:val="003414EF"/>
    <w:rsid w:val="00341843"/>
    <w:rsid w:val="00341858"/>
    <w:rsid w:val="00341A5D"/>
    <w:rsid w:val="00341AAD"/>
    <w:rsid w:val="00342565"/>
    <w:rsid w:val="0034284E"/>
    <w:rsid w:val="00342AD6"/>
    <w:rsid w:val="00342C87"/>
    <w:rsid w:val="00342D41"/>
    <w:rsid w:val="00343365"/>
    <w:rsid w:val="00343902"/>
    <w:rsid w:val="003439BB"/>
    <w:rsid w:val="00343C13"/>
    <w:rsid w:val="00343F01"/>
    <w:rsid w:val="0034438E"/>
    <w:rsid w:val="003447AD"/>
    <w:rsid w:val="0034511C"/>
    <w:rsid w:val="0034537E"/>
    <w:rsid w:val="00345CAC"/>
    <w:rsid w:val="00345D28"/>
    <w:rsid w:val="00346503"/>
    <w:rsid w:val="0034656C"/>
    <w:rsid w:val="00346859"/>
    <w:rsid w:val="0034699C"/>
    <w:rsid w:val="00346D1C"/>
    <w:rsid w:val="00346E62"/>
    <w:rsid w:val="00346F0B"/>
    <w:rsid w:val="00347194"/>
    <w:rsid w:val="00347659"/>
    <w:rsid w:val="00347884"/>
    <w:rsid w:val="0035054C"/>
    <w:rsid w:val="00350AFF"/>
    <w:rsid w:val="003521C6"/>
    <w:rsid w:val="00352360"/>
    <w:rsid w:val="00353203"/>
    <w:rsid w:val="00353558"/>
    <w:rsid w:val="0035399A"/>
    <w:rsid w:val="00353D71"/>
    <w:rsid w:val="003544E0"/>
    <w:rsid w:val="003546CD"/>
    <w:rsid w:val="00354C84"/>
    <w:rsid w:val="00354E55"/>
    <w:rsid w:val="003551CA"/>
    <w:rsid w:val="00355308"/>
    <w:rsid w:val="00355514"/>
    <w:rsid w:val="003558CA"/>
    <w:rsid w:val="003558D0"/>
    <w:rsid w:val="00355CA3"/>
    <w:rsid w:val="00355D29"/>
    <w:rsid w:val="00356634"/>
    <w:rsid w:val="003569D0"/>
    <w:rsid w:val="00356AA0"/>
    <w:rsid w:val="003570A4"/>
    <w:rsid w:val="00357163"/>
    <w:rsid w:val="003573D8"/>
    <w:rsid w:val="0035757D"/>
    <w:rsid w:val="003576EC"/>
    <w:rsid w:val="003579C4"/>
    <w:rsid w:val="00357A23"/>
    <w:rsid w:val="00357A29"/>
    <w:rsid w:val="00357C69"/>
    <w:rsid w:val="003608B1"/>
    <w:rsid w:val="0036093C"/>
    <w:rsid w:val="00360D2C"/>
    <w:rsid w:val="00360D34"/>
    <w:rsid w:val="00361606"/>
    <w:rsid w:val="0036163C"/>
    <w:rsid w:val="00361D36"/>
    <w:rsid w:val="003629F4"/>
    <w:rsid w:val="0036326C"/>
    <w:rsid w:val="0036347A"/>
    <w:rsid w:val="003634BA"/>
    <w:rsid w:val="00363854"/>
    <w:rsid w:val="0036390D"/>
    <w:rsid w:val="00363981"/>
    <w:rsid w:val="00363D41"/>
    <w:rsid w:val="00363E7E"/>
    <w:rsid w:val="003643D3"/>
    <w:rsid w:val="003647FE"/>
    <w:rsid w:val="003648B7"/>
    <w:rsid w:val="00364970"/>
    <w:rsid w:val="00364ADC"/>
    <w:rsid w:val="00364F54"/>
    <w:rsid w:val="003651D0"/>
    <w:rsid w:val="00365255"/>
    <w:rsid w:val="0036540F"/>
    <w:rsid w:val="003656B1"/>
    <w:rsid w:val="00365769"/>
    <w:rsid w:val="00365883"/>
    <w:rsid w:val="003658E1"/>
    <w:rsid w:val="003658F0"/>
    <w:rsid w:val="0036596E"/>
    <w:rsid w:val="0036624E"/>
    <w:rsid w:val="00366650"/>
    <w:rsid w:val="00366963"/>
    <w:rsid w:val="00366AC8"/>
    <w:rsid w:val="00366C4B"/>
    <w:rsid w:val="00367104"/>
    <w:rsid w:val="00367212"/>
    <w:rsid w:val="003675F0"/>
    <w:rsid w:val="0036767D"/>
    <w:rsid w:val="003677E7"/>
    <w:rsid w:val="00367E0D"/>
    <w:rsid w:val="0037057E"/>
    <w:rsid w:val="003706AB"/>
    <w:rsid w:val="00371479"/>
    <w:rsid w:val="003714A9"/>
    <w:rsid w:val="00371555"/>
    <w:rsid w:val="0037190A"/>
    <w:rsid w:val="00371D2E"/>
    <w:rsid w:val="00371ED0"/>
    <w:rsid w:val="00372641"/>
    <w:rsid w:val="00372731"/>
    <w:rsid w:val="00372790"/>
    <w:rsid w:val="003728A5"/>
    <w:rsid w:val="00373350"/>
    <w:rsid w:val="00373819"/>
    <w:rsid w:val="003738FD"/>
    <w:rsid w:val="00373C5C"/>
    <w:rsid w:val="00373C6F"/>
    <w:rsid w:val="00373CE6"/>
    <w:rsid w:val="00373DEC"/>
    <w:rsid w:val="00373FB8"/>
    <w:rsid w:val="003741C3"/>
    <w:rsid w:val="0037437F"/>
    <w:rsid w:val="00374A3A"/>
    <w:rsid w:val="00374F79"/>
    <w:rsid w:val="00375275"/>
    <w:rsid w:val="0037576D"/>
    <w:rsid w:val="00375A39"/>
    <w:rsid w:val="00375ADA"/>
    <w:rsid w:val="00375E09"/>
    <w:rsid w:val="00376384"/>
    <w:rsid w:val="003766D9"/>
    <w:rsid w:val="00376A35"/>
    <w:rsid w:val="00376D84"/>
    <w:rsid w:val="0037704D"/>
    <w:rsid w:val="003772B8"/>
    <w:rsid w:val="003774EC"/>
    <w:rsid w:val="00377862"/>
    <w:rsid w:val="0038000C"/>
    <w:rsid w:val="0038111C"/>
    <w:rsid w:val="00381EC3"/>
    <w:rsid w:val="00382374"/>
    <w:rsid w:val="0038243C"/>
    <w:rsid w:val="003827D6"/>
    <w:rsid w:val="00382A66"/>
    <w:rsid w:val="00382AF4"/>
    <w:rsid w:val="00382B13"/>
    <w:rsid w:val="00382C17"/>
    <w:rsid w:val="003831F0"/>
    <w:rsid w:val="003836CC"/>
    <w:rsid w:val="00383B90"/>
    <w:rsid w:val="00383BC1"/>
    <w:rsid w:val="00383FC6"/>
    <w:rsid w:val="0038444F"/>
    <w:rsid w:val="003845EC"/>
    <w:rsid w:val="0038478D"/>
    <w:rsid w:val="00384A42"/>
    <w:rsid w:val="00384AAB"/>
    <w:rsid w:val="00385120"/>
    <w:rsid w:val="00385317"/>
    <w:rsid w:val="0038531E"/>
    <w:rsid w:val="003855FF"/>
    <w:rsid w:val="00385703"/>
    <w:rsid w:val="0038582F"/>
    <w:rsid w:val="00385F09"/>
    <w:rsid w:val="00386F69"/>
    <w:rsid w:val="00387795"/>
    <w:rsid w:val="0038779A"/>
    <w:rsid w:val="00387B34"/>
    <w:rsid w:val="00387BA8"/>
    <w:rsid w:val="0039014B"/>
    <w:rsid w:val="0039030A"/>
    <w:rsid w:val="0039055F"/>
    <w:rsid w:val="003906DE"/>
    <w:rsid w:val="003907E9"/>
    <w:rsid w:val="00391D92"/>
    <w:rsid w:val="00391ED6"/>
    <w:rsid w:val="00392032"/>
    <w:rsid w:val="0039257A"/>
    <w:rsid w:val="003930C4"/>
    <w:rsid w:val="003930CC"/>
    <w:rsid w:val="003935B4"/>
    <w:rsid w:val="00393FB6"/>
    <w:rsid w:val="0039407F"/>
    <w:rsid w:val="00394154"/>
    <w:rsid w:val="003946E1"/>
    <w:rsid w:val="0039470F"/>
    <w:rsid w:val="003947A4"/>
    <w:rsid w:val="00394835"/>
    <w:rsid w:val="00394932"/>
    <w:rsid w:val="00394FA0"/>
    <w:rsid w:val="003955E2"/>
    <w:rsid w:val="00395A7C"/>
    <w:rsid w:val="00395D95"/>
    <w:rsid w:val="00395E3E"/>
    <w:rsid w:val="00395FB8"/>
    <w:rsid w:val="00396B05"/>
    <w:rsid w:val="0039728F"/>
    <w:rsid w:val="00397D1A"/>
    <w:rsid w:val="003A0843"/>
    <w:rsid w:val="003A0C47"/>
    <w:rsid w:val="003A0C72"/>
    <w:rsid w:val="003A0D63"/>
    <w:rsid w:val="003A12D3"/>
    <w:rsid w:val="003A16F7"/>
    <w:rsid w:val="003A1727"/>
    <w:rsid w:val="003A1984"/>
    <w:rsid w:val="003A1F43"/>
    <w:rsid w:val="003A23E3"/>
    <w:rsid w:val="003A26F8"/>
    <w:rsid w:val="003A27CB"/>
    <w:rsid w:val="003A29A8"/>
    <w:rsid w:val="003A2F9F"/>
    <w:rsid w:val="003A2FEE"/>
    <w:rsid w:val="003A3272"/>
    <w:rsid w:val="003A33B7"/>
    <w:rsid w:val="003A35EA"/>
    <w:rsid w:val="003A3892"/>
    <w:rsid w:val="003A42AB"/>
    <w:rsid w:val="003A4759"/>
    <w:rsid w:val="003A4973"/>
    <w:rsid w:val="003A4BAB"/>
    <w:rsid w:val="003A4C50"/>
    <w:rsid w:val="003A4CA3"/>
    <w:rsid w:val="003A4E98"/>
    <w:rsid w:val="003A5002"/>
    <w:rsid w:val="003A5178"/>
    <w:rsid w:val="003A543A"/>
    <w:rsid w:val="003A585E"/>
    <w:rsid w:val="003A59FA"/>
    <w:rsid w:val="003A5E31"/>
    <w:rsid w:val="003A5F2D"/>
    <w:rsid w:val="003A5F95"/>
    <w:rsid w:val="003A62BD"/>
    <w:rsid w:val="003A6329"/>
    <w:rsid w:val="003A6564"/>
    <w:rsid w:val="003A6815"/>
    <w:rsid w:val="003A6D00"/>
    <w:rsid w:val="003A7469"/>
    <w:rsid w:val="003A74E0"/>
    <w:rsid w:val="003A7B30"/>
    <w:rsid w:val="003A7EAB"/>
    <w:rsid w:val="003B005D"/>
    <w:rsid w:val="003B00B6"/>
    <w:rsid w:val="003B0256"/>
    <w:rsid w:val="003B02F6"/>
    <w:rsid w:val="003B0857"/>
    <w:rsid w:val="003B0C5B"/>
    <w:rsid w:val="003B0DDE"/>
    <w:rsid w:val="003B0E19"/>
    <w:rsid w:val="003B1016"/>
    <w:rsid w:val="003B118E"/>
    <w:rsid w:val="003B1621"/>
    <w:rsid w:val="003B17D7"/>
    <w:rsid w:val="003B239E"/>
    <w:rsid w:val="003B25CD"/>
    <w:rsid w:val="003B2612"/>
    <w:rsid w:val="003B29E0"/>
    <w:rsid w:val="003B2B8D"/>
    <w:rsid w:val="003B2C17"/>
    <w:rsid w:val="003B2CEE"/>
    <w:rsid w:val="003B2F49"/>
    <w:rsid w:val="003B3101"/>
    <w:rsid w:val="003B4EB2"/>
    <w:rsid w:val="003B51BD"/>
    <w:rsid w:val="003B543E"/>
    <w:rsid w:val="003B5467"/>
    <w:rsid w:val="003B5783"/>
    <w:rsid w:val="003B58E7"/>
    <w:rsid w:val="003B5E9F"/>
    <w:rsid w:val="003B60B8"/>
    <w:rsid w:val="003B6115"/>
    <w:rsid w:val="003B615D"/>
    <w:rsid w:val="003B7150"/>
    <w:rsid w:val="003B79FA"/>
    <w:rsid w:val="003B7C72"/>
    <w:rsid w:val="003B7C9B"/>
    <w:rsid w:val="003B7E15"/>
    <w:rsid w:val="003C1104"/>
    <w:rsid w:val="003C132E"/>
    <w:rsid w:val="003C2369"/>
    <w:rsid w:val="003C2645"/>
    <w:rsid w:val="003C2DDA"/>
    <w:rsid w:val="003C3611"/>
    <w:rsid w:val="003C363C"/>
    <w:rsid w:val="003C4091"/>
    <w:rsid w:val="003C40E8"/>
    <w:rsid w:val="003C4189"/>
    <w:rsid w:val="003C435D"/>
    <w:rsid w:val="003C43E7"/>
    <w:rsid w:val="003C44AF"/>
    <w:rsid w:val="003C4687"/>
    <w:rsid w:val="003C46DD"/>
    <w:rsid w:val="003C4BCE"/>
    <w:rsid w:val="003C515B"/>
    <w:rsid w:val="003C5847"/>
    <w:rsid w:val="003C5D5F"/>
    <w:rsid w:val="003C601B"/>
    <w:rsid w:val="003C649F"/>
    <w:rsid w:val="003C65EA"/>
    <w:rsid w:val="003C73B8"/>
    <w:rsid w:val="003C78FA"/>
    <w:rsid w:val="003C7FBF"/>
    <w:rsid w:val="003D05B9"/>
    <w:rsid w:val="003D06B8"/>
    <w:rsid w:val="003D07EF"/>
    <w:rsid w:val="003D16D4"/>
    <w:rsid w:val="003D1935"/>
    <w:rsid w:val="003D1FE3"/>
    <w:rsid w:val="003D283F"/>
    <w:rsid w:val="003D2FD9"/>
    <w:rsid w:val="003D310B"/>
    <w:rsid w:val="003D33A3"/>
    <w:rsid w:val="003D36D5"/>
    <w:rsid w:val="003D372D"/>
    <w:rsid w:val="003D38EF"/>
    <w:rsid w:val="003D42CB"/>
    <w:rsid w:val="003D4667"/>
    <w:rsid w:val="003D4989"/>
    <w:rsid w:val="003D4B8C"/>
    <w:rsid w:val="003D4F44"/>
    <w:rsid w:val="003D5836"/>
    <w:rsid w:val="003D5875"/>
    <w:rsid w:val="003D5A27"/>
    <w:rsid w:val="003D5CF2"/>
    <w:rsid w:val="003D5D9F"/>
    <w:rsid w:val="003D610D"/>
    <w:rsid w:val="003D6599"/>
    <w:rsid w:val="003D6632"/>
    <w:rsid w:val="003D6823"/>
    <w:rsid w:val="003D6899"/>
    <w:rsid w:val="003D69DD"/>
    <w:rsid w:val="003D7010"/>
    <w:rsid w:val="003D727F"/>
    <w:rsid w:val="003D74E9"/>
    <w:rsid w:val="003D751D"/>
    <w:rsid w:val="003D7985"/>
    <w:rsid w:val="003D7B80"/>
    <w:rsid w:val="003D7D39"/>
    <w:rsid w:val="003E00D5"/>
    <w:rsid w:val="003E00F6"/>
    <w:rsid w:val="003E023E"/>
    <w:rsid w:val="003E052B"/>
    <w:rsid w:val="003E0C56"/>
    <w:rsid w:val="003E0D93"/>
    <w:rsid w:val="003E1186"/>
    <w:rsid w:val="003E11EB"/>
    <w:rsid w:val="003E1308"/>
    <w:rsid w:val="003E1883"/>
    <w:rsid w:val="003E190B"/>
    <w:rsid w:val="003E1BCD"/>
    <w:rsid w:val="003E1E31"/>
    <w:rsid w:val="003E1F27"/>
    <w:rsid w:val="003E260D"/>
    <w:rsid w:val="003E2C42"/>
    <w:rsid w:val="003E313E"/>
    <w:rsid w:val="003E3761"/>
    <w:rsid w:val="003E3CB0"/>
    <w:rsid w:val="003E3F90"/>
    <w:rsid w:val="003E3FE0"/>
    <w:rsid w:val="003E41AF"/>
    <w:rsid w:val="003E4447"/>
    <w:rsid w:val="003E485F"/>
    <w:rsid w:val="003E4A4B"/>
    <w:rsid w:val="003E4B43"/>
    <w:rsid w:val="003E4BA7"/>
    <w:rsid w:val="003E4DEB"/>
    <w:rsid w:val="003E5029"/>
    <w:rsid w:val="003E55C9"/>
    <w:rsid w:val="003E6380"/>
    <w:rsid w:val="003E66E2"/>
    <w:rsid w:val="003E6922"/>
    <w:rsid w:val="003E6968"/>
    <w:rsid w:val="003E6AF8"/>
    <w:rsid w:val="003E6AFC"/>
    <w:rsid w:val="003E6C8E"/>
    <w:rsid w:val="003E75ED"/>
    <w:rsid w:val="003E7F3E"/>
    <w:rsid w:val="003F00AE"/>
    <w:rsid w:val="003F058C"/>
    <w:rsid w:val="003F09F3"/>
    <w:rsid w:val="003F0C11"/>
    <w:rsid w:val="003F0D79"/>
    <w:rsid w:val="003F10B3"/>
    <w:rsid w:val="003F24AD"/>
    <w:rsid w:val="003F26F9"/>
    <w:rsid w:val="003F28F3"/>
    <w:rsid w:val="003F2A3F"/>
    <w:rsid w:val="003F2C16"/>
    <w:rsid w:val="003F30FD"/>
    <w:rsid w:val="003F3139"/>
    <w:rsid w:val="003F3A50"/>
    <w:rsid w:val="003F3C96"/>
    <w:rsid w:val="003F4212"/>
    <w:rsid w:val="003F42A3"/>
    <w:rsid w:val="003F436A"/>
    <w:rsid w:val="003F4DDD"/>
    <w:rsid w:val="003F5A2B"/>
    <w:rsid w:val="003F5E82"/>
    <w:rsid w:val="003F6876"/>
    <w:rsid w:val="003F6BE5"/>
    <w:rsid w:val="003F6ECB"/>
    <w:rsid w:val="003F7139"/>
    <w:rsid w:val="003F715A"/>
    <w:rsid w:val="003F76D3"/>
    <w:rsid w:val="003F77B0"/>
    <w:rsid w:val="003F7DAC"/>
    <w:rsid w:val="00400001"/>
    <w:rsid w:val="00400449"/>
    <w:rsid w:val="00400C3E"/>
    <w:rsid w:val="0040110E"/>
    <w:rsid w:val="004011B7"/>
    <w:rsid w:val="0040171A"/>
    <w:rsid w:val="00401990"/>
    <w:rsid w:val="004020CA"/>
    <w:rsid w:val="004024C7"/>
    <w:rsid w:val="004027A8"/>
    <w:rsid w:val="00402A90"/>
    <w:rsid w:val="00402CE3"/>
    <w:rsid w:val="00402DE9"/>
    <w:rsid w:val="00403302"/>
    <w:rsid w:val="00403D97"/>
    <w:rsid w:val="00403DE4"/>
    <w:rsid w:val="00403E5D"/>
    <w:rsid w:val="00404726"/>
    <w:rsid w:val="004047BF"/>
    <w:rsid w:val="004047EA"/>
    <w:rsid w:val="00404D1D"/>
    <w:rsid w:val="00404F0C"/>
    <w:rsid w:val="00405092"/>
    <w:rsid w:val="004059C4"/>
    <w:rsid w:val="00405AE5"/>
    <w:rsid w:val="00405F63"/>
    <w:rsid w:val="00406BFD"/>
    <w:rsid w:val="0040727D"/>
    <w:rsid w:val="004076FC"/>
    <w:rsid w:val="004078E0"/>
    <w:rsid w:val="00407AD0"/>
    <w:rsid w:val="004107E2"/>
    <w:rsid w:val="004107E3"/>
    <w:rsid w:val="00410ACB"/>
    <w:rsid w:val="00410B74"/>
    <w:rsid w:val="00410B92"/>
    <w:rsid w:val="004110A2"/>
    <w:rsid w:val="0041117B"/>
    <w:rsid w:val="004115FD"/>
    <w:rsid w:val="00411ABF"/>
    <w:rsid w:val="00411F06"/>
    <w:rsid w:val="0041212B"/>
    <w:rsid w:val="00412237"/>
    <w:rsid w:val="00412A0B"/>
    <w:rsid w:val="00412EBC"/>
    <w:rsid w:val="00412FAA"/>
    <w:rsid w:val="00413064"/>
    <w:rsid w:val="00413304"/>
    <w:rsid w:val="0041366F"/>
    <w:rsid w:val="00413992"/>
    <w:rsid w:val="00413D11"/>
    <w:rsid w:val="00414170"/>
    <w:rsid w:val="004145FA"/>
    <w:rsid w:val="0041489C"/>
    <w:rsid w:val="004152C9"/>
    <w:rsid w:val="0041530F"/>
    <w:rsid w:val="00415E11"/>
    <w:rsid w:val="004169C4"/>
    <w:rsid w:val="00417529"/>
    <w:rsid w:val="00417764"/>
    <w:rsid w:val="004177FC"/>
    <w:rsid w:val="00417805"/>
    <w:rsid w:val="00417A52"/>
    <w:rsid w:val="00417AB3"/>
    <w:rsid w:val="00417EE6"/>
    <w:rsid w:val="00417EE9"/>
    <w:rsid w:val="0042007C"/>
    <w:rsid w:val="00420561"/>
    <w:rsid w:val="00420AEE"/>
    <w:rsid w:val="00420C14"/>
    <w:rsid w:val="004210B3"/>
    <w:rsid w:val="00421CDE"/>
    <w:rsid w:val="00421F7E"/>
    <w:rsid w:val="00421FB2"/>
    <w:rsid w:val="004222CC"/>
    <w:rsid w:val="004229C0"/>
    <w:rsid w:val="00422B48"/>
    <w:rsid w:val="00422DD7"/>
    <w:rsid w:val="004234A4"/>
    <w:rsid w:val="0042356D"/>
    <w:rsid w:val="004237CE"/>
    <w:rsid w:val="004240D1"/>
    <w:rsid w:val="004243A3"/>
    <w:rsid w:val="004244AB"/>
    <w:rsid w:val="004245D8"/>
    <w:rsid w:val="00424783"/>
    <w:rsid w:val="00424AE6"/>
    <w:rsid w:val="00424EAC"/>
    <w:rsid w:val="00425072"/>
    <w:rsid w:val="00425313"/>
    <w:rsid w:val="00425542"/>
    <w:rsid w:val="004257F9"/>
    <w:rsid w:val="00425E60"/>
    <w:rsid w:val="004262AE"/>
    <w:rsid w:val="00427352"/>
    <w:rsid w:val="00427B0E"/>
    <w:rsid w:val="00427CAB"/>
    <w:rsid w:val="00430019"/>
    <w:rsid w:val="00430588"/>
    <w:rsid w:val="00430796"/>
    <w:rsid w:val="00431BF1"/>
    <w:rsid w:val="00432078"/>
    <w:rsid w:val="0043207F"/>
    <w:rsid w:val="00432167"/>
    <w:rsid w:val="004324D7"/>
    <w:rsid w:val="00432609"/>
    <w:rsid w:val="00432B15"/>
    <w:rsid w:val="0043338A"/>
    <w:rsid w:val="0043399F"/>
    <w:rsid w:val="004340F2"/>
    <w:rsid w:val="004341A4"/>
    <w:rsid w:val="004341AF"/>
    <w:rsid w:val="0043422C"/>
    <w:rsid w:val="00434319"/>
    <w:rsid w:val="0043434A"/>
    <w:rsid w:val="004345B3"/>
    <w:rsid w:val="0043560E"/>
    <w:rsid w:val="0043574E"/>
    <w:rsid w:val="0043588A"/>
    <w:rsid w:val="00435CA3"/>
    <w:rsid w:val="00436406"/>
    <w:rsid w:val="00436946"/>
    <w:rsid w:val="00436E0A"/>
    <w:rsid w:val="004370C5"/>
    <w:rsid w:val="00437246"/>
    <w:rsid w:val="00437396"/>
    <w:rsid w:val="0043743C"/>
    <w:rsid w:val="0043759B"/>
    <w:rsid w:val="004375A1"/>
    <w:rsid w:val="00437A56"/>
    <w:rsid w:val="00437BCB"/>
    <w:rsid w:val="00440225"/>
    <w:rsid w:val="00440229"/>
    <w:rsid w:val="0044029A"/>
    <w:rsid w:val="004406E1"/>
    <w:rsid w:val="00440E82"/>
    <w:rsid w:val="0044107D"/>
    <w:rsid w:val="0044117E"/>
    <w:rsid w:val="0044139C"/>
    <w:rsid w:val="00441480"/>
    <w:rsid w:val="0044176C"/>
    <w:rsid w:val="00441C3A"/>
    <w:rsid w:val="00442684"/>
    <w:rsid w:val="004426D6"/>
    <w:rsid w:val="0044279A"/>
    <w:rsid w:val="00443049"/>
    <w:rsid w:val="00443069"/>
    <w:rsid w:val="00443A34"/>
    <w:rsid w:val="00443E61"/>
    <w:rsid w:val="0044401D"/>
    <w:rsid w:val="004440E4"/>
    <w:rsid w:val="00444307"/>
    <w:rsid w:val="00444403"/>
    <w:rsid w:val="00444B74"/>
    <w:rsid w:val="00444D67"/>
    <w:rsid w:val="00444DF4"/>
    <w:rsid w:val="00444F17"/>
    <w:rsid w:val="00445081"/>
    <w:rsid w:val="004452F5"/>
    <w:rsid w:val="0044635A"/>
    <w:rsid w:val="004464DF"/>
    <w:rsid w:val="004467E1"/>
    <w:rsid w:val="00446A75"/>
    <w:rsid w:val="00446BD7"/>
    <w:rsid w:val="004472C7"/>
    <w:rsid w:val="004473A0"/>
    <w:rsid w:val="00447594"/>
    <w:rsid w:val="00447C6D"/>
    <w:rsid w:val="00447DE3"/>
    <w:rsid w:val="004503C8"/>
    <w:rsid w:val="004518B8"/>
    <w:rsid w:val="00451C09"/>
    <w:rsid w:val="0045227C"/>
    <w:rsid w:val="0045229B"/>
    <w:rsid w:val="00452380"/>
    <w:rsid w:val="004524BE"/>
    <w:rsid w:val="00452DCB"/>
    <w:rsid w:val="00452E23"/>
    <w:rsid w:val="00453A53"/>
    <w:rsid w:val="00453C47"/>
    <w:rsid w:val="00453F50"/>
    <w:rsid w:val="00454095"/>
    <w:rsid w:val="0045497E"/>
    <w:rsid w:val="00454F99"/>
    <w:rsid w:val="00455032"/>
    <w:rsid w:val="004556A6"/>
    <w:rsid w:val="00455E3C"/>
    <w:rsid w:val="0045611F"/>
    <w:rsid w:val="00456981"/>
    <w:rsid w:val="00456BFE"/>
    <w:rsid w:val="00456EFA"/>
    <w:rsid w:val="0045752D"/>
    <w:rsid w:val="00457A9C"/>
    <w:rsid w:val="00457ED7"/>
    <w:rsid w:val="00460D18"/>
    <w:rsid w:val="00460EEF"/>
    <w:rsid w:val="004610E0"/>
    <w:rsid w:val="00461328"/>
    <w:rsid w:val="0046190A"/>
    <w:rsid w:val="004619BE"/>
    <w:rsid w:val="00461DB3"/>
    <w:rsid w:val="00462118"/>
    <w:rsid w:val="00462B51"/>
    <w:rsid w:val="00463193"/>
    <w:rsid w:val="00463297"/>
    <w:rsid w:val="004632CE"/>
    <w:rsid w:val="00463390"/>
    <w:rsid w:val="00463525"/>
    <w:rsid w:val="00463AAF"/>
    <w:rsid w:val="00463CA0"/>
    <w:rsid w:val="00463FB4"/>
    <w:rsid w:val="004643D3"/>
    <w:rsid w:val="00464605"/>
    <w:rsid w:val="00464920"/>
    <w:rsid w:val="00464B07"/>
    <w:rsid w:val="00464CA9"/>
    <w:rsid w:val="00465134"/>
    <w:rsid w:val="00465220"/>
    <w:rsid w:val="00465268"/>
    <w:rsid w:val="00465782"/>
    <w:rsid w:val="00465B5B"/>
    <w:rsid w:val="00465DA4"/>
    <w:rsid w:val="004660CE"/>
    <w:rsid w:val="004660DB"/>
    <w:rsid w:val="00466D3C"/>
    <w:rsid w:val="00466D6B"/>
    <w:rsid w:val="004670C1"/>
    <w:rsid w:val="004675C8"/>
    <w:rsid w:val="00467935"/>
    <w:rsid w:val="00467A4A"/>
    <w:rsid w:val="00470026"/>
    <w:rsid w:val="0047054E"/>
    <w:rsid w:val="0047059A"/>
    <w:rsid w:val="004706AD"/>
    <w:rsid w:val="00470BD8"/>
    <w:rsid w:val="00470C55"/>
    <w:rsid w:val="004711E2"/>
    <w:rsid w:val="0047120B"/>
    <w:rsid w:val="0047130F"/>
    <w:rsid w:val="004714D9"/>
    <w:rsid w:val="00471D85"/>
    <w:rsid w:val="00472040"/>
    <w:rsid w:val="00472126"/>
    <w:rsid w:val="00472182"/>
    <w:rsid w:val="00472EF7"/>
    <w:rsid w:val="00473427"/>
    <w:rsid w:val="00473951"/>
    <w:rsid w:val="004741B1"/>
    <w:rsid w:val="0047481E"/>
    <w:rsid w:val="00475119"/>
    <w:rsid w:val="00475233"/>
    <w:rsid w:val="004757AB"/>
    <w:rsid w:val="0047596A"/>
    <w:rsid w:val="00475A58"/>
    <w:rsid w:val="00475E09"/>
    <w:rsid w:val="00475EE7"/>
    <w:rsid w:val="0047720A"/>
    <w:rsid w:val="00477795"/>
    <w:rsid w:val="0047798C"/>
    <w:rsid w:val="00477BB1"/>
    <w:rsid w:val="00477EE9"/>
    <w:rsid w:val="00480140"/>
    <w:rsid w:val="00480376"/>
    <w:rsid w:val="004803A7"/>
    <w:rsid w:val="0048058B"/>
    <w:rsid w:val="004809B7"/>
    <w:rsid w:val="00480E00"/>
    <w:rsid w:val="00481135"/>
    <w:rsid w:val="00481430"/>
    <w:rsid w:val="00481810"/>
    <w:rsid w:val="00481837"/>
    <w:rsid w:val="00481C18"/>
    <w:rsid w:val="00482B55"/>
    <w:rsid w:val="00482E4D"/>
    <w:rsid w:val="00483187"/>
    <w:rsid w:val="004831F1"/>
    <w:rsid w:val="00483321"/>
    <w:rsid w:val="00483473"/>
    <w:rsid w:val="0048364B"/>
    <w:rsid w:val="00483776"/>
    <w:rsid w:val="00483CA0"/>
    <w:rsid w:val="004840CE"/>
    <w:rsid w:val="004845FB"/>
    <w:rsid w:val="0048488F"/>
    <w:rsid w:val="00484BBE"/>
    <w:rsid w:val="00484FFF"/>
    <w:rsid w:val="00485212"/>
    <w:rsid w:val="0048577C"/>
    <w:rsid w:val="00485B54"/>
    <w:rsid w:val="004860A2"/>
    <w:rsid w:val="004860D8"/>
    <w:rsid w:val="00486261"/>
    <w:rsid w:val="00486483"/>
    <w:rsid w:val="00486D40"/>
    <w:rsid w:val="00486F08"/>
    <w:rsid w:val="004872A1"/>
    <w:rsid w:val="004873C8"/>
    <w:rsid w:val="004875E0"/>
    <w:rsid w:val="00487D31"/>
    <w:rsid w:val="00487FC8"/>
    <w:rsid w:val="004905B5"/>
    <w:rsid w:val="00490A0C"/>
    <w:rsid w:val="00490F71"/>
    <w:rsid w:val="00491075"/>
    <w:rsid w:val="0049159F"/>
    <w:rsid w:val="00491851"/>
    <w:rsid w:val="004918DD"/>
    <w:rsid w:val="0049199B"/>
    <w:rsid w:val="00491C59"/>
    <w:rsid w:val="00491DD7"/>
    <w:rsid w:val="0049206F"/>
    <w:rsid w:val="0049216D"/>
    <w:rsid w:val="00492686"/>
    <w:rsid w:val="00492E16"/>
    <w:rsid w:val="00493937"/>
    <w:rsid w:val="00493ED9"/>
    <w:rsid w:val="00494B6A"/>
    <w:rsid w:val="00494BED"/>
    <w:rsid w:val="00495580"/>
    <w:rsid w:val="004958D7"/>
    <w:rsid w:val="004958DF"/>
    <w:rsid w:val="004962BE"/>
    <w:rsid w:val="004962DF"/>
    <w:rsid w:val="00496A5A"/>
    <w:rsid w:val="00496BC5"/>
    <w:rsid w:val="00496F80"/>
    <w:rsid w:val="004977B4"/>
    <w:rsid w:val="004A0003"/>
    <w:rsid w:val="004A0B7B"/>
    <w:rsid w:val="004A0D09"/>
    <w:rsid w:val="004A169F"/>
    <w:rsid w:val="004A18E5"/>
    <w:rsid w:val="004A1939"/>
    <w:rsid w:val="004A1DBE"/>
    <w:rsid w:val="004A219B"/>
    <w:rsid w:val="004A2731"/>
    <w:rsid w:val="004A2981"/>
    <w:rsid w:val="004A2CA5"/>
    <w:rsid w:val="004A3292"/>
    <w:rsid w:val="004A36C5"/>
    <w:rsid w:val="004A3EC9"/>
    <w:rsid w:val="004A45F7"/>
    <w:rsid w:val="004A486C"/>
    <w:rsid w:val="004A4A42"/>
    <w:rsid w:val="004A4AC7"/>
    <w:rsid w:val="004A5CBF"/>
    <w:rsid w:val="004A6095"/>
    <w:rsid w:val="004A6513"/>
    <w:rsid w:val="004A6970"/>
    <w:rsid w:val="004A6BAD"/>
    <w:rsid w:val="004A6E87"/>
    <w:rsid w:val="004A6FC2"/>
    <w:rsid w:val="004A7593"/>
    <w:rsid w:val="004B0358"/>
    <w:rsid w:val="004B0364"/>
    <w:rsid w:val="004B04BD"/>
    <w:rsid w:val="004B0B95"/>
    <w:rsid w:val="004B1372"/>
    <w:rsid w:val="004B1816"/>
    <w:rsid w:val="004B1AFD"/>
    <w:rsid w:val="004B1EE9"/>
    <w:rsid w:val="004B209F"/>
    <w:rsid w:val="004B25B6"/>
    <w:rsid w:val="004B2AE2"/>
    <w:rsid w:val="004B2B2B"/>
    <w:rsid w:val="004B30BE"/>
    <w:rsid w:val="004B329C"/>
    <w:rsid w:val="004B3330"/>
    <w:rsid w:val="004B3908"/>
    <w:rsid w:val="004B3B1D"/>
    <w:rsid w:val="004B3F71"/>
    <w:rsid w:val="004B4057"/>
    <w:rsid w:val="004B42CF"/>
    <w:rsid w:val="004B4397"/>
    <w:rsid w:val="004B4766"/>
    <w:rsid w:val="004B48CD"/>
    <w:rsid w:val="004B4C16"/>
    <w:rsid w:val="004B4C98"/>
    <w:rsid w:val="004B52D4"/>
    <w:rsid w:val="004B5A51"/>
    <w:rsid w:val="004B5B01"/>
    <w:rsid w:val="004B608D"/>
    <w:rsid w:val="004B6096"/>
    <w:rsid w:val="004B60C8"/>
    <w:rsid w:val="004B61EC"/>
    <w:rsid w:val="004B6547"/>
    <w:rsid w:val="004B6702"/>
    <w:rsid w:val="004B6C94"/>
    <w:rsid w:val="004B6E73"/>
    <w:rsid w:val="004B6ED9"/>
    <w:rsid w:val="004B7975"/>
    <w:rsid w:val="004B7E3C"/>
    <w:rsid w:val="004C043F"/>
    <w:rsid w:val="004C0631"/>
    <w:rsid w:val="004C089E"/>
    <w:rsid w:val="004C0C26"/>
    <w:rsid w:val="004C0D59"/>
    <w:rsid w:val="004C0E80"/>
    <w:rsid w:val="004C1426"/>
    <w:rsid w:val="004C17B4"/>
    <w:rsid w:val="004C1E5C"/>
    <w:rsid w:val="004C2013"/>
    <w:rsid w:val="004C28DB"/>
    <w:rsid w:val="004C2BF7"/>
    <w:rsid w:val="004C3A58"/>
    <w:rsid w:val="004C3A59"/>
    <w:rsid w:val="004C4128"/>
    <w:rsid w:val="004C4435"/>
    <w:rsid w:val="004C44DE"/>
    <w:rsid w:val="004C4687"/>
    <w:rsid w:val="004C478D"/>
    <w:rsid w:val="004C4979"/>
    <w:rsid w:val="004C4DE6"/>
    <w:rsid w:val="004C581A"/>
    <w:rsid w:val="004C58B7"/>
    <w:rsid w:val="004C5BB6"/>
    <w:rsid w:val="004C65E6"/>
    <w:rsid w:val="004C65F3"/>
    <w:rsid w:val="004C67AE"/>
    <w:rsid w:val="004C6882"/>
    <w:rsid w:val="004C68B5"/>
    <w:rsid w:val="004C6D94"/>
    <w:rsid w:val="004C6FBD"/>
    <w:rsid w:val="004C714F"/>
    <w:rsid w:val="004C77BE"/>
    <w:rsid w:val="004D04B8"/>
    <w:rsid w:val="004D0CCD"/>
    <w:rsid w:val="004D1128"/>
    <w:rsid w:val="004D1183"/>
    <w:rsid w:val="004D1220"/>
    <w:rsid w:val="004D174E"/>
    <w:rsid w:val="004D17F5"/>
    <w:rsid w:val="004D1867"/>
    <w:rsid w:val="004D18A2"/>
    <w:rsid w:val="004D1CB3"/>
    <w:rsid w:val="004D1DD5"/>
    <w:rsid w:val="004D2344"/>
    <w:rsid w:val="004D23EA"/>
    <w:rsid w:val="004D27E1"/>
    <w:rsid w:val="004D3247"/>
    <w:rsid w:val="004D3352"/>
    <w:rsid w:val="004D3766"/>
    <w:rsid w:val="004D3B99"/>
    <w:rsid w:val="004D3E31"/>
    <w:rsid w:val="004D3E49"/>
    <w:rsid w:val="004D4BEA"/>
    <w:rsid w:val="004D4D07"/>
    <w:rsid w:val="004D522C"/>
    <w:rsid w:val="004D575E"/>
    <w:rsid w:val="004D5B88"/>
    <w:rsid w:val="004D6093"/>
    <w:rsid w:val="004D6129"/>
    <w:rsid w:val="004D6207"/>
    <w:rsid w:val="004D7C12"/>
    <w:rsid w:val="004E0984"/>
    <w:rsid w:val="004E0A12"/>
    <w:rsid w:val="004E0AB6"/>
    <w:rsid w:val="004E0F8F"/>
    <w:rsid w:val="004E18BC"/>
    <w:rsid w:val="004E1942"/>
    <w:rsid w:val="004E1D6E"/>
    <w:rsid w:val="004E207F"/>
    <w:rsid w:val="004E2550"/>
    <w:rsid w:val="004E2593"/>
    <w:rsid w:val="004E268C"/>
    <w:rsid w:val="004E2E54"/>
    <w:rsid w:val="004E2F66"/>
    <w:rsid w:val="004E2FBC"/>
    <w:rsid w:val="004E4110"/>
    <w:rsid w:val="004E4931"/>
    <w:rsid w:val="004E4AE3"/>
    <w:rsid w:val="004E4CFE"/>
    <w:rsid w:val="004E54D0"/>
    <w:rsid w:val="004E569B"/>
    <w:rsid w:val="004E5AD4"/>
    <w:rsid w:val="004E5C04"/>
    <w:rsid w:val="004E6372"/>
    <w:rsid w:val="004E63F2"/>
    <w:rsid w:val="004E676B"/>
    <w:rsid w:val="004E6ECF"/>
    <w:rsid w:val="004E70B6"/>
    <w:rsid w:val="004E71CB"/>
    <w:rsid w:val="004E780E"/>
    <w:rsid w:val="004E7C43"/>
    <w:rsid w:val="004E7E61"/>
    <w:rsid w:val="004F00E0"/>
    <w:rsid w:val="004F01F2"/>
    <w:rsid w:val="004F03ED"/>
    <w:rsid w:val="004F0623"/>
    <w:rsid w:val="004F0B0E"/>
    <w:rsid w:val="004F0FBF"/>
    <w:rsid w:val="004F1066"/>
    <w:rsid w:val="004F1B65"/>
    <w:rsid w:val="004F23F2"/>
    <w:rsid w:val="004F27B7"/>
    <w:rsid w:val="004F2F26"/>
    <w:rsid w:val="004F2F6C"/>
    <w:rsid w:val="004F2FC7"/>
    <w:rsid w:val="004F4089"/>
    <w:rsid w:val="004F4145"/>
    <w:rsid w:val="004F4663"/>
    <w:rsid w:val="004F4722"/>
    <w:rsid w:val="004F4C50"/>
    <w:rsid w:val="004F53E4"/>
    <w:rsid w:val="004F575B"/>
    <w:rsid w:val="004F6242"/>
    <w:rsid w:val="004F6A74"/>
    <w:rsid w:val="004F71B6"/>
    <w:rsid w:val="004F71C0"/>
    <w:rsid w:val="004F73AD"/>
    <w:rsid w:val="004F7703"/>
    <w:rsid w:val="004F7EC9"/>
    <w:rsid w:val="004F7F16"/>
    <w:rsid w:val="00500124"/>
    <w:rsid w:val="00500311"/>
    <w:rsid w:val="00500D2A"/>
    <w:rsid w:val="00500E4B"/>
    <w:rsid w:val="005014CF"/>
    <w:rsid w:val="005017AF"/>
    <w:rsid w:val="0050234E"/>
    <w:rsid w:val="00502915"/>
    <w:rsid w:val="00502E54"/>
    <w:rsid w:val="00502EF2"/>
    <w:rsid w:val="00502F7F"/>
    <w:rsid w:val="00503A1D"/>
    <w:rsid w:val="00503B28"/>
    <w:rsid w:val="00503B4D"/>
    <w:rsid w:val="00503CE9"/>
    <w:rsid w:val="00503D23"/>
    <w:rsid w:val="00503E06"/>
    <w:rsid w:val="00503F10"/>
    <w:rsid w:val="005040E5"/>
    <w:rsid w:val="005044BA"/>
    <w:rsid w:val="00504725"/>
    <w:rsid w:val="005047D9"/>
    <w:rsid w:val="00504939"/>
    <w:rsid w:val="0050577E"/>
    <w:rsid w:val="005059FB"/>
    <w:rsid w:val="00505AF9"/>
    <w:rsid w:val="00505D99"/>
    <w:rsid w:val="005067B2"/>
    <w:rsid w:val="00506A57"/>
    <w:rsid w:val="00506A96"/>
    <w:rsid w:val="00506C8C"/>
    <w:rsid w:val="0050759C"/>
    <w:rsid w:val="005075ED"/>
    <w:rsid w:val="005077CB"/>
    <w:rsid w:val="00507A19"/>
    <w:rsid w:val="00507C98"/>
    <w:rsid w:val="00507CA6"/>
    <w:rsid w:val="00507DBB"/>
    <w:rsid w:val="00510B48"/>
    <w:rsid w:val="00510B80"/>
    <w:rsid w:val="0051102E"/>
    <w:rsid w:val="005110BA"/>
    <w:rsid w:val="00511174"/>
    <w:rsid w:val="005112A2"/>
    <w:rsid w:val="00511582"/>
    <w:rsid w:val="00511783"/>
    <w:rsid w:val="00511E28"/>
    <w:rsid w:val="00512178"/>
    <w:rsid w:val="005127D2"/>
    <w:rsid w:val="005131E5"/>
    <w:rsid w:val="005132F9"/>
    <w:rsid w:val="0051372C"/>
    <w:rsid w:val="00513C2D"/>
    <w:rsid w:val="00514A3D"/>
    <w:rsid w:val="00514B82"/>
    <w:rsid w:val="005151D1"/>
    <w:rsid w:val="005155AF"/>
    <w:rsid w:val="00515895"/>
    <w:rsid w:val="00515A0E"/>
    <w:rsid w:val="005161D9"/>
    <w:rsid w:val="0051622C"/>
    <w:rsid w:val="005162D4"/>
    <w:rsid w:val="00516462"/>
    <w:rsid w:val="00516FDF"/>
    <w:rsid w:val="00517026"/>
    <w:rsid w:val="005170FB"/>
    <w:rsid w:val="005179EB"/>
    <w:rsid w:val="00517C49"/>
    <w:rsid w:val="005200DD"/>
    <w:rsid w:val="005204B7"/>
    <w:rsid w:val="005206D8"/>
    <w:rsid w:val="005206F3"/>
    <w:rsid w:val="0052076A"/>
    <w:rsid w:val="00520882"/>
    <w:rsid w:val="00520FA8"/>
    <w:rsid w:val="00521026"/>
    <w:rsid w:val="00521794"/>
    <w:rsid w:val="005217D4"/>
    <w:rsid w:val="00521944"/>
    <w:rsid w:val="00522499"/>
    <w:rsid w:val="00522D59"/>
    <w:rsid w:val="00523122"/>
    <w:rsid w:val="00523139"/>
    <w:rsid w:val="00523E11"/>
    <w:rsid w:val="00523EE3"/>
    <w:rsid w:val="0052416E"/>
    <w:rsid w:val="0052418C"/>
    <w:rsid w:val="005242ED"/>
    <w:rsid w:val="005249A2"/>
    <w:rsid w:val="00524DA9"/>
    <w:rsid w:val="00525103"/>
    <w:rsid w:val="00525630"/>
    <w:rsid w:val="00525847"/>
    <w:rsid w:val="00525E3D"/>
    <w:rsid w:val="0052635F"/>
    <w:rsid w:val="005263B1"/>
    <w:rsid w:val="005265BA"/>
    <w:rsid w:val="00526A81"/>
    <w:rsid w:val="00526FFC"/>
    <w:rsid w:val="00527077"/>
    <w:rsid w:val="005273B2"/>
    <w:rsid w:val="00527600"/>
    <w:rsid w:val="00527C1F"/>
    <w:rsid w:val="005302D5"/>
    <w:rsid w:val="00530828"/>
    <w:rsid w:val="0053092B"/>
    <w:rsid w:val="005309C2"/>
    <w:rsid w:val="00530D94"/>
    <w:rsid w:val="0053180A"/>
    <w:rsid w:val="005320A2"/>
    <w:rsid w:val="00532494"/>
    <w:rsid w:val="0053389B"/>
    <w:rsid w:val="00534286"/>
    <w:rsid w:val="005346D0"/>
    <w:rsid w:val="005348AA"/>
    <w:rsid w:val="00534BED"/>
    <w:rsid w:val="00535865"/>
    <w:rsid w:val="00535D35"/>
    <w:rsid w:val="00536124"/>
    <w:rsid w:val="0053630B"/>
    <w:rsid w:val="0053633A"/>
    <w:rsid w:val="005368E0"/>
    <w:rsid w:val="00536A0B"/>
    <w:rsid w:val="00536BD8"/>
    <w:rsid w:val="00536FD6"/>
    <w:rsid w:val="00537B86"/>
    <w:rsid w:val="00537DE6"/>
    <w:rsid w:val="00537F8D"/>
    <w:rsid w:val="00540C97"/>
    <w:rsid w:val="005412F6"/>
    <w:rsid w:val="005417AF"/>
    <w:rsid w:val="00541BDD"/>
    <w:rsid w:val="00541EFF"/>
    <w:rsid w:val="00541FBA"/>
    <w:rsid w:val="005421FD"/>
    <w:rsid w:val="00542334"/>
    <w:rsid w:val="0054296C"/>
    <w:rsid w:val="00542F23"/>
    <w:rsid w:val="005431CF"/>
    <w:rsid w:val="00543367"/>
    <w:rsid w:val="00543640"/>
    <w:rsid w:val="0054375B"/>
    <w:rsid w:val="00544325"/>
    <w:rsid w:val="00544645"/>
    <w:rsid w:val="00544A4A"/>
    <w:rsid w:val="005451C6"/>
    <w:rsid w:val="005452D9"/>
    <w:rsid w:val="0054547B"/>
    <w:rsid w:val="005466DC"/>
    <w:rsid w:val="005468AE"/>
    <w:rsid w:val="00546A80"/>
    <w:rsid w:val="00546B49"/>
    <w:rsid w:val="00546DA5"/>
    <w:rsid w:val="00547488"/>
    <w:rsid w:val="00547D6D"/>
    <w:rsid w:val="00550033"/>
    <w:rsid w:val="005500EB"/>
    <w:rsid w:val="0055054B"/>
    <w:rsid w:val="005509EF"/>
    <w:rsid w:val="005509F1"/>
    <w:rsid w:val="00550E95"/>
    <w:rsid w:val="00550FA8"/>
    <w:rsid w:val="00550FAE"/>
    <w:rsid w:val="00551265"/>
    <w:rsid w:val="00551D95"/>
    <w:rsid w:val="00552089"/>
    <w:rsid w:val="0055251B"/>
    <w:rsid w:val="00552C03"/>
    <w:rsid w:val="00552D69"/>
    <w:rsid w:val="00552D94"/>
    <w:rsid w:val="00553930"/>
    <w:rsid w:val="00553A50"/>
    <w:rsid w:val="00553E50"/>
    <w:rsid w:val="00554100"/>
    <w:rsid w:val="005541C4"/>
    <w:rsid w:val="0055428B"/>
    <w:rsid w:val="0055435A"/>
    <w:rsid w:val="00554909"/>
    <w:rsid w:val="00554A19"/>
    <w:rsid w:val="00554CFB"/>
    <w:rsid w:val="00554E96"/>
    <w:rsid w:val="005550DE"/>
    <w:rsid w:val="00555287"/>
    <w:rsid w:val="00555311"/>
    <w:rsid w:val="005554AF"/>
    <w:rsid w:val="00555BAC"/>
    <w:rsid w:val="00555FAA"/>
    <w:rsid w:val="00556029"/>
    <w:rsid w:val="005563B0"/>
    <w:rsid w:val="00556494"/>
    <w:rsid w:val="005568F6"/>
    <w:rsid w:val="00557586"/>
    <w:rsid w:val="00557655"/>
    <w:rsid w:val="005577B8"/>
    <w:rsid w:val="005577F2"/>
    <w:rsid w:val="00557A12"/>
    <w:rsid w:val="00557D73"/>
    <w:rsid w:val="00557F9B"/>
    <w:rsid w:val="005601C6"/>
    <w:rsid w:val="0056022E"/>
    <w:rsid w:val="00560BE6"/>
    <w:rsid w:val="005616FD"/>
    <w:rsid w:val="00561D97"/>
    <w:rsid w:val="00561FA6"/>
    <w:rsid w:val="0056262F"/>
    <w:rsid w:val="00562CD0"/>
    <w:rsid w:val="00562CE7"/>
    <w:rsid w:val="005633E1"/>
    <w:rsid w:val="00563C09"/>
    <w:rsid w:val="005643BB"/>
    <w:rsid w:val="0056459D"/>
    <w:rsid w:val="00564651"/>
    <w:rsid w:val="005646A9"/>
    <w:rsid w:val="00564D0E"/>
    <w:rsid w:val="005651A7"/>
    <w:rsid w:val="00566480"/>
    <w:rsid w:val="00566693"/>
    <w:rsid w:val="0056685D"/>
    <w:rsid w:val="00566F59"/>
    <w:rsid w:val="005672CE"/>
    <w:rsid w:val="00567866"/>
    <w:rsid w:val="00567C61"/>
    <w:rsid w:val="005702C7"/>
    <w:rsid w:val="00570EB6"/>
    <w:rsid w:val="00570FFA"/>
    <w:rsid w:val="0057107E"/>
    <w:rsid w:val="0057128F"/>
    <w:rsid w:val="00571F68"/>
    <w:rsid w:val="005722D6"/>
    <w:rsid w:val="00572488"/>
    <w:rsid w:val="0057415B"/>
    <w:rsid w:val="005742CA"/>
    <w:rsid w:val="005742EC"/>
    <w:rsid w:val="005745A9"/>
    <w:rsid w:val="0057462A"/>
    <w:rsid w:val="00574844"/>
    <w:rsid w:val="00574B3C"/>
    <w:rsid w:val="0057552D"/>
    <w:rsid w:val="00575F1B"/>
    <w:rsid w:val="005766E3"/>
    <w:rsid w:val="0057725D"/>
    <w:rsid w:val="005772AA"/>
    <w:rsid w:val="00577F7E"/>
    <w:rsid w:val="005800F0"/>
    <w:rsid w:val="005802E9"/>
    <w:rsid w:val="00580547"/>
    <w:rsid w:val="005806BF"/>
    <w:rsid w:val="005806DC"/>
    <w:rsid w:val="00580D09"/>
    <w:rsid w:val="0058111E"/>
    <w:rsid w:val="00581417"/>
    <w:rsid w:val="00581626"/>
    <w:rsid w:val="00581795"/>
    <w:rsid w:val="005818D1"/>
    <w:rsid w:val="005819EF"/>
    <w:rsid w:val="00581D29"/>
    <w:rsid w:val="00581E7C"/>
    <w:rsid w:val="00581EC7"/>
    <w:rsid w:val="0058210D"/>
    <w:rsid w:val="005822E1"/>
    <w:rsid w:val="0058267E"/>
    <w:rsid w:val="00582825"/>
    <w:rsid w:val="00582BA7"/>
    <w:rsid w:val="00583464"/>
    <w:rsid w:val="0058352F"/>
    <w:rsid w:val="0058391F"/>
    <w:rsid w:val="00583D43"/>
    <w:rsid w:val="005846A4"/>
    <w:rsid w:val="0058486D"/>
    <w:rsid w:val="0058487F"/>
    <w:rsid w:val="0058503F"/>
    <w:rsid w:val="005854BF"/>
    <w:rsid w:val="005855C1"/>
    <w:rsid w:val="005857E4"/>
    <w:rsid w:val="00585A83"/>
    <w:rsid w:val="00586593"/>
    <w:rsid w:val="005866BF"/>
    <w:rsid w:val="005867E8"/>
    <w:rsid w:val="00586882"/>
    <w:rsid w:val="00586A9D"/>
    <w:rsid w:val="00586C3E"/>
    <w:rsid w:val="00586F04"/>
    <w:rsid w:val="00587948"/>
    <w:rsid w:val="00587AA1"/>
    <w:rsid w:val="00587AC6"/>
    <w:rsid w:val="00587E7B"/>
    <w:rsid w:val="00587F24"/>
    <w:rsid w:val="005900B9"/>
    <w:rsid w:val="0059067F"/>
    <w:rsid w:val="0059088A"/>
    <w:rsid w:val="005908BF"/>
    <w:rsid w:val="00590E5B"/>
    <w:rsid w:val="00590F36"/>
    <w:rsid w:val="00590FE7"/>
    <w:rsid w:val="00591FBD"/>
    <w:rsid w:val="00591FD3"/>
    <w:rsid w:val="005920EA"/>
    <w:rsid w:val="00592787"/>
    <w:rsid w:val="00593E85"/>
    <w:rsid w:val="00593EA7"/>
    <w:rsid w:val="00594054"/>
    <w:rsid w:val="005941A3"/>
    <w:rsid w:val="00594AF8"/>
    <w:rsid w:val="00594BFD"/>
    <w:rsid w:val="00594E05"/>
    <w:rsid w:val="00594E63"/>
    <w:rsid w:val="00595500"/>
    <w:rsid w:val="005957A0"/>
    <w:rsid w:val="005963E8"/>
    <w:rsid w:val="00596491"/>
    <w:rsid w:val="00596785"/>
    <w:rsid w:val="00596823"/>
    <w:rsid w:val="005976CC"/>
    <w:rsid w:val="0059793F"/>
    <w:rsid w:val="00597A44"/>
    <w:rsid w:val="00597BA8"/>
    <w:rsid w:val="005A05C6"/>
    <w:rsid w:val="005A06CE"/>
    <w:rsid w:val="005A0864"/>
    <w:rsid w:val="005A0A03"/>
    <w:rsid w:val="005A1333"/>
    <w:rsid w:val="005A1AA1"/>
    <w:rsid w:val="005A1B2C"/>
    <w:rsid w:val="005A1F38"/>
    <w:rsid w:val="005A1F8C"/>
    <w:rsid w:val="005A23E0"/>
    <w:rsid w:val="005A24AD"/>
    <w:rsid w:val="005A270A"/>
    <w:rsid w:val="005A28BA"/>
    <w:rsid w:val="005A2D76"/>
    <w:rsid w:val="005A2E33"/>
    <w:rsid w:val="005A2FB9"/>
    <w:rsid w:val="005A3688"/>
    <w:rsid w:val="005A4A9A"/>
    <w:rsid w:val="005A4B9A"/>
    <w:rsid w:val="005A5670"/>
    <w:rsid w:val="005A5C51"/>
    <w:rsid w:val="005A60A2"/>
    <w:rsid w:val="005A621F"/>
    <w:rsid w:val="005A6452"/>
    <w:rsid w:val="005A6553"/>
    <w:rsid w:val="005A674A"/>
    <w:rsid w:val="005A6F15"/>
    <w:rsid w:val="005A702E"/>
    <w:rsid w:val="005A75C2"/>
    <w:rsid w:val="005A7B76"/>
    <w:rsid w:val="005A7C07"/>
    <w:rsid w:val="005B08FD"/>
    <w:rsid w:val="005B0AE9"/>
    <w:rsid w:val="005B0B5E"/>
    <w:rsid w:val="005B135C"/>
    <w:rsid w:val="005B1851"/>
    <w:rsid w:val="005B1C7C"/>
    <w:rsid w:val="005B2310"/>
    <w:rsid w:val="005B2742"/>
    <w:rsid w:val="005B28C1"/>
    <w:rsid w:val="005B389F"/>
    <w:rsid w:val="005B3951"/>
    <w:rsid w:val="005B3E72"/>
    <w:rsid w:val="005B5123"/>
    <w:rsid w:val="005B56BA"/>
    <w:rsid w:val="005B5727"/>
    <w:rsid w:val="005B574C"/>
    <w:rsid w:val="005B583D"/>
    <w:rsid w:val="005B5BBA"/>
    <w:rsid w:val="005B683F"/>
    <w:rsid w:val="005B69D7"/>
    <w:rsid w:val="005B6A7D"/>
    <w:rsid w:val="005B6F11"/>
    <w:rsid w:val="005B701B"/>
    <w:rsid w:val="005B70B4"/>
    <w:rsid w:val="005B72E6"/>
    <w:rsid w:val="005B74B9"/>
    <w:rsid w:val="005B7769"/>
    <w:rsid w:val="005B78ED"/>
    <w:rsid w:val="005C0280"/>
    <w:rsid w:val="005C06BE"/>
    <w:rsid w:val="005C099C"/>
    <w:rsid w:val="005C0DBB"/>
    <w:rsid w:val="005C12DE"/>
    <w:rsid w:val="005C24AF"/>
    <w:rsid w:val="005C251F"/>
    <w:rsid w:val="005C26E6"/>
    <w:rsid w:val="005C2CBE"/>
    <w:rsid w:val="005C2FD0"/>
    <w:rsid w:val="005C3D3B"/>
    <w:rsid w:val="005C492F"/>
    <w:rsid w:val="005C516B"/>
    <w:rsid w:val="005C5892"/>
    <w:rsid w:val="005C5A2A"/>
    <w:rsid w:val="005C5D14"/>
    <w:rsid w:val="005C6533"/>
    <w:rsid w:val="005C7226"/>
    <w:rsid w:val="005C76D9"/>
    <w:rsid w:val="005C7803"/>
    <w:rsid w:val="005C78A6"/>
    <w:rsid w:val="005C7D1F"/>
    <w:rsid w:val="005C7DEC"/>
    <w:rsid w:val="005D0DA0"/>
    <w:rsid w:val="005D0FE3"/>
    <w:rsid w:val="005D1542"/>
    <w:rsid w:val="005D165D"/>
    <w:rsid w:val="005D1A08"/>
    <w:rsid w:val="005D1F27"/>
    <w:rsid w:val="005D1F3B"/>
    <w:rsid w:val="005D239C"/>
    <w:rsid w:val="005D24ED"/>
    <w:rsid w:val="005D354E"/>
    <w:rsid w:val="005D38FA"/>
    <w:rsid w:val="005D3AF0"/>
    <w:rsid w:val="005D3CF9"/>
    <w:rsid w:val="005D462D"/>
    <w:rsid w:val="005D4A88"/>
    <w:rsid w:val="005D4E6B"/>
    <w:rsid w:val="005D5216"/>
    <w:rsid w:val="005D546D"/>
    <w:rsid w:val="005D57DD"/>
    <w:rsid w:val="005D5B53"/>
    <w:rsid w:val="005D642A"/>
    <w:rsid w:val="005D6979"/>
    <w:rsid w:val="005D6D52"/>
    <w:rsid w:val="005D6DBD"/>
    <w:rsid w:val="005D6E99"/>
    <w:rsid w:val="005D7090"/>
    <w:rsid w:val="005D77E0"/>
    <w:rsid w:val="005D7B9C"/>
    <w:rsid w:val="005D7CF9"/>
    <w:rsid w:val="005E0301"/>
    <w:rsid w:val="005E071F"/>
    <w:rsid w:val="005E0DE4"/>
    <w:rsid w:val="005E118C"/>
    <w:rsid w:val="005E171E"/>
    <w:rsid w:val="005E17F7"/>
    <w:rsid w:val="005E19E1"/>
    <w:rsid w:val="005E282E"/>
    <w:rsid w:val="005E2A63"/>
    <w:rsid w:val="005E3664"/>
    <w:rsid w:val="005E3D27"/>
    <w:rsid w:val="005E4363"/>
    <w:rsid w:val="005E45DE"/>
    <w:rsid w:val="005E4BC9"/>
    <w:rsid w:val="005E5300"/>
    <w:rsid w:val="005E53D9"/>
    <w:rsid w:val="005E5527"/>
    <w:rsid w:val="005E559E"/>
    <w:rsid w:val="005E56B3"/>
    <w:rsid w:val="005E5AEC"/>
    <w:rsid w:val="005E5D5B"/>
    <w:rsid w:val="005E6336"/>
    <w:rsid w:val="005E64DC"/>
    <w:rsid w:val="005E64F1"/>
    <w:rsid w:val="005E69D1"/>
    <w:rsid w:val="005E6AF3"/>
    <w:rsid w:val="005E6C5F"/>
    <w:rsid w:val="005E7572"/>
    <w:rsid w:val="005E7CD3"/>
    <w:rsid w:val="005F0127"/>
    <w:rsid w:val="005F0223"/>
    <w:rsid w:val="005F0263"/>
    <w:rsid w:val="005F0305"/>
    <w:rsid w:val="005F06FF"/>
    <w:rsid w:val="005F0C5A"/>
    <w:rsid w:val="005F0CDC"/>
    <w:rsid w:val="005F11E6"/>
    <w:rsid w:val="005F1FF8"/>
    <w:rsid w:val="005F21A0"/>
    <w:rsid w:val="005F22DF"/>
    <w:rsid w:val="005F238B"/>
    <w:rsid w:val="005F2A89"/>
    <w:rsid w:val="005F2B5F"/>
    <w:rsid w:val="005F2B67"/>
    <w:rsid w:val="005F2C3C"/>
    <w:rsid w:val="005F32EA"/>
    <w:rsid w:val="005F36E7"/>
    <w:rsid w:val="005F3A2F"/>
    <w:rsid w:val="005F4193"/>
    <w:rsid w:val="005F51B1"/>
    <w:rsid w:val="005F51FD"/>
    <w:rsid w:val="005F5210"/>
    <w:rsid w:val="005F600F"/>
    <w:rsid w:val="005F60CA"/>
    <w:rsid w:val="005F677D"/>
    <w:rsid w:val="005F7125"/>
    <w:rsid w:val="005F721B"/>
    <w:rsid w:val="005F7959"/>
    <w:rsid w:val="005F79DC"/>
    <w:rsid w:val="005F7A44"/>
    <w:rsid w:val="005F7B93"/>
    <w:rsid w:val="005F7DE5"/>
    <w:rsid w:val="0060022B"/>
    <w:rsid w:val="006002A6"/>
    <w:rsid w:val="006003CF"/>
    <w:rsid w:val="00600822"/>
    <w:rsid w:val="006008C0"/>
    <w:rsid w:val="00601445"/>
    <w:rsid w:val="00601977"/>
    <w:rsid w:val="00601F80"/>
    <w:rsid w:val="0060208E"/>
    <w:rsid w:val="00602549"/>
    <w:rsid w:val="00602553"/>
    <w:rsid w:val="006025B1"/>
    <w:rsid w:val="006029B7"/>
    <w:rsid w:val="0060357A"/>
    <w:rsid w:val="0060375D"/>
    <w:rsid w:val="006039B8"/>
    <w:rsid w:val="00603A40"/>
    <w:rsid w:val="0060486C"/>
    <w:rsid w:val="00604C24"/>
    <w:rsid w:val="00604E16"/>
    <w:rsid w:val="006050C4"/>
    <w:rsid w:val="00605460"/>
    <w:rsid w:val="006054B0"/>
    <w:rsid w:val="00605579"/>
    <w:rsid w:val="00605811"/>
    <w:rsid w:val="00605898"/>
    <w:rsid w:val="00605C90"/>
    <w:rsid w:val="0060605A"/>
    <w:rsid w:val="006061AD"/>
    <w:rsid w:val="00606A69"/>
    <w:rsid w:val="00606CA1"/>
    <w:rsid w:val="006074AD"/>
    <w:rsid w:val="00607691"/>
    <w:rsid w:val="0061018A"/>
    <w:rsid w:val="006101A4"/>
    <w:rsid w:val="0061060A"/>
    <w:rsid w:val="006106DC"/>
    <w:rsid w:val="0061090F"/>
    <w:rsid w:val="006115BB"/>
    <w:rsid w:val="00611680"/>
    <w:rsid w:val="0061178C"/>
    <w:rsid w:val="00611813"/>
    <w:rsid w:val="00611B31"/>
    <w:rsid w:val="006123E7"/>
    <w:rsid w:val="00612767"/>
    <w:rsid w:val="00612772"/>
    <w:rsid w:val="00612794"/>
    <w:rsid w:val="00612923"/>
    <w:rsid w:val="00612DF3"/>
    <w:rsid w:val="00612E85"/>
    <w:rsid w:val="00613347"/>
    <w:rsid w:val="006134DB"/>
    <w:rsid w:val="006137F1"/>
    <w:rsid w:val="00613BAF"/>
    <w:rsid w:val="00613D93"/>
    <w:rsid w:val="00613DD3"/>
    <w:rsid w:val="006140B6"/>
    <w:rsid w:val="0061419C"/>
    <w:rsid w:val="006141F3"/>
    <w:rsid w:val="0061429D"/>
    <w:rsid w:val="00615022"/>
    <w:rsid w:val="00615072"/>
    <w:rsid w:val="006150AB"/>
    <w:rsid w:val="00615657"/>
    <w:rsid w:val="00615760"/>
    <w:rsid w:val="00615A0B"/>
    <w:rsid w:val="00616241"/>
    <w:rsid w:val="006162ED"/>
    <w:rsid w:val="00616ABA"/>
    <w:rsid w:val="00616BCC"/>
    <w:rsid w:val="00616E2A"/>
    <w:rsid w:val="0061722C"/>
    <w:rsid w:val="00617B9D"/>
    <w:rsid w:val="00620457"/>
    <w:rsid w:val="00620711"/>
    <w:rsid w:val="00620788"/>
    <w:rsid w:val="00621365"/>
    <w:rsid w:val="00621880"/>
    <w:rsid w:val="006221EF"/>
    <w:rsid w:val="0062272F"/>
    <w:rsid w:val="00622816"/>
    <w:rsid w:val="00622B55"/>
    <w:rsid w:val="00622CC6"/>
    <w:rsid w:val="00623035"/>
    <w:rsid w:val="006238F9"/>
    <w:rsid w:val="00623D74"/>
    <w:rsid w:val="00623ED1"/>
    <w:rsid w:val="006240D1"/>
    <w:rsid w:val="0062446F"/>
    <w:rsid w:val="006251B3"/>
    <w:rsid w:val="006258B9"/>
    <w:rsid w:val="0062593C"/>
    <w:rsid w:val="00625F5D"/>
    <w:rsid w:val="00626050"/>
    <w:rsid w:val="006260A6"/>
    <w:rsid w:val="00626108"/>
    <w:rsid w:val="006263C6"/>
    <w:rsid w:val="0062699C"/>
    <w:rsid w:val="006269A8"/>
    <w:rsid w:val="00626C64"/>
    <w:rsid w:val="00626DAE"/>
    <w:rsid w:val="00626DDF"/>
    <w:rsid w:val="00626E07"/>
    <w:rsid w:val="00627087"/>
    <w:rsid w:val="00627A15"/>
    <w:rsid w:val="00627DF6"/>
    <w:rsid w:val="0063015A"/>
    <w:rsid w:val="00630213"/>
    <w:rsid w:val="006302BC"/>
    <w:rsid w:val="00630433"/>
    <w:rsid w:val="00630B4B"/>
    <w:rsid w:val="006317BB"/>
    <w:rsid w:val="00631FEB"/>
    <w:rsid w:val="00632169"/>
    <w:rsid w:val="006323FB"/>
    <w:rsid w:val="00632597"/>
    <w:rsid w:val="00632807"/>
    <w:rsid w:val="0063288F"/>
    <w:rsid w:val="00632973"/>
    <w:rsid w:val="00632AD8"/>
    <w:rsid w:val="00632C89"/>
    <w:rsid w:val="00633587"/>
    <w:rsid w:val="0063362A"/>
    <w:rsid w:val="00633677"/>
    <w:rsid w:val="00634267"/>
    <w:rsid w:val="00634940"/>
    <w:rsid w:val="00634DE4"/>
    <w:rsid w:val="0063511C"/>
    <w:rsid w:val="00635715"/>
    <w:rsid w:val="00635911"/>
    <w:rsid w:val="006359D3"/>
    <w:rsid w:val="00635C6E"/>
    <w:rsid w:val="00635D2F"/>
    <w:rsid w:val="00635DB1"/>
    <w:rsid w:val="00635E9D"/>
    <w:rsid w:val="0063607F"/>
    <w:rsid w:val="00636191"/>
    <w:rsid w:val="00636942"/>
    <w:rsid w:val="00637153"/>
    <w:rsid w:val="006373FF"/>
    <w:rsid w:val="00637716"/>
    <w:rsid w:val="00637816"/>
    <w:rsid w:val="00637ABA"/>
    <w:rsid w:val="00640439"/>
    <w:rsid w:val="00640B42"/>
    <w:rsid w:val="00640BBD"/>
    <w:rsid w:val="00640EBF"/>
    <w:rsid w:val="00640F1B"/>
    <w:rsid w:val="006413F5"/>
    <w:rsid w:val="006415CB"/>
    <w:rsid w:val="00641942"/>
    <w:rsid w:val="00641953"/>
    <w:rsid w:val="00641FDF"/>
    <w:rsid w:val="006422A8"/>
    <w:rsid w:val="006425E1"/>
    <w:rsid w:val="00642629"/>
    <w:rsid w:val="006428CC"/>
    <w:rsid w:val="006430A3"/>
    <w:rsid w:val="006437FB"/>
    <w:rsid w:val="00643FF0"/>
    <w:rsid w:val="006441D4"/>
    <w:rsid w:val="006446F7"/>
    <w:rsid w:val="00644BF9"/>
    <w:rsid w:val="00644FC6"/>
    <w:rsid w:val="00645010"/>
    <w:rsid w:val="00645199"/>
    <w:rsid w:val="00646099"/>
    <w:rsid w:val="00646C54"/>
    <w:rsid w:val="00646ECC"/>
    <w:rsid w:val="006475F6"/>
    <w:rsid w:val="006477A0"/>
    <w:rsid w:val="00647889"/>
    <w:rsid w:val="00647993"/>
    <w:rsid w:val="00647C8B"/>
    <w:rsid w:val="006500D7"/>
    <w:rsid w:val="00650F88"/>
    <w:rsid w:val="006512F1"/>
    <w:rsid w:val="006519FA"/>
    <w:rsid w:val="00651F77"/>
    <w:rsid w:val="00652861"/>
    <w:rsid w:val="00652A07"/>
    <w:rsid w:val="00652B39"/>
    <w:rsid w:val="00652E33"/>
    <w:rsid w:val="00653116"/>
    <w:rsid w:val="0065311D"/>
    <w:rsid w:val="00653340"/>
    <w:rsid w:val="00653BD9"/>
    <w:rsid w:val="00654722"/>
    <w:rsid w:val="0065481A"/>
    <w:rsid w:val="00654E81"/>
    <w:rsid w:val="00654FBD"/>
    <w:rsid w:val="00655560"/>
    <w:rsid w:val="006555EB"/>
    <w:rsid w:val="006558FF"/>
    <w:rsid w:val="00655B03"/>
    <w:rsid w:val="00655F13"/>
    <w:rsid w:val="006572C3"/>
    <w:rsid w:val="006572EA"/>
    <w:rsid w:val="00657397"/>
    <w:rsid w:val="006573A6"/>
    <w:rsid w:val="00657446"/>
    <w:rsid w:val="00657A34"/>
    <w:rsid w:val="00657ED8"/>
    <w:rsid w:val="00660104"/>
    <w:rsid w:val="00660DF4"/>
    <w:rsid w:val="00661412"/>
    <w:rsid w:val="006616EC"/>
    <w:rsid w:val="00661B0F"/>
    <w:rsid w:val="00661CFE"/>
    <w:rsid w:val="006627C1"/>
    <w:rsid w:val="00662B16"/>
    <w:rsid w:val="00662FD7"/>
    <w:rsid w:val="00663B70"/>
    <w:rsid w:val="00663DB1"/>
    <w:rsid w:val="00664008"/>
    <w:rsid w:val="0066405D"/>
    <w:rsid w:val="00664221"/>
    <w:rsid w:val="00664297"/>
    <w:rsid w:val="00664517"/>
    <w:rsid w:val="00664896"/>
    <w:rsid w:val="006649D4"/>
    <w:rsid w:val="006650EC"/>
    <w:rsid w:val="006655A1"/>
    <w:rsid w:val="00665CFE"/>
    <w:rsid w:val="00665FD0"/>
    <w:rsid w:val="00666186"/>
    <w:rsid w:val="00666472"/>
    <w:rsid w:val="00666F11"/>
    <w:rsid w:val="006671F6"/>
    <w:rsid w:val="00667804"/>
    <w:rsid w:val="00667898"/>
    <w:rsid w:val="00667D1A"/>
    <w:rsid w:val="006705EB"/>
    <w:rsid w:val="0067073E"/>
    <w:rsid w:val="00670746"/>
    <w:rsid w:val="00670776"/>
    <w:rsid w:val="00670A67"/>
    <w:rsid w:val="00670A8A"/>
    <w:rsid w:val="00670FB8"/>
    <w:rsid w:val="006710CF"/>
    <w:rsid w:val="006714E7"/>
    <w:rsid w:val="006717AD"/>
    <w:rsid w:val="00671D85"/>
    <w:rsid w:val="00671E8E"/>
    <w:rsid w:val="006720E1"/>
    <w:rsid w:val="0067256F"/>
    <w:rsid w:val="006725EA"/>
    <w:rsid w:val="00672CAE"/>
    <w:rsid w:val="00672CE9"/>
    <w:rsid w:val="00672EDE"/>
    <w:rsid w:val="00673152"/>
    <w:rsid w:val="0067325A"/>
    <w:rsid w:val="0067364B"/>
    <w:rsid w:val="00673778"/>
    <w:rsid w:val="00673AF6"/>
    <w:rsid w:val="00673E23"/>
    <w:rsid w:val="00674732"/>
    <w:rsid w:val="006747E6"/>
    <w:rsid w:val="00674A46"/>
    <w:rsid w:val="00674B34"/>
    <w:rsid w:val="006752C3"/>
    <w:rsid w:val="00675F36"/>
    <w:rsid w:val="00675F68"/>
    <w:rsid w:val="00676482"/>
    <w:rsid w:val="00676B10"/>
    <w:rsid w:val="00676D19"/>
    <w:rsid w:val="00676F66"/>
    <w:rsid w:val="0067731A"/>
    <w:rsid w:val="006775B7"/>
    <w:rsid w:val="00677693"/>
    <w:rsid w:val="0067779F"/>
    <w:rsid w:val="00677B9C"/>
    <w:rsid w:val="00677CAB"/>
    <w:rsid w:val="00677D2B"/>
    <w:rsid w:val="00677E84"/>
    <w:rsid w:val="00677ED9"/>
    <w:rsid w:val="00680207"/>
    <w:rsid w:val="00680D3C"/>
    <w:rsid w:val="00680E16"/>
    <w:rsid w:val="00681040"/>
    <w:rsid w:val="00681643"/>
    <w:rsid w:val="006817E7"/>
    <w:rsid w:val="00681B55"/>
    <w:rsid w:val="00681D5F"/>
    <w:rsid w:val="00681F23"/>
    <w:rsid w:val="00682279"/>
    <w:rsid w:val="0068258F"/>
    <w:rsid w:val="006826EB"/>
    <w:rsid w:val="00682922"/>
    <w:rsid w:val="006829E2"/>
    <w:rsid w:val="00683407"/>
    <w:rsid w:val="006837A5"/>
    <w:rsid w:val="0068485C"/>
    <w:rsid w:val="00684AB6"/>
    <w:rsid w:val="00684AF5"/>
    <w:rsid w:val="00684B09"/>
    <w:rsid w:val="00684D28"/>
    <w:rsid w:val="00684F89"/>
    <w:rsid w:val="0068547E"/>
    <w:rsid w:val="0068562B"/>
    <w:rsid w:val="006856E3"/>
    <w:rsid w:val="006858CB"/>
    <w:rsid w:val="00685AA2"/>
    <w:rsid w:val="00686033"/>
    <w:rsid w:val="00686832"/>
    <w:rsid w:val="00686E91"/>
    <w:rsid w:val="00687061"/>
    <w:rsid w:val="00687177"/>
    <w:rsid w:val="006876EE"/>
    <w:rsid w:val="006877EA"/>
    <w:rsid w:val="00687C56"/>
    <w:rsid w:val="0069048B"/>
    <w:rsid w:val="00690929"/>
    <w:rsid w:val="00690FB3"/>
    <w:rsid w:val="00691358"/>
    <w:rsid w:val="00691817"/>
    <w:rsid w:val="00692231"/>
    <w:rsid w:val="00692398"/>
    <w:rsid w:val="00692CC4"/>
    <w:rsid w:val="00692D03"/>
    <w:rsid w:val="0069323A"/>
    <w:rsid w:val="006932A5"/>
    <w:rsid w:val="00693765"/>
    <w:rsid w:val="0069386C"/>
    <w:rsid w:val="00693AAB"/>
    <w:rsid w:val="00693CB9"/>
    <w:rsid w:val="0069436F"/>
    <w:rsid w:val="00694B76"/>
    <w:rsid w:val="00695118"/>
    <w:rsid w:val="006954D8"/>
    <w:rsid w:val="006960C2"/>
    <w:rsid w:val="006968C0"/>
    <w:rsid w:val="006971B5"/>
    <w:rsid w:val="006976D8"/>
    <w:rsid w:val="00697D7E"/>
    <w:rsid w:val="006A04A6"/>
    <w:rsid w:val="006A0637"/>
    <w:rsid w:val="006A0BFE"/>
    <w:rsid w:val="006A12B8"/>
    <w:rsid w:val="006A13E3"/>
    <w:rsid w:val="006A158D"/>
    <w:rsid w:val="006A177C"/>
    <w:rsid w:val="006A187E"/>
    <w:rsid w:val="006A19D0"/>
    <w:rsid w:val="006A1CBE"/>
    <w:rsid w:val="006A1DB3"/>
    <w:rsid w:val="006A21F0"/>
    <w:rsid w:val="006A230D"/>
    <w:rsid w:val="006A2EAD"/>
    <w:rsid w:val="006A2EE1"/>
    <w:rsid w:val="006A3048"/>
    <w:rsid w:val="006A338D"/>
    <w:rsid w:val="006A34BE"/>
    <w:rsid w:val="006A34DA"/>
    <w:rsid w:val="006A40D8"/>
    <w:rsid w:val="006A44E1"/>
    <w:rsid w:val="006A4F64"/>
    <w:rsid w:val="006A5135"/>
    <w:rsid w:val="006A51AF"/>
    <w:rsid w:val="006A551B"/>
    <w:rsid w:val="006A55B8"/>
    <w:rsid w:val="006A579E"/>
    <w:rsid w:val="006A59DB"/>
    <w:rsid w:val="006A5ECC"/>
    <w:rsid w:val="006A657D"/>
    <w:rsid w:val="006A66C9"/>
    <w:rsid w:val="006A71FA"/>
    <w:rsid w:val="006A7683"/>
    <w:rsid w:val="006A7B1A"/>
    <w:rsid w:val="006A7B3A"/>
    <w:rsid w:val="006A7EA0"/>
    <w:rsid w:val="006B048A"/>
    <w:rsid w:val="006B21ED"/>
    <w:rsid w:val="006B31F4"/>
    <w:rsid w:val="006B3FD0"/>
    <w:rsid w:val="006B4206"/>
    <w:rsid w:val="006B443A"/>
    <w:rsid w:val="006B4BDF"/>
    <w:rsid w:val="006B51D6"/>
    <w:rsid w:val="006B5410"/>
    <w:rsid w:val="006B560F"/>
    <w:rsid w:val="006B5B89"/>
    <w:rsid w:val="006B6F69"/>
    <w:rsid w:val="006B794F"/>
    <w:rsid w:val="006C0388"/>
    <w:rsid w:val="006C0A91"/>
    <w:rsid w:val="006C1153"/>
    <w:rsid w:val="006C17FF"/>
    <w:rsid w:val="006C1AA0"/>
    <w:rsid w:val="006C1BB7"/>
    <w:rsid w:val="006C24B0"/>
    <w:rsid w:val="006C2645"/>
    <w:rsid w:val="006C2DA5"/>
    <w:rsid w:val="006C2F60"/>
    <w:rsid w:val="006C37B1"/>
    <w:rsid w:val="006C3B34"/>
    <w:rsid w:val="006C3C9A"/>
    <w:rsid w:val="006C3D26"/>
    <w:rsid w:val="006C4817"/>
    <w:rsid w:val="006C4EFC"/>
    <w:rsid w:val="006C5209"/>
    <w:rsid w:val="006C54A0"/>
    <w:rsid w:val="006C54E4"/>
    <w:rsid w:val="006C576E"/>
    <w:rsid w:val="006C5AA9"/>
    <w:rsid w:val="006C6278"/>
    <w:rsid w:val="006C633C"/>
    <w:rsid w:val="006C6D7C"/>
    <w:rsid w:val="006C72A7"/>
    <w:rsid w:val="006D0A54"/>
    <w:rsid w:val="006D0CD8"/>
    <w:rsid w:val="006D0D46"/>
    <w:rsid w:val="006D135D"/>
    <w:rsid w:val="006D150E"/>
    <w:rsid w:val="006D1C9A"/>
    <w:rsid w:val="006D1D83"/>
    <w:rsid w:val="006D27B7"/>
    <w:rsid w:val="006D2E22"/>
    <w:rsid w:val="006D31C8"/>
    <w:rsid w:val="006D328D"/>
    <w:rsid w:val="006D369F"/>
    <w:rsid w:val="006D37FD"/>
    <w:rsid w:val="006D3B15"/>
    <w:rsid w:val="006D3CC5"/>
    <w:rsid w:val="006D3D10"/>
    <w:rsid w:val="006D3E74"/>
    <w:rsid w:val="006D42B2"/>
    <w:rsid w:val="006D4519"/>
    <w:rsid w:val="006D45F1"/>
    <w:rsid w:val="006D49FC"/>
    <w:rsid w:val="006D4A50"/>
    <w:rsid w:val="006D4D5F"/>
    <w:rsid w:val="006D5023"/>
    <w:rsid w:val="006D54A4"/>
    <w:rsid w:val="006D5BE0"/>
    <w:rsid w:val="006D5C1A"/>
    <w:rsid w:val="006D6146"/>
    <w:rsid w:val="006D6233"/>
    <w:rsid w:val="006D649E"/>
    <w:rsid w:val="006D6F17"/>
    <w:rsid w:val="006D6FB5"/>
    <w:rsid w:val="006E0040"/>
    <w:rsid w:val="006E01C0"/>
    <w:rsid w:val="006E064D"/>
    <w:rsid w:val="006E0915"/>
    <w:rsid w:val="006E1777"/>
    <w:rsid w:val="006E1D8B"/>
    <w:rsid w:val="006E1F49"/>
    <w:rsid w:val="006E233A"/>
    <w:rsid w:val="006E23E2"/>
    <w:rsid w:val="006E25E2"/>
    <w:rsid w:val="006E2C0B"/>
    <w:rsid w:val="006E2D98"/>
    <w:rsid w:val="006E2FAA"/>
    <w:rsid w:val="006E337E"/>
    <w:rsid w:val="006E3555"/>
    <w:rsid w:val="006E3B4A"/>
    <w:rsid w:val="006E3CF7"/>
    <w:rsid w:val="006E428E"/>
    <w:rsid w:val="006E47E3"/>
    <w:rsid w:val="006E48FA"/>
    <w:rsid w:val="006E4995"/>
    <w:rsid w:val="006E4C19"/>
    <w:rsid w:val="006E4D04"/>
    <w:rsid w:val="006E50B1"/>
    <w:rsid w:val="006E539A"/>
    <w:rsid w:val="006E53CB"/>
    <w:rsid w:val="006E569F"/>
    <w:rsid w:val="006E5EC3"/>
    <w:rsid w:val="006E60DB"/>
    <w:rsid w:val="006E65C5"/>
    <w:rsid w:val="006E692E"/>
    <w:rsid w:val="006E6C84"/>
    <w:rsid w:val="006E6D2D"/>
    <w:rsid w:val="006E6FBF"/>
    <w:rsid w:val="006E787A"/>
    <w:rsid w:val="006F0A8F"/>
    <w:rsid w:val="006F0D21"/>
    <w:rsid w:val="006F0E16"/>
    <w:rsid w:val="006F10B5"/>
    <w:rsid w:val="006F1112"/>
    <w:rsid w:val="006F13A9"/>
    <w:rsid w:val="006F1D91"/>
    <w:rsid w:val="006F253D"/>
    <w:rsid w:val="006F2584"/>
    <w:rsid w:val="006F27D6"/>
    <w:rsid w:val="006F2957"/>
    <w:rsid w:val="006F2971"/>
    <w:rsid w:val="006F396D"/>
    <w:rsid w:val="006F3F73"/>
    <w:rsid w:val="006F4210"/>
    <w:rsid w:val="006F468D"/>
    <w:rsid w:val="006F480B"/>
    <w:rsid w:val="006F49D6"/>
    <w:rsid w:val="006F4C82"/>
    <w:rsid w:val="006F4E0D"/>
    <w:rsid w:val="006F574F"/>
    <w:rsid w:val="006F5B8A"/>
    <w:rsid w:val="006F5C93"/>
    <w:rsid w:val="006F5E2A"/>
    <w:rsid w:val="006F5E44"/>
    <w:rsid w:val="006F6005"/>
    <w:rsid w:val="006F6598"/>
    <w:rsid w:val="006F6B17"/>
    <w:rsid w:val="006F760A"/>
    <w:rsid w:val="006F79A2"/>
    <w:rsid w:val="00700447"/>
    <w:rsid w:val="00700B8F"/>
    <w:rsid w:val="007017B1"/>
    <w:rsid w:val="00701D66"/>
    <w:rsid w:val="00702070"/>
    <w:rsid w:val="00702354"/>
    <w:rsid w:val="007027E2"/>
    <w:rsid w:val="00702A2C"/>
    <w:rsid w:val="00702C28"/>
    <w:rsid w:val="00702E13"/>
    <w:rsid w:val="007030A5"/>
    <w:rsid w:val="007034ED"/>
    <w:rsid w:val="00703BC1"/>
    <w:rsid w:val="007045C0"/>
    <w:rsid w:val="00704689"/>
    <w:rsid w:val="0070484B"/>
    <w:rsid w:val="007059ED"/>
    <w:rsid w:val="00705A81"/>
    <w:rsid w:val="00705AB3"/>
    <w:rsid w:val="0070610B"/>
    <w:rsid w:val="007061EE"/>
    <w:rsid w:val="00706494"/>
    <w:rsid w:val="007064DC"/>
    <w:rsid w:val="00706E44"/>
    <w:rsid w:val="007074D6"/>
    <w:rsid w:val="007077B3"/>
    <w:rsid w:val="007077CE"/>
    <w:rsid w:val="007079CB"/>
    <w:rsid w:val="00707E24"/>
    <w:rsid w:val="00710DB3"/>
    <w:rsid w:val="00710E62"/>
    <w:rsid w:val="00711224"/>
    <w:rsid w:val="007112CA"/>
    <w:rsid w:val="007113A9"/>
    <w:rsid w:val="00711BD2"/>
    <w:rsid w:val="00711CE0"/>
    <w:rsid w:val="0071207A"/>
    <w:rsid w:val="0071216D"/>
    <w:rsid w:val="00712E41"/>
    <w:rsid w:val="007135E9"/>
    <w:rsid w:val="007136A5"/>
    <w:rsid w:val="00713E2A"/>
    <w:rsid w:val="00713F90"/>
    <w:rsid w:val="00714943"/>
    <w:rsid w:val="0071567A"/>
    <w:rsid w:val="007156B7"/>
    <w:rsid w:val="007156E3"/>
    <w:rsid w:val="00715A05"/>
    <w:rsid w:val="00715B37"/>
    <w:rsid w:val="0071657E"/>
    <w:rsid w:val="007169B0"/>
    <w:rsid w:val="00716AF5"/>
    <w:rsid w:val="00716CF5"/>
    <w:rsid w:val="00717330"/>
    <w:rsid w:val="00717FC8"/>
    <w:rsid w:val="007205EE"/>
    <w:rsid w:val="00720798"/>
    <w:rsid w:val="00721227"/>
    <w:rsid w:val="00721478"/>
    <w:rsid w:val="00721DDD"/>
    <w:rsid w:val="007224B4"/>
    <w:rsid w:val="00722623"/>
    <w:rsid w:val="00722694"/>
    <w:rsid w:val="00722893"/>
    <w:rsid w:val="00722C48"/>
    <w:rsid w:val="00723105"/>
    <w:rsid w:val="007236EC"/>
    <w:rsid w:val="0072372F"/>
    <w:rsid w:val="00723827"/>
    <w:rsid w:val="00723D6E"/>
    <w:rsid w:val="0072430C"/>
    <w:rsid w:val="00724CAE"/>
    <w:rsid w:val="00724CDB"/>
    <w:rsid w:val="00725600"/>
    <w:rsid w:val="0072579E"/>
    <w:rsid w:val="007258AF"/>
    <w:rsid w:val="00725F08"/>
    <w:rsid w:val="00726056"/>
    <w:rsid w:val="00726203"/>
    <w:rsid w:val="007268DC"/>
    <w:rsid w:val="00726DA0"/>
    <w:rsid w:val="00727830"/>
    <w:rsid w:val="00727C92"/>
    <w:rsid w:val="00727DDB"/>
    <w:rsid w:val="007302DA"/>
    <w:rsid w:val="0073035C"/>
    <w:rsid w:val="0073051E"/>
    <w:rsid w:val="00730613"/>
    <w:rsid w:val="00730A3E"/>
    <w:rsid w:val="00730B3E"/>
    <w:rsid w:val="00730CB0"/>
    <w:rsid w:val="0073169B"/>
    <w:rsid w:val="007317C8"/>
    <w:rsid w:val="0073191D"/>
    <w:rsid w:val="00731C22"/>
    <w:rsid w:val="00731E7E"/>
    <w:rsid w:val="007322BB"/>
    <w:rsid w:val="0073238D"/>
    <w:rsid w:val="007327DF"/>
    <w:rsid w:val="00732895"/>
    <w:rsid w:val="0073318E"/>
    <w:rsid w:val="00733546"/>
    <w:rsid w:val="00734241"/>
    <w:rsid w:val="007344C3"/>
    <w:rsid w:val="00734E9A"/>
    <w:rsid w:val="00734FDD"/>
    <w:rsid w:val="00735539"/>
    <w:rsid w:val="00735732"/>
    <w:rsid w:val="00735BF0"/>
    <w:rsid w:val="00735E47"/>
    <w:rsid w:val="00735F66"/>
    <w:rsid w:val="007361F0"/>
    <w:rsid w:val="00736383"/>
    <w:rsid w:val="0073666C"/>
    <w:rsid w:val="00736B37"/>
    <w:rsid w:val="00737147"/>
    <w:rsid w:val="007406A7"/>
    <w:rsid w:val="00740D09"/>
    <w:rsid w:val="00740D1C"/>
    <w:rsid w:val="00740F8E"/>
    <w:rsid w:val="007414A1"/>
    <w:rsid w:val="00741579"/>
    <w:rsid w:val="00741729"/>
    <w:rsid w:val="00741F3D"/>
    <w:rsid w:val="00742489"/>
    <w:rsid w:val="007427C4"/>
    <w:rsid w:val="00742808"/>
    <w:rsid w:val="00742914"/>
    <w:rsid w:val="00742954"/>
    <w:rsid w:val="00743F58"/>
    <w:rsid w:val="00743FE1"/>
    <w:rsid w:val="00744288"/>
    <w:rsid w:val="007443A7"/>
    <w:rsid w:val="00744654"/>
    <w:rsid w:val="00744664"/>
    <w:rsid w:val="00744818"/>
    <w:rsid w:val="007448FD"/>
    <w:rsid w:val="007449CB"/>
    <w:rsid w:val="00744A92"/>
    <w:rsid w:val="007452B0"/>
    <w:rsid w:val="00745478"/>
    <w:rsid w:val="007456AB"/>
    <w:rsid w:val="00745927"/>
    <w:rsid w:val="00746264"/>
    <w:rsid w:val="00746F50"/>
    <w:rsid w:val="0074722B"/>
    <w:rsid w:val="00747662"/>
    <w:rsid w:val="00747F27"/>
    <w:rsid w:val="00750108"/>
    <w:rsid w:val="007501F2"/>
    <w:rsid w:val="007505D5"/>
    <w:rsid w:val="007507DF"/>
    <w:rsid w:val="00751135"/>
    <w:rsid w:val="007511A8"/>
    <w:rsid w:val="00751339"/>
    <w:rsid w:val="00751B2A"/>
    <w:rsid w:val="00751EB7"/>
    <w:rsid w:val="0075212F"/>
    <w:rsid w:val="007523DA"/>
    <w:rsid w:val="00752733"/>
    <w:rsid w:val="0075275C"/>
    <w:rsid w:val="0075296B"/>
    <w:rsid w:val="00752AEF"/>
    <w:rsid w:val="00752C99"/>
    <w:rsid w:val="00753055"/>
    <w:rsid w:val="007530E4"/>
    <w:rsid w:val="0075334C"/>
    <w:rsid w:val="0075343D"/>
    <w:rsid w:val="0075368A"/>
    <w:rsid w:val="007543F0"/>
    <w:rsid w:val="00755319"/>
    <w:rsid w:val="0075579D"/>
    <w:rsid w:val="007558CE"/>
    <w:rsid w:val="00755A71"/>
    <w:rsid w:val="00755FBB"/>
    <w:rsid w:val="00756BB3"/>
    <w:rsid w:val="00757540"/>
    <w:rsid w:val="00757608"/>
    <w:rsid w:val="00757CF0"/>
    <w:rsid w:val="007604BD"/>
    <w:rsid w:val="007608A1"/>
    <w:rsid w:val="00760CD6"/>
    <w:rsid w:val="00761117"/>
    <w:rsid w:val="0076133E"/>
    <w:rsid w:val="00762687"/>
    <w:rsid w:val="0076309D"/>
    <w:rsid w:val="00763BD3"/>
    <w:rsid w:val="00764200"/>
    <w:rsid w:val="0076430D"/>
    <w:rsid w:val="007646DA"/>
    <w:rsid w:val="007647FE"/>
    <w:rsid w:val="007650A3"/>
    <w:rsid w:val="0076531D"/>
    <w:rsid w:val="007653D1"/>
    <w:rsid w:val="0076608D"/>
    <w:rsid w:val="00766160"/>
    <w:rsid w:val="00766220"/>
    <w:rsid w:val="007662A2"/>
    <w:rsid w:val="0076633A"/>
    <w:rsid w:val="0076636D"/>
    <w:rsid w:val="007674D8"/>
    <w:rsid w:val="007674EF"/>
    <w:rsid w:val="00767631"/>
    <w:rsid w:val="007676E7"/>
    <w:rsid w:val="00767BB1"/>
    <w:rsid w:val="00767E60"/>
    <w:rsid w:val="007704AD"/>
    <w:rsid w:val="007707BE"/>
    <w:rsid w:val="007707FA"/>
    <w:rsid w:val="007709D2"/>
    <w:rsid w:val="00770B84"/>
    <w:rsid w:val="007715C8"/>
    <w:rsid w:val="00771869"/>
    <w:rsid w:val="00771A60"/>
    <w:rsid w:val="00771ACD"/>
    <w:rsid w:val="00772490"/>
    <w:rsid w:val="00772505"/>
    <w:rsid w:val="007727F6"/>
    <w:rsid w:val="00773689"/>
    <w:rsid w:val="00773861"/>
    <w:rsid w:val="00773864"/>
    <w:rsid w:val="0077399B"/>
    <w:rsid w:val="00773B30"/>
    <w:rsid w:val="00773BD3"/>
    <w:rsid w:val="007742EF"/>
    <w:rsid w:val="00774302"/>
    <w:rsid w:val="007744A5"/>
    <w:rsid w:val="007744E0"/>
    <w:rsid w:val="007745FF"/>
    <w:rsid w:val="0077494C"/>
    <w:rsid w:val="007749AC"/>
    <w:rsid w:val="00774CB2"/>
    <w:rsid w:val="00774CC5"/>
    <w:rsid w:val="00775562"/>
    <w:rsid w:val="007755EA"/>
    <w:rsid w:val="007759BC"/>
    <w:rsid w:val="00775D0C"/>
    <w:rsid w:val="00776175"/>
    <w:rsid w:val="007764F8"/>
    <w:rsid w:val="00776685"/>
    <w:rsid w:val="00776F9D"/>
    <w:rsid w:val="007774C4"/>
    <w:rsid w:val="00777548"/>
    <w:rsid w:val="007775A2"/>
    <w:rsid w:val="007805D9"/>
    <w:rsid w:val="00780679"/>
    <w:rsid w:val="007806D8"/>
    <w:rsid w:val="00780FCE"/>
    <w:rsid w:val="007812FE"/>
    <w:rsid w:val="00781EC4"/>
    <w:rsid w:val="00781FD0"/>
    <w:rsid w:val="00782094"/>
    <w:rsid w:val="0078278F"/>
    <w:rsid w:val="00782BED"/>
    <w:rsid w:val="00782E2E"/>
    <w:rsid w:val="0078379D"/>
    <w:rsid w:val="00783A52"/>
    <w:rsid w:val="0078440B"/>
    <w:rsid w:val="007845E1"/>
    <w:rsid w:val="007848F6"/>
    <w:rsid w:val="007852AF"/>
    <w:rsid w:val="0078573F"/>
    <w:rsid w:val="00785856"/>
    <w:rsid w:val="007858DC"/>
    <w:rsid w:val="0078596D"/>
    <w:rsid w:val="00785AF1"/>
    <w:rsid w:val="00786278"/>
    <w:rsid w:val="0078686D"/>
    <w:rsid w:val="007869A6"/>
    <w:rsid w:val="00786C70"/>
    <w:rsid w:val="00786D18"/>
    <w:rsid w:val="00786E96"/>
    <w:rsid w:val="00786EBC"/>
    <w:rsid w:val="00786FA9"/>
    <w:rsid w:val="00786FBF"/>
    <w:rsid w:val="007871E8"/>
    <w:rsid w:val="007872A6"/>
    <w:rsid w:val="00787698"/>
    <w:rsid w:val="007879CA"/>
    <w:rsid w:val="007879E2"/>
    <w:rsid w:val="00790159"/>
    <w:rsid w:val="0079023F"/>
    <w:rsid w:val="00790873"/>
    <w:rsid w:val="00790937"/>
    <w:rsid w:val="00790EFF"/>
    <w:rsid w:val="00791086"/>
    <w:rsid w:val="00792079"/>
    <w:rsid w:val="007928A1"/>
    <w:rsid w:val="00792E4C"/>
    <w:rsid w:val="00793466"/>
    <w:rsid w:val="007939E4"/>
    <w:rsid w:val="00793B5A"/>
    <w:rsid w:val="00793F56"/>
    <w:rsid w:val="00794353"/>
    <w:rsid w:val="0079443C"/>
    <w:rsid w:val="00794764"/>
    <w:rsid w:val="0079482C"/>
    <w:rsid w:val="007948C7"/>
    <w:rsid w:val="007948D1"/>
    <w:rsid w:val="007948DC"/>
    <w:rsid w:val="00794916"/>
    <w:rsid w:val="00794A07"/>
    <w:rsid w:val="00794B00"/>
    <w:rsid w:val="00794C0C"/>
    <w:rsid w:val="00794F68"/>
    <w:rsid w:val="007950B6"/>
    <w:rsid w:val="007950CC"/>
    <w:rsid w:val="007953FE"/>
    <w:rsid w:val="007957C9"/>
    <w:rsid w:val="00795B50"/>
    <w:rsid w:val="00796252"/>
    <w:rsid w:val="00796455"/>
    <w:rsid w:val="007969DF"/>
    <w:rsid w:val="00796ADA"/>
    <w:rsid w:val="00796B92"/>
    <w:rsid w:val="00796CE4"/>
    <w:rsid w:val="00796CED"/>
    <w:rsid w:val="00796E5C"/>
    <w:rsid w:val="00796EAF"/>
    <w:rsid w:val="00797299"/>
    <w:rsid w:val="0079735A"/>
    <w:rsid w:val="00797477"/>
    <w:rsid w:val="0079751D"/>
    <w:rsid w:val="00797B92"/>
    <w:rsid w:val="00797E39"/>
    <w:rsid w:val="007A0642"/>
    <w:rsid w:val="007A09F6"/>
    <w:rsid w:val="007A1836"/>
    <w:rsid w:val="007A1B13"/>
    <w:rsid w:val="007A21EB"/>
    <w:rsid w:val="007A22DB"/>
    <w:rsid w:val="007A23F7"/>
    <w:rsid w:val="007A2806"/>
    <w:rsid w:val="007A288B"/>
    <w:rsid w:val="007A3589"/>
    <w:rsid w:val="007A3F5D"/>
    <w:rsid w:val="007A4118"/>
    <w:rsid w:val="007A4BFA"/>
    <w:rsid w:val="007A56D5"/>
    <w:rsid w:val="007A57C4"/>
    <w:rsid w:val="007A5D6C"/>
    <w:rsid w:val="007A5FD9"/>
    <w:rsid w:val="007A6650"/>
    <w:rsid w:val="007A7228"/>
    <w:rsid w:val="007A756F"/>
    <w:rsid w:val="007A7E6D"/>
    <w:rsid w:val="007B07B6"/>
    <w:rsid w:val="007B0A01"/>
    <w:rsid w:val="007B0BEA"/>
    <w:rsid w:val="007B0D6D"/>
    <w:rsid w:val="007B0E3F"/>
    <w:rsid w:val="007B10B3"/>
    <w:rsid w:val="007B19B7"/>
    <w:rsid w:val="007B294E"/>
    <w:rsid w:val="007B2AE8"/>
    <w:rsid w:val="007B2F54"/>
    <w:rsid w:val="007B2FE2"/>
    <w:rsid w:val="007B3572"/>
    <w:rsid w:val="007B393C"/>
    <w:rsid w:val="007B3E6C"/>
    <w:rsid w:val="007B3E73"/>
    <w:rsid w:val="007B40C3"/>
    <w:rsid w:val="007B4283"/>
    <w:rsid w:val="007B43CD"/>
    <w:rsid w:val="007B4833"/>
    <w:rsid w:val="007B50CB"/>
    <w:rsid w:val="007B59C2"/>
    <w:rsid w:val="007B5AC3"/>
    <w:rsid w:val="007B5FD4"/>
    <w:rsid w:val="007B66D9"/>
    <w:rsid w:val="007B67B9"/>
    <w:rsid w:val="007B6DFC"/>
    <w:rsid w:val="007B702F"/>
    <w:rsid w:val="007B78BA"/>
    <w:rsid w:val="007B7E6B"/>
    <w:rsid w:val="007C0849"/>
    <w:rsid w:val="007C09CE"/>
    <w:rsid w:val="007C0A6B"/>
    <w:rsid w:val="007C0FDD"/>
    <w:rsid w:val="007C11DF"/>
    <w:rsid w:val="007C1255"/>
    <w:rsid w:val="007C1690"/>
    <w:rsid w:val="007C1A4B"/>
    <w:rsid w:val="007C1F84"/>
    <w:rsid w:val="007C22C7"/>
    <w:rsid w:val="007C2339"/>
    <w:rsid w:val="007C249E"/>
    <w:rsid w:val="007C26B7"/>
    <w:rsid w:val="007C2954"/>
    <w:rsid w:val="007C2AA4"/>
    <w:rsid w:val="007C2FD8"/>
    <w:rsid w:val="007C322B"/>
    <w:rsid w:val="007C352C"/>
    <w:rsid w:val="007C3722"/>
    <w:rsid w:val="007C3A9D"/>
    <w:rsid w:val="007C3C8D"/>
    <w:rsid w:val="007C4E3E"/>
    <w:rsid w:val="007C4E43"/>
    <w:rsid w:val="007C56B6"/>
    <w:rsid w:val="007C56BA"/>
    <w:rsid w:val="007C56E7"/>
    <w:rsid w:val="007C5722"/>
    <w:rsid w:val="007C5AA2"/>
    <w:rsid w:val="007C5EDA"/>
    <w:rsid w:val="007C692A"/>
    <w:rsid w:val="007C6971"/>
    <w:rsid w:val="007C6A14"/>
    <w:rsid w:val="007C6B9D"/>
    <w:rsid w:val="007C6C1E"/>
    <w:rsid w:val="007C6D2F"/>
    <w:rsid w:val="007C6D8E"/>
    <w:rsid w:val="007C6E58"/>
    <w:rsid w:val="007C6EDE"/>
    <w:rsid w:val="007C6F10"/>
    <w:rsid w:val="007C6F22"/>
    <w:rsid w:val="007C7285"/>
    <w:rsid w:val="007C7341"/>
    <w:rsid w:val="007C7651"/>
    <w:rsid w:val="007C773C"/>
    <w:rsid w:val="007C7A91"/>
    <w:rsid w:val="007C7AA3"/>
    <w:rsid w:val="007C7E84"/>
    <w:rsid w:val="007D01FE"/>
    <w:rsid w:val="007D026D"/>
    <w:rsid w:val="007D0E92"/>
    <w:rsid w:val="007D11D3"/>
    <w:rsid w:val="007D1CF4"/>
    <w:rsid w:val="007D2445"/>
    <w:rsid w:val="007D25B3"/>
    <w:rsid w:val="007D26B0"/>
    <w:rsid w:val="007D2AD8"/>
    <w:rsid w:val="007D2DFB"/>
    <w:rsid w:val="007D3962"/>
    <w:rsid w:val="007D3D63"/>
    <w:rsid w:val="007D3DBC"/>
    <w:rsid w:val="007D430B"/>
    <w:rsid w:val="007D4842"/>
    <w:rsid w:val="007D499A"/>
    <w:rsid w:val="007D5312"/>
    <w:rsid w:val="007D53D1"/>
    <w:rsid w:val="007D55AE"/>
    <w:rsid w:val="007D58DC"/>
    <w:rsid w:val="007D5E4F"/>
    <w:rsid w:val="007D6069"/>
    <w:rsid w:val="007D6273"/>
    <w:rsid w:val="007D661D"/>
    <w:rsid w:val="007D6CAB"/>
    <w:rsid w:val="007D6D4A"/>
    <w:rsid w:val="007D6F3E"/>
    <w:rsid w:val="007D6F86"/>
    <w:rsid w:val="007D711B"/>
    <w:rsid w:val="007D7189"/>
    <w:rsid w:val="007D739C"/>
    <w:rsid w:val="007D75E2"/>
    <w:rsid w:val="007E023B"/>
    <w:rsid w:val="007E0E79"/>
    <w:rsid w:val="007E1703"/>
    <w:rsid w:val="007E17D7"/>
    <w:rsid w:val="007E1C5C"/>
    <w:rsid w:val="007E2251"/>
    <w:rsid w:val="007E2712"/>
    <w:rsid w:val="007E2B38"/>
    <w:rsid w:val="007E31ED"/>
    <w:rsid w:val="007E36D4"/>
    <w:rsid w:val="007E374E"/>
    <w:rsid w:val="007E3C0B"/>
    <w:rsid w:val="007E3EAA"/>
    <w:rsid w:val="007E426A"/>
    <w:rsid w:val="007E4398"/>
    <w:rsid w:val="007E4B09"/>
    <w:rsid w:val="007E4B3D"/>
    <w:rsid w:val="007E4F07"/>
    <w:rsid w:val="007E4FC4"/>
    <w:rsid w:val="007E56A8"/>
    <w:rsid w:val="007E579A"/>
    <w:rsid w:val="007E5DBB"/>
    <w:rsid w:val="007E62A3"/>
    <w:rsid w:val="007E6376"/>
    <w:rsid w:val="007E69DD"/>
    <w:rsid w:val="007E7B2C"/>
    <w:rsid w:val="007F0225"/>
    <w:rsid w:val="007F09D3"/>
    <w:rsid w:val="007F0C04"/>
    <w:rsid w:val="007F0C24"/>
    <w:rsid w:val="007F0CD9"/>
    <w:rsid w:val="007F1799"/>
    <w:rsid w:val="007F1B50"/>
    <w:rsid w:val="007F21FB"/>
    <w:rsid w:val="007F2EE5"/>
    <w:rsid w:val="007F3269"/>
    <w:rsid w:val="007F355B"/>
    <w:rsid w:val="007F3755"/>
    <w:rsid w:val="007F3A63"/>
    <w:rsid w:val="007F3C4D"/>
    <w:rsid w:val="007F3D7B"/>
    <w:rsid w:val="007F4597"/>
    <w:rsid w:val="007F4762"/>
    <w:rsid w:val="007F4D61"/>
    <w:rsid w:val="007F4E33"/>
    <w:rsid w:val="007F4F23"/>
    <w:rsid w:val="007F516A"/>
    <w:rsid w:val="007F5492"/>
    <w:rsid w:val="007F5589"/>
    <w:rsid w:val="007F5C00"/>
    <w:rsid w:val="007F6098"/>
    <w:rsid w:val="007F60E4"/>
    <w:rsid w:val="007F614D"/>
    <w:rsid w:val="007F6F4A"/>
    <w:rsid w:val="007F73B3"/>
    <w:rsid w:val="007F7575"/>
    <w:rsid w:val="007F7A35"/>
    <w:rsid w:val="007F7CD3"/>
    <w:rsid w:val="008000C9"/>
    <w:rsid w:val="0080027B"/>
    <w:rsid w:val="00800627"/>
    <w:rsid w:val="0080186C"/>
    <w:rsid w:val="00801BC8"/>
    <w:rsid w:val="00801DD1"/>
    <w:rsid w:val="00802322"/>
    <w:rsid w:val="008028C4"/>
    <w:rsid w:val="00802AB4"/>
    <w:rsid w:val="00802BB8"/>
    <w:rsid w:val="00802C11"/>
    <w:rsid w:val="00802C6B"/>
    <w:rsid w:val="00802E25"/>
    <w:rsid w:val="00803514"/>
    <w:rsid w:val="008035B9"/>
    <w:rsid w:val="0080399C"/>
    <w:rsid w:val="00803E44"/>
    <w:rsid w:val="00804481"/>
    <w:rsid w:val="0080498E"/>
    <w:rsid w:val="00804C38"/>
    <w:rsid w:val="00804F69"/>
    <w:rsid w:val="00805067"/>
    <w:rsid w:val="0080543E"/>
    <w:rsid w:val="00805BE2"/>
    <w:rsid w:val="00806005"/>
    <w:rsid w:val="008062B0"/>
    <w:rsid w:val="008062BE"/>
    <w:rsid w:val="00806409"/>
    <w:rsid w:val="0080664D"/>
    <w:rsid w:val="008069E5"/>
    <w:rsid w:val="00806CFA"/>
    <w:rsid w:val="00807027"/>
    <w:rsid w:val="0080715F"/>
    <w:rsid w:val="008078C0"/>
    <w:rsid w:val="00807978"/>
    <w:rsid w:val="00807ECB"/>
    <w:rsid w:val="00810255"/>
    <w:rsid w:val="00810493"/>
    <w:rsid w:val="00810D8A"/>
    <w:rsid w:val="00811059"/>
    <w:rsid w:val="00811078"/>
    <w:rsid w:val="00811168"/>
    <w:rsid w:val="008111EA"/>
    <w:rsid w:val="0081167F"/>
    <w:rsid w:val="00811871"/>
    <w:rsid w:val="00811B3F"/>
    <w:rsid w:val="008121D9"/>
    <w:rsid w:val="008123C8"/>
    <w:rsid w:val="00812933"/>
    <w:rsid w:val="00812AE4"/>
    <w:rsid w:val="00812D4E"/>
    <w:rsid w:val="008131AD"/>
    <w:rsid w:val="008136C0"/>
    <w:rsid w:val="0081381A"/>
    <w:rsid w:val="008138B9"/>
    <w:rsid w:val="00813D86"/>
    <w:rsid w:val="00814296"/>
    <w:rsid w:val="008144A9"/>
    <w:rsid w:val="0081480D"/>
    <w:rsid w:val="00814AB7"/>
    <w:rsid w:val="00814B3E"/>
    <w:rsid w:val="008152C9"/>
    <w:rsid w:val="0081536D"/>
    <w:rsid w:val="008156E8"/>
    <w:rsid w:val="008166AA"/>
    <w:rsid w:val="0081698B"/>
    <w:rsid w:val="008169BF"/>
    <w:rsid w:val="00817839"/>
    <w:rsid w:val="008179E2"/>
    <w:rsid w:val="00817AB7"/>
    <w:rsid w:val="00817E30"/>
    <w:rsid w:val="0082008E"/>
    <w:rsid w:val="0082064C"/>
    <w:rsid w:val="0082089C"/>
    <w:rsid w:val="00820D41"/>
    <w:rsid w:val="00820D76"/>
    <w:rsid w:val="00821B91"/>
    <w:rsid w:val="00822785"/>
    <w:rsid w:val="00822A65"/>
    <w:rsid w:val="00822DB3"/>
    <w:rsid w:val="008232CB"/>
    <w:rsid w:val="0082386C"/>
    <w:rsid w:val="008239E5"/>
    <w:rsid w:val="00823E11"/>
    <w:rsid w:val="00823EFD"/>
    <w:rsid w:val="00823F34"/>
    <w:rsid w:val="0082452E"/>
    <w:rsid w:val="00824619"/>
    <w:rsid w:val="0082495E"/>
    <w:rsid w:val="00825124"/>
    <w:rsid w:val="008251CF"/>
    <w:rsid w:val="008255B0"/>
    <w:rsid w:val="00825716"/>
    <w:rsid w:val="00825763"/>
    <w:rsid w:val="0082657F"/>
    <w:rsid w:val="0082669B"/>
    <w:rsid w:val="008266E7"/>
    <w:rsid w:val="008275ED"/>
    <w:rsid w:val="00827979"/>
    <w:rsid w:val="00827CE7"/>
    <w:rsid w:val="00827DB0"/>
    <w:rsid w:val="00830A9C"/>
    <w:rsid w:val="00830D85"/>
    <w:rsid w:val="0083142E"/>
    <w:rsid w:val="008315EC"/>
    <w:rsid w:val="008316B2"/>
    <w:rsid w:val="008319FD"/>
    <w:rsid w:val="00831C11"/>
    <w:rsid w:val="00832892"/>
    <w:rsid w:val="00832B39"/>
    <w:rsid w:val="00832C1B"/>
    <w:rsid w:val="00832F9F"/>
    <w:rsid w:val="00833083"/>
    <w:rsid w:val="00833554"/>
    <w:rsid w:val="00833830"/>
    <w:rsid w:val="0083427C"/>
    <w:rsid w:val="008347E8"/>
    <w:rsid w:val="00834A19"/>
    <w:rsid w:val="00834A48"/>
    <w:rsid w:val="00834B67"/>
    <w:rsid w:val="00834C24"/>
    <w:rsid w:val="00834C97"/>
    <w:rsid w:val="00834CB0"/>
    <w:rsid w:val="008352A7"/>
    <w:rsid w:val="00835C40"/>
    <w:rsid w:val="00835E10"/>
    <w:rsid w:val="0083602B"/>
    <w:rsid w:val="00836191"/>
    <w:rsid w:val="008363D7"/>
    <w:rsid w:val="00836831"/>
    <w:rsid w:val="008370CC"/>
    <w:rsid w:val="008372B2"/>
    <w:rsid w:val="0083797C"/>
    <w:rsid w:val="00837A5F"/>
    <w:rsid w:val="00837BD6"/>
    <w:rsid w:val="00837C90"/>
    <w:rsid w:val="00840489"/>
    <w:rsid w:val="0084066E"/>
    <w:rsid w:val="00841167"/>
    <w:rsid w:val="00841829"/>
    <w:rsid w:val="008419C4"/>
    <w:rsid w:val="008419D4"/>
    <w:rsid w:val="0084238A"/>
    <w:rsid w:val="00842407"/>
    <w:rsid w:val="00842D6D"/>
    <w:rsid w:val="00842E98"/>
    <w:rsid w:val="00842FCC"/>
    <w:rsid w:val="00843039"/>
    <w:rsid w:val="008432CE"/>
    <w:rsid w:val="008437D9"/>
    <w:rsid w:val="00844454"/>
    <w:rsid w:val="00844B59"/>
    <w:rsid w:val="008454CC"/>
    <w:rsid w:val="008461C4"/>
    <w:rsid w:val="0084644C"/>
    <w:rsid w:val="008464B0"/>
    <w:rsid w:val="008465DA"/>
    <w:rsid w:val="00846CCE"/>
    <w:rsid w:val="00846D90"/>
    <w:rsid w:val="00847421"/>
    <w:rsid w:val="00847833"/>
    <w:rsid w:val="00847B84"/>
    <w:rsid w:val="00847E11"/>
    <w:rsid w:val="00850551"/>
    <w:rsid w:val="00850824"/>
    <w:rsid w:val="00850AF6"/>
    <w:rsid w:val="008512E9"/>
    <w:rsid w:val="0085182A"/>
    <w:rsid w:val="00851C69"/>
    <w:rsid w:val="00851E02"/>
    <w:rsid w:val="00851EB8"/>
    <w:rsid w:val="0085220A"/>
    <w:rsid w:val="008522C2"/>
    <w:rsid w:val="00852AAB"/>
    <w:rsid w:val="00852F06"/>
    <w:rsid w:val="00852F3D"/>
    <w:rsid w:val="008530AD"/>
    <w:rsid w:val="0085468F"/>
    <w:rsid w:val="00855950"/>
    <w:rsid w:val="00855A93"/>
    <w:rsid w:val="00855E65"/>
    <w:rsid w:val="00855F1E"/>
    <w:rsid w:val="00856003"/>
    <w:rsid w:val="00856988"/>
    <w:rsid w:val="00856B1C"/>
    <w:rsid w:val="00856C7F"/>
    <w:rsid w:val="00856C8B"/>
    <w:rsid w:val="00856D3F"/>
    <w:rsid w:val="00857C13"/>
    <w:rsid w:val="00857C84"/>
    <w:rsid w:val="008604DE"/>
    <w:rsid w:val="008605E1"/>
    <w:rsid w:val="008608D9"/>
    <w:rsid w:val="00860DFB"/>
    <w:rsid w:val="00861003"/>
    <w:rsid w:val="00861C13"/>
    <w:rsid w:val="00861F9E"/>
    <w:rsid w:val="008620B7"/>
    <w:rsid w:val="00862396"/>
    <w:rsid w:val="0086258B"/>
    <w:rsid w:val="00862626"/>
    <w:rsid w:val="008627F1"/>
    <w:rsid w:val="008627FE"/>
    <w:rsid w:val="0086390A"/>
    <w:rsid w:val="00863DD3"/>
    <w:rsid w:val="008640E9"/>
    <w:rsid w:val="00864BC9"/>
    <w:rsid w:val="0086504B"/>
    <w:rsid w:val="0086556A"/>
    <w:rsid w:val="00865950"/>
    <w:rsid w:val="00865A70"/>
    <w:rsid w:val="0086632A"/>
    <w:rsid w:val="008664BF"/>
    <w:rsid w:val="00866BB0"/>
    <w:rsid w:val="008679B2"/>
    <w:rsid w:val="00867E32"/>
    <w:rsid w:val="0087027A"/>
    <w:rsid w:val="00870407"/>
    <w:rsid w:val="00870472"/>
    <w:rsid w:val="00870790"/>
    <w:rsid w:val="00870A67"/>
    <w:rsid w:val="00871369"/>
    <w:rsid w:val="00871530"/>
    <w:rsid w:val="00871747"/>
    <w:rsid w:val="0087180E"/>
    <w:rsid w:val="00871B9A"/>
    <w:rsid w:val="00871C44"/>
    <w:rsid w:val="0087225F"/>
    <w:rsid w:val="00872914"/>
    <w:rsid w:val="00872D7E"/>
    <w:rsid w:val="00873288"/>
    <w:rsid w:val="008734DC"/>
    <w:rsid w:val="008735DB"/>
    <w:rsid w:val="0087418C"/>
    <w:rsid w:val="00874225"/>
    <w:rsid w:val="008742A1"/>
    <w:rsid w:val="00874B66"/>
    <w:rsid w:val="00874C2A"/>
    <w:rsid w:val="0087523D"/>
    <w:rsid w:val="008752CD"/>
    <w:rsid w:val="0087581A"/>
    <w:rsid w:val="00875848"/>
    <w:rsid w:val="008758BE"/>
    <w:rsid w:val="00876CCB"/>
    <w:rsid w:val="00876E38"/>
    <w:rsid w:val="008774A1"/>
    <w:rsid w:val="008776F3"/>
    <w:rsid w:val="0087799C"/>
    <w:rsid w:val="00877A47"/>
    <w:rsid w:val="00877A80"/>
    <w:rsid w:val="00877B51"/>
    <w:rsid w:val="00877C29"/>
    <w:rsid w:val="00877D70"/>
    <w:rsid w:val="00880438"/>
    <w:rsid w:val="00880494"/>
    <w:rsid w:val="0088128C"/>
    <w:rsid w:val="00881C77"/>
    <w:rsid w:val="008824E6"/>
    <w:rsid w:val="0088279B"/>
    <w:rsid w:val="008829B7"/>
    <w:rsid w:val="0088300B"/>
    <w:rsid w:val="008833EF"/>
    <w:rsid w:val="00883494"/>
    <w:rsid w:val="00883510"/>
    <w:rsid w:val="00883614"/>
    <w:rsid w:val="008836FB"/>
    <w:rsid w:val="00883894"/>
    <w:rsid w:val="00883916"/>
    <w:rsid w:val="00883BCC"/>
    <w:rsid w:val="00883BE2"/>
    <w:rsid w:val="00883EB3"/>
    <w:rsid w:val="00884041"/>
    <w:rsid w:val="008846B0"/>
    <w:rsid w:val="00884A62"/>
    <w:rsid w:val="00884F9B"/>
    <w:rsid w:val="00885127"/>
    <w:rsid w:val="00885182"/>
    <w:rsid w:val="00885639"/>
    <w:rsid w:val="0088564E"/>
    <w:rsid w:val="008857C9"/>
    <w:rsid w:val="008858C5"/>
    <w:rsid w:val="00885B1D"/>
    <w:rsid w:val="00885C8A"/>
    <w:rsid w:val="0088603C"/>
    <w:rsid w:val="00886124"/>
    <w:rsid w:val="00886359"/>
    <w:rsid w:val="00886611"/>
    <w:rsid w:val="0088675B"/>
    <w:rsid w:val="00886FF6"/>
    <w:rsid w:val="0088711B"/>
    <w:rsid w:val="00887126"/>
    <w:rsid w:val="0088794E"/>
    <w:rsid w:val="00887B84"/>
    <w:rsid w:val="00887C01"/>
    <w:rsid w:val="00887C80"/>
    <w:rsid w:val="00887C8A"/>
    <w:rsid w:val="00890330"/>
    <w:rsid w:val="00890436"/>
    <w:rsid w:val="00890534"/>
    <w:rsid w:val="008912AA"/>
    <w:rsid w:val="0089147B"/>
    <w:rsid w:val="008918AB"/>
    <w:rsid w:val="00891BB1"/>
    <w:rsid w:val="00891FA1"/>
    <w:rsid w:val="00892081"/>
    <w:rsid w:val="008921DC"/>
    <w:rsid w:val="0089253C"/>
    <w:rsid w:val="00892E29"/>
    <w:rsid w:val="008930A5"/>
    <w:rsid w:val="00893632"/>
    <w:rsid w:val="00893821"/>
    <w:rsid w:val="0089389E"/>
    <w:rsid w:val="00894160"/>
    <w:rsid w:val="00894283"/>
    <w:rsid w:val="00894342"/>
    <w:rsid w:val="00894384"/>
    <w:rsid w:val="00894642"/>
    <w:rsid w:val="00894662"/>
    <w:rsid w:val="00894959"/>
    <w:rsid w:val="00895F05"/>
    <w:rsid w:val="008964EF"/>
    <w:rsid w:val="0089680D"/>
    <w:rsid w:val="0089748F"/>
    <w:rsid w:val="0089750B"/>
    <w:rsid w:val="008A0459"/>
    <w:rsid w:val="008A1270"/>
    <w:rsid w:val="008A14A0"/>
    <w:rsid w:val="008A15B3"/>
    <w:rsid w:val="008A1701"/>
    <w:rsid w:val="008A1DE7"/>
    <w:rsid w:val="008A229A"/>
    <w:rsid w:val="008A23C6"/>
    <w:rsid w:val="008A27AD"/>
    <w:rsid w:val="008A2A84"/>
    <w:rsid w:val="008A2E1D"/>
    <w:rsid w:val="008A2FBD"/>
    <w:rsid w:val="008A30C5"/>
    <w:rsid w:val="008A3167"/>
    <w:rsid w:val="008A342F"/>
    <w:rsid w:val="008A3EAB"/>
    <w:rsid w:val="008A4185"/>
    <w:rsid w:val="008A4594"/>
    <w:rsid w:val="008A46B7"/>
    <w:rsid w:val="008A4708"/>
    <w:rsid w:val="008A48AC"/>
    <w:rsid w:val="008A4DDA"/>
    <w:rsid w:val="008A4FB3"/>
    <w:rsid w:val="008A57FA"/>
    <w:rsid w:val="008A58D9"/>
    <w:rsid w:val="008A5C61"/>
    <w:rsid w:val="008A63E2"/>
    <w:rsid w:val="008A6596"/>
    <w:rsid w:val="008A69FA"/>
    <w:rsid w:val="008A6C53"/>
    <w:rsid w:val="008A6CE6"/>
    <w:rsid w:val="008A7259"/>
    <w:rsid w:val="008A7A57"/>
    <w:rsid w:val="008B0054"/>
    <w:rsid w:val="008B066F"/>
    <w:rsid w:val="008B1266"/>
    <w:rsid w:val="008B1367"/>
    <w:rsid w:val="008B1381"/>
    <w:rsid w:val="008B1419"/>
    <w:rsid w:val="008B1962"/>
    <w:rsid w:val="008B1A91"/>
    <w:rsid w:val="008B20E5"/>
    <w:rsid w:val="008B2537"/>
    <w:rsid w:val="008B281E"/>
    <w:rsid w:val="008B422C"/>
    <w:rsid w:val="008B4365"/>
    <w:rsid w:val="008B491B"/>
    <w:rsid w:val="008B49F1"/>
    <w:rsid w:val="008B55AB"/>
    <w:rsid w:val="008B567B"/>
    <w:rsid w:val="008B583C"/>
    <w:rsid w:val="008B5962"/>
    <w:rsid w:val="008B5E24"/>
    <w:rsid w:val="008B6242"/>
    <w:rsid w:val="008B62ED"/>
    <w:rsid w:val="008B68A9"/>
    <w:rsid w:val="008B6F84"/>
    <w:rsid w:val="008B7072"/>
    <w:rsid w:val="008B75A8"/>
    <w:rsid w:val="008B7799"/>
    <w:rsid w:val="008B7BD1"/>
    <w:rsid w:val="008B7E52"/>
    <w:rsid w:val="008C03E0"/>
    <w:rsid w:val="008C0452"/>
    <w:rsid w:val="008C0520"/>
    <w:rsid w:val="008C0D86"/>
    <w:rsid w:val="008C16E9"/>
    <w:rsid w:val="008C171F"/>
    <w:rsid w:val="008C1D9A"/>
    <w:rsid w:val="008C25FF"/>
    <w:rsid w:val="008C29E0"/>
    <w:rsid w:val="008C2B71"/>
    <w:rsid w:val="008C2D00"/>
    <w:rsid w:val="008C3496"/>
    <w:rsid w:val="008C37B5"/>
    <w:rsid w:val="008C442C"/>
    <w:rsid w:val="008C4456"/>
    <w:rsid w:val="008C46EA"/>
    <w:rsid w:val="008C4CE0"/>
    <w:rsid w:val="008C4EB4"/>
    <w:rsid w:val="008C4F8A"/>
    <w:rsid w:val="008C54C3"/>
    <w:rsid w:val="008C5B23"/>
    <w:rsid w:val="008C5CC8"/>
    <w:rsid w:val="008C5E52"/>
    <w:rsid w:val="008C680E"/>
    <w:rsid w:val="008C687A"/>
    <w:rsid w:val="008C69F4"/>
    <w:rsid w:val="008C6A58"/>
    <w:rsid w:val="008C6B05"/>
    <w:rsid w:val="008C6B9D"/>
    <w:rsid w:val="008C6CB8"/>
    <w:rsid w:val="008C6D3E"/>
    <w:rsid w:val="008C7651"/>
    <w:rsid w:val="008C7735"/>
    <w:rsid w:val="008C7797"/>
    <w:rsid w:val="008C7C1B"/>
    <w:rsid w:val="008C7D89"/>
    <w:rsid w:val="008D01FA"/>
    <w:rsid w:val="008D03DD"/>
    <w:rsid w:val="008D0613"/>
    <w:rsid w:val="008D0F38"/>
    <w:rsid w:val="008D1AF6"/>
    <w:rsid w:val="008D1F05"/>
    <w:rsid w:val="008D1FB8"/>
    <w:rsid w:val="008D2C7D"/>
    <w:rsid w:val="008D3649"/>
    <w:rsid w:val="008D377E"/>
    <w:rsid w:val="008D3A18"/>
    <w:rsid w:val="008D3BFF"/>
    <w:rsid w:val="008D4141"/>
    <w:rsid w:val="008D441C"/>
    <w:rsid w:val="008D457E"/>
    <w:rsid w:val="008D48A8"/>
    <w:rsid w:val="008D4F4A"/>
    <w:rsid w:val="008D54F4"/>
    <w:rsid w:val="008D558C"/>
    <w:rsid w:val="008D56A8"/>
    <w:rsid w:val="008D5E27"/>
    <w:rsid w:val="008D5E98"/>
    <w:rsid w:val="008D6479"/>
    <w:rsid w:val="008D6E48"/>
    <w:rsid w:val="008D72B4"/>
    <w:rsid w:val="008D762B"/>
    <w:rsid w:val="008E01EE"/>
    <w:rsid w:val="008E048C"/>
    <w:rsid w:val="008E07B5"/>
    <w:rsid w:val="008E0D0B"/>
    <w:rsid w:val="008E195E"/>
    <w:rsid w:val="008E1BAA"/>
    <w:rsid w:val="008E1DE1"/>
    <w:rsid w:val="008E217F"/>
    <w:rsid w:val="008E2464"/>
    <w:rsid w:val="008E257E"/>
    <w:rsid w:val="008E2885"/>
    <w:rsid w:val="008E3337"/>
    <w:rsid w:val="008E3779"/>
    <w:rsid w:val="008E399B"/>
    <w:rsid w:val="008E39C3"/>
    <w:rsid w:val="008E3E84"/>
    <w:rsid w:val="008E419B"/>
    <w:rsid w:val="008E41B2"/>
    <w:rsid w:val="008E4A0C"/>
    <w:rsid w:val="008E4E18"/>
    <w:rsid w:val="008E52DE"/>
    <w:rsid w:val="008E5BDF"/>
    <w:rsid w:val="008E5D9A"/>
    <w:rsid w:val="008E64B1"/>
    <w:rsid w:val="008E658E"/>
    <w:rsid w:val="008E73F0"/>
    <w:rsid w:val="008E74A7"/>
    <w:rsid w:val="008E7516"/>
    <w:rsid w:val="008E75DE"/>
    <w:rsid w:val="008E79B8"/>
    <w:rsid w:val="008E7A43"/>
    <w:rsid w:val="008E7CAE"/>
    <w:rsid w:val="008E7EBD"/>
    <w:rsid w:val="008F0365"/>
    <w:rsid w:val="008F0766"/>
    <w:rsid w:val="008F0C42"/>
    <w:rsid w:val="008F103D"/>
    <w:rsid w:val="008F15BE"/>
    <w:rsid w:val="008F1C30"/>
    <w:rsid w:val="008F24F3"/>
    <w:rsid w:val="008F27A4"/>
    <w:rsid w:val="008F3AEE"/>
    <w:rsid w:val="008F3DB0"/>
    <w:rsid w:val="008F434E"/>
    <w:rsid w:val="008F498F"/>
    <w:rsid w:val="008F4ABB"/>
    <w:rsid w:val="008F5DC6"/>
    <w:rsid w:val="008F60E9"/>
    <w:rsid w:val="008F67CA"/>
    <w:rsid w:val="008F67D1"/>
    <w:rsid w:val="008F67ED"/>
    <w:rsid w:val="008F721B"/>
    <w:rsid w:val="009005CB"/>
    <w:rsid w:val="0090071A"/>
    <w:rsid w:val="0090108E"/>
    <w:rsid w:val="00901E08"/>
    <w:rsid w:val="00901E0A"/>
    <w:rsid w:val="00901EB0"/>
    <w:rsid w:val="0090201F"/>
    <w:rsid w:val="00902578"/>
    <w:rsid w:val="009025F2"/>
    <w:rsid w:val="00902B7D"/>
    <w:rsid w:val="00902D9E"/>
    <w:rsid w:val="00902E3E"/>
    <w:rsid w:val="00903103"/>
    <w:rsid w:val="00903494"/>
    <w:rsid w:val="009045B5"/>
    <w:rsid w:val="00904A90"/>
    <w:rsid w:val="009050C1"/>
    <w:rsid w:val="009050D2"/>
    <w:rsid w:val="0090523E"/>
    <w:rsid w:val="00905A99"/>
    <w:rsid w:val="00905CAE"/>
    <w:rsid w:val="00905CE4"/>
    <w:rsid w:val="00906162"/>
    <w:rsid w:val="00906372"/>
    <w:rsid w:val="0090686D"/>
    <w:rsid w:val="00906B49"/>
    <w:rsid w:val="009079C6"/>
    <w:rsid w:val="00907B61"/>
    <w:rsid w:val="00910903"/>
    <w:rsid w:val="00910A05"/>
    <w:rsid w:val="00910E8E"/>
    <w:rsid w:val="0091134F"/>
    <w:rsid w:val="009114F2"/>
    <w:rsid w:val="00911530"/>
    <w:rsid w:val="0091165D"/>
    <w:rsid w:val="009116BF"/>
    <w:rsid w:val="00911E8D"/>
    <w:rsid w:val="00911E8E"/>
    <w:rsid w:val="0091219A"/>
    <w:rsid w:val="0091259B"/>
    <w:rsid w:val="009125EF"/>
    <w:rsid w:val="00912844"/>
    <w:rsid w:val="00912A0D"/>
    <w:rsid w:val="00912D9E"/>
    <w:rsid w:val="0091301D"/>
    <w:rsid w:val="0091306D"/>
    <w:rsid w:val="009135CB"/>
    <w:rsid w:val="00913E6C"/>
    <w:rsid w:val="00914CBB"/>
    <w:rsid w:val="00914D0F"/>
    <w:rsid w:val="0091539E"/>
    <w:rsid w:val="00915415"/>
    <w:rsid w:val="009155B0"/>
    <w:rsid w:val="0091584E"/>
    <w:rsid w:val="00915869"/>
    <w:rsid w:val="00915943"/>
    <w:rsid w:val="00915E57"/>
    <w:rsid w:val="0091670E"/>
    <w:rsid w:val="00917038"/>
    <w:rsid w:val="00917C67"/>
    <w:rsid w:val="00920560"/>
    <w:rsid w:val="0092170D"/>
    <w:rsid w:val="00921C0B"/>
    <w:rsid w:val="00922168"/>
    <w:rsid w:val="00922194"/>
    <w:rsid w:val="009225D0"/>
    <w:rsid w:val="009227E2"/>
    <w:rsid w:val="00922874"/>
    <w:rsid w:val="00922B01"/>
    <w:rsid w:val="00922D4B"/>
    <w:rsid w:val="009232AE"/>
    <w:rsid w:val="0092357C"/>
    <w:rsid w:val="00923613"/>
    <w:rsid w:val="0092373B"/>
    <w:rsid w:val="00923745"/>
    <w:rsid w:val="009238E8"/>
    <w:rsid w:val="00923A85"/>
    <w:rsid w:val="00923AD2"/>
    <w:rsid w:val="00923CB3"/>
    <w:rsid w:val="00923DD0"/>
    <w:rsid w:val="00923ED4"/>
    <w:rsid w:val="00924C65"/>
    <w:rsid w:val="00925098"/>
    <w:rsid w:val="009262D2"/>
    <w:rsid w:val="0092634D"/>
    <w:rsid w:val="009266A9"/>
    <w:rsid w:val="009267AE"/>
    <w:rsid w:val="00927091"/>
    <w:rsid w:val="00927172"/>
    <w:rsid w:val="0092759C"/>
    <w:rsid w:val="00927F61"/>
    <w:rsid w:val="00930322"/>
    <w:rsid w:val="009309C0"/>
    <w:rsid w:val="00930E49"/>
    <w:rsid w:val="00931298"/>
    <w:rsid w:val="0093141C"/>
    <w:rsid w:val="009314DA"/>
    <w:rsid w:val="0093150B"/>
    <w:rsid w:val="009315B0"/>
    <w:rsid w:val="00931BB6"/>
    <w:rsid w:val="00932B52"/>
    <w:rsid w:val="00933038"/>
    <w:rsid w:val="00933096"/>
    <w:rsid w:val="00933303"/>
    <w:rsid w:val="0093445E"/>
    <w:rsid w:val="0093447F"/>
    <w:rsid w:val="00934A4E"/>
    <w:rsid w:val="00934AED"/>
    <w:rsid w:val="00934BED"/>
    <w:rsid w:val="009354D5"/>
    <w:rsid w:val="009357BC"/>
    <w:rsid w:val="00935855"/>
    <w:rsid w:val="00935CD6"/>
    <w:rsid w:val="00935D81"/>
    <w:rsid w:val="009369EA"/>
    <w:rsid w:val="00936B8A"/>
    <w:rsid w:val="00936BE1"/>
    <w:rsid w:val="00937082"/>
    <w:rsid w:val="009370BF"/>
    <w:rsid w:val="009376B9"/>
    <w:rsid w:val="009377DE"/>
    <w:rsid w:val="00937A4C"/>
    <w:rsid w:val="009407F9"/>
    <w:rsid w:val="00940838"/>
    <w:rsid w:val="00940A69"/>
    <w:rsid w:val="00940FEB"/>
    <w:rsid w:val="0094137C"/>
    <w:rsid w:val="009413A5"/>
    <w:rsid w:val="00941892"/>
    <w:rsid w:val="00941A66"/>
    <w:rsid w:val="009424D9"/>
    <w:rsid w:val="00942893"/>
    <w:rsid w:val="00942953"/>
    <w:rsid w:val="00942AD0"/>
    <w:rsid w:val="00942B08"/>
    <w:rsid w:val="0094345B"/>
    <w:rsid w:val="00943792"/>
    <w:rsid w:val="00943B98"/>
    <w:rsid w:val="00944398"/>
    <w:rsid w:val="00944BFA"/>
    <w:rsid w:val="00944FF3"/>
    <w:rsid w:val="009452BB"/>
    <w:rsid w:val="00945532"/>
    <w:rsid w:val="00945610"/>
    <w:rsid w:val="0094566A"/>
    <w:rsid w:val="00946ACD"/>
    <w:rsid w:val="00946C10"/>
    <w:rsid w:val="00946F51"/>
    <w:rsid w:val="009478C3"/>
    <w:rsid w:val="00947D06"/>
    <w:rsid w:val="00947F22"/>
    <w:rsid w:val="00950844"/>
    <w:rsid w:val="0095097A"/>
    <w:rsid w:val="009510F5"/>
    <w:rsid w:val="00951313"/>
    <w:rsid w:val="00951787"/>
    <w:rsid w:val="00951A30"/>
    <w:rsid w:val="00951B31"/>
    <w:rsid w:val="00951D05"/>
    <w:rsid w:val="009522BD"/>
    <w:rsid w:val="00952CC3"/>
    <w:rsid w:val="00952E41"/>
    <w:rsid w:val="00953350"/>
    <w:rsid w:val="009534AB"/>
    <w:rsid w:val="00953514"/>
    <w:rsid w:val="00953E7E"/>
    <w:rsid w:val="0095417A"/>
    <w:rsid w:val="00954458"/>
    <w:rsid w:val="00954A6F"/>
    <w:rsid w:val="00955212"/>
    <w:rsid w:val="0095564F"/>
    <w:rsid w:val="00955863"/>
    <w:rsid w:val="00955A3F"/>
    <w:rsid w:val="00956C5B"/>
    <w:rsid w:val="00956E84"/>
    <w:rsid w:val="00957682"/>
    <w:rsid w:val="00957695"/>
    <w:rsid w:val="0096025F"/>
    <w:rsid w:val="00960391"/>
    <w:rsid w:val="009605A0"/>
    <w:rsid w:val="00960B28"/>
    <w:rsid w:val="00960C4D"/>
    <w:rsid w:val="00961A0E"/>
    <w:rsid w:val="0096208E"/>
    <w:rsid w:val="00962C34"/>
    <w:rsid w:val="00962DDB"/>
    <w:rsid w:val="00962E1A"/>
    <w:rsid w:val="00962F1D"/>
    <w:rsid w:val="00963045"/>
    <w:rsid w:val="0096305D"/>
    <w:rsid w:val="00963A21"/>
    <w:rsid w:val="00963C32"/>
    <w:rsid w:val="00963DB7"/>
    <w:rsid w:val="00963E4B"/>
    <w:rsid w:val="009641FC"/>
    <w:rsid w:val="00964368"/>
    <w:rsid w:val="0096442A"/>
    <w:rsid w:val="009646F5"/>
    <w:rsid w:val="0096470E"/>
    <w:rsid w:val="00964DCC"/>
    <w:rsid w:val="009651BF"/>
    <w:rsid w:val="00965C00"/>
    <w:rsid w:val="00965CFB"/>
    <w:rsid w:val="0096615F"/>
    <w:rsid w:val="00966666"/>
    <w:rsid w:val="00966862"/>
    <w:rsid w:val="00966A88"/>
    <w:rsid w:val="0096743F"/>
    <w:rsid w:val="0097065D"/>
    <w:rsid w:val="00970706"/>
    <w:rsid w:val="0097105C"/>
    <w:rsid w:val="009712C3"/>
    <w:rsid w:val="00971567"/>
    <w:rsid w:val="009716A7"/>
    <w:rsid w:val="00972451"/>
    <w:rsid w:val="00972A0C"/>
    <w:rsid w:val="00972DAD"/>
    <w:rsid w:val="00973017"/>
    <w:rsid w:val="0097317D"/>
    <w:rsid w:val="00973385"/>
    <w:rsid w:val="00973429"/>
    <w:rsid w:val="00973962"/>
    <w:rsid w:val="00973E32"/>
    <w:rsid w:val="00974264"/>
    <w:rsid w:val="009751F7"/>
    <w:rsid w:val="00975A8C"/>
    <w:rsid w:val="00975B8A"/>
    <w:rsid w:val="00976336"/>
    <w:rsid w:val="00976460"/>
    <w:rsid w:val="0097663E"/>
    <w:rsid w:val="009767C7"/>
    <w:rsid w:val="00976C86"/>
    <w:rsid w:val="00977535"/>
    <w:rsid w:val="00977816"/>
    <w:rsid w:val="00977B54"/>
    <w:rsid w:val="00977D22"/>
    <w:rsid w:val="00980289"/>
    <w:rsid w:val="00980876"/>
    <w:rsid w:val="00980AA1"/>
    <w:rsid w:val="00980DD4"/>
    <w:rsid w:val="009812D4"/>
    <w:rsid w:val="00981437"/>
    <w:rsid w:val="0098162B"/>
    <w:rsid w:val="00981CB3"/>
    <w:rsid w:val="00981DB4"/>
    <w:rsid w:val="00981E82"/>
    <w:rsid w:val="00982579"/>
    <w:rsid w:val="00982782"/>
    <w:rsid w:val="00982857"/>
    <w:rsid w:val="00982FB7"/>
    <w:rsid w:val="009837B2"/>
    <w:rsid w:val="00983F78"/>
    <w:rsid w:val="00984AE7"/>
    <w:rsid w:val="00984C65"/>
    <w:rsid w:val="009854D0"/>
    <w:rsid w:val="00985817"/>
    <w:rsid w:val="00985BC8"/>
    <w:rsid w:val="00986BAC"/>
    <w:rsid w:val="00986F60"/>
    <w:rsid w:val="0098719E"/>
    <w:rsid w:val="0098727F"/>
    <w:rsid w:val="0098729D"/>
    <w:rsid w:val="00987706"/>
    <w:rsid w:val="00987AC9"/>
    <w:rsid w:val="00987C3A"/>
    <w:rsid w:val="00987F22"/>
    <w:rsid w:val="00990115"/>
    <w:rsid w:val="00990467"/>
    <w:rsid w:val="00990A05"/>
    <w:rsid w:val="00990A33"/>
    <w:rsid w:val="00990B5B"/>
    <w:rsid w:val="00991065"/>
    <w:rsid w:val="009917FE"/>
    <w:rsid w:val="00991993"/>
    <w:rsid w:val="00991AB0"/>
    <w:rsid w:val="00992123"/>
    <w:rsid w:val="00992474"/>
    <w:rsid w:val="0099251F"/>
    <w:rsid w:val="00992A2A"/>
    <w:rsid w:val="00992B2E"/>
    <w:rsid w:val="00992B6A"/>
    <w:rsid w:val="00992CF3"/>
    <w:rsid w:val="00993266"/>
    <w:rsid w:val="00993272"/>
    <w:rsid w:val="00993D5C"/>
    <w:rsid w:val="00993DE1"/>
    <w:rsid w:val="00994222"/>
    <w:rsid w:val="00994548"/>
    <w:rsid w:val="00994635"/>
    <w:rsid w:val="009947DA"/>
    <w:rsid w:val="0099529E"/>
    <w:rsid w:val="0099531A"/>
    <w:rsid w:val="009955E5"/>
    <w:rsid w:val="00995616"/>
    <w:rsid w:val="00995659"/>
    <w:rsid w:val="00995B8B"/>
    <w:rsid w:val="00995E25"/>
    <w:rsid w:val="00995E2C"/>
    <w:rsid w:val="00995F10"/>
    <w:rsid w:val="00996305"/>
    <w:rsid w:val="00996581"/>
    <w:rsid w:val="00996ECB"/>
    <w:rsid w:val="009970C9"/>
    <w:rsid w:val="00997CC6"/>
    <w:rsid w:val="00997FA5"/>
    <w:rsid w:val="009A06EE"/>
    <w:rsid w:val="009A0879"/>
    <w:rsid w:val="009A09FA"/>
    <w:rsid w:val="009A0E14"/>
    <w:rsid w:val="009A0E7B"/>
    <w:rsid w:val="009A1439"/>
    <w:rsid w:val="009A14B5"/>
    <w:rsid w:val="009A18D0"/>
    <w:rsid w:val="009A1A4E"/>
    <w:rsid w:val="009A1F06"/>
    <w:rsid w:val="009A1FE5"/>
    <w:rsid w:val="009A2157"/>
    <w:rsid w:val="009A26C4"/>
    <w:rsid w:val="009A27E6"/>
    <w:rsid w:val="009A287E"/>
    <w:rsid w:val="009A2BA0"/>
    <w:rsid w:val="009A2CD0"/>
    <w:rsid w:val="009A31B5"/>
    <w:rsid w:val="009A3260"/>
    <w:rsid w:val="009A374B"/>
    <w:rsid w:val="009A3AF2"/>
    <w:rsid w:val="009A42F8"/>
    <w:rsid w:val="009A49C0"/>
    <w:rsid w:val="009A5488"/>
    <w:rsid w:val="009A59D6"/>
    <w:rsid w:val="009A6597"/>
    <w:rsid w:val="009A6A98"/>
    <w:rsid w:val="009A6E8E"/>
    <w:rsid w:val="009A6F73"/>
    <w:rsid w:val="009A701C"/>
    <w:rsid w:val="009A70FA"/>
    <w:rsid w:val="009A76C4"/>
    <w:rsid w:val="009A7B30"/>
    <w:rsid w:val="009A7CF8"/>
    <w:rsid w:val="009B04A8"/>
    <w:rsid w:val="009B0766"/>
    <w:rsid w:val="009B07A0"/>
    <w:rsid w:val="009B0AD3"/>
    <w:rsid w:val="009B0FE0"/>
    <w:rsid w:val="009B15F3"/>
    <w:rsid w:val="009B1C86"/>
    <w:rsid w:val="009B1EE5"/>
    <w:rsid w:val="009B1EFA"/>
    <w:rsid w:val="009B28C5"/>
    <w:rsid w:val="009B2992"/>
    <w:rsid w:val="009B2B22"/>
    <w:rsid w:val="009B2CEA"/>
    <w:rsid w:val="009B3055"/>
    <w:rsid w:val="009B3E24"/>
    <w:rsid w:val="009B4313"/>
    <w:rsid w:val="009B4B56"/>
    <w:rsid w:val="009B523C"/>
    <w:rsid w:val="009B530E"/>
    <w:rsid w:val="009B5655"/>
    <w:rsid w:val="009B5C85"/>
    <w:rsid w:val="009B5DBD"/>
    <w:rsid w:val="009B5E8C"/>
    <w:rsid w:val="009B6482"/>
    <w:rsid w:val="009B6AB0"/>
    <w:rsid w:val="009B6C44"/>
    <w:rsid w:val="009B6FF4"/>
    <w:rsid w:val="009B7CEB"/>
    <w:rsid w:val="009B7E41"/>
    <w:rsid w:val="009C02E9"/>
    <w:rsid w:val="009C0584"/>
    <w:rsid w:val="009C0D5C"/>
    <w:rsid w:val="009C117F"/>
    <w:rsid w:val="009C1F68"/>
    <w:rsid w:val="009C206A"/>
    <w:rsid w:val="009C22D9"/>
    <w:rsid w:val="009C2947"/>
    <w:rsid w:val="009C2EAB"/>
    <w:rsid w:val="009C2F4B"/>
    <w:rsid w:val="009C35D4"/>
    <w:rsid w:val="009C373A"/>
    <w:rsid w:val="009C3D5F"/>
    <w:rsid w:val="009C4432"/>
    <w:rsid w:val="009C4894"/>
    <w:rsid w:val="009C4EA5"/>
    <w:rsid w:val="009C50AD"/>
    <w:rsid w:val="009C5507"/>
    <w:rsid w:val="009C5754"/>
    <w:rsid w:val="009C586E"/>
    <w:rsid w:val="009C59CE"/>
    <w:rsid w:val="009C613A"/>
    <w:rsid w:val="009C6305"/>
    <w:rsid w:val="009C63EC"/>
    <w:rsid w:val="009C656F"/>
    <w:rsid w:val="009C65BB"/>
    <w:rsid w:val="009C6BBF"/>
    <w:rsid w:val="009C6F2B"/>
    <w:rsid w:val="009C71A3"/>
    <w:rsid w:val="009C7468"/>
    <w:rsid w:val="009C7EDF"/>
    <w:rsid w:val="009C7F74"/>
    <w:rsid w:val="009D0E2B"/>
    <w:rsid w:val="009D0F9C"/>
    <w:rsid w:val="009D11B0"/>
    <w:rsid w:val="009D1CE7"/>
    <w:rsid w:val="009D1D6A"/>
    <w:rsid w:val="009D2BBE"/>
    <w:rsid w:val="009D2D3D"/>
    <w:rsid w:val="009D311B"/>
    <w:rsid w:val="009D3168"/>
    <w:rsid w:val="009D33B9"/>
    <w:rsid w:val="009D346E"/>
    <w:rsid w:val="009D369A"/>
    <w:rsid w:val="009D386E"/>
    <w:rsid w:val="009D3D2B"/>
    <w:rsid w:val="009D3E56"/>
    <w:rsid w:val="009D4235"/>
    <w:rsid w:val="009D424A"/>
    <w:rsid w:val="009D44FC"/>
    <w:rsid w:val="009D4618"/>
    <w:rsid w:val="009D4994"/>
    <w:rsid w:val="009D4AEB"/>
    <w:rsid w:val="009D50A5"/>
    <w:rsid w:val="009D57D8"/>
    <w:rsid w:val="009D5D6F"/>
    <w:rsid w:val="009D5ECF"/>
    <w:rsid w:val="009D5ED4"/>
    <w:rsid w:val="009D669B"/>
    <w:rsid w:val="009D6833"/>
    <w:rsid w:val="009D6EB1"/>
    <w:rsid w:val="009D7EC0"/>
    <w:rsid w:val="009E078D"/>
    <w:rsid w:val="009E1080"/>
    <w:rsid w:val="009E1371"/>
    <w:rsid w:val="009E1383"/>
    <w:rsid w:val="009E19BF"/>
    <w:rsid w:val="009E1F4A"/>
    <w:rsid w:val="009E211F"/>
    <w:rsid w:val="009E22B6"/>
    <w:rsid w:val="009E2540"/>
    <w:rsid w:val="009E452B"/>
    <w:rsid w:val="009E4746"/>
    <w:rsid w:val="009E4C25"/>
    <w:rsid w:val="009E4C33"/>
    <w:rsid w:val="009E4D75"/>
    <w:rsid w:val="009E4E6F"/>
    <w:rsid w:val="009E5637"/>
    <w:rsid w:val="009E58DC"/>
    <w:rsid w:val="009E5EFF"/>
    <w:rsid w:val="009E64E5"/>
    <w:rsid w:val="009E6736"/>
    <w:rsid w:val="009E67AA"/>
    <w:rsid w:val="009E6E5C"/>
    <w:rsid w:val="009E6E69"/>
    <w:rsid w:val="009E6F64"/>
    <w:rsid w:val="009E6FD3"/>
    <w:rsid w:val="009E74CA"/>
    <w:rsid w:val="009F02C7"/>
    <w:rsid w:val="009F037B"/>
    <w:rsid w:val="009F05E6"/>
    <w:rsid w:val="009F0A32"/>
    <w:rsid w:val="009F1476"/>
    <w:rsid w:val="009F19C2"/>
    <w:rsid w:val="009F1A62"/>
    <w:rsid w:val="009F1AB2"/>
    <w:rsid w:val="009F1B2E"/>
    <w:rsid w:val="009F1EEF"/>
    <w:rsid w:val="009F23C2"/>
    <w:rsid w:val="009F2539"/>
    <w:rsid w:val="009F28B3"/>
    <w:rsid w:val="009F2AF3"/>
    <w:rsid w:val="009F2B99"/>
    <w:rsid w:val="009F3007"/>
    <w:rsid w:val="009F3460"/>
    <w:rsid w:val="009F35A5"/>
    <w:rsid w:val="009F3A6E"/>
    <w:rsid w:val="009F3CEE"/>
    <w:rsid w:val="009F3D17"/>
    <w:rsid w:val="009F3D21"/>
    <w:rsid w:val="009F3F13"/>
    <w:rsid w:val="009F404D"/>
    <w:rsid w:val="009F4125"/>
    <w:rsid w:val="009F49CC"/>
    <w:rsid w:val="009F4EB2"/>
    <w:rsid w:val="009F50E5"/>
    <w:rsid w:val="009F516E"/>
    <w:rsid w:val="009F52E5"/>
    <w:rsid w:val="009F545A"/>
    <w:rsid w:val="009F575A"/>
    <w:rsid w:val="009F5774"/>
    <w:rsid w:val="009F58D5"/>
    <w:rsid w:val="009F58F7"/>
    <w:rsid w:val="009F64EA"/>
    <w:rsid w:val="009F6C76"/>
    <w:rsid w:val="009F70BC"/>
    <w:rsid w:val="009F720A"/>
    <w:rsid w:val="009F7A5A"/>
    <w:rsid w:val="009F7E7E"/>
    <w:rsid w:val="009F7F76"/>
    <w:rsid w:val="00A00051"/>
    <w:rsid w:val="00A00105"/>
    <w:rsid w:val="00A0067E"/>
    <w:rsid w:val="00A01542"/>
    <w:rsid w:val="00A01564"/>
    <w:rsid w:val="00A01A19"/>
    <w:rsid w:val="00A01B10"/>
    <w:rsid w:val="00A01ED2"/>
    <w:rsid w:val="00A023B7"/>
    <w:rsid w:val="00A0273C"/>
    <w:rsid w:val="00A027B2"/>
    <w:rsid w:val="00A02ABC"/>
    <w:rsid w:val="00A02AD6"/>
    <w:rsid w:val="00A02F10"/>
    <w:rsid w:val="00A03362"/>
    <w:rsid w:val="00A0336A"/>
    <w:rsid w:val="00A0340A"/>
    <w:rsid w:val="00A0367C"/>
    <w:rsid w:val="00A0401B"/>
    <w:rsid w:val="00A041B5"/>
    <w:rsid w:val="00A048AA"/>
    <w:rsid w:val="00A04954"/>
    <w:rsid w:val="00A04FA0"/>
    <w:rsid w:val="00A051AD"/>
    <w:rsid w:val="00A0524C"/>
    <w:rsid w:val="00A0539F"/>
    <w:rsid w:val="00A05B9B"/>
    <w:rsid w:val="00A060F1"/>
    <w:rsid w:val="00A062BB"/>
    <w:rsid w:val="00A06862"/>
    <w:rsid w:val="00A068C0"/>
    <w:rsid w:val="00A06D3D"/>
    <w:rsid w:val="00A071AD"/>
    <w:rsid w:val="00A074A9"/>
    <w:rsid w:val="00A07653"/>
    <w:rsid w:val="00A076BB"/>
    <w:rsid w:val="00A07799"/>
    <w:rsid w:val="00A10593"/>
    <w:rsid w:val="00A10642"/>
    <w:rsid w:val="00A10F27"/>
    <w:rsid w:val="00A10F74"/>
    <w:rsid w:val="00A11091"/>
    <w:rsid w:val="00A11558"/>
    <w:rsid w:val="00A11A5B"/>
    <w:rsid w:val="00A11DF8"/>
    <w:rsid w:val="00A11E03"/>
    <w:rsid w:val="00A1246F"/>
    <w:rsid w:val="00A12715"/>
    <w:rsid w:val="00A13457"/>
    <w:rsid w:val="00A13AC0"/>
    <w:rsid w:val="00A13B2B"/>
    <w:rsid w:val="00A13BAF"/>
    <w:rsid w:val="00A13CCE"/>
    <w:rsid w:val="00A14302"/>
    <w:rsid w:val="00A1433B"/>
    <w:rsid w:val="00A14C46"/>
    <w:rsid w:val="00A14C67"/>
    <w:rsid w:val="00A14E8C"/>
    <w:rsid w:val="00A1515A"/>
    <w:rsid w:val="00A154E2"/>
    <w:rsid w:val="00A15A12"/>
    <w:rsid w:val="00A15DF9"/>
    <w:rsid w:val="00A16049"/>
    <w:rsid w:val="00A16A56"/>
    <w:rsid w:val="00A16B9F"/>
    <w:rsid w:val="00A16C17"/>
    <w:rsid w:val="00A16CD1"/>
    <w:rsid w:val="00A170E2"/>
    <w:rsid w:val="00A1710C"/>
    <w:rsid w:val="00A172C2"/>
    <w:rsid w:val="00A17347"/>
    <w:rsid w:val="00A175A7"/>
    <w:rsid w:val="00A179E1"/>
    <w:rsid w:val="00A17EFC"/>
    <w:rsid w:val="00A203AA"/>
    <w:rsid w:val="00A2047D"/>
    <w:rsid w:val="00A20C03"/>
    <w:rsid w:val="00A20E18"/>
    <w:rsid w:val="00A20F0D"/>
    <w:rsid w:val="00A20F21"/>
    <w:rsid w:val="00A216BA"/>
    <w:rsid w:val="00A21AEC"/>
    <w:rsid w:val="00A221D9"/>
    <w:rsid w:val="00A226E4"/>
    <w:rsid w:val="00A22B4E"/>
    <w:rsid w:val="00A23089"/>
    <w:rsid w:val="00A23291"/>
    <w:rsid w:val="00A2337D"/>
    <w:rsid w:val="00A236E6"/>
    <w:rsid w:val="00A23953"/>
    <w:rsid w:val="00A239AD"/>
    <w:rsid w:val="00A23E26"/>
    <w:rsid w:val="00A245A3"/>
    <w:rsid w:val="00A24A0F"/>
    <w:rsid w:val="00A24B24"/>
    <w:rsid w:val="00A25623"/>
    <w:rsid w:val="00A25B9E"/>
    <w:rsid w:val="00A26126"/>
    <w:rsid w:val="00A272C9"/>
    <w:rsid w:val="00A274F6"/>
    <w:rsid w:val="00A27776"/>
    <w:rsid w:val="00A3011B"/>
    <w:rsid w:val="00A30595"/>
    <w:rsid w:val="00A305C3"/>
    <w:rsid w:val="00A306B9"/>
    <w:rsid w:val="00A307AF"/>
    <w:rsid w:val="00A3088E"/>
    <w:rsid w:val="00A30B53"/>
    <w:rsid w:val="00A313F8"/>
    <w:rsid w:val="00A31674"/>
    <w:rsid w:val="00A322D6"/>
    <w:rsid w:val="00A329E2"/>
    <w:rsid w:val="00A33235"/>
    <w:rsid w:val="00A332DD"/>
    <w:rsid w:val="00A3348C"/>
    <w:rsid w:val="00A336EC"/>
    <w:rsid w:val="00A33C4E"/>
    <w:rsid w:val="00A340F4"/>
    <w:rsid w:val="00A34E36"/>
    <w:rsid w:val="00A36129"/>
    <w:rsid w:val="00A362CD"/>
    <w:rsid w:val="00A363B4"/>
    <w:rsid w:val="00A364E1"/>
    <w:rsid w:val="00A373B4"/>
    <w:rsid w:val="00A37696"/>
    <w:rsid w:val="00A376BB"/>
    <w:rsid w:val="00A37D8B"/>
    <w:rsid w:val="00A403A7"/>
    <w:rsid w:val="00A4090A"/>
    <w:rsid w:val="00A40A40"/>
    <w:rsid w:val="00A40B5A"/>
    <w:rsid w:val="00A40BEF"/>
    <w:rsid w:val="00A40E64"/>
    <w:rsid w:val="00A40FDA"/>
    <w:rsid w:val="00A412EF"/>
    <w:rsid w:val="00A41403"/>
    <w:rsid w:val="00A41479"/>
    <w:rsid w:val="00A4178A"/>
    <w:rsid w:val="00A41861"/>
    <w:rsid w:val="00A424E5"/>
    <w:rsid w:val="00A425B3"/>
    <w:rsid w:val="00A427A3"/>
    <w:rsid w:val="00A429AD"/>
    <w:rsid w:val="00A43042"/>
    <w:rsid w:val="00A43075"/>
    <w:rsid w:val="00A43B0A"/>
    <w:rsid w:val="00A43FE5"/>
    <w:rsid w:val="00A44313"/>
    <w:rsid w:val="00A4435F"/>
    <w:rsid w:val="00A4447E"/>
    <w:rsid w:val="00A44822"/>
    <w:rsid w:val="00A448EB"/>
    <w:rsid w:val="00A44982"/>
    <w:rsid w:val="00A44B81"/>
    <w:rsid w:val="00A44C0B"/>
    <w:rsid w:val="00A44D88"/>
    <w:rsid w:val="00A44FD0"/>
    <w:rsid w:val="00A45082"/>
    <w:rsid w:val="00A45682"/>
    <w:rsid w:val="00A45708"/>
    <w:rsid w:val="00A45937"/>
    <w:rsid w:val="00A45BE4"/>
    <w:rsid w:val="00A45E03"/>
    <w:rsid w:val="00A46045"/>
    <w:rsid w:val="00A463FD"/>
    <w:rsid w:val="00A46612"/>
    <w:rsid w:val="00A46B26"/>
    <w:rsid w:val="00A46CC7"/>
    <w:rsid w:val="00A46F5A"/>
    <w:rsid w:val="00A472B6"/>
    <w:rsid w:val="00A479F6"/>
    <w:rsid w:val="00A47ADF"/>
    <w:rsid w:val="00A47F5D"/>
    <w:rsid w:val="00A50583"/>
    <w:rsid w:val="00A50C16"/>
    <w:rsid w:val="00A50EAD"/>
    <w:rsid w:val="00A51420"/>
    <w:rsid w:val="00A51597"/>
    <w:rsid w:val="00A515F5"/>
    <w:rsid w:val="00A519AA"/>
    <w:rsid w:val="00A52409"/>
    <w:rsid w:val="00A52C69"/>
    <w:rsid w:val="00A531CE"/>
    <w:rsid w:val="00A5322B"/>
    <w:rsid w:val="00A53A69"/>
    <w:rsid w:val="00A53D9D"/>
    <w:rsid w:val="00A53FDD"/>
    <w:rsid w:val="00A540F4"/>
    <w:rsid w:val="00A54268"/>
    <w:rsid w:val="00A54677"/>
    <w:rsid w:val="00A546B1"/>
    <w:rsid w:val="00A54CFA"/>
    <w:rsid w:val="00A55280"/>
    <w:rsid w:val="00A554DE"/>
    <w:rsid w:val="00A5550D"/>
    <w:rsid w:val="00A55954"/>
    <w:rsid w:val="00A55BE9"/>
    <w:rsid w:val="00A55E5C"/>
    <w:rsid w:val="00A5614C"/>
    <w:rsid w:val="00A567D7"/>
    <w:rsid w:val="00A56832"/>
    <w:rsid w:val="00A572D4"/>
    <w:rsid w:val="00A5763E"/>
    <w:rsid w:val="00A57C61"/>
    <w:rsid w:val="00A57E54"/>
    <w:rsid w:val="00A6022D"/>
    <w:rsid w:val="00A604AB"/>
    <w:rsid w:val="00A61056"/>
    <w:rsid w:val="00A61A64"/>
    <w:rsid w:val="00A61BA8"/>
    <w:rsid w:val="00A61DB6"/>
    <w:rsid w:val="00A62132"/>
    <w:rsid w:val="00A6264E"/>
    <w:rsid w:val="00A62822"/>
    <w:rsid w:val="00A62C5C"/>
    <w:rsid w:val="00A632B3"/>
    <w:rsid w:val="00A63D24"/>
    <w:rsid w:val="00A643C5"/>
    <w:rsid w:val="00A6510E"/>
    <w:rsid w:val="00A6599F"/>
    <w:rsid w:val="00A65D2A"/>
    <w:rsid w:val="00A66556"/>
    <w:rsid w:val="00A6655D"/>
    <w:rsid w:val="00A668C5"/>
    <w:rsid w:val="00A66D9D"/>
    <w:rsid w:val="00A70046"/>
    <w:rsid w:val="00A7026D"/>
    <w:rsid w:val="00A70DC9"/>
    <w:rsid w:val="00A7109B"/>
    <w:rsid w:val="00A714EE"/>
    <w:rsid w:val="00A7170F"/>
    <w:rsid w:val="00A71BD5"/>
    <w:rsid w:val="00A72015"/>
    <w:rsid w:val="00A72854"/>
    <w:rsid w:val="00A72ABE"/>
    <w:rsid w:val="00A72E5C"/>
    <w:rsid w:val="00A72E62"/>
    <w:rsid w:val="00A7345C"/>
    <w:rsid w:val="00A736A1"/>
    <w:rsid w:val="00A73CFA"/>
    <w:rsid w:val="00A7440A"/>
    <w:rsid w:val="00A74467"/>
    <w:rsid w:val="00A744AF"/>
    <w:rsid w:val="00A7483D"/>
    <w:rsid w:val="00A74D6B"/>
    <w:rsid w:val="00A74EDC"/>
    <w:rsid w:val="00A74FD5"/>
    <w:rsid w:val="00A7543A"/>
    <w:rsid w:val="00A75D8A"/>
    <w:rsid w:val="00A75E01"/>
    <w:rsid w:val="00A761AA"/>
    <w:rsid w:val="00A762FA"/>
    <w:rsid w:val="00A765CB"/>
    <w:rsid w:val="00A76DAA"/>
    <w:rsid w:val="00A76FF8"/>
    <w:rsid w:val="00A77633"/>
    <w:rsid w:val="00A77994"/>
    <w:rsid w:val="00A77A2F"/>
    <w:rsid w:val="00A77D32"/>
    <w:rsid w:val="00A77DBF"/>
    <w:rsid w:val="00A77FF6"/>
    <w:rsid w:val="00A80085"/>
    <w:rsid w:val="00A80907"/>
    <w:rsid w:val="00A8096C"/>
    <w:rsid w:val="00A80BF7"/>
    <w:rsid w:val="00A80DE1"/>
    <w:rsid w:val="00A80E2D"/>
    <w:rsid w:val="00A80F11"/>
    <w:rsid w:val="00A81A2A"/>
    <w:rsid w:val="00A81C7A"/>
    <w:rsid w:val="00A8253A"/>
    <w:rsid w:val="00A825BF"/>
    <w:rsid w:val="00A82650"/>
    <w:rsid w:val="00A82787"/>
    <w:rsid w:val="00A82F77"/>
    <w:rsid w:val="00A832C1"/>
    <w:rsid w:val="00A833D3"/>
    <w:rsid w:val="00A83430"/>
    <w:rsid w:val="00A8379C"/>
    <w:rsid w:val="00A83F77"/>
    <w:rsid w:val="00A84106"/>
    <w:rsid w:val="00A84714"/>
    <w:rsid w:val="00A84822"/>
    <w:rsid w:val="00A84970"/>
    <w:rsid w:val="00A84FC5"/>
    <w:rsid w:val="00A85810"/>
    <w:rsid w:val="00A85EDB"/>
    <w:rsid w:val="00A85F36"/>
    <w:rsid w:val="00A86407"/>
    <w:rsid w:val="00A86DC7"/>
    <w:rsid w:val="00A8770D"/>
    <w:rsid w:val="00A879CA"/>
    <w:rsid w:val="00A87A3A"/>
    <w:rsid w:val="00A87C1D"/>
    <w:rsid w:val="00A87C63"/>
    <w:rsid w:val="00A87EF3"/>
    <w:rsid w:val="00A87FBF"/>
    <w:rsid w:val="00A905AB"/>
    <w:rsid w:val="00A906F1"/>
    <w:rsid w:val="00A90873"/>
    <w:rsid w:val="00A90B7A"/>
    <w:rsid w:val="00A90D3E"/>
    <w:rsid w:val="00A90DFC"/>
    <w:rsid w:val="00A90FFA"/>
    <w:rsid w:val="00A91EE3"/>
    <w:rsid w:val="00A91F14"/>
    <w:rsid w:val="00A9245C"/>
    <w:rsid w:val="00A924E1"/>
    <w:rsid w:val="00A92DB3"/>
    <w:rsid w:val="00A92F14"/>
    <w:rsid w:val="00A93295"/>
    <w:rsid w:val="00A9366E"/>
    <w:rsid w:val="00A93B8D"/>
    <w:rsid w:val="00A93CC0"/>
    <w:rsid w:val="00A94064"/>
    <w:rsid w:val="00A941DE"/>
    <w:rsid w:val="00A94A4B"/>
    <w:rsid w:val="00A94F5C"/>
    <w:rsid w:val="00A94FE9"/>
    <w:rsid w:val="00A9506D"/>
    <w:rsid w:val="00A952B0"/>
    <w:rsid w:val="00A9547E"/>
    <w:rsid w:val="00A954A6"/>
    <w:rsid w:val="00A95B67"/>
    <w:rsid w:val="00A95B75"/>
    <w:rsid w:val="00A95BED"/>
    <w:rsid w:val="00A95F2B"/>
    <w:rsid w:val="00A961C1"/>
    <w:rsid w:val="00A964EE"/>
    <w:rsid w:val="00A96B1D"/>
    <w:rsid w:val="00A96B3A"/>
    <w:rsid w:val="00A9763E"/>
    <w:rsid w:val="00A97783"/>
    <w:rsid w:val="00A97C7A"/>
    <w:rsid w:val="00A97F77"/>
    <w:rsid w:val="00AA05E4"/>
    <w:rsid w:val="00AA0E1E"/>
    <w:rsid w:val="00AA13CC"/>
    <w:rsid w:val="00AA14B4"/>
    <w:rsid w:val="00AA1D72"/>
    <w:rsid w:val="00AA1D73"/>
    <w:rsid w:val="00AA1EEC"/>
    <w:rsid w:val="00AA2150"/>
    <w:rsid w:val="00AA27D7"/>
    <w:rsid w:val="00AA29A1"/>
    <w:rsid w:val="00AA389D"/>
    <w:rsid w:val="00AA3B0B"/>
    <w:rsid w:val="00AA3D79"/>
    <w:rsid w:val="00AA4391"/>
    <w:rsid w:val="00AA43BE"/>
    <w:rsid w:val="00AA4569"/>
    <w:rsid w:val="00AA4681"/>
    <w:rsid w:val="00AA46DE"/>
    <w:rsid w:val="00AA4FCB"/>
    <w:rsid w:val="00AA59B6"/>
    <w:rsid w:val="00AA5C34"/>
    <w:rsid w:val="00AA6E4A"/>
    <w:rsid w:val="00AA7F2C"/>
    <w:rsid w:val="00AB0038"/>
    <w:rsid w:val="00AB022E"/>
    <w:rsid w:val="00AB0707"/>
    <w:rsid w:val="00AB1D0E"/>
    <w:rsid w:val="00AB1E39"/>
    <w:rsid w:val="00AB1FD1"/>
    <w:rsid w:val="00AB203E"/>
    <w:rsid w:val="00AB28E3"/>
    <w:rsid w:val="00AB33B7"/>
    <w:rsid w:val="00AB3EE9"/>
    <w:rsid w:val="00AB40C1"/>
    <w:rsid w:val="00AB43D6"/>
    <w:rsid w:val="00AB4893"/>
    <w:rsid w:val="00AB4D0D"/>
    <w:rsid w:val="00AB531B"/>
    <w:rsid w:val="00AB5A16"/>
    <w:rsid w:val="00AB5BD4"/>
    <w:rsid w:val="00AB648D"/>
    <w:rsid w:val="00AB64F2"/>
    <w:rsid w:val="00AB6591"/>
    <w:rsid w:val="00AB6C60"/>
    <w:rsid w:val="00AB6CE8"/>
    <w:rsid w:val="00AB6DA2"/>
    <w:rsid w:val="00AB72EA"/>
    <w:rsid w:val="00AB7966"/>
    <w:rsid w:val="00AB7C8D"/>
    <w:rsid w:val="00AB7F41"/>
    <w:rsid w:val="00AC04A3"/>
    <w:rsid w:val="00AC1240"/>
    <w:rsid w:val="00AC1AB7"/>
    <w:rsid w:val="00AC1D1B"/>
    <w:rsid w:val="00AC1DFA"/>
    <w:rsid w:val="00AC1EC3"/>
    <w:rsid w:val="00AC1FDA"/>
    <w:rsid w:val="00AC2319"/>
    <w:rsid w:val="00AC294B"/>
    <w:rsid w:val="00AC2C63"/>
    <w:rsid w:val="00AC2D59"/>
    <w:rsid w:val="00AC2F29"/>
    <w:rsid w:val="00AC3529"/>
    <w:rsid w:val="00AC37CF"/>
    <w:rsid w:val="00AC3E53"/>
    <w:rsid w:val="00AC4112"/>
    <w:rsid w:val="00AC42BC"/>
    <w:rsid w:val="00AC4410"/>
    <w:rsid w:val="00AC4753"/>
    <w:rsid w:val="00AC47C5"/>
    <w:rsid w:val="00AC4B85"/>
    <w:rsid w:val="00AC5075"/>
    <w:rsid w:val="00AC57C6"/>
    <w:rsid w:val="00AC5B8E"/>
    <w:rsid w:val="00AC5DB1"/>
    <w:rsid w:val="00AC6926"/>
    <w:rsid w:val="00AC69C9"/>
    <w:rsid w:val="00AC6B1F"/>
    <w:rsid w:val="00AC761A"/>
    <w:rsid w:val="00AC783C"/>
    <w:rsid w:val="00AC7D68"/>
    <w:rsid w:val="00AD0490"/>
    <w:rsid w:val="00AD0679"/>
    <w:rsid w:val="00AD0934"/>
    <w:rsid w:val="00AD0AA5"/>
    <w:rsid w:val="00AD0EE4"/>
    <w:rsid w:val="00AD15FA"/>
    <w:rsid w:val="00AD2543"/>
    <w:rsid w:val="00AD2574"/>
    <w:rsid w:val="00AD2625"/>
    <w:rsid w:val="00AD27DE"/>
    <w:rsid w:val="00AD27EB"/>
    <w:rsid w:val="00AD2B1B"/>
    <w:rsid w:val="00AD3014"/>
    <w:rsid w:val="00AD339C"/>
    <w:rsid w:val="00AD38D4"/>
    <w:rsid w:val="00AD3F7F"/>
    <w:rsid w:val="00AD4015"/>
    <w:rsid w:val="00AD4356"/>
    <w:rsid w:val="00AD4933"/>
    <w:rsid w:val="00AD4B4A"/>
    <w:rsid w:val="00AD4EF6"/>
    <w:rsid w:val="00AD5189"/>
    <w:rsid w:val="00AD5DB4"/>
    <w:rsid w:val="00AD6646"/>
    <w:rsid w:val="00AD6A0C"/>
    <w:rsid w:val="00AD717B"/>
    <w:rsid w:val="00AD729C"/>
    <w:rsid w:val="00AD783B"/>
    <w:rsid w:val="00AD7961"/>
    <w:rsid w:val="00AD7976"/>
    <w:rsid w:val="00AD7ADF"/>
    <w:rsid w:val="00AD7F46"/>
    <w:rsid w:val="00AE0292"/>
    <w:rsid w:val="00AE03E6"/>
    <w:rsid w:val="00AE043F"/>
    <w:rsid w:val="00AE0532"/>
    <w:rsid w:val="00AE06A1"/>
    <w:rsid w:val="00AE0B75"/>
    <w:rsid w:val="00AE10DF"/>
    <w:rsid w:val="00AE1222"/>
    <w:rsid w:val="00AE16F7"/>
    <w:rsid w:val="00AE263D"/>
    <w:rsid w:val="00AE3059"/>
    <w:rsid w:val="00AE31FA"/>
    <w:rsid w:val="00AE33C9"/>
    <w:rsid w:val="00AE3510"/>
    <w:rsid w:val="00AE356B"/>
    <w:rsid w:val="00AE3DF1"/>
    <w:rsid w:val="00AE40CD"/>
    <w:rsid w:val="00AE4BB4"/>
    <w:rsid w:val="00AE4D40"/>
    <w:rsid w:val="00AE4F7D"/>
    <w:rsid w:val="00AE5191"/>
    <w:rsid w:val="00AE5BC2"/>
    <w:rsid w:val="00AE623A"/>
    <w:rsid w:val="00AE63D4"/>
    <w:rsid w:val="00AE66A3"/>
    <w:rsid w:val="00AE6B95"/>
    <w:rsid w:val="00AE6B9C"/>
    <w:rsid w:val="00AE6BC3"/>
    <w:rsid w:val="00AE6DC4"/>
    <w:rsid w:val="00AE7FC4"/>
    <w:rsid w:val="00AF0009"/>
    <w:rsid w:val="00AF0084"/>
    <w:rsid w:val="00AF0181"/>
    <w:rsid w:val="00AF0603"/>
    <w:rsid w:val="00AF0915"/>
    <w:rsid w:val="00AF0C4D"/>
    <w:rsid w:val="00AF1201"/>
    <w:rsid w:val="00AF131B"/>
    <w:rsid w:val="00AF15D0"/>
    <w:rsid w:val="00AF1CA1"/>
    <w:rsid w:val="00AF23E2"/>
    <w:rsid w:val="00AF283B"/>
    <w:rsid w:val="00AF2866"/>
    <w:rsid w:val="00AF2A26"/>
    <w:rsid w:val="00AF3312"/>
    <w:rsid w:val="00AF42E2"/>
    <w:rsid w:val="00AF43E6"/>
    <w:rsid w:val="00AF468E"/>
    <w:rsid w:val="00AF470E"/>
    <w:rsid w:val="00AF48F9"/>
    <w:rsid w:val="00AF49DD"/>
    <w:rsid w:val="00AF4AA2"/>
    <w:rsid w:val="00AF5146"/>
    <w:rsid w:val="00AF5992"/>
    <w:rsid w:val="00AF5CCB"/>
    <w:rsid w:val="00AF5E22"/>
    <w:rsid w:val="00AF6126"/>
    <w:rsid w:val="00AF6C5E"/>
    <w:rsid w:val="00AF6E79"/>
    <w:rsid w:val="00AF7584"/>
    <w:rsid w:val="00AF768B"/>
    <w:rsid w:val="00AF7752"/>
    <w:rsid w:val="00B001C0"/>
    <w:rsid w:val="00B0023C"/>
    <w:rsid w:val="00B00566"/>
    <w:rsid w:val="00B00B0A"/>
    <w:rsid w:val="00B012F7"/>
    <w:rsid w:val="00B0173E"/>
    <w:rsid w:val="00B01F33"/>
    <w:rsid w:val="00B02062"/>
    <w:rsid w:val="00B02347"/>
    <w:rsid w:val="00B023C7"/>
    <w:rsid w:val="00B027F4"/>
    <w:rsid w:val="00B03211"/>
    <w:rsid w:val="00B035C7"/>
    <w:rsid w:val="00B03CC4"/>
    <w:rsid w:val="00B0404D"/>
    <w:rsid w:val="00B042E1"/>
    <w:rsid w:val="00B04613"/>
    <w:rsid w:val="00B04A40"/>
    <w:rsid w:val="00B04BFA"/>
    <w:rsid w:val="00B04DFD"/>
    <w:rsid w:val="00B05876"/>
    <w:rsid w:val="00B05A44"/>
    <w:rsid w:val="00B05EE0"/>
    <w:rsid w:val="00B06828"/>
    <w:rsid w:val="00B06B8A"/>
    <w:rsid w:val="00B06FC8"/>
    <w:rsid w:val="00B070DF"/>
    <w:rsid w:val="00B073D0"/>
    <w:rsid w:val="00B07C2C"/>
    <w:rsid w:val="00B07E99"/>
    <w:rsid w:val="00B102F8"/>
    <w:rsid w:val="00B10AF2"/>
    <w:rsid w:val="00B10E39"/>
    <w:rsid w:val="00B1105E"/>
    <w:rsid w:val="00B110FA"/>
    <w:rsid w:val="00B1113A"/>
    <w:rsid w:val="00B11AAA"/>
    <w:rsid w:val="00B11B53"/>
    <w:rsid w:val="00B1208A"/>
    <w:rsid w:val="00B120E5"/>
    <w:rsid w:val="00B124CA"/>
    <w:rsid w:val="00B1254A"/>
    <w:rsid w:val="00B126DD"/>
    <w:rsid w:val="00B12E2D"/>
    <w:rsid w:val="00B1301A"/>
    <w:rsid w:val="00B13249"/>
    <w:rsid w:val="00B13342"/>
    <w:rsid w:val="00B13480"/>
    <w:rsid w:val="00B136F6"/>
    <w:rsid w:val="00B13887"/>
    <w:rsid w:val="00B139C9"/>
    <w:rsid w:val="00B13AD3"/>
    <w:rsid w:val="00B13C4D"/>
    <w:rsid w:val="00B141B6"/>
    <w:rsid w:val="00B14E70"/>
    <w:rsid w:val="00B1506D"/>
    <w:rsid w:val="00B150F7"/>
    <w:rsid w:val="00B15233"/>
    <w:rsid w:val="00B15B8F"/>
    <w:rsid w:val="00B16538"/>
    <w:rsid w:val="00B16990"/>
    <w:rsid w:val="00B16AFA"/>
    <w:rsid w:val="00B16F1D"/>
    <w:rsid w:val="00B17150"/>
    <w:rsid w:val="00B174DE"/>
    <w:rsid w:val="00B17E2B"/>
    <w:rsid w:val="00B202CA"/>
    <w:rsid w:val="00B2040B"/>
    <w:rsid w:val="00B20B26"/>
    <w:rsid w:val="00B21153"/>
    <w:rsid w:val="00B212DE"/>
    <w:rsid w:val="00B2150D"/>
    <w:rsid w:val="00B218F6"/>
    <w:rsid w:val="00B21CBF"/>
    <w:rsid w:val="00B21F7B"/>
    <w:rsid w:val="00B22177"/>
    <w:rsid w:val="00B221AB"/>
    <w:rsid w:val="00B22665"/>
    <w:rsid w:val="00B2319A"/>
    <w:rsid w:val="00B23E0E"/>
    <w:rsid w:val="00B2401A"/>
    <w:rsid w:val="00B24F06"/>
    <w:rsid w:val="00B2513B"/>
    <w:rsid w:val="00B2553D"/>
    <w:rsid w:val="00B25822"/>
    <w:rsid w:val="00B25D14"/>
    <w:rsid w:val="00B25E9B"/>
    <w:rsid w:val="00B2682F"/>
    <w:rsid w:val="00B26915"/>
    <w:rsid w:val="00B26928"/>
    <w:rsid w:val="00B276AB"/>
    <w:rsid w:val="00B3021D"/>
    <w:rsid w:val="00B30384"/>
    <w:rsid w:val="00B307D0"/>
    <w:rsid w:val="00B310A0"/>
    <w:rsid w:val="00B310E1"/>
    <w:rsid w:val="00B311B8"/>
    <w:rsid w:val="00B3143E"/>
    <w:rsid w:val="00B319BA"/>
    <w:rsid w:val="00B31BC4"/>
    <w:rsid w:val="00B31EC8"/>
    <w:rsid w:val="00B321F0"/>
    <w:rsid w:val="00B3241F"/>
    <w:rsid w:val="00B32E7C"/>
    <w:rsid w:val="00B334BE"/>
    <w:rsid w:val="00B3397C"/>
    <w:rsid w:val="00B33CB6"/>
    <w:rsid w:val="00B33D94"/>
    <w:rsid w:val="00B34426"/>
    <w:rsid w:val="00B347B5"/>
    <w:rsid w:val="00B34990"/>
    <w:rsid w:val="00B34F41"/>
    <w:rsid w:val="00B351ED"/>
    <w:rsid w:val="00B357CD"/>
    <w:rsid w:val="00B35A37"/>
    <w:rsid w:val="00B35D01"/>
    <w:rsid w:val="00B35F25"/>
    <w:rsid w:val="00B36B63"/>
    <w:rsid w:val="00B36E92"/>
    <w:rsid w:val="00B3709B"/>
    <w:rsid w:val="00B37382"/>
    <w:rsid w:val="00B37CDB"/>
    <w:rsid w:val="00B406F4"/>
    <w:rsid w:val="00B40A29"/>
    <w:rsid w:val="00B40CB5"/>
    <w:rsid w:val="00B41646"/>
    <w:rsid w:val="00B41913"/>
    <w:rsid w:val="00B41CCC"/>
    <w:rsid w:val="00B42001"/>
    <w:rsid w:val="00B42FD7"/>
    <w:rsid w:val="00B4328A"/>
    <w:rsid w:val="00B43971"/>
    <w:rsid w:val="00B43CEB"/>
    <w:rsid w:val="00B440CF"/>
    <w:rsid w:val="00B443F9"/>
    <w:rsid w:val="00B445D9"/>
    <w:rsid w:val="00B44AAA"/>
    <w:rsid w:val="00B44CEB"/>
    <w:rsid w:val="00B44E2D"/>
    <w:rsid w:val="00B458A1"/>
    <w:rsid w:val="00B45D66"/>
    <w:rsid w:val="00B46506"/>
    <w:rsid w:val="00B46713"/>
    <w:rsid w:val="00B46833"/>
    <w:rsid w:val="00B46A10"/>
    <w:rsid w:val="00B46B6A"/>
    <w:rsid w:val="00B46CAC"/>
    <w:rsid w:val="00B46D7A"/>
    <w:rsid w:val="00B46F75"/>
    <w:rsid w:val="00B476FC"/>
    <w:rsid w:val="00B50082"/>
    <w:rsid w:val="00B50AAE"/>
    <w:rsid w:val="00B50D3D"/>
    <w:rsid w:val="00B5114F"/>
    <w:rsid w:val="00B513E0"/>
    <w:rsid w:val="00B5189A"/>
    <w:rsid w:val="00B51A7F"/>
    <w:rsid w:val="00B52964"/>
    <w:rsid w:val="00B529A9"/>
    <w:rsid w:val="00B5315A"/>
    <w:rsid w:val="00B533B9"/>
    <w:rsid w:val="00B5349B"/>
    <w:rsid w:val="00B5383A"/>
    <w:rsid w:val="00B53BFD"/>
    <w:rsid w:val="00B53E95"/>
    <w:rsid w:val="00B55575"/>
    <w:rsid w:val="00B55E8F"/>
    <w:rsid w:val="00B56206"/>
    <w:rsid w:val="00B5622C"/>
    <w:rsid w:val="00B5658C"/>
    <w:rsid w:val="00B565E9"/>
    <w:rsid w:val="00B567DC"/>
    <w:rsid w:val="00B56BC3"/>
    <w:rsid w:val="00B56C30"/>
    <w:rsid w:val="00B56F8D"/>
    <w:rsid w:val="00B5721D"/>
    <w:rsid w:val="00B57641"/>
    <w:rsid w:val="00B57706"/>
    <w:rsid w:val="00B57804"/>
    <w:rsid w:val="00B578F3"/>
    <w:rsid w:val="00B602E1"/>
    <w:rsid w:val="00B603A4"/>
    <w:rsid w:val="00B608C0"/>
    <w:rsid w:val="00B6117F"/>
    <w:rsid w:val="00B61915"/>
    <w:rsid w:val="00B61B53"/>
    <w:rsid w:val="00B61EA7"/>
    <w:rsid w:val="00B61F1F"/>
    <w:rsid w:val="00B62001"/>
    <w:rsid w:val="00B621CB"/>
    <w:rsid w:val="00B62829"/>
    <w:rsid w:val="00B63892"/>
    <w:rsid w:val="00B63DCF"/>
    <w:rsid w:val="00B6400E"/>
    <w:rsid w:val="00B643FB"/>
    <w:rsid w:val="00B64448"/>
    <w:rsid w:val="00B64D52"/>
    <w:rsid w:val="00B654B7"/>
    <w:rsid w:val="00B65859"/>
    <w:rsid w:val="00B661FC"/>
    <w:rsid w:val="00B66A15"/>
    <w:rsid w:val="00B66F6F"/>
    <w:rsid w:val="00B67103"/>
    <w:rsid w:val="00B6731C"/>
    <w:rsid w:val="00B673BA"/>
    <w:rsid w:val="00B6776C"/>
    <w:rsid w:val="00B67C0C"/>
    <w:rsid w:val="00B67DAF"/>
    <w:rsid w:val="00B67DC3"/>
    <w:rsid w:val="00B67EF9"/>
    <w:rsid w:val="00B7041F"/>
    <w:rsid w:val="00B704AC"/>
    <w:rsid w:val="00B70CF4"/>
    <w:rsid w:val="00B71936"/>
    <w:rsid w:val="00B721A7"/>
    <w:rsid w:val="00B72995"/>
    <w:rsid w:val="00B72BE1"/>
    <w:rsid w:val="00B73377"/>
    <w:rsid w:val="00B7345C"/>
    <w:rsid w:val="00B73CE9"/>
    <w:rsid w:val="00B73D83"/>
    <w:rsid w:val="00B73DA0"/>
    <w:rsid w:val="00B740ED"/>
    <w:rsid w:val="00B7443A"/>
    <w:rsid w:val="00B74599"/>
    <w:rsid w:val="00B75114"/>
    <w:rsid w:val="00B75268"/>
    <w:rsid w:val="00B75FBB"/>
    <w:rsid w:val="00B7610C"/>
    <w:rsid w:val="00B7639B"/>
    <w:rsid w:val="00B76794"/>
    <w:rsid w:val="00B770D6"/>
    <w:rsid w:val="00B77743"/>
    <w:rsid w:val="00B803BC"/>
    <w:rsid w:val="00B80875"/>
    <w:rsid w:val="00B80BAC"/>
    <w:rsid w:val="00B80C22"/>
    <w:rsid w:val="00B81051"/>
    <w:rsid w:val="00B81983"/>
    <w:rsid w:val="00B819AE"/>
    <w:rsid w:val="00B81B65"/>
    <w:rsid w:val="00B81CC5"/>
    <w:rsid w:val="00B8206E"/>
    <w:rsid w:val="00B82514"/>
    <w:rsid w:val="00B82D6B"/>
    <w:rsid w:val="00B834B6"/>
    <w:rsid w:val="00B83CA3"/>
    <w:rsid w:val="00B83E47"/>
    <w:rsid w:val="00B8421B"/>
    <w:rsid w:val="00B846B8"/>
    <w:rsid w:val="00B84B72"/>
    <w:rsid w:val="00B84FF4"/>
    <w:rsid w:val="00B8622A"/>
    <w:rsid w:val="00B8631A"/>
    <w:rsid w:val="00B86676"/>
    <w:rsid w:val="00B87A80"/>
    <w:rsid w:val="00B87D20"/>
    <w:rsid w:val="00B87FCF"/>
    <w:rsid w:val="00B90094"/>
    <w:rsid w:val="00B900EC"/>
    <w:rsid w:val="00B90C6B"/>
    <w:rsid w:val="00B90EDE"/>
    <w:rsid w:val="00B91265"/>
    <w:rsid w:val="00B913EA"/>
    <w:rsid w:val="00B914DE"/>
    <w:rsid w:val="00B915C6"/>
    <w:rsid w:val="00B91735"/>
    <w:rsid w:val="00B91CAB"/>
    <w:rsid w:val="00B92056"/>
    <w:rsid w:val="00B92518"/>
    <w:rsid w:val="00B92B05"/>
    <w:rsid w:val="00B92B32"/>
    <w:rsid w:val="00B92B57"/>
    <w:rsid w:val="00B93102"/>
    <w:rsid w:val="00B932E3"/>
    <w:rsid w:val="00B934D6"/>
    <w:rsid w:val="00B936C5"/>
    <w:rsid w:val="00B9394D"/>
    <w:rsid w:val="00B93E2C"/>
    <w:rsid w:val="00B93FC0"/>
    <w:rsid w:val="00B9428E"/>
    <w:rsid w:val="00B94853"/>
    <w:rsid w:val="00B9490F"/>
    <w:rsid w:val="00B94E62"/>
    <w:rsid w:val="00B95167"/>
    <w:rsid w:val="00B95871"/>
    <w:rsid w:val="00B960E3"/>
    <w:rsid w:val="00B96949"/>
    <w:rsid w:val="00B96AE6"/>
    <w:rsid w:val="00B97004"/>
    <w:rsid w:val="00B97127"/>
    <w:rsid w:val="00B971A7"/>
    <w:rsid w:val="00B972D2"/>
    <w:rsid w:val="00B9733A"/>
    <w:rsid w:val="00B976BC"/>
    <w:rsid w:val="00B97FD3"/>
    <w:rsid w:val="00BA002D"/>
    <w:rsid w:val="00BA00B1"/>
    <w:rsid w:val="00BA0E06"/>
    <w:rsid w:val="00BA0E5F"/>
    <w:rsid w:val="00BA0F49"/>
    <w:rsid w:val="00BA1116"/>
    <w:rsid w:val="00BA14E3"/>
    <w:rsid w:val="00BA1A75"/>
    <w:rsid w:val="00BA22EC"/>
    <w:rsid w:val="00BA26B8"/>
    <w:rsid w:val="00BA27B2"/>
    <w:rsid w:val="00BA2BB8"/>
    <w:rsid w:val="00BA2E1C"/>
    <w:rsid w:val="00BA2F38"/>
    <w:rsid w:val="00BA2FD8"/>
    <w:rsid w:val="00BA333B"/>
    <w:rsid w:val="00BA3615"/>
    <w:rsid w:val="00BA36B3"/>
    <w:rsid w:val="00BA3777"/>
    <w:rsid w:val="00BA49D4"/>
    <w:rsid w:val="00BA4AC2"/>
    <w:rsid w:val="00BA4DEC"/>
    <w:rsid w:val="00BA57DD"/>
    <w:rsid w:val="00BA6055"/>
    <w:rsid w:val="00BA6476"/>
    <w:rsid w:val="00BA7405"/>
    <w:rsid w:val="00BA76D1"/>
    <w:rsid w:val="00BA784B"/>
    <w:rsid w:val="00BA78D8"/>
    <w:rsid w:val="00BA7903"/>
    <w:rsid w:val="00BA7907"/>
    <w:rsid w:val="00BA7CE9"/>
    <w:rsid w:val="00BA7D63"/>
    <w:rsid w:val="00BA7EB8"/>
    <w:rsid w:val="00BA7F35"/>
    <w:rsid w:val="00BA7F47"/>
    <w:rsid w:val="00BA7FE2"/>
    <w:rsid w:val="00BB0B3D"/>
    <w:rsid w:val="00BB0EC3"/>
    <w:rsid w:val="00BB10B2"/>
    <w:rsid w:val="00BB16F9"/>
    <w:rsid w:val="00BB1BE1"/>
    <w:rsid w:val="00BB1C15"/>
    <w:rsid w:val="00BB2186"/>
    <w:rsid w:val="00BB21C2"/>
    <w:rsid w:val="00BB29FE"/>
    <w:rsid w:val="00BB2A5F"/>
    <w:rsid w:val="00BB2D02"/>
    <w:rsid w:val="00BB3D81"/>
    <w:rsid w:val="00BB3E5A"/>
    <w:rsid w:val="00BB42A1"/>
    <w:rsid w:val="00BB4859"/>
    <w:rsid w:val="00BB4AB4"/>
    <w:rsid w:val="00BB4BA5"/>
    <w:rsid w:val="00BB504D"/>
    <w:rsid w:val="00BB5479"/>
    <w:rsid w:val="00BB5ADD"/>
    <w:rsid w:val="00BB5DD2"/>
    <w:rsid w:val="00BB5EF6"/>
    <w:rsid w:val="00BB6A08"/>
    <w:rsid w:val="00BB6A74"/>
    <w:rsid w:val="00BB6B14"/>
    <w:rsid w:val="00BB6C5A"/>
    <w:rsid w:val="00BB72BA"/>
    <w:rsid w:val="00BB73DD"/>
    <w:rsid w:val="00BB7413"/>
    <w:rsid w:val="00BB74F7"/>
    <w:rsid w:val="00BB7A31"/>
    <w:rsid w:val="00BB7E44"/>
    <w:rsid w:val="00BB7EED"/>
    <w:rsid w:val="00BB7FBF"/>
    <w:rsid w:val="00BC02B0"/>
    <w:rsid w:val="00BC05C8"/>
    <w:rsid w:val="00BC1AE2"/>
    <w:rsid w:val="00BC2967"/>
    <w:rsid w:val="00BC2B6F"/>
    <w:rsid w:val="00BC2B96"/>
    <w:rsid w:val="00BC2D78"/>
    <w:rsid w:val="00BC3141"/>
    <w:rsid w:val="00BC3197"/>
    <w:rsid w:val="00BC319B"/>
    <w:rsid w:val="00BC3BEC"/>
    <w:rsid w:val="00BC3C88"/>
    <w:rsid w:val="00BC3CA7"/>
    <w:rsid w:val="00BC40FA"/>
    <w:rsid w:val="00BC4212"/>
    <w:rsid w:val="00BC49B4"/>
    <w:rsid w:val="00BC52D6"/>
    <w:rsid w:val="00BC5348"/>
    <w:rsid w:val="00BC550E"/>
    <w:rsid w:val="00BC593C"/>
    <w:rsid w:val="00BC599B"/>
    <w:rsid w:val="00BC5B92"/>
    <w:rsid w:val="00BC6A48"/>
    <w:rsid w:val="00BC6DAD"/>
    <w:rsid w:val="00BC6EC8"/>
    <w:rsid w:val="00BC74D3"/>
    <w:rsid w:val="00BC7947"/>
    <w:rsid w:val="00BC7DC8"/>
    <w:rsid w:val="00BD032D"/>
    <w:rsid w:val="00BD0A8C"/>
    <w:rsid w:val="00BD0F7D"/>
    <w:rsid w:val="00BD1299"/>
    <w:rsid w:val="00BD13C9"/>
    <w:rsid w:val="00BD14A5"/>
    <w:rsid w:val="00BD1500"/>
    <w:rsid w:val="00BD161D"/>
    <w:rsid w:val="00BD167F"/>
    <w:rsid w:val="00BD1A89"/>
    <w:rsid w:val="00BD21C6"/>
    <w:rsid w:val="00BD2F75"/>
    <w:rsid w:val="00BD32E3"/>
    <w:rsid w:val="00BD38C0"/>
    <w:rsid w:val="00BD3A2C"/>
    <w:rsid w:val="00BD3C17"/>
    <w:rsid w:val="00BD3D71"/>
    <w:rsid w:val="00BD3DC5"/>
    <w:rsid w:val="00BD3E71"/>
    <w:rsid w:val="00BD41DC"/>
    <w:rsid w:val="00BD431F"/>
    <w:rsid w:val="00BD44C4"/>
    <w:rsid w:val="00BD44D2"/>
    <w:rsid w:val="00BD45AF"/>
    <w:rsid w:val="00BD4EC7"/>
    <w:rsid w:val="00BD610B"/>
    <w:rsid w:val="00BD6191"/>
    <w:rsid w:val="00BD6466"/>
    <w:rsid w:val="00BD6819"/>
    <w:rsid w:val="00BD7AE5"/>
    <w:rsid w:val="00BE01FF"/>
    <w:rsid w:val="00BE0397"/>
    <w:rsid w:val="00BE03B5"/>
    <w:rsid w:val="00BE04B7"/>
    <w:rsid w:val="00BE0C44"/>
    <w:rsid w:val="00BE1F8D"/>
    <w:rsid w:val="00BE1FE6"/>
    <w:rsid w:val="00BE204F"/>
    <w:rsid w:val="00BE2062"/>
    <w:rsid w:val="00BE233B"/>
    <w:rsid w:val="00BE2E38"/>
    <w:rsid w:val="00BE30FE"/>
    <w:rsid w:val="00BE319A"/>
    <w:rsid w:val="00BE3B67"/>
    <w:rsid w:val="00BE3BF4"/>
    <w:rsid w:val="00BE3EDC"/>
    <w:rsid w:val="00BE4014"/>
    <w:rsid w:val="00BE4097"/>
    <w:rsid w:val="00BE41DA"/>
    <w:rsid w:val="00BE4882"/>
    <w:rsid w:val="00BE4FC1"/>
    <w:rsid w:val="00BE559E"/>
    <w:rsid w:val="00BE55AC"/>
    <w:rsid w:val="00BE57A2"/>
    <w:rsid w:val="00BE57F9"/>
    <w:rsid w:val="00BE5F1C"/>
    <w:rsid w:val="00BE6950"/>
    <w:rsid w:val="00BE6B28"/>
    <w:rsid w:val="00BE6BC0"/>
    <w:rsid w:val="00BE6E46"/>
    <w:rsid w:val="00BE7774"/>
    <w:rsid w:val="00BE7B94"/>
    <w:rsid w:val="00BE7FF1"/>
    <w:rsid w:val="00BF0422"/>
    <w:rsid w:val="00BF048C"/>
    <w:rsid w:val="00BF1223"/>
    <w:rsid w:val="00BF1C75"/>
    <w:rsid w:val="00BF1EF6"/>
    <w:rsid w:val="00BF2099"/>
    <w:rsid w:val="00BF26D8"/>
    <w:rsid w:val="00BF2A0A"/>
    <w:rsid w:val="00BF2BED"/>
    <w:rsid w:val="00BF2EC0"/>
    <w:rsid w:val="00BF39F4"/>
    <w:rsid w:val="00BF43B7"/>
    <w:rsid w:val="00BF4592"/>
    <w:rsid w:val="00BF4708"/>
    <w:rsid w:val="00BF4943"/>
    <w:rsid w:val="00BF4C42"/>
    <w:rsid w:val="00BF4C89"/>
    <w:rsid w:val="00BF4D37"/>
    <w:rsid w:val="00BF4D86"/>
    <w:rsid w:val="00BF4F88"/>
    <w:rsid w:val="00BF4F91"/>
    <w:rsid w:val="00BF4FF2"/>
    <w:rsid w:val="00BF51A0"/>
    <w:rsid w:val="00BF522C"/>
    <w:rsid w:val="00BF5289"/>
    <w:rsid w:val="00BF5409"/>
    <w:rsid w:val="00BF556E"/>
    <w:rsid w:val="00BF570F"/>
    <w:rsid w:val="00BF59A5"/>
    <w:rsid w:val="00BF5EE5"/>
    <w:rsid w:val="00BF616D"/>
    <w:rsid w:val="00BF6AC3"/>
    <w:rsid w:val="00BF76AE"/>
    <w:rsid w:val="00BF7AC4"/>
    <w:rsid w:val="00BF7AE6"/>
    <w:rsid w:val="00BF7CA1"/>
    <w:rsid w:val="00BF7D0E"/>
    <w:rsid w:val="00C001ED"/>
    <w:rsid w:val="00C002FA"/>
    <w:rsid w:val="00C003DE"/>
    <w:rsid w:val="00C00636"/>
    <w:rsid w:val="00C006D2"/>
    <w:rsid w:val="00C00838"/>
    <w:rsid w:val="00C015E6"/>
    <w:rsid w:val="00C01EB4"/>
    <w:rsid w:val="00C01F00"/>
    <w:rsid w:val="00C021F3"/>
    <w:rsid w:val="00C023A2"/>
    <w:rsid w:val="00C024D9"/>
    <w:rsid w:val="00C02873"/>
    <w:rsid w:val="00C02C12"/>
    <w:rsid w:val="00C03010"/>
    <w:rsid w:val="00C03207"/>
    <w:rsid w:val="00C03708"/>
    <w:rsid w:val="00C03854"/>
    <w:rsid w:val="00C038AF"/>
    <w:rsid w:val="00C03C2B"/>
    <w:rsid w:val="00C03EC7"/>
    <w:rsid w:val="00C0435F"/>
    <w:rsid w:val="00C04809"/>
    <w:rsid w:val="00C05746"/>
    <w:rsid w:val="00C05951"/>
    <w:rsid w:val="00C05D1A"/>
    <w:rsid w:val="00C060E2"/>
    <w:rsid w:val="00C06827"/>
    <w:rsid w:val="00C06D28"/>
    <w:rsid w:val="00C06DC7"/>
    <w:rsid w:val="00C06FE7"/>
    <w:rsid w:val="00C072D1"/>
    <w:rsid w:val="00C07A0F"/>
    <w:rsid w:val="00C07B36"/>
    <w:rsid w:val="00C07C7C"/>
    <w:rsid w:val="00C07D63"/>
    <w:rsid w:val="00C1060D"/>
    <w:rsid w:val="00C10815"/>
    <w:rsid w:val="00C108A3"/>
    <w:rsid w:val="00C10A76"/>
    <w:rsid w:val="00C110E2"/>
    <w:rsid w:val="00C11571"/>
    <w:rsid w:val="00C11581"/>
    <w:rsid w:val="00C115F4"/>
    <w:rsid w:val="00C11E3A"/>
    <w:rsid w:val="00C121B7"/>
    <w:rsid w:val="00C1230A"/>
    <w:rsid w:val="00C124A6"/>
    <w:rsid w:val="00C1289C"/>
    <w:rsid w:val="00C128BC"/>
    <w:rsid w:val="00C128EE"/>
    <w:rsid w:val="00C12AE4"/>
    <w:rsid w:val="00C12BDC"/>
    <w:rsid w:val="00C12C94"/>
    <w:rsid w:val="00C1305E"/>
    <w:rsid w:val="00C139A7"/>
    <w:rsid w:val="00C13AD9"/>
    <w:rsid w:val="00C13B9A"/>
    <w:rsid w:val="00C141F7"/>
    <w:rsid w:val="00C14787"/>
    <w:rsid w:val="00C1499F"/>
    <w:rsid w:val="00C14B73"/>
    <w:rsid w:val="00C14D4F"/>
    <w:rsid w:val="00C15122"/>
    <w:rsid w:val="00C1579A"/>
    <w:rsid w:val="00C158D4"/>
    <w:rsid w:val="00C15ECB"/>
    <w:rsid w:val="00C15FCD"/>
    <w:rsid w:val="00C16447"/>
    <w:rsid w:val="00C16505"/>
    <w:rsid w:val="00C166A9"/>
    <w:rsid w:val="00C16FC5"/>
    <w:rsid w:val="00C1763A"/>
    <w:rsid w:val="00C176EA"/>
    <w:rsid w:val="00C1796F"/>
    <w:rsid w:val="00C179BA"/>
    <w:rsid w:val="00C17E55"/>
    <w:rsid w:val="00C205C5"/>
    <w:rsid w:val="00C20830"/>
    <w:rsid w:val="00C209B8"/>
    <w:rsid w:val="00C20B41"/>
    <w:rsid w:val="00C20D45"/>
    <w:rsid w:val="00C210C2"/>
    <w:rsid w:val="00C2122E"/>
    <w:rsid w:val="00C215FC"/>
    <w:rsid w:val="00C21605"/>
    <w:rsid w:val="00C216BC"/>
    <w:rsid w:val="00C21D0B"/>
    <w:rsid w:val="00C21F92"/>
    <w:rsid w:val="00C2210B"/>
    <w:rsid w:val="00C2210D"/>
    <w:rsid w:val="00C225CE"/>
    <w:rsid w:val="00C2296F"/>
    <w:rsid w:val="00C22FC1"/>
    <w:rsid w:val="00C234FB"/>
    <w:rsid w:val="00C2367E"/>
    <w:rsid w:val="00C23DA5"/>
    <w:rsid w:val="00C23E31"/>
    <w:rsid w:val="00C23EE8"/>
    <w:rsid w:val="00C23FFA"/>
    <w:rsid w:val="00C241B3"/>
    <w:rsid w:val="00C2435D"/>
    <w:rsid w:val="00C24528"/>
    <w:rsid w:val="00C25027"/>
    <w:rsid w:val="00C25450"/>
    <w:rsid w:val="00C25925"/>
    <w:rsid w:val="00C25A08"/>
    <w:rsid w:val="00C25AE0"/>
    <w:rsid w:val="00C25EFA"/>
    <w:rsid w:val="00C26091"/>
    <w:rsid w:val="00C26294"/>
    <w:rsid w:val="00C267F9"/>
    <w:rsid w:val="00C26A11"/>
    <w:rsid w:val="00C26A91"/>
    <w:rsid w:val="00C26D0C"/>
    <w:rsid w:val="00C27205"/>
    <w:rsid w:val="00C2720D"/>
    <w:rsid w:val="00C275CE"/>
    <w:rsid w:val="00C278BE"/>
    <w:rsid w:val="00C27975"/>
    <w:rsid w:val="00C27AA1"/>
    <w:rsid w:val="00C27EEE"/>
    <w:rsid w:val="00C27F33"/>
    <w:rsid w:val="00C30169"/>
    <w:rsid w:val="00C302B8"/>
    <w:rsid w:val="00C30534"/>
    <w:rsid w:val="00C30765"/>
    <w:rsid w:val="00C30926"/>
    <w:rsid w:val="00C309BF"/>
    <w:rsid w:val="00C31010"/>
    <w:rsid w:val="00C31AFE"/>
    <w:rsid w:val="00C31EE3"/>
    <w:rsid w:val="00C31F0F"/>
    <w:rsid w:val="00C32475"/>
    <w:rsid w:val="00C3287E"/>
    <w:rsid w:val="00C32B3A"/>
    <w:rsid w:val="00C32FBF"/>
    <w:rsid w:val="00C33853"/>
    <w:rsid w:val="00C339F1"/>
    <w:rsid w:val="00C34177"/>
    <w:rsid w:val="00C34445"/>
    <w:rsid w:val="00C34583"/>
    <w:rsid w:val="00C34904"/>
    <w:rsid w:val="00C34D4A"/>
    <w:rsid w:val="00C34D62"/>
    <w:rsid w:val="00C34F59"/>
    <w:rsid w:val="00C34FBF"/>
    <w:rsid w:val="00C35093"/>
    <w:rsid w:val="00C36046"/>
    <w:rsid w:val="00C36197"/>
    <w:rsid w:val="00C36385"/>
    <w:rsid w:val="00C36440"/>
    <w:rsid w:val="00C36865"/>
    <w:rsid w:val="00C36CC6"/>
    <w:rsid w:val="00C36FB6"/>
    <w:rsid w:val="00C37432"/>
    <w:rsid w:val="00C375DE"/>
    <w:rsid w:val="00C3768D"/>
    <w:rsid w:val="00C37914"/>
    <w:rsid w:val="00C37C41"/>
    <w:rsid w:val="00C37F90"/>
    <w:rsid w:val="00C406D1"/>
    <w:rsid w:val="00C40831"/>
    <w:rsid w:val="00C40F11"/>
    <w:rsid w:val="00C419F8"/>
    <w:rsid w:val="00C41A6F"/>
    <w:rsid w:val="00C41BAD"/>
    <w:rsid w:val="00C41F80"/>
    <w:rsid w:val="00C42706"/>
    <w:rsid w:val="00C42BD3"/>
    <w:rsid w:val="00C42CFF"/>
    <w:rsid w:val="00C42EDD"/>
    <w:rsid w:val="00C4345D"/>
    <w:rsid w:val="00C436E4"/>
    <w:rsid w:val="00C437A5"/>
    <w:rsid w:val="00C43AA9"/>
    <w:rsid w:val="00C44136"/>
    <w:rsid w:val="00C44246"/>
    <w:rsid w:val="00C4440D"/>
    <w:rsid w:val="00C446E7"/>
    <w:rsid w:val="00C449BC"/>
    <w:rsid w:val="00C4524D"/>
    <w:rsid w:val="00C45619"/>
    <w:rsid w:val="00C456C4"/>
    <w:rsid w:val="00C459CF"/>
    <w:rsid w:val="00C464BE"/>
    <w:rsid w:val="00C46C9D"/>
    <w:rsid w:val="00C47411"/>
    <w:rsid w:val="00C47600"/>
    <w:rsid w:val="00C476FC"/>
    <w:rsid w:val="00C47AA6"/>
    <w:rsid w:val="00C47B7F"/>
    <w:rsid w:val="00C47DD5"/>
    <w:rsid w:val="00C47DFE"/>
    <w:rsid w:val="00C50AB5"/>
    <w:rsid w:val="00C50E06"/>
    <w:rsid w:val="00C510B6"/>
    <w:rsid w:val="00C51333"/>
    <w:rsid w:val="00C516C8"/>
    <w:rsid w:val="00C523B9"/>
    <w:rsid w:val="00C5279A"/>
    <w:rsid w:val="00C52A80"/>
    <w:rsid w:val="00C52B8B"/>
    <w:rsid w:val="00C537FD"/>
    <w:rsid w:val="00C53AA2"/>
    <w:rsid w:val="00C53E35"/>
    <w:rsid w:val="00C54377"/>
    <w:rsid w:val="00C5468B"/>
    <w:rsid w:val="00C546B2"/>
    <w:rsid w:val="00C549B6"/>
    <w:rsid w:val="00C551F5"/>
    <w:rsid w:val="00C558A1"/>
    <w:rsid w:val="00C5590B"/>
    <w:rsid w:val="00C55CC6"/>
    <w:rsid w:val="00C55D32"/>
    <w:rsid w:val="00C55E6F"/>
    <w:rsid w:val="00C567BF"/>
    <w:rsid w:val="00C569C1"/>
    <w:rsid w:val="00C56B33"/>
    <w:rsid w:val="00C57079"/>
    <w:rsid w:val="00C57085"/>
    <w:rsid w:val="00C5753A"/>
    <w:rsid w:val="00C57729"/>
    <w:rsid w:val="00C57F2F"/>
    <w:rsid w:val="00C60313"/>
    <w:rsid w:val="00C60855"/>
    <w:rsid w:val="00C60B94"/>
    <w:rsid w:val="00C60EF2"/>
    <w:rsid w:val="00C614F6"/>
    <w:rsid w:val="00C616E9"/>
    <w:rsid w:val="00C61749"/>
    <w:rsid w:val="00C62102"/>
    <w:rsid w:val="00C6263C"/>
    <w:rsid w:val="00C62D1A"/>
    <w:rsid w:val="00C630E3"/>
    <w:rsid w:val="00C634F5"/>
    <w:rsid w:val="00C637BC"/>
    <w:rsid w:val="00C6382B"/>
    <w:rsid w:val="00C638EF"/>
    <w:rsid w:val="00C63DCE"/>
    <w:rsid w:val="00C63DF6"/>
    <w:rsid w:val="00C6490D"/>
    <w:rsid w:val="00C64FD6"/>
    <w:rsid w:val="00C6521F"/>
    <w:rsid w:val="00C6571F"/>
    <w:rsid w:val="00C663C4"/>
    <w:rsid w:val="00C66F01"/>
    <w:rsid w:val="00C6713D"/>
    <w:rsid w:val="00C6765A"/>
    <w:rsid w:val="00C67A6B"/>
    <w:rsid w:val="00C67A99"/>
    <w:rsid w:val="00C67B5A"/>
    <w:rsid w:val="00C700AC"/>
    <w:rsid w:val="00C7065F"/>
    <w:rsid w:val="00C70A55"/>
    <w:rsid w:val="00C70CA8"/>
    <w:rsid w:val="00C71022"/>
    <w:rsid w:val="00C7125A"/>
    <w:rsid w:val="00C713DE"/>
    <w:rsid w:val="00C71443"/>
    <w:rsid w:val="00C71515"/>
    <w:rsid w:val="00C71E83"/>
    <w:rsid w:val="00C71F2F"/>
    <w:rsid w:val="00C721E8"/>
    <w:rsid w:val="00C725E1"/>
    <w:rsid w:val="00C72BE6"/>
    <w:rsid w:val="00C72CAE"/>
    <w:rsid w:val="00C731DB"/>
    <w:rsid w:val="00C738CB"/>
    <w:rsid w:val="00C738E8"/>
    <w:rsid w:val="00C73F12"/>
    <w:rsid w:val="00C73FF1"/>
    <w:rsid w:val="00C7445F"/>
    <w:rsid w:val="00C74556"/>
    <w:rsid w:val="00C74A50"/>
    <w:rsid w:val="00C74E43"/>
    <w:rsid w:val="00C74EF7"/>
    <w:rsid w:val="00C753D2"/>
    <w:rsid w:val="00C75801"/>
    <w:rsid w:val="00C75B50"/>
    <w:rsid w:val="00C760F4"/>
    <w:rsid w:val="00C762D0"/>
    <w:rsid w:val="00C76342"/>
    <w:rsid w:val="00C76624"/>
    <w:rsid w:val="00C76EDA"/>
    <w:rsid w:val="00C77266"/>
    <w:rsid w:val="00C77D90"/>
    <w:rsid w:val="00C77F0F"/>
    <w:rsid w:val="00C80BC0"/>
    <w:rsid w:val="00C814A2"/>
    <w:rsid w:val="00C817E2"/>
    <w:rsid w:val="00C819AE"/>
    <w:rsid w:val="00C81BAA"/>
    <w:rsid w:val="00C81CF4"/>
    <w:rsid w:val="00C81D5D"/>
    <w:rsid w:val="00C824D1"/>
    <w:rsid w:val="00C82788"/>
    <w:rsid w:val="00C82EC0"/>
    <w:rsid w:val="00C832D0"/>
    <w:rsid w:val="00C83C7D"/>
    <w:rsid w:val="00C83D7A"/>
    <w:rsid w:val="00C83DA5"/>
    <w:rsid w:val="00C83E85"/>
    <w:rsid w:val="00C83FC8"/>
    <w:rsid w:val="00C84008"/>
    <w:rsid w:val="00C8479A"/>
    <w:rsid w:val="00C84834"/>
    <w:rsid w:val="00C85525"/>
    <w:rsid w:val="00C858A1"/>
    <w:rsid w:val="00C85DEC"/>
    <w:rsid w:val="00C86D12"/>
    <w:rsid w:val="00C86DCC"/>
    <w:rsid w:val="00C870C1"/>
    <w:rsid w:val="00C87277"/>
    <w:rsid w:val="00C8793C"/>
    <w:rsid w:val="00C90F62"/>
    <w:rsid w:val="00C91591"/>
    <w:rsid w:val="00C91601"/>
    <w:rsid w:val="00C91B46"/>
    <w:rsid w:val="00C91C18"/>
    <w:rsid w:val="00C91CC3"/>
    <w:rsid w:val="00C92487"/>
    <w:rsid w:val="00C92741"/>
    <w:rsid w:val="00C92FD4"/>
    <w:rsid w:val="00C9341D"/>
    <w:rsid w:val="00C938CB"/>
    <w:rsid w:val="00C939AB"/>
    <w:rsid w:val="00C93B83"/>
    <w:rsid w:val="00C94032"/>
    <w:rsid w:val="00C9420E"/>
    <w:rsid w:val="00C942C9"/>
    <w:rsid w:val="00C945D8"/>
    <w:rsid w:val="00C94617"/>
    <w:rsid w:val="00C946E0"/>
    <w:rsid w:val="00C94C28"/>
    <w:rsid w:val="00C953DD"/>
    <w:rsid w:val="00C955C7"/>
    <w:rsid w:val="00C95672"/>
    <w:rsid w:val="00C95DD9"/>
    <w:rsid w:val="00C96063"/>
    <w:rsid w:val="00C9608D"/>
    <w:rsid w:val="00C96170"/>
    <w:rsid w:val="00C9655B"/>
    <w:rsid w:val="00C968BA"/>
    <w:rsid w:val="00C9693E"/>
    <w:rsid w:val="00C971F0"/>
    <w:rsid w:val="00C97567"/>
    <w:rsid w:val="00C97B5C"/>
    <w:rsid w:val="00CA0070"/>
    <w:rsid w:val="00CA0676"/>
    <w:rsid w:val="00CA0AE3"/>
    <w:rsid w:val="00CA0AEF"/>
    <w:rsid w:val="00CA0CF4"/>
    <w:rsid w:val="00CA0EB3"/>
    <w:rsid w:val="00CA1727"/>
    <w:rsid w:val="00CA17C1"/>
    <w:rsid w:val="00CA1895"/>
    <w:rsid w:val="00CA268C"/>
    <w:rsid w:val="00CA371A"/>
    <w:rsid w:val="00CA374B"/>
    <w:rsid w:val="00CA3FF1"/>
    <w:rsid w:val="00CA45F3"/>
    <w:rsid w:val="00CA4782"/>
    <w:rsid w:val="00CA53EA"/>
    <w:rsid w:val="00CA54C1"/>
    <w:rsid w:val="00CA553A"/>
    <w:rsid w:val="00CA5F6A"/>
    <w:rsid w:val="00CA5F9F"/>
    <w:rsid w:val="00CA64E0"/>
    <w:rsid w:val="00CA655B"/>
    <w:rsid w:val="00CA65E8"/>
    <w:rsid w:val="00CA6670"/>
    <w:rsid w:val="00CA6796"/>
    <w:rsid w:val="00CA6BD4"/>
    <w:rsid w:val="00CA6DDD"/>
    <w:rsid w:val="00CA7459"/>
    <w:rsid w:val="00CA77EE"/>
    <w:rsid w:val="00CA7A31"/>
    <w:rsid w:val="00CB02D7"/>
    <w:rsid w:val="00CB0572"/>
    <w:rsid w:val="00CB0759"/>
    <w:rsid w:val="00CB12A6"/>
    <w:rsid w:val="00CB1365"/>
    <w:rsid w:val="00CB1438"/>
    <w:rsid w:val="00CB19BD"/>
    <w:rsid w:val="00CB236C"/>
    <w:rsid w:val="00CB2DB9"/>
    <w:rsid w:val="00CB2E4A"/>
    <w:rsid w:val="00CB31FB"/>
    <w:rsid w:val="00CB35BF"/>
    <w:rsid w:val="00CB36D7"/>
    <w:rsid w:val="00CB3C30"/>
    <w:rsid w:val="00CB4036"/>
    <w:rsid w:val="00CB4097"/>
    <w:rsid w:val="00CB438B"/>
    <w:rsid w:val="00CB4500"/>
    <w:rsid w:val="00CB46E3"/>
    <w:rsid w:val="00CB4700"/>
    <w:rsid w:val="00CB48CC"/>
    <w:rsid w:val="00CB4E2C"/>
    <w:rsid w:val="00CB52C5"/>
    <w:rsid w:val="00CB5AF8"/>
    <w:rsid w:val="00CB5C2E"/>
    <w:rsid w:val="00CB5DFE"/>
    <w:rsid w:val="00CB66E1"/>
    <w:rsid w:val="00CB6856"/>
    <w:rsid w:val="00CB6B76"/>
    <w:rsid w:val="00CB6BCF"/>
    <w:rsid w:val="00CB7170"/>
    <w:rsid w:val="00CB7178"/>
    <w:rsid w:val="00CB766A"/>
    <w:rsid w:val="00CB7797"/>
    <w:rsid w:val="00CB7AB6"/>
    <w:rsid w:val="00CC0523"/>
    <w:rsid w:val="00CC09DA"/>
    <w:rsid w:val="00CC0A47"/>
    <w:rsid w:val="00CC0D48"/>
    <w:rsid w:val="00CC1263"/>
    <w:rsid w:val="00CC14D6"/>
    <w:rsid w:val="00CC1C0A"/>
    <w:rsid w:val="00CC1E98"/>
    <w:rsid w:val="00CC2322"/>
    <w:rsid w:val="00CC237A"/>
    <w:rsid w:val="00CC27E4"/>
    <w:rsid w:val="00CC280B"/>
    <w:rsid w:val="00CC29DF"/>
    <w:rsid w:val="00CC2A47"/>
    <w:rsid w:val="00CC2B1F"/>
    <w:rsid w:val="00CC2C99"/>
    <w:rsid w:val="00CC3168"/>
    <w:rsid w:val="00CC32D0"/>
    <w:rsid w:val="00CC383B"/>
    <w:rsid w:val="00CC3866"/>
    <w:rsid w:val="00CC3FBC"/>
    <w:rsid w:val="00CC4163"/>
    <w:rsid w:val="00CC42DC"/>
    <w:rsid w:val="00CC4862"/>
    <w:rsid w:val="00CC4931"/>
    <w:rsid w:val="00CC49BF"/>
    <w:rsid w:val="00CC4CD9"/>
    <w:rsid w:val="00CC50FB"/>
    <w:rsid w:val="00CC51AE"/>
    <w:rsid w:val="00CC5315"/>
    <w:rsid w:val="00CC571A"/>
    <w:rsid w:val="00CC5876"/>
    <w:rsid w:val="00CC592B"/>
    <w:rsid w:val="00CC6102"/>
    <w:rsid w:val="00CC656C"/>
    <w:rsid w:val="00CC6BF6"/>
    <w:rsid w:val="00CC73A2"/>
    <w:rsid w:val="00CC75C6"/>
    <w:rsid w:val="00CC762E"/>
    <w:rsid w:val="00CC784B"/>
    <w:rsid w:val="00CC7F0E"/>
    <w:rsid w:val="00CD0121"/>
    <w:rsid w:val="00CD0143"/>
    <w:rsid w:val="00CD0478"/>
    <w:rsid w:val="00CD0761"/>
    <w:rsid w:val="00CD15EC"/>
    <w:rsid w:val="00CD18C7"/>
    <w:rsid w:val="00CD1FFC"/>
    <w:rsid w:val="00CD20A8"/>
    <w:rsid w:val="00CD24EF"/>
    <w:rsid w:val="00CD2B94"/>
    <w:rsid w:val="00CD2BB8"/>
    <w:rsid w:val="00CD2C08"/>
    <w:rsid w:val="00CD32E1"/>
    <w:rsid w:val="00CD37EE"/>
    <w:rsid w:val="00CD3FF3"/>
    <w:rsid w:val="00CD43FD"/>
    <w:rsid w:val="00CD4740"/>
    <w:rsid w:val="00CD474B"/>
    <w:rsid w:val="00CD4B3C"/>
    <w:rsid w:val="00CD4F37"/>
    <w:rsid w:val="00CD5355"/>
    <w:rsid w:val="00CD5B3A"/>
    <w:rsid w:val="00CD5EC7"/>
    <w:rsid w:val="00CD6339"/>
    <w:rsid w:val="00CD6470"/>
    <w:rsid w:val="00CD732C"/>
    <w:rsid w:val="00CD73D7"/>
    <w:rsid w:val="00CD7657"/>
    <w:rsid w:val="00CE0E25"/>
    <w:rsid w:val="00CE1064"/>
    <w:rsid w:val="00CE14E8"/>
    <w:rsid w:val="00CE1536"/>
    <w:rsid w:val="00CE1AEA"/>
    <w:rsid w:val="00CE23C6"/>
    <w:rsid w:val="00CE2B5C"/>
    <w:rsid w:val="00CE2E4C"/>
    <w:rsid w:val="00CE3565"/>
    <w:rsid w:val="00CE3E7A"/>
    <w:rsid w:val="00CE46A7"/>
    <w:rsid w:val="00CE48E5"/>
    <w:rsid w:val="00CE4C35"/>
    <w:rsid w:val="00CE4FC3"/>
    <w:rsid w:val="00CE555E"/>
    <w:rsid w:val="00CE55CB"/>
    <w:rsid w:val="00CE57F0"/>
    <w:rsid w:val="00CE60CB"/>
    <w:rsid w:val="00CE6C0A"/>
    <w:rsid w:val="00CF01D3"/>
    <w:rsid w:val="00CF0225"/>
    <w:rsid w:val="00CF04BF"/>
    <w:rsid w:val="00CF05E3"/>
    <w:rsid w:val="00CF06CC"/>
    <w:rsid w:val="00CF0755"/>
    <w:rsid w:val="00CF0805"/>
    <w:rsid w:val="00CF0ADA"/>
    <w:rsid w:val="00CF0E18"/>
    <w:rsid w:val="00CF13CC"/>
    <w:rsid w:val="00CF1862"/>
    <w:rsid w:val="00CF1F46"/>
    <w:rsid w:val="00CF25C6"/>
    <w:rsid w:val="00CF2C25"/>
    <w:rsid w:val="00CF2C45"/>
    <w:rsid w:val="00CF31AA"/>
    <w:rsid w:val="00CF31ED"/>
    <w:rsid w:val="00CF32CE"/>
    <w:rsid w:val="00CF38E0"/>
    <w:rsid w:val="00CF3977"/>
    <w:rsid w:val="00CF3D6F"/>
    <w:rsid w:val="00CF400F"/>
    <w:rsid w:val="00CF404C"/>
    <w:rsid w:val="00CF44F4"/>
    <w:rsid w:val="00CF4936"/>
    <w:rsid w:val="00CF587F"/>
    <w:rsid w:val="00CF5AF4"/>
    <w:rsid w:val="00CF5BF3"/>
    <w:rsid w:val="00CF619E"/>
    <w:rsid w:val="00CF69AC"/>
    <w:rsid w:val="00CF6B8E"/>
    <w:rsid w:val="00CF6C93"/>
    <w:rsid w:val="00CF6F9C"/>
    <w:rsid w:val="00CF714F"/>
    <w:rsid w:val="00CF7412"/>
    <w:rsid w:val="00CF7848"/>
    <w:rsid w:val="00D00159"/>
    <w:rsid w:val="00D00A5B"/>
    <w:rsid w:val="00D00C95"/>
    <w:rsid w:val="00D00F72"/>
    <w:rsid w:val="00D010FF"/>
    <w:rsid w:val="00D01302"/>
    <w:rsid w:val="00D01372"/>
    <w:rsid w:val="00D01BB5"/>
    <w:rsid w:val="00D01CE9"/>
    <w:rsid w:val="00D02164"/>
    <w:rsid w:val="00D0236A"/>
    <w:rsid w:val="00D02568"/>
    <w:rsid w:val="00D02851"/>
    <w:rsid w:val="00D0287A"/>
    <w:rsid w:val="00D02F07"/>
    <w:rsid w:val="00D033AA"/>
    <w:rsid w:val="00D034F3"/>
    <w:rsid w:val="00D03976"/>
    <w:rsid w:val="00D03CF3"/>
    <w:rsid w:val="00D0456E"/>
    <w:rsid w:val="00D0462F"/>
    <w:rsid w:val="00D04F5F"/>
    <w:rsid w:val="00D052F7"/>
    <w:rsid w:val="00D0530A"/>
    <w:rsid w:val="00D05590"/>
    <w:rsid w:val="00D05894"/>
    <w:rsid w:val="00D05D53"/>
    <w:rsid w:val="00D05F78"/>
    <w:rsid w:val="00D062F0"/>
    <w:rsid w:val="00D0631E"/>
    <w:rsid w:val="00D066D9"/>
    <w:rsid w:val="00D067D8"/>
    <w:rsid w:val="00D06B69"/>
    <w:rsid w:val="00D06C61"/>
    <w:rsid w:val="00D06D5C"/>
    <w:rsid w:val="00D06D73"/>
    <w:rsid w:val="00D06F5C"/>
    <w:rsid w:val="00D071DE"/>
    <w:rsid w:val="00D07399"/>
    <w:rsid w:val="00D07683"/>
    <w:rsid w:val="00D0773C"/>
    <w:rsid w:val="00D1040A"/>
    <w:rsid w:val="00D10AEE"/>
    <w:rsid w:val="00D110CE"/>
    <w:rsid w:val="00D11290"/>
    <w:rsid w:val="00D1134E"/>
    <w:rsid w:val="00D1193C"/>
    <w:rsid w:val="00D11B58"/>
    <w:rsid w:val="00D11D07"/>
    <w:rsid w:val="00D11FA3"/>
    <w:rsid w:val="00D121C2"/>
    <w:rsid w:val="00D123EA"/>
    <w:rsid w:val="00D1275C"/>
    <w:rsid w:val="00D128A2"/>
    <w:rsid w:val="00D12C07"/>
    <w:rsid w:val="00D12D1C"/>
    <w:rsid w:val="00D13753"/>
    <w:rsid w:val="00D13C98"/>
    <w:rsid w:val="00D13F87"/>
    <w:rsid w:val="00D143D8"/>
    <w:rsid w:val="00D14972"/>
    <w:rsid w:val="00D14B65"/>
    <w:rsid w:val="00D14D69"/>
    <w:rsid w:val="00D14E0B"/>
    <w:rsid w:val="00D14E7A"/>
    <w:rsid w:val="00D14EF2"/>
    <w:rsid w:val="00D151EC"/>
    <w:rsid w:val="00D15207"/>
    <w:rsid w:val="00D15611"/>
    <w:rsid w:val="00D15A91"/>
    <w:rsid w:val="00D15FC7"/>
    <w:rsid w:val="00D1621D"/>
    <w:rsid w:val="00D16450"/>
    <w:rsid w:val="00D16528"/>
    <w:rsid w:val="00D16717"/>
    <w:rsid w:val="00D16C28"/>
    <w:rsid w:val="00D1782B"/>
    <w:rsid w:val="00D17C1E"/>
    <w:rsid w:val="00D20344"/>
    <w:rsid w:val="00D210A5"/>
    <w:rsid w:val="00D212E5"/>
    <w:rsid w:val="00D21314"/>
    <w:rsid w:val="00D214A0"/>
    <w:rsid w:val="00D21921"/>
    <w:rsid w:val="00D21FA7"/>
    <w:rsid w:val="00D22F0A"/>
    <w:rsid w:val="00D232C7"/>
    <w:rsid w:val="00D23B00"/>
    <w:rsid w:val="00D23B94"/>
    <w:rsid w:val="00D23CA2"/>
    <w:rsid w:val="00D242D0"/>
    <w:rsid w:val="00D245F5"/>
    <w:rsid w:val="00D24A5F"/>
    <w:rsid w:val="00D24B7D"/>
    <w:rsid w:val="00D24D40"/>
    <w:rsid w:val="00D25037"/>
    <w:rsid w:val="00D25107"/>
    <w:rsid w:val="00D251B1"/>
    <w:rsid w:val="00D256C3"/>
    <w:rsid w:val="00D2591B"/>
    <w:rsid w:val="00D25D4A"/>
    <w:rsid w:val="00D25F1A"/>
    <w:rsid w:val="00D260D7"/>
    <w:rsid w:val="00D2637B"/>
    <w:rsid w:val="00D267D1"/>
    <w:rsid w:val="00D26FCF"/>
    <w:rsid w:val="00D27117"/>
    <w:rsid w:val="00D2752B"/>
    <w:rsid w:val="00D27967"/>
    <w:rsid w:val="00D27AC1"/>
    <w:rsid w:val="00D27CBE"/>
    <w:rsid w:val="00D301D7"/>
    <w:rsid w:val="00D3027F"/>
    <w:rsid w:val="00D30507"/>
    <w:rsid w:val="00D3091A"/>
    <w:rsid w:val="00D30A56"/>
    <w:rsid w:val="00D30C69"/>
    <w:rsid w:val="00D30CB6"/>
    <w:rsid w:val="00D30D30"/>
    <w:rsid w:val="00D313BE"/>
    <w:rsid w:val="00D314AA"/>
    <w:rsid w:val="00D31B60"/>
    <w:rsid w:val="00D31CE5"/>
    <w:rsid w:val="00D325EA"/>
    <w:rsid w:val="00D3270D"/>
    <w:rsid w:val="00D32CB3"/>
    <w:rsid w:val="00D32E30"/>
    <w:rsid w:val="00D3301D"/>
    <w:rsid w:val="00D33093"/>
    <w:rsid w:val="00D337D2"/>
    <w:rsid w:val="00D3472D"/>
    <w:rsid w:val="00D350FB"/>
    <w:rsid w:val="00D35437"/>
    <w:rsid w:val="00D354AC"/>
    <w:rsid w:val="00D35899"/>
    <w:rsid w:val="00D35953"/>
    <w:rsid w:val="00D35E12"/>
    <w:rsid w:val="00D35E1E"/>
    <w:rsid w:val="00D35FA2"/>
    <w:rsid w:val="00D3630F"/>
    <w:rsid w:val="00D3652E"/>
    <w:rsid w:val="00D366F6"/>
    <w:rsid w:val="00D36765"/>
    <w:rsid w:val="00D3710C"/>
    <w:rsid w:val="00D37209"/>
    <w:rsid w:val="00D373D6"/>
    <w:rsid w:val="00D379A0"/>
    <w:rsid w:val="00D37BB5"/>
    <w:rsid w:val="00D4060F"/>
    <w:rsid w:val="00D40649"/>
    <w:rsid w:val="00D407AF"/>
    <w:rsid w:val="00D40906"/>
    <w:rsid w:val="00D41082"/>
    <w:rsid w:val="00D410CF"/>
    <w:rsid w:val="00D411C0"/>
    <w:rsid w:val="00D41C87"/>
    <w:rsid w:val="00D41CA4"/>
    <w:rsid w:val="00D42975"/>
    <w:rsid w:val="00D42A69"/>
    <w:rsid w:val="00D4343D"/>
    <w:rsid w:val="00D43757"/>
    <w:rsid w:val="00D439E5"/>
    <w:rsid w:val="00D446A3"/>
    <w:rsid w:val="00D4487A"/>
    <w:rsid w:val="00D44E1C"/>
    <w:rsid w:val="00D45350"/>
    <w:rsid w:val="00D45CA0"/>
    <w:rsid w:val="00D46189"/>
    <w:rsid w:val="00D461FC"/>
    <w:rsid w:val="00D466B4"/>
    <w:rsid w:val="00D46EFF"/>
    <w:rsid w:val="00D47054"/>
    <w:rsid w:val="00D474C3"/>
    <w:rsid w:val="00D478FE"/>
    <w:rsid w:val="00D50058"/>
    <w:rsid w:val="00D504AA"/>
    <w:rsid w:val="00D505A0"/>
    <w:rsid w:val="00D506F6"/>
    <w:rsid w:val="00D5102F"/>
    <w:rsid w:val="00D512A4"/>
    <w:rsid w:val="00D5176F"/>
    <w:rsid w:val="00D51795"/>
    <w:rsid w:val="00D517E5"/>
    <w:rsid w:val="00D51EE0"/>
    <w:rsid w:val="00D52A1D"/>
    <w:rsid w:val="00D52DE8"/>
    <w:rsid w:val="00D52F26"/>
    <w:rsid w:val="00D5350D"/>
    <w:rsid w:val="00D5381B"/>
    <w:rsid w:val="00D53959"/>
    <w:rsid w:val="00D54434"/>
    <w:rsid w:val="00D54A0C"/>
    <w:rsid w:val="00D55433"/>
    <w:rsid w:val="00D55439"/>
    <w:rsid w:val="00D5577D"/>
    <w:rsid w:val="00D5624C"/>
    <w:rsid w:val="00D562D5"/>
    <w:rsid w:val="00D563DE"/>
    <w:rsid w:val="00D566A0"/>
    <w:rsid w:val="00D569D9"/>
    <w:rsid w:val="00D5718B"/>
    <w:rsid w:val="00D57596"/>
    <w:rsid w:val="00D576DC"/>
    <w:rsid w:val="00D57DEF"/>
    <w:rsid w:val="00D57EE7"/>
    <w:rsid w:val="00D60063"/>
    <w:rsid w:val="00D6019A"/>
    <w:rsid w:val="00D60420"/>
    <w:rsid w:val="00D60436"/>
    <w:rsid w:val="00D6076F"/>
    <w:rsid w:val="00D6097E"/>
    <w:rsid w:val="00D609E5"/>
    <w:rsid w:val="00D60B19"/>
    <w:rsid w:val="00D60BEE"/>
    <w:rsid w:val="00D61060"/>
    <w:rsid w:val="00D610DD"/>
    <w:rsid w:val="00D61A60"/>
    <w:rsid w:val="00D623D5"/>
    <w:rsid w:val="00D62917"/>
    <w:rsid w:val="00D62955"/>
    <w:rsid w:val="00D62AD2"/>
    <w:rsid w:val="00D62E0F"/>
    <w:rsid w:val="00D63593"/>
    <w:rsid w:val="00D636EC"/>
    <w:rsid w:val="00D63FC9"/>
    <w:rsid w:val="00D644F7"/>
    <w:rsid w:val="00D64583"/>
    <w:rsid w:val="00D64817"/>
    <w:rsid w:val="00D65509"/>
    <w:rsid w:val="00D65A6F"/>
    <w:rsid w:val="00D65C11"/>
    <w:rsid w:val="00D65E55"/>
    <w:rsid w:val="00D6665B"/>
    <w:rsid w:val="00D6676F"/>
    <w:rsid w:val="00D667D0"/>
    <w:rsid w:val="00D7020E"/>
    <w:rsid w:val="00D702C4"/>
    <w:rsid w:val="00D70F0F"/>
    <w:rsid w:val="00D710AD"/>
    <w:rsid w:val="00D71130"/>
    <w:rsid w:val="00D7133B"/>
    <w:rsid w:val="00D713BE"/>
    <w:rsid w:val="00D71528"/>
    <w:rsid w:val="00D715D6"/>
    <w:rsid w:val="00D7194D"/>
    <w:rsid w:val="00D719BA"/>
    <w:rsid w:val="00D71E5C"/>
    <w:rsid w:val="00D71F3D"/>
    <w:rsid w:val="00D7207A"/>
    <w:rsid w:val="00D729B3"/>
    <w:rsid w:val="00D7317F"/>
    <w:rsid w:val="00D73300"/>
    <w:rsid w:val="00D7341E"/>
    <w:rsid w:val="00D73991"/>
    <w:rsid w:val="00D73BE9"/>
    <w:rsid w:val="00D7416B"/>
    <w:rsid w:val="00D741E0"/>
    <w:rsid w:val="00D74334"/>
    <w:rsid w:val="00D74337"/>
    <w:rsid w:val="00D749FB"/>
    <w:rsid w:val="00D74E93"/>
    <w:rsid w:val="00D753F3"/>
    <w:rsid w:val="00D755BF"/>
    <w:rsid w:val="00D75A19"/>
    <w:rsid w:val="00D75A81"/>
    <w:rsid w:val="00D760D4"/>
    <w:rsid w:val="00D7612C"/>
    <w:rsid w:val="00D76E94"/>
    <w:rsid w:val="00D76F2C"/>
    <w:rsid w:val="00D771A9"/>
    <w:rsid w:val="00D77375"/>
    <w:rsid w:val="00D77614"/>
    <w:rsid w:val="00D776D0"/>
    <w:rsid w:val="00D777C9"/>
    <w:rsid w:val="00D77A52"/>
    <w:rsid w:val="00D77A95"/>
    <w:rsid w:val="00D77AE8"/>
    <w:rsid w:val="00D80C58"/>
    <w:rsid w:val="00D80E8B"/>
    <w:rsid w:val="00D81115"/>
    <w:rsid w:val="00D81392"/>
    <w:rsid w:val="00D81CA7"/>
    <w:rsid w:val="00D824AB"/>
    <w:rsid w:val="00D824CF"/>
    <w:rsid w:val="00D82618"/>
    <w:rsid w:val="00D826EC"/>
    <w:rsid w:val="00D82839"/>
    <w:rsid w:val="00D82EC4"/>
    <w:rsid w:val="00D8358A"/>
    <w:rsid w:val="00D83743"/>
    <w:rsid w:val="00D83A64"/>
    <w:rsid w:val="00D83AE7"/>
    <w:rsid w:val="00D840D0"/>
    <w:rsid w:val="00D843F9"/>
    <w:rsid w:val="00D84624"/>
    <w:rsid w:val="00D847A6"/>
    <w:rsid w:val="00D847ED"/>
    <w:rsid w:val="00D84E07"/>
    <w:rsid w:val="00D85131"/>
    <w:rsid w:val="00D853EC"/>
    <w:rsid w:val="00D856FD"/>
    <w:rsid w:val="00D857A8"/>
    <w:rsid w:val="00D85C1D"/>
    <w:rsid w:val="00D85FCD"/>
    <w:rsid w:val="00D86106"/>
    <w:rsid w:val="00D864F4"/>
    <w:rsid w:val="00D867DA"/>
    <w:rsid w:val="00D86B12"/>
    <w:rsid w:val="00D8708C"/>
    <w:rsid w:val="00D870AF"/>
    <w:rsid w:val="00D87505"/>
    <w:rsid w:val="00D87865"/>
    <w:rsid w:val="00D9038F"/>
    <w:rsid w:val="00D90915"/>
    <w:rsid w:val="00D90B82"/>
    <w:rsid w:val="00D90D4D"/>
    <w:rsid w:val="00D913CE"/>
    <w:rsid w:val="00D917A1"/>
    <w:rsid w:val="00D922BC"/>
    <w:rsid w:val="00D92822"/>
    <w:rsid w:val="00D92CBD"/>
    <w:rsid w:val="00D93909"/>
    <w:rsid w:val="00D93CC1"/>
    <w:rsid w:val="00D9412F"/>
    <w:rsid w:val="00D94540"/>
    <w:rsid w:val="00D94F98"/>
    <w:rsid w:val="00D95B08"/>
    <w:rsid w:val="00D95BD1"/>
    <w:rsid w:val="00D95E3F"/>
    <w:rsid w:val="00D96CA2"/>
    <w:rsid w:val="00D973D8"/>
    <w:rsid w:val="00D9764B"/>
    <w:rsid w:val="00D97BD2"/>
    <w:rsid w:val="00DA00DD"/>
    <w:rsid w:val="00DA01AB"/>
    <w:rsid w:val="00DA0A4F"/>
    <w:rsid w:val="00DA0EA1"/>
    <w:rsid w:val="00DA17AF"/>
    <w:rsid w:val="00DA1C7B"/>
    <w:rsid w:val="00DA2612"/>
    <w:rsid w:val="00DA263B"/>
    <w:rsid w:val="00DA284F"/>
    <w:rsid w:val="00DA2AED"/>
    <w:rsid w:val="00DA3384"/>
    <w:rsid w:val="00DA3893"/>
    <w:rsid w:val="00DA3BF7"/>
    <w:rsid w:val="00DA3DC5"/>
    <w:rsid w:val="00DA3DEB"/>
    <w:rsid w:val="00DA4726"/>
    <w:rsid w:val="00DA4AA5"/>
    <w:rsid w:val="00DA4BDC"/>
    <w:rsid w:val="00DA50DF"/>
    <w:rsid w:val="00DA5170"/>
    <w:rsid w:val="00DA51B5"/>
    <w:rsid w:val="00DA5B62"/>
    <w:rsid w:val="00DA5EFF"/>
    <w:rsid w:val="00DA618C"/>
    <w:rsid w:val="00DA7060"/>
    <w:rsid w:val="00DA736A"/>
    <w:rsid w:val="00DA7BF7"/>
    <w:rsid w:val="00DA7BF9"/>
    <w:rsid w:val="00DA7EB1"/>
    <w:rsid w:val="00DB00E2"/>
    <w:rsid w:val="00DB0387"/>
    <w:rsid w:val="00DB0966"/>
    <w:rsid w:val="00DB0C9F"/>
    <w:rsid w:val="00DB0D13"/>
    <w:rsid w:val="00DB0DB1"/>
    <w:rsid w:val="00DB0EFF"/>
    <w:rsid w:val="00DB107C"/>
    <w:rsid w:val="00DB2544"/>
    <w:rsid w:val="00DB268F"/>
    <w:rsid w:val="00DB2785"/>
    <w:rsid w:val="00DB2FD9"/>
    <w:rsid w:val="00DB3188"/>
    <w:rsid w:val="00DB35B5"/>
    <w:rsid w:val="00DB3619"/>
    <w:rsid w:val="00DB4169"/>
    <w:rsid w:val="00DB442B"/>
    <w:rsid w:val="00DB4973"/>
    <w:rsid w:val="00DB4E57"/>
    <w:rsid w:val="00DB519B"/>
    <w:rsid w:val="00DB5563"/>
    <w:rsid w:val="00DB56A1"/>
    <w:rsid w:val="00DB59BB"/>
    <w:rsid w:val="00DB5A69"/>
    <w:rsid w:val="00DB5B30"/>
    <w:rsid w:val="00DB6102"/>
    <w:rsid w:val="00DB6931"/>
    <w:rsid w:val="00DB6B60"/>
    <w:rsid w:val="00DB6FD8"/>
    <w:rsid w:val="00DB72B6"/>
    <w:rsid w:val="00DB786E"/>
    <w:rsid w:val="00DC0758"/>
    <w:rsid w:val="00DC0B2B"/>
    <w:rsid w:val="00DC0CC4"/>
    <w:rsid w:val="00DC10FF"/>
    <w:rsid w:val="00DC1375"/>
    <w:rsid w:val="00DC1734"/>
    <w:rsid w:val="00DC18EB"/>
    <w:rsid w:val="00DC18FA"/>
    <w:rsid w:val="00DC1A08"/>
    <w:rsid w:val="00DC2027"/>
    <w:rsid w:val="00DC2766"/>
    <w:rsid w:val="00DC27E5"/>
    <w:rsid w:val="00DC2BEB"/>
    <w:rsid w:val="00DC354A"/>
    <w:rsid w:val="00DC363E"/>
    <w:rsid w:val="00DC3A5B"/>
    <w:rsid w:val="00DC4A32"/>
    <w:rsid w:val="00DC4D3D"/>
    <w:rsid w:val="00DC50C3"/>
    <w:rsid w:val="00DC515C"/>
    <w:rsid w:val="00DC57B2"/>
    <w:rsid w:val="00DC5B05"/>
    <w:rsid w:val="00DC5B52"/>
    <w:rsid w:val="00DC5BE5"/>
    <w:rsid w:val="00DC614A"/>
    <w:rsid w:val="00DC649C"/>
    <w:rsid w:val="00DC651F"/>
    <w:rsid w:val="00DC6657"/>
    <w:rsid w:val="00DC6979"/>
    <w:rsid w:val="00DC6ACC"/>
    <w:rsid w:val="00DC77A4"/>
    <w:rsid w:val="00DD0107"/>
    <w:rsid w:val="00DD03EB"/>
    <w:rsid w:val="00DD0431"/>
    <w:rsid w:val="00DD0651"/>
    <w:rsid w:val="00DD0D3A"/>
    <w:rsid w:val="00DD119F"/>
    <w:rsid w:val="00DD1636"/>
    <w:rsid w:val="00DD1645"/>
    <w:rsid w:val="00DD1B71"/>
    <w:rsid w:val="00DD1D06"/>
    <w:rsid w:val="00DD1D81"/>
    <w:rsid w:val="00DD202B"/>
    <w:rsid w:val="00DD204E"/>
    <w:rsid w:val="00DD2254"/>
    <w:rsid w:val="00DD259A"/>
    <w:rsid w:val="00DD286A"/>
    <w:rsid w:val="00DD28FD"/>
    <w:rsid w:val="00DD366B"/>
    <w:rsid w:val="00DD3A68"/>
    <w:rsid w:val="00DD3B7D"/>
    <w:rsid w:val="00DD3CD5"/>
    <w:rsid w:val="00DD4982"/>
    <w:rsid w:val="00DD512F"/>
    <w:rsid w:val="00DD5248"/>
    <w:rsid w:val="00DD5510"/>
    <w:rsid w:val="00DD56C0"/>
    <w:rsid w:val="00DD5800"/>
    <w:rsid w:val="00DD5841"/>
    <w:rsid w:val="00DD5885"/>
    <w:rsid w:val="00DD5ACD"/>
    <w:rsid w:val="00DD665A"/>
    <w:rsid w:val="00DD6770"/>
    <w:rsid w:val="00DD6796"/>
    <w:rsid w:val="00DD700C"/>
    <w:rsid w:val="00DD7316"/>
    <w:rsid w:val="00DD754A"/>
    <w:rsid w:val="00DD781B"/>
    <w:rsid w:val="00DD7B29"/>
    <w:rsid w:val="00DD7C43"/>
    <w:rsid w:val="00DE02DC"/>
    <w:rsid w:val="00DE04D0"/>
    <w:rsid w:val="00DE091F"/>
    <w:rsid w:val="00DE0CFA"/>
    <w:rsid w:val="00DE1456"/>
    <w:rsid w:val="00DE154C"/>
    <w:rsid w:val="00DE1A9D"/>
    <w:rsid w:val="00DE1B2E"/>
    <w:rsid w:val="00DE1C39"/>
    <w:rsid w:val="00DE1DF7"/>
    <w:rsid w:val="00DE2112"/>
    <w:rsid w:val="00DE2180"/>
    <w:rsid w:val="00DE230A"/>
    <w:rsid w:val="00DE2489"/>
    <w:rsid w:val="00DE2839"/>
    <w:rsid w:val="00DE2C0B"/>
    <w:rsid w:val="00DE347E"/>
    <w:rsid w:val="00DE430B"/>
    <w:rsid w:val="00DE48D2"/>
    <w:rsid w:val="00DE4D25"/>
    <w:rsid w:val="00DE503C"/>
    <w:rsid w:val="00DE5295"/>
    <w:rsid w:val="00DE5736"/>
    <w:rsid w:val="00DE5ADC"/>
    <w:rsid w:val="00DE5CFA"/>
    <w:rsid w:val="00DE6466"/>
    <w:rsid w:val="00DE6699"/>
    <w:rsid w:val="00DE6721"/>
    <w:rsid w:val="00DE6F37"/>
    <w:rsid w:val="00DE733A"/>
    <w:rsid w:val="00DE75C4"/>
    <w:rsid w:val="00DE7AB9"/>
    <w:rsid w:val="00DE7C9A"/>
    <w:rsid w:val="00DF00D1"/>
    <w:rsid w:val="00DF0482"/>
    <w:rsid w:val="00DF05DC"/>
    <w:rsid w:val="00DF0794"/>
    <w:rsid w:val="00DF085E"/>
    <w:rsid w:val="00DF0CCF"/>
    <w:rsid w:val="00DF0EB5"/>
    <w:rsid w:val="00DF1113"/>
    <w:rsid w:val="00DF11CB"/>
    <w:rsid w:val="00DF15B4"/>
    <w:rsid w:val="00DF21F0"/>
    <w:rsid w:val="00DF2246"/>
    <w:rsid w:val="00DF237A"/>
    <w:rsid w:val="00DF2B84"/>
    <w:rsid w:val="00DF2D75"/>
    <w:rsid w:val="00DF3098"/>
    <w:rsid w:val="00DF3396"/>
    <w:rsid w:val="00DF35DC"/>
    <w:rsid w:val="00DF376E"/>
    <w:rsid w:val="00DF3840"/>
    <w:rsid w:val="00DF3867"/>
    <w:rsid w:val="00DF3CB8"/>
    <w:rsid w:val="00DF433E"/>
    <w:rsid w:val="00DF452F"/>
    <w:rsid w:val="00DF4A87"/>
    <w:rsid w:val="00DF4B03"/>
    <w:rsid w:val="00DF4D60"/>
    <w:rsid w:val="00DF5093"/>
    <w:rsid w:val="00DF5604"/>
    <w:rsid w:val="00DF5642"/>
    <w:rsid w:val="00DF58FF"/>
    <w:rsid w:val="00DF5F08"/>
    <w:rsid w:val="00DF6910"/>
    <w:rsid w:val="00DF6EC2"/>
    <w:rsid w:val="00DF75FF"/>
    <w:rsid w:val="00DF79E0"/>
    <w:rsid w:val="00DF7CC9"/>
    <w:rsid w:val="00E003D8"/>
    <w:rsid w:val="00E00D0D"/>
    <w:rsid w:val="00E00DAD"/>
    <w:rsid w:val="00E010CC"/>
    <w:rsid w:val="00E01809"/>
    <w:rsid w:val="00E01B9A"/>
    <w:rsid w:val="00E027B2"/>
    <w:rsid w:val="00E03515"/>
    <w:rsid w:val="00E0352B"/>
    <w:rsid w:val="00E037AD"/>
    <w:rsid w:val="00E03E9C"/>
    <w:rsid w:val="00E03EA0"/>
    <w:rsid w:val="00E043CA"/>
    <w:rsid w:val="00E04E89"/>
    <w:rsid w:val="00E04EC8"/>
    <w:rsid w:val="00E04F3A"/>
    <w:rsid w:val="00E05239"/>
    <w:rsid w:val="00E053BE"/>
    <w:rsid w:val="00E05482"/>
    <w:rsid w:val="00E05575"/>
    <w:rsid w:val="00E06816"/>
    <w:rsid w:val="00E06B1E"/>
    <w:rsid w:val="00E06C90"/>
    <w:rsid w:val="00E0772E"/>
    <w:rsid w:val="00E07D9F"/>
    <w:rsid w:val="00E10176"/>
    <w:rsid w:val="00E103CB"/>
    <w:rsid w:val="00E1071C"/>
    <w:rsid w:val="00E10C46"/>
    <w:rsid w:val="00E10FBF"/>
    <w:rsid w:val="00E118AA"/>
    <w:rsid w:val="00E11E3C"/>
    <w:rsid w:val="00E12498"/>
    <w:rsid w:val="00E12B37"/>
    <w:rsid w:val="00E12E85"/>
    <w:rsid w:val="00E12EDC"/>
    <w:rsid w:val="00E132AB"/>
    <w:rsid w:val="00E133C7"/>
    <w:rsid w:val="00E13791"/>
    <w:rsid w:val="00E13979"/>
    <w:rsid w:val="00E141CC"/>
    <w:rsid w:val="00E14316"/>
    <w:rsid w:val="00E14A55"/>
    <w:rsid w:val="00E14F11"/>
    <w:rsid w:val="00E150F1"/>
    <w:rsid w:val="00E151D0"/>
    <w:rsid w:val="00E154EA"/>
    <w:rsid w:val="00E15519"/>
    <w:rsid w:val="00E1561B"/>
    <w:rsid w:val="00E16BC8"/>
    <w:rsid w:val="00E16C9A"/>
    <w:rsid w:val="00E16F56"/>
    <w:rsid w:val="00E16FC4"/>
    <w:rsid w:val="00E17261"/>
    <w:rsid w:val="00E176EC"/>
    <w:rsid w:val="00E177CB"/>
    <w:rsid w:val="00E179F7"/>
    <w:rsid w:val="00E2016F"/>
    <w:rsid w:val="00E2018B"/>
    <w:rsid w:val="00E202EA"/>
    <w:rsid w:val="00E20953"/>
    <w:rsid w:val="00E20975"/>
    <w:rsid w:val="00E217AA"/>
    <w:rsid w:val="00E21EE4"/>
    <w:rsid w:val="00E21EF2"/>
    <w:rsid w:val="00E225CC"/>
    <w:rsid w:val="00E22685"/>
    <w:rsid w:val="00E228BE"/>
    <w:rsid w:val="00E229E1"/>
    <w:rsid w:val="00E22B42"/>
    <w:rsid w:val="00E22E2E"/>
    <w:rsid w:val="00E23D53"/>
    <w:rsid w:val="00E24293"/>
    <w:rsid w:val="00E243DB"/>
    <w:rsid w:val="00E249AD"/>
    <w:rsid w:val="00E249E8"/>
    <w:rsid w:val="00E24F71"/>
    <w:rsid w:val="00E25219"/>
    <w:rsid w:val="00E2585D"/>
    <w:rsid w:val="00E259C6"/>
    <w:rsid w:val="00E26136"/>
    <w:rsid w:val="00E26550"/>
    <w:rsid w:val="00E266F6"/>
    <w:rsid w:val="00E26B9A"/>
    <w:rsid w:val="00E2703C"/>
    <w:rsid w:val="00E278CD"/>
    <w:rsid w:val="00E27B9F"/>
    <w:rsid w:val="00E27D74"/>
    <w:rsid w:val="00E27DE3"/>
    <w:rsid w:val="00E3016E"/>
    <w:rsid w:val="00E30FD6"/>
    <w:rsid w:val="00E3120D"/>
    <w:rsid w:val="00E31642"/>
    <w:rsid w:val="00E31A9E"/>
    <w:rsid w:val="00E31CAD"/>
    <w:rsid w:val="00E326F9"/>
    <w:rsid w:val="00E327C9"/>
    <w:rsid w:val="00E32818"/>
    <w:rsid w:val="00E32CCD"/>
    <w:rsid w:val="00E33017"/>
    <w:rsid w:val="00E33281"/>
    <w:rsid w:val="00E3335B"/>
    <w:rsid w:val="00E333A2"/>
    <w:rsid w:val="00E33495"/>
    <w:rsid w:val="00E356F8"/>
    <w:rsid w:val="00E3619C"/>
    <w:rsid w:val="00E3621B"/>
    <w:rsid w:val="00E36CF6"/>
    <w:rsid w:val="00E36D18"/>
    <w:rsid w:val="00E36DA4"/>
    <w:rsid w:val="00E36E7F"/>
    <w:rsid w:val="00E37549"/>
    <w:rsid w:val="00E376C4"/>
    <w:rsid w:val="00E377E9"/>
    <w:rsid w:val="00E37946"/>
    <w:rsid w:val="00E37D69"/>
    <w:rsid w:val="00E37DDF"/>
    <w:rsid w:val="00E37DF7"/>
    <w:rsid w:val="00E40443"/>
    <w:rsid w:val="00E4048E"/>
    <w:rsid w:val="00E4069F"/>
    <w:rsid w:val="00E406D6"/>
    <w:rsid w:val="00E40CA9"/>
    <w:rsid w:val="00E41AD5"/>
    <w:rsid w:val="00E41CB0"/>
    <w:rsid w:val="00E42288"/>
    <w:rsid w:val="00E428C5"/>
    <w:rsid w:val="00E42E2E"/>
    <w:rsid w:val="00E42F35"/>
    <w:rsid w:val="00E43133"/>
    <w:rsid w:val="00E43484"/>
    <w:rsid w:val="00E438C3"/>
    <w:rsid w:val="00E43C73"/>
    <w:rsid w:val="00E447B0"/>
    <w:rsid w:val="00E44A1B"/>
    <w:rsid w:val="00E44DAC"/>
    <w:rsid w:val="00E45E42"/>
    <w:rsid w:val="00E4628F"/>
    <w:rsid w:val="00E47167"/>
    <w:rsid w:val="00E47257"/>
    <w:rsid w:val="00E4771A"/>
    <w:rsid w:val="00E47DC3"/>
    <w:rsid w:val="00E47F97"/>
    <w:rsid w:val="00E503BF"/>
    <w:rsid w:val="00E50779"/>
    <w:rsid w:val="00E50DA8"/>
    <w:rsid w:val="00E50F2C"/>
    <w:rsid w:val="00E5108B"/>
    <w:rsid w:val="00E5112D"/>
    <w:rsid w:val="00E512B4"/>
    <w:rsid w:val="00E51397"/>
    <w:rsid w:val="00E52121"/>
    <w:rsid w:val="00E521D7"/>
    <w:rsid w:val="00E524AC"/>
    <w:rsid w:val="00E5294A"/>
    <w:rsid w:val="00E52F6A"/>
    <w:rsid w:val="00E530ED"/>
    <w:rsid w:val="00E532DD"/>
    <w:rsid w:val="00E53590"/>
    <w:rsid w:val="00E542C0"/>
    <w:rsid w:val="00E54325"/>
    <w:rsid w:val="00E54A2E"/>
    <w:rsid w:val="00E54FB0"/>
    <w:rsid w:val="00E551F0"/>
    <w:rsid w:val="00E553A1"/>
    <w:rsid w:val="00E555A2"/>
    <w:rsid w:val="00E55960"/>
    <w:rsid w:val="00E559E6"/>
    <w:rsid w:val="00E55ACB"/>
    <w:rsid w:val="00E55B15"/>
    <w:rsid w:val="00E55DD6"/>
    <w:rsid w:val="00E5689C"/>
    <w:rsid w:val="00E57162"/>
    <w:rsid w:val="00E57560"/>
    <w:rsid w:val="00E57A94"/>
    <w:rsid w:val="00E57B79"/>
    <w:rsid w:val="00E600D0"/>
    <w:rsid w:val="00E602DC"/>
    <w:rsid w:val="00E61170"/>
    <w:rsid w:val="00E614B5"/>
    <w:rsid w:val="00E614EB"/>
    <w:rsid w:val="00E6213D"/>
    <w:rsid w:val="00E623B9"/>
    <w:rsid w:val="00E62CA9"/>
    <w:rsid w:val="00E62CE1"/>
    <w:rsid w:val="00E62F43"/>
    <w:rsid w:val="00E63074"/>
    <w:rsid w:val="00E63143"/>
    <w:rsid w:val="00E631D8"/>
    <w:rsid w:val="00E633CF"/>
    <w:rsid w:val="00E63643"/>
    <w:rsid w:val="00E636BF"/>
    <w:rsid w:val="00E63E87"/>
    <w:rsid w:val="00E63ED5"/>
    <w:rsid w:val="00E63F66"/>
    <w:rsid w:val="00E64362"/>
    <w:rsid w:val="00E648DC"/>
    <w:rsid w:val="00E649D4"/>
    <w:rsid w:val="00E64B35"/>
    <w:rsid w:val="00E64C9B"/>
    <w:rsid w:val="00E6544F"/>
    <w:rsid w:val="00E656F9"/>
    <w:rsid w:val="00E65A84"/>
    <w:rsid w:val="00E65B23"/>
    <w:rsid w:val="00E66B25"/>
    <w:rsid w:val="00E66D8C"/>
    <w:rsid w:val="00E66FC9"/>
    <w:rsid w:val="00E6717D"/>
    <w:rsid w:val="00E673FA"/>
    <w:rsid w:val="00E67925"/>
    <w:rsid w:val="00E67AB1"/>
    <w:rsid w:val="00E67FA6"/>
    <w:rsid w:val="00E67FFD"/>
    <w:rsid w:val="00E701BD"/>
    <w:rsid w:val="00E702C5"/>
    <w:rsid w:val="00E704B2"/>
    <w:rsid w:val="00E709CE"/>
    <w:rsid w:val="00E70BF1"/>
    <w:rsid w:val="00E711E6"/>
    <w:rsid w:val="00E71347"/>
    <w:rsid w:val="00E7173A"/>
    <w:rsid w:val="00E71F25"/>
    <w:rsid w:val="00E72354"/>
    <w:rsid w:val="00E72853"/>
    <w:rsid w:val="00E72D82"/>
    <w:rsid w:val="00E73296"/>
    <w:rsid w:val="00E736A1"/>
    <w:rsid w:val="00E739AA"/>
    <w:rsid w:val="00E73AC9"/>
    <w:rsid w:val="00E73C08"/>
    <w:rsid w:val="00E73CF9"/>
    <w:rsid w:val="00E7420C"/>
    <w:rsid w:val="00E7441C"/>
    <w:rsid w:val="00E7476B"/>
    <w:rsid w:val="00E74841"/>
    <w:rsid w:val="00E74CFC"/>
    <w:rsid w:val="00E74D3E"/>
    <w:rsid w:val="00E75180"/>
    <w:rsid w:val="00E7537D"/>
    <w:rsid w:val="00E756F2"/>
    <w:rsid w:val="00E7594D"/>
    <w:rsid w:val="00E75CBB"/>
    <w:rsid w:val="00E75E37"/>
    <w:rsid w:val="00E7601C"/>
    <w:rsid w:val="00E7691A"/>
    <w:rsid w:val="00E76929"/>
    <w:rsid w:val="00E76D86"/>
    <w:rsid w:val="00E77EDA"/>
    <w:rsid w:val="00E77EEF"/>
    <w:rsid w:val="00E77FC9"/>
    <w:rsid w:val="00E8009E"/>
    <w:rsid w:val="00E804C2"/>
    <w:rsid w:val="00E80572"/>
    <w:rsid w:val="00E80726"/>
    <w:rsid w:val="00E809CF"/>
    <w:rsid w:val="00E80E6F"/>
    <w:rsid w:val="00E81292"/>
    <w:rsid w:val="00E81ABA"/>
    <w:rsid w:val="00E81BDF"/>
    <w:rsid w:val="00E81CC2"/>
    <w:rsid w:val="00E81F1B"/>
    <w:rsid w:val="00E81F2B"/>
    <w:rsid w:val="00E82296"/>
    <w:rsid w:val="00E822F4"/>
    <w:rsid w:val="00E82639"/>
    <w:rsid w:val="00E82B92"/>
    <w:rsid w:val="00E832BC"/>
    <w:rsid w:val="00E83D5A"/>
    <w:rsid w:val="00E83DAF"/>
    <w:rsid w:val="00E83DFE"/>
    <w:rsid w:val="00E840BD"/>
    <w:rsid w:val="00E84173"/>
    <w:rsid w:val="00E84F29"/>
    <w:rsid w:val="00E8548A"/>
    <w:rsid w:val="00E85625"/>
    <w:rsid w:val="00E859AE"/>
    <w:rsid w:val="00E85C6A"/>
    <w:rsid w:val="00E86A6C"/>
    <w:rsid w:val="00E86B4D"/>
    <w:rsid w:val="00E86C1A"/>
    <w:rsid w:val="00E86F3F"/>
    <w:rsid w:val="00E87530"/>
    <w:rsid w:val="00E8763B"/>
    <w:rsid w:val="00E87ACD"/>
    <w:rsid w:val="00E87E87"/>
    <w:rsid w:val="00E90188"/>
    <w:rsid w:val="00E9026F"/>
    <w:rsid w:val="00E905A9"/>
    <w:rsid w:val="00E90677"/>
    <w:rsid w:val="00E90D57"/>
    <w:rsid w:val="00E91596"/>
    <w:rsid w:val="00E91CA6"/>
    <w:rsid w:val="00E91F91"/>
    <w:rsid w:val="00E92323"/>
    <w:rsid w:val="00E9241B"/>
    <w:rsid w:val="00E924C7"/>
    <w:rsid w:val="00E92E27"/>
    <w:rsid w:val="00E930CF"/>
    <w:rsid w:val="00E93D2B"/>
    <w:rsid w:val="00E93E9F"/>
    <w:rsid w:val="00E95036"/>
    <w:rsid w:val="00E953E7"/>
    <w:rsid w:val="00E95D89"/>
    <w:rsid w:val="00E960FD"/>
    <w:rsid w:val="00E96191"/>
    <w:rsid w:val="00E9643A"/>
    <w:rsid w:val="00E965A5"/>
    <w:rsid w:val="00E96900"/>
    <w:rsid w:val="00E96F1F"/>
    <w:rsid w:val="00E97CBB"/>
    <w:rsid w:val="00E97FA0"/>
    <w:rsid w:val="00EA05B3"/>
    <w:rsid w:val="00EA0751"/>
    <w:rsid w:val="00EA0992"/>
    <w:rsid w:val="00EA0C28"/>
    <w:rsid w:val="00EA0C80"/>
    <w:rsid w:val="00EA1A5E"/>
    <w:rsid w:val="00EA246C"/>
    <w:rsid w:val="00EA2719"/>
    <w:rsid w:val="00EA2773"/>
    <w:rsid w:val="00EA290D"/>
    <w:rsid w:val="00EA2ABF"/>
    <w:rsid w:val="00EA2B31"/>
    <w:rsid w:val="00EA2F34"/>
    <w:rsid w:val="00EA3850"/>
    <w:rsid w:val="00EA3B2E"/>
    <w:rsid w:val="00EA3E36"/>
    <w:rsid w:val="00EA444B"/>
    <w:rsid w:val="00EA48D7"/>
    <w:rsid w:val="00EA4C22"/>
    <w:rsid w:val="00EA5026"/>
    <w:rsid w:val="00EA54B2"/>
    <w:rsid w:val="00EA57D1"/>
    <w:rsid w:val="00EA6067"/>
    <w:rsid w:val="00EA611F"/>
    <w:rsid w:val="00EA64BD"/>
    <w:rsid w:val="00EA68B5"/>
    <w:rsid w:val="00EA6B1B"/>
    <w:rsid w:val="00EA6C91"/>
    <w:rsid w:val="00EA6EE8"/>
    <w:rsid w:val="00EA73BA"/>
    <w:rsid w:val="00EA74BD"/>
    <w:rsid w:val="00EA7607"/>
    <w:rsid w:val="00EA78C0"/>
    <w:rsid w:val="00EA7BF6"/>
    <w:rsid w:val="00EA7CBB"/>
    <w:rsid w:val="00EA7F46"/>
    <w:rsid w:val="00EB0005"/>
    <w:rsid w:val="00EB003F"/>
    <w:rsid w:val="00EB0529"/>
    <w:rsid w:val="00EB082A"/>
    <w:rsid w:val="00EB08AC"/>
    <w:rsid w:val="00EB0A3B"/>
    <w:rsid w:val="00EB0C94"/>
    <w:rsid w:val="00EB0D9E"/>
    <w:rsid w:val="00EB12CC"/>
    <w:rsid w:val="00EB1A9E"/>
    <w:rsid w:val="00EB1CB8"/>
    <w:rsid w:val="00EB1CE8"/>
    <w:rsid w:val="00EB1DC6"/>
    <w:rsid w:val="00EB21B3"/>
    <w:rsid w:val="00EB2DF4"/>
    <w:rsid w:val="00EB2F92"/>
    <w:rsid w:val="00EB2FA9"/>
    <w:rsid w:val="00EB2FE8"/>
    <w:rsid w:val="00EB30B6"/>
    <w:rsid w:val="00EB3807"/>
    <w:rsid w:val="00EB39DA"/>
    <w:rsid w:val="00EB3A6C"/>
    <w:rsid w:val="00EB3B82"/>
    <w:rsid w:val="00EB3CA7"/>
    <w:rsid w:val="00EB4386"/>
    <w:rsid w:val="00EB464C"/>
    <w:rsid w:val="00EB494D"/>
    <w:rsid w:val="00EB4AE4"/>
    <w:rsid w:val="00EB4B13"/>
    <w:rsid w:val="00EB53E7"/>
    <w:rsid w:val="00EB55B2"/>
    <w:rsid w:val="00EB5B44"/>
    <w:rsid w:val="00EB5FF8"/>
    <w:rsid w:val="00EB60FB"/>
    <w:rsid w:val="00EB64E8"/>
    <w:rsid w:val="00EB6631"/>
    <w:rsid w:val="00EB6D8D"/>
    <w:rsid w:val="00EB77B4"/>
    <w:rsid w:val="00EB7D21"/>
    <w:rsid w:val="00EC02C5"/>
    <w:rsid w:val="00EC0435"/>
    <w:rsid w:val="00EC046F"/>
    <w:rsid w:val="00EC06AB"/>
    <w:rsid w:val="00EC0747"/>
    <w:rsid w:val="00EC0803"/>
    <w:rsid w:val="00EC0AD1"/>
    <w:rsid w:val="00EC0BD3"/>
    <w:rsid w:val="00EC11DD"/>
    <w:rsid w:val="00EC1460"/>
    <w:rsid w:val="00EC1551"/>
    <w:rsid w:val="00EC169C"/>
    <w:rsid w:val="00EC1E01"/>
    <w:rsid w:val="00EC1F6F"/>
    <w:rsid w:val="00EC24A6"/>
    <w:rsid w:val="00EC2BE8"/>
    <w:rsid w:val="00EC2DC8"/>
    <w:rsid w:val="00EC3E1E"/>
    <w:rsid w:val="00EC3E4C"/>
    <w:rsid w:val="00EC48D7"/>
    <w:rsid w:val="00EC4FE1"/>
    <w:rsid w:val="00EC5044"/>
    <w:rsid w:val="00EC574B"/>
    <w:rsid w:val="00EC5A2B"/>
    <w:rsid w:val="00EC64F0"/>
    <w:rsid w:val="00EC7947"/>
    <w:rsid w:val="00EC7B27"/>
    <w:rsid w:val="00EC7C34"/>
    <w:rsid w:val="00EC7C5E"/>
    <w:rsid w:val="00ED0447"/>
    <w:rsid w:val="00ED0C69"/>
    <w:rsid w:val="00ED1348"/>
    <w:rsid w:val="00ED17B4"/>
    <w:rsid w:val="00ED1A4C"/>
    <w:rsid w:val="00ED1C6A"/>
    <w:rsid w:val="00ED1CEC"/>
    <w:rsid w:val="00ED200A"/>
    <w:rsid w:val="00ED25B6"/>
    <w:rsid w:val="00ED2925"/>
    <w:rsid w:val="00ED2C70"/>
    <w:rsid w:val="00ED328E"/>
    <w:rsid w:val="00ED388A"/>
    <w:rsid w:val="00ED3A63"/>
    <w:rsid w:val="00ED3C15"/>
    <w:rsid w:val="00ED40BE"/>
    <w:rsid w:val="00ED423E"/>
    <w:rsid w:val="00ED5537"/>
    <w:rsid w:val="00ED55E4"/>
    <w:rsid w:val="00ED58F2"/>
    <w:rsid w:val="00ED5DA5"/>
    <w:rsid w:val="00ED61C1"/>
    <w:rsid w:val="00ED6257"/>
    <w:rsid w:val="00ED6471"/>
    <w:rsid w:val="00ED6955"/>
    <w:rsid w:val="00ED6F98"/>
    <w:rsid w:val="00ED717A"/>
    <w:rsid w:val="00ED73D1"/>
    <w:rsid w:val="00ED7453"/>
    <w:rsid w:val="00ED76B1"/>
    <w:rsid w:val="00ED7A58"/>
    <w:rsid w:val="00ED7CAB"/>
    <w:rsid w:val="00ED7E70"/>
    <w:rsid w:val="00ED7E8D"/>
    <w:rsid w:val="00EE0A33"/>
    <w:rsid w:val="00EE0CA7"/>
    <w:rsid w:val="00EE0FA0"/>
    <w:rsid w:val="00EE1168"/>
    <w:rsid w:val="00EE14B7"/>
    <w:rsid w:val="00EE19B4"/>
    <w:rsid w:val="00EE1B97"/>
    <w:rsid w:val="00EE1BA1"/>
    <w:rsid w:val="00EE1DEB"/>
    <w:rsid w:val="00EE2AFE"/>
    <w:rsid w:val="00EE3447"/>
    <w:rsid w:val="00EE35B3"/>
    <w:rsid w:val="00EE3672"/>
    <w:rsid w:val="00EE412F"/>
    <w:rsid w:val="00EE4769"/>
    <w:rsid w:val="00EE492B"/>
    <w:rsid w:val="00EE493E"/>
    <w:rsid w:val="00EE51BE"/>
    <w:rsid w:val="00EE51ED"/>
    <w:rsid w:val="00EE58EC"/>
    <w:rsid w:val="00EE5918"/>
    <w:rsid w:val="00EE5F34"/>
    <w:rsid w:val="00EE63FD"/>
    <w:rsid w:val="00EE656D"/>
    <w:rsid w:val="00EE67AC"/>
    <w:rsid w:val="00EE699F"/>
    <w:rsid w:val="00EE6A96"/>
    <w:rsid w:val="00EE6D3A"/>
    <w:rsid w:val="00EE72CC"/>
    <w:rsid w:val="00EE7839"/>
    <w:rsid w:val="00EE78ED"/>
    <w:rsid w:val="00EE7DF0"/>
    <w:rsid w:val="00EF01BF"/>
    <w:rsid w:val="00EF0425"/>
    <w:rsid w:val="00EF0624"/>
    <w:rsid w:val="00EF08D0"/>
    <w:rsid w:val="00EF09AA"/>
    <w:rsid w:val="00EF0C03"/>
    <w:rsid w:val="00EF0C60"/>
    <w:rsid w:val="00EF1420"/>
    <w:rsid w:val="00EF1602"/>
    <w:rsid w:val="00EF19FC"/>
    <w:rsid w:val="00EF1AB5"/>
    <w:rsid w:val="00EF1B10"/>
    <w:rsid w:val="00EF230C"/>
    <w:rsid w:val="00EF2FF9"/>
    <w:rsid w:val="00EF303E"/>
    <w:rsid w:val="00EF3308"/>
    <w:rsid w:val="00EF3358"/>
    <w:rsid w:val="00EF38A2"/>
    <w:rsid w:val="00EF48DE"/>
    <w:rsid w:val="00EF4ADE"/>
    <w:rsid w:val="00EF4C7B"/>
    <w:rsid w:val="00EF4FBE"/>
    <w:rsid w:val="00EF50E7"/>
    <w:rsid w:val="00EF611B"/>
    <w:rsid w:val="00EF6300"/>
    <w:rsid w:val="00EF6665"/>
    <w:rsid w:val="00EF6B8D"/>
    <w:rsid w:val="00EF6FA4"/>
    <w:rsid w:val="00EF7718"/>
    <w:rsid w:val="00EF7D1B"/>
    <w:rsid w:val="00F0010E"/>
    <w:rsid w:val="00F00B5A"/>
    <w:rsid w:val="00F00DAE"/>
    <w:rsid w:val="00F00F35"/>
    <w:rsid w:val="00F011BA"/>
    <w:rsid w:val="00F01A01"/>
    <w:rsid w:val="00F01ADD"/>
    <w:rsid w:val="00F01B88"/>
    <w:rsid w:val="00F01BEF"/>
    <w:rsid w:val="00F01D41"/>
    <w:rsid w:val="00F01FC3"/>
    <w:rsid w:val="00F0228F"/>
    <w:rsid w:val="00F022A1"/>
    <w:rsid w:val="00F025C8"/>
    <w:rsid w:val="00F02E50"/>
    <w:rsid w:val="00F033B5"/>
    <w:rsid w:val="00F03506"/>
    <w:rsid w:val="00F03A7F"/>
    <w:rsid w:val="00F03C3B"/>
    <w:rsid w:val="00F04930"/>
    <w:rsid w:val="00F0497A"/>
    <w:rsid w:val="00F04E6A"/>
    <w:rsid w:val="00F05419"/>
    <w:rsid w:val="00F054A2"/>
    <w:rsid w:val="00F05562"/>
    <w:rsid w:val="00F055D6"/>
    <w:rsid w:val="00F058A9"/>
    <w:rsid w:val="00F05B1D"/>
    <w:rsid w:val="00F05E0C"/>
    <w:rsid w:val="00F05F0C"/>
    <w:rsid w:val="00F061A5"/>
    <w:rsid w:val="00F069AD"/>
    <w:rsid w:val="00F06DB0"/>
    <w:rsid w:val="00F06E5E"/>
    <w:rsid w:val="00F07118"/>
    <w:rsid w:val="00F075D1"/>
    <w:rsid w:val="00F078B3"/>
    <w:rsid w:val="00F103F0"/>
    <w:rsid w:val="00F10717"/>
    <w:rsid w:val="00F10FAD"/>
    <w:rsid w:val="00F11F83"/>
    <w:rsid w:val="00F1264B"/>
    <w:rsid w:val="00F12693"/>
    <w:rsid w:val="00F12823"/>
    <w:rsid w:val="00F12B70"/>
    <w:rsid w:val="00F12C62"/>
    <w:rsid w:val="00F12D26"/>
    <w:rsid w:val="00F12DD1"/>
    <w:rsid w:val="00F12E79"/>
    <w:rsid w:val="00F13061"/>
    <w:rsid w:val="00F1312A"/>
    <w:rsid w:val="00F14101"/>
    <w:rsid w:val="00F14631"/>
    <w:rsid w:val="00F14681"/>
    <w:rsid w:val="00F14948"/>
    <w:rsid w:val="00F15662"/>
    <w:rsid w:val="00F159BD"/>
    <w:rsid w:val="00F15BFB"/>
    <w:rsid w:val="00F15D15"/>
    <w:rsid w:val="00F15E77"/>
    <w:rsid w:val="00F15F6A"/>
    <w:rsid w:val="00F1626E"/>
    <w:rsid w:val="00F16289"/>
    <w:rsid w:val="00F16420"/>
    <w:rsid w:val="00F16827"/>
    <w:rsid w:val="00F16FC8"/>
    <w:rsid w:val="00F17084"/>
    <w:rsid w:val="00F20149"/>
    <w:rsid w:val="00F2097C"/>
    <w:rsid w:val="00F2106D"/>
    <w:rsid w:val="00F2108E"/>
    <w:rsid w:val="00F212D7"/>
    <w:rsid w:val="00F21AEB"/>
    <w:rsid w:val="00F22580"/>
    <w:rsid w:val="00F228FA"/>
    <w:rsid w:val="00F22CFE"/>
    <w:rsid w:val="00F22E15"/>
    <w:rsid w:val="00F22E31"/>
    <w:rsid w:val="00F23203"/>
    <w:rsid w:val="00F234D4"/>
    <w:rsid w:val="00F23D15"/>
    <w:rsid w:val="00F23DA6"/>
    <w:rsid w:val="00F23DAF"/>
    <w:rsid w:val="00F243B1"/>
    <w:rsid w:val="00F2452C"/>
    <w:rsid w:val="00F245F1"/>
    <w:rsid w:val="00F247D4"/>
    <w:rsid w:val="00F24D04"/>
    <w:rsid w:val="00F24D21"/>
    <w:rsid w:val="00F24E08"/>
    <w:rsid w:val="00F25A2A"/>
    <w:rsid w:val="00F25FC1"/>
    <w:rsid w:val="00F2626D"/>
    <w:rsid w:val="00F26541"/>
    <w:rsid w:val="00F30037"/>
    <w:rsid w:val="00F3003D"/>
    <w:rsid w:val="00F30334"/>
    <w:rsid w:val="00F30989"/>
    <w:rsid w:val="00F30AE0"/>
    <w:rsid w:val="00F317D1"/>
    <w:rsid w:val="00F32249"/>
    <w:rsid w:val="00F32511"/>
    <w:rsid w:val="00F325A2"/>
    <w:rsid w:val="00F32B28"/>
    <w:rsid w:val="00F32FDD"/>
    <w:rsid w:val="00F33014"/>
    <w:rsid w:val="00F33268"/>
    <w:rsid w:val="00F3335F"/>
    <w:rsid w:val="00F33830"/>
    <w:rsid w:val="00F33A4F"/>
    <w:rsid w:val="00F33CE1"/>
    <w:rsid w:val="00F346DF"/>
    <w:rsid w:val="00F34ABD"/>
    <w:rsid w:val="00F34AE6"/>
    <w:rsid w:val="00F34CB0"/>
    <w:rsid w:val="00F3504C"/>
    <w:rsid w:val="00F3524F"/>
    <w:rsid w:val="00F35482"/>
    <w:rsid w:val="00F35C18"/>
    <w:rsid w:val="00F35D0D"/>
    <w:rsid w:val="00F35DCE"/>
    <w:rsid w:val="00F3649A"/>
    <w:rsid w:val="00F3654C"/>
    <w:rsid w:val="00F3677B"/>
    <w:rsid w:val="00F37104"/>
    <w:rsid w:val="00F3716E"/>
    <w:rsid w:val="00F37471"/>
    <w:rsid w:val="00F37654"/>
    <w:rsid w:val="00F37695"/>
    <w:rsid w:val="00F378B9"/>
    <w:rsid w:val="00F37944"/>
    <w:rsid w:val="00F40056"/>
    <w:rsid w:val="00F40145"/>
    <w:rsid w:val="00F40280"/>
    <w:rsid w:val="00F4029A"/>
    <w:rsid w:val="00F4044D"/>
    <w:rsid w:val="00F407F4"/>
    <w:rsid w:val="00F40A66"/>
    <w:rsid w:val="00F40B09"/>
    <w:rsid w:val="00F40DB0"/>
    <w:rsid w:val="00F41139"/>
    <w:rsid w:val="00F413FB"/>
    <w:rsid w:val="00F41D01"/>
    <w:rsid w:val="00F42C59"/>
    <w:rsid w:val="00F42EE4"/>
    <w:rsid w:val="00F43250"/>
    <w:rsid w:val="00F432E1"/>
    <w:rsid w:val="00F43727"/>
    <w:rsid w:val="00F43BA2"/>
    <w:rsid w:val="00F43C95"/>
    <w:rsid w:val="00F43F28"/>
    <w:rsid w:val="00F440FB"/>
    <w:rsid w:val="00F44724"/>
    <w:rsid w:val="00F4477C"/>
    <w:rsid w:val="00F44C3E"/>
    <w:rsid w:val="00F44CD1"/>
    <w:rsid w:val="00F44D75"/>
    <w:rsid w:val="00F44DA4"/>
    <w:rsid w:val="00F453BD"/>
    <w:rsid w:val="00F4564E"/>
    <w:rsid w:val="00F45779"/>
    <w:rsid w:val="00F45F94"/>
    <w:rsid w:val="00F464F3"/>
    <w:rsid w:val="00F46A9C"/>
    <w:rsid w:val="00F46AF7"/>
    <w:rsid w:val="00F4711E"/>
    <w:rsid w:val="00F4735C"/>
    <w:rsid w:val="00F47E38"/>
    <w:rsid w:val="00F47EBA"/>
    <w:rsid w:val="00F50260"/>
    <w:rsid w:val="00F504CD"/>
    <w:rsid w:val="00F50529"/>
    <w:rsid w:val="00F50546"/>
    <w:rsid w:val="00F50CCD"/>
    <w:rsid w:val="00F50FAC"/>
    <w:rsid w:val="00F50FE4"/>
    <w:rsid w:val="00F516AE"/>
    <w:rsid w:val="00F525DF"/>
    <w:rsid w:val="00F536FF"/>
    <w:rsid w:val="00F53ECF"/>
    <w:rsid w:val="00F54472"/>
    <w:rsid w:val="00F54707"/>
    <w:rsid w:val="00F54C95"/>
    <w:rsid w:val="00F55D9E"/>
    <w:rsid w:val="00F56763"/>
    <w:rsid w:val="00F56A80"/>
    <w:rsid w:val="00F56DC2"/>
    <w:rsid w:val="00F56E00"/>
    <w:rsid w:val="00F571B6"/>
    <w:rsid w:val="00F57496"/>
    <w:rsid w:val="00F574C4"/>
    <w:rsid w:val="00F57512"/>
    <w:rsid w:val="00F5751F"/>
    <w:rsid w:val="00F57554"/>
    <w:rsid w:val="00F57DD6"/>
    <w:rsid w:val="00F57E5C"/>
    <w:rsid w:val="00F6030C"/>
    <w:rsid w:val="00F60918"/>
    <w:rsid w:val="00F6121E"/>
    <w:rsid w:val="00F61FA5"/>
    <w:rsid w:val="00F62324"/>
    <w:rsid w:val="00F62377"/>
    <w:rsid w:val="00F62502"/>
    <w:rsid w:val="00F6295D"/>
    <w:rsid w:val="00F629CC"/>
    <w:rsid w:val="00F62F22"/>
    <w:rsid w:val="00F6356C"/>
    <w:rsid w:val="00F63AD2"/>
    <w:rsid w:val="00F63AF2"/>
    <w:rsid w:val="00F63B4F"/>
    <w:rsid w:val="00F642F6"/>
    <w:rsid w:val="00F6445F"/>
    <w:rsid w:val="00F64870"/>
    <w:rsid w:val="00F64D17"/>
    <w:rsid w:val="00F64DEC"/>
    <w:rsid w:val="00F64E7F"/>
    <w:rsid w:val="00F65B74"/>
    <w:rsid w:val="00F65D44"/>
    <w:rsid w:val="00F664A1"/>
    <w:rsid w:val="00F66A96"/>
    <w:rsid w:val="00F66C5C"/>
    <w:rsid w:val="00F6708E"/>
    <w:rsid w:val="00F6743C"/>
    <w:rsid w:val="00F67AC1"/>
    <w:rsid w:val="00F67FF1"/>
    <w:rsid w:val="00F703FF"/>
    <w:rsid w:val="00F7053E"/>
    <w:rsid w:val="00F707EE"/>
    <w:rsid w:val="00F708D5"/>
    <w:rsid w:val="00F709E6"/>
    <w:rsid w:val="00F71463"/>
    <w:rsid w:val="00F71726"/>
    <w:rsid w:val="00F7185D"/>
    <w:rsid w:val="00F71892"/>
    <w:rsid w:val="00F71D9E"/>
    <w:rsid w:val="00F71FC3"/>
    <w:rsid w:val="00F725C2"/>
    <w:rsid w:val="00F7273E"/>
    <w:rsid w:val="00F72A93"/>
    <w:rsid w:val="00F738CF"/>
    <w:rsid w:val="00F743C1"/>
    <w:rsid w:val="00F7448B"/>
    <w:rsid w:val="00F746C1"/>
    <w:rsid w:val="00F74755"/>
    <w:rsid w:val="00F75179"/>
    <w:rsid w:val="00F760D3"/>
    <w:rsid w:val="00F7613B"/>
    <w:rsid w:val="00F761BD"/>
    <w:rsid w:val="00F77672"/>
    <w:rsid w:val="00F8023D"/>
    <w:rsid w:val="00F810A3"/>
    <w:rsid w:val="00F815BA"/>
    <w:rsid w:val="00F81628"/>
    <w:rsid w:val="00F81EE8"/>
    <w:rsid w:val="00F825F9"/>
    <w:rsid w:val="00F82CA9"/>
    <w:rsid w:val="00F82F01"/>
    <w:rsid w:val="00F83042"/>
    <w:rsid w:val="00F83103"/>
    <w:rsid w:val="00F83BB9"/>
    <w:rsid w:val="00F843F6"/>
    <w:rsid w:val="00F84F63"/>
    <w:rsid w:val="00F84FAD"/>
    <w:rsid w:val="00F85122"/>
    <w:rsid w:val="00F85B27"/>
    <w:rsid w:val="00F85B85"/>
    <w:rsid w:val="00F86179"/>
    <w:rsid w:val="00F866C3"/>
    <w:rsid w:val="00F868F3"/>
    <w:rsid w:val="00F86BF5"/>
    <w:rsid w:val="00F86D88"/>
    <w:rsid w:val="00F86E49"/>
    <w:rsid w:val="00F86EF6"/>
    <w:rsid w:val="00F875B5"/>
    <w:rsid w:val="00F8787C"/>
    <w:rsid w:val="00F879FD"/>
    <w:rsid w:val="00F87C6C"/>
    <w:rsid w:val="00F87CDB"/>
    <w:rsid w:val="00F9002D"/>
    <w:rsid w:val="00F90323"/>
    <w:rsid w:val="00F90380"/>
    <w:rsid w:val="00F903FA"/>
    <w:rsid w:val="00F90FB2"/>
    <w:rsid w:val="00F91149"/>
    <w:rsid w:val="00F92426"/>
    <w:rsid w:val="00F932FB"/>
    <w:rsid w:val="00F9334C"/>
    <w:rsid w:val="00F93376"/>
    <w:rsid w:val="00F935FD"/>
    <w:rsid w:val="00F93661"/>
    <w:rsid w:val="00F936CD"/>
    <w:rsid w:val="00F939AD"/>
    <w:rsid w:val="00F93C6A"/>
    <w:rsid w:val="00F93D78"/>
    <w:rsid w:val="00F93EF6"/>
    <w:rsid w:val="00F9409F"/>
    <w:rsid w:val="00F940AB"/>
    <w:rsid w:val="00F9467D"/>
    <w:rsid w:val="00F94829"/>
    <w:rsid w:val="00F949F8"/>
    <w:rsid w:val="00F95167"/>
    <w:rsid w:val="00F9545E"/>
    <w:rsid w:val="00F9565C"/>
    <w:rsid w:val="00F95F38"/>
    <w:rsid w:val="00F96481"/>
    <w:rsid w:val="00F97340"/>
    <w:rsid w:val="00F9740C"/>
    <w:rsid w:val="00F97F04"/>
    <w:rsid w:val="00FA0549"/>
    <w:rsid w:val="00FA069D"/>
    <w:rsid w:val="00FA0941"/>
    <w:rsid w:val="00FA0CCA"/>
    <w:rsid w:val="00FA0FCF"/>
    <w:rsid w:val="00FA10AA"/>
    <w:rsid w:val="00FA1553"/>
    <w:rsid w:val="00FA1754"/>
    <w:rsid w:val="00FA1BD7"/>
    <w:rsid w:val="00FA228A"/>
    <w:rsid w:val="00FA2347"/>
    <w:rsid w:val="00FA26A9"/>
    <w:rsid w:val="00FA2969"/>
    <w:rsid w:val="00FA323D"/>
    <w:rsid w:val="00FA595D"/>
    <w:rsid w:val="00FA5F7A"/>
    <w:rsid w:val="00FA6118"/>
    <w:rsid w:val="00FA62D4"/>
    <w:rsid w:val="00FA64D5"/>
    <w:rsid w:val="00FA67E9"/>
    <w:rsid w:val="00FA6A40"/>
    <w:rsid w:val="00FA6B1F"/>
    <w:rsid w:val="00FA6D65"/>
    <w:rsid w:val="00FA715F"/>
    <w:rsid w:val="00FA74A9"/>
    <w:rsid w:val="00FA7883"/>
    <w:rsid w:val="00FA7BC8"/>
    <w:rsid w:val="00FA7C87"/>
    <w:rsid w:val="00FA7FBB"/>
    <w:rsid w:val="00FB024A"/>
    <w:rsid w:val="00FB06EB"/>
    <w:rsid w:val="00FB07DB"/>
    <w:rsid w:val="00FB0E62"/>
    <w:rsid w:val="00FB1195"/>
    <w:rsid w:val="00FB1231"/>
    <w:rsid w:val="00FB131A"/>
    <w:rsid w:val="00FB144B"/>
    <w:rsid w:val="00FB174F"/>
    <w:rsid w:val="00FB24D2"/>
    <w:rsid w:val="00FB2E06"/>
    <w:rsid w:val="00FB2EE3"/>
    <w:rsid w:val="00FB337C"/>
    <w:rsid w:val="00FB39A7"/>
    <w:rsid w:val="00FB3E50"/>
    <w:rsid w:val="00FB41F6"/>
    <w:rsid w:val="00FB48EB"/>
    <w:rsid w:val="00FB4920"/>
    <w:rsid w:val="00FB5482"/>
    <w:rsid w:val="00FB59D1"/>
    <w:rsid w:val="00FB5E83"/>
    <w:rsid w:val="00FB62F1"/>
    <w:rsid w:val="00FB664E"/>
    <w:rsid w:val="00FB6778"/>
    <w:rsid w:val="00FB73D2"/>
    <w:rsid w:val="00FB76E4"/>
    <w:rsid w:val="00FB77AC"/>
    <w:rsid w:val="00FC02E6"/>
    <w:rsid w:val="00FC0344"/>
    <w:rsid w:val="00FC03D3"/>
    <w:rsid w:val="00FC04B0"/>
    <w:rsid w:val="00FC06F5"/>
    <w:rsid w:val="00FC0C05"/>
    <w:rsid w:val="00FC139B"/>
    <w:rsid w:val="00FC1609"/>
    <w:rsid w:val="00FC17BC"/>
    <w:rsid w:val="00FC2CA6"/>
    <w:rsid w:val="00FC3207"/>
    <w:rsid w:val="00FC3A25"/>
    <w:rsid w:val="00FC3A5C"/>
    <w:rsid w:val="00FC3AAB"/>
    <w:rsid w:val="00FC3D94"/>
    <w:rsid w:val="00FC3E67"/>
    <w:rsid w:val="00FC3FBC"/>
    <w:rsid w:val="00FC4078"/>
    <w:rsid w:val="00FC429F"/>
    <w:rsid w:val="00FC4CAD"/>
    <w:rsid w:val="00FC549D"/>
    <w:rsid w:val="00FC5C4D"/>
    <w:rsid w:val="00FC5EEB"/>
    <w:rsid w:val="00FC66C1"/>
    <w:rsid w:val="00FC6F4D"/>
    <w:rsid w:val="00FC6FDF"/>
    <w:rsid w:val="00FC70FF"/>
    <w:rsid w:val="00FC7339"/>
    <w:rsid w:val="00FC7483"/>
    <w:rsid w:val="00FC784C"/>
    <w:rsid w:val="00FC7BAA"/>
    <w:rsid w:val="00FD0294"/>
    <w:rsid w:val="00FD02F9"/>
    <w:rsid w:val="00FD079D"/>
    <w:rsid w:val="00FD07C8"/>
    <w:rsid w:val="00FD0CDB"/>
    <w:rsid w:val="00FD0FAD"/>
    <w:rsid w:val="00FD122C"/>
    <w:rsid w:val="00FD1324"/>
    <w:rsid w:val="00FD1412"/>
    <w:rsid w:val="00FD1679"/>
    <w:rsid w:val="00FD17BB"/>
    <w:rsid w:val="00FD1C8C"/>
    <w:rsid w:val="00FD1D5D"/>
    <w:rsid w:val="00FD21FB"/>
    <w:rsid w:val="00FD237B"/>
    <w:rsid w:val="00FD26B7"/>
    <w:rsid w:val="00FD2806"/>
    <w:rsid w:val="00FD2E32"/>
    <w:rsid w:val="00FD3283"/>
    <w:rsid w:val="00FD38EA"/>
    <w:rsid w:val="00FD3B80"/>
    <w:rsid w:val="00FD3E32"/>
    <w:rsid w:val="00FD4566"/>
    <w:rsid w:val="00FD498F"/>
    <w:rsid w:val="00FD5E1A"/>
    <w:rsid w:val="00FD5EC3"/>
    <w:rsid w:val="00FD611A"/>
    <w:rsid w:val="00FD771E"/>
    <w:rsid w:val="00FD7728"/>
    <w:rsid w:val="00FE06CB"/>
    <w:rsid w:val="00FE073F"/>
    <w:rsid w:val="00FE180A"/>
    <w:rsid w:val="00FE1B45"/>
    <w:rsid w:val="00FE1E0D"/>
    <w:rsid w:val="00FE2121"/>
    <w:rsid w:val="00FE29D6"/>
    <w:rsid w:val="00FE2A73"/>
    <w:rsid w:val="00FE2B50"/>
    <w:rsid w:val="00FE3264"/>
    <w:rsid w:val="00FE36D5"/>
    <w:rsid w:val="00FE4078"/>
    <w:rsid w:val="00FE4377"/>
    <w:rsid w:val="00FE4A0E"/>
    <w:rsid w:val="00FE4A68"/>
    <w:rsid w:val="00FE4F6E"/>
    <w:rsid w:val="00FE515A"/>
    <w:rsid w:val="00FE5188"/>
    <w:rsid w:val="00FE574B"/>
    <w:rsid w:val="00FE57DA"/>
    <w:rsid w:val="00FE59A5"/>
    <w:rsid w:val="00FE5E52"/>
    <w:rsid w:val="00FE6DFB"/>
    <w:rsid w:val="00FE6E16"/>
    <w:rsid w:val="00FE7AF0"/>
    <w:rsid w:val="00FF02D3"/>
    <w:rsid w:val="00FF07FF"/>
    <w:rsid w:val="00FF1261"/>
    <w:rsid w:val="00FF13FE"/>
    <w:rsid w:val="00FF17EA"/>
    <w:rsid w:val="00FF1815"/>
    <w:rsid w:val="00FF1B22"/>
    <w:rsid w:val="00FF2022"/>
    <w:rsid w:val="00FF2245"/>
    <w:rsid w:val="00FF2374"/>
    <w:rsid w:val="00FF2846"/>
    <w:rsid w:val="00FF28D9"/>
    <w:rsid w:val="00FF2C51"/>
    <w:rsid w:val="00FF2E2A"/>
    <w:rsid w:val="00FF3219"/>
    <w:rsid w:val="00FF33C0"/>
    <w:rsid w:val="00FF3427"/>
    <w:rsid w:val="00FF3BB6"/>
    <w:rsid w:val="00FF4577"/>
    <w:rsid w:val="00FF48E1"/>
    <w:rsid w:val="00FF5314"/>
    <w:rsid w:val="00FF5528"/>
    <w:rsid w:val="00FF57AE"/>
    <w:rsid w:val="00FF58A2"/>
    <w:rsid w:val="00FF64B9"/>
    <w:rsid w:val="00FF69C4"/>
    <w:rsid w:val="00FF6B69"/>
    <w:rsid w:val="00FF6EC9"/>
    <w:rsid w:val="00FF6F3B"/>
    <w:rsid w:val="00FF757E"/>
    <w:rsid w:val="00FF7A16"/>
    <w:rsid w:val="00FF7A1A"/>
    <w:rsid w:val="00FF7D9E"/>
    <w:rsid w:val="00FF7FB0"/>
    <w:rsid w:val="00FF7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329921-4CC3-44C7-A15E-5654AB7A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22"/>
    <w:rPr>
      <w:sz w:val="24"/>
      <w:szCs w:val="24"/>
    </w:rPr>
  </w:style>
  <w:style w:type="paragraph" w:styleId="Heading2">
    <w:name w:val="heading 2"/>
    <w:basedOn w:val="Normal"/>
    <w:next w:val="Normal"/>
    <w:link w:val="Heading2Char"/>
    <w:uiPriority w:val="99"/>
    <w:qFormat/>
    <w:rsid w:val="00C74A5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E374E"/>
    <w:rPr>
      <w:rFonts w:ascii="Cambria" w:hAnsi="Cambria" w:cs="Times New Roman"/>
      <w:b/>
      <w:bCs/>
      <w:i/>
      <w:iCs/>
      <w:sz w:val="28"/>
      <w:szCs w:val="28"/>
      <w:lang w:val="en-GB" w:eastAsia="en-GB"/>
    </w:rPr>
  </w:style>
  <w:style w:type="paragraph" w:styleId="Header">
    <w:name w:val="header"/>
    <w:basedOn w:val="Normal"/>
    <w:link w:val="HeaderChar"/>
    <w:uiPriority w:val="99"/>
    <w:rsid w:val="00660104"/>
    <w:pPr>
      <w:tabs>
        <w:tab w:val="center" w:pos="4419"/>
        <w:tab w:val="right" w:pos="8838"/>
      </w:tabs>
    </w:pPr>
  </w:style>
  <w:style w:type="character" w:customStyle="1" w:styleId="HeaderChar">
    <w:name w:val="Header Char"/>
    <w:link w:val="Header"/>
    <w:uiPriority w:val="99"/>
    <w:locked/>
    <w:rsid w:val="00660104"/>
    <w:rPr>
      <w:rFonts w:cs="Times New Roman"/>
      <w:sz w:val="24"/>
      <w:lang w:val="en-GB" w:eastAsia="en-GB"/>
    </w:rPr>
  </w:style>
  <w:style w:type="paragraph" w:styleId="Footer">
    <w:name w:val="footer"/>
    <w:basedOn w:val="Normal"/>
    <w:link w:val="FooterChar"/>
    <w:uiPriority w:val="99"/>
    <w:rsid w:val="00660104"/>
    <w:pPr>
      <w:tabs>
        <w:tab w:val="center" w:pos="4419"/>
        <w:tab w:val="right" w:pos="8838"/>
      </w:tabs>
    </w:pPr>
  </w:style>
  <w:style w:type="character" w:customStyle="1" w:styleId="FooterChar">
    <w:name w:val="Footer Char"/>
    <w:link w:val="Footer"/>
    <w:uiPriority w:val="99"/>
    <w:locked/>
    <w:rsid w:val="00660104"/>
    <w:rPr>
      <w:rFonts w:cs="Times New Roman"/>
      <w:sz w:val="24"/>
      <w:lang w:val="en-GB" w:eastAsia="en-GB"/>
    </w:rPr>
  </w:style>
  <w:style w:type="paragraph" w:styleId="FootnoteText">
    <w:name w:val="footnote text"/>
    <w:basedOn w:val="Normal"/>
    <w:link w:val="FootnoteTextChar"/>
    <w:uiPriority w:val="99"/>
    <w:rsid w:val="008912AA"/>
    <w:rPr>
      <w:sz w:val="20"/>
      <w:szCs w:val="20"/>
    </w:rPr>
  </w:style>
  <w:style w:type="character" w:customStyle="1" w:styleId="FootnoteTextChar">
    <w:name w:val="Footnote Text Char"/>
    <w:link w:val="FootnoteText"/>
    <w:uiPriority w:val="99"/>
    <w:locked/>
    <w:rsid w:val="008912AA"/>
    <w:rPr>
      <w:rFonts w:cs="Times New Roman"/>
      <w:lang w:val="en-GB" w:eastAsia="en-GB"/>
    </w:rPr>
  </w:style>
  <w:style w:type="character" w:styleId="FootnoteReference">
    <w:name w:val="footnote reference"/>
    <w:uiPriority w:val="99"/>
    <w:rsid w:val="008912AA"/>
    <w:rPr>
      <w:rFonts w:cs="Times New Roman"/>
      <w:vertAlign w:val="superscript"/>
    </w:rPr>
  </w:style>
  <w:style w:type="paragraph" w:styleId="BodyText2">
    <w:name w:val="Body Text 2"/>
    <w:basedOn w:val="Normal"/>
    <w:link w:val="BodyText2Char"/>
    <w:uiPriority w:val="99"/>
    <w:rsid w:val="001A73EB"/>
    <w:pPr>
      <w:jc w:val="both"/>
    </w:pPr>
    <w:rPr>
      <w:szCs w:val="20"/>
      <w:lang w:eastAsia="es-ES"/>
    </w:rPr>
  </w:style>
  <w:style w:type="character" w:customStyle="1" w:styleId="BodyText2Char">
    <w:name w:val="Body Text 2 Char"/>
    <w:link w:val="BodyText2"/>
    <w:uiPriority w:val="99"/>
    <w:locked/>
    <w:rsid w:val="001A73EB"/>
    <w:rPr>
      <w:rFonts w:cs="Times New Roman"/>
      <w:sz w:val="24"/>
      <w:lang w:val="en-GB"/>
    </w:rPr>
  </w:style>
  <w:style w:type="paragraph" w:styleId="Quote">
    <w:name w:val="Quote"/>
    <w:basedOn w:val="Normal"/>
    <w:next w:val="Normal"/>
    <w:link w:val="QuoteChar"/>
    <w:uiPriority w:val="99"/>
    <w:qFormat/>
    <w:rsid w:val="0014106E"/>
    <w:rPr>
      <w:i/>
      <w:iCs/>
      <w:color w:val="000000"/>
    </w:rPr>
  </w:style>
  <w:style w:type="character" w:customStyle="1" w:styleId="QuoteChar">
    <w:name w:val="Quote Char"/>
    <w:link w:val="Quote"/>
    <w:uiPriority w:val="99"/>
    <w:locked/>
    <w:rsid w:val="0014106E"/>
    <w:rPr>
      <w:rFonts w:cs="Times New Roman"/>
      <w:i/>
      <w:color w:val="000000"/>
      <w:sz w:val="24"/>
      <w:lang w:val="en-GB" w:eastAsia="en-GB"/>
    </w:rPr>
  </w:style>
  <w:style w:type="character" w:styleId="Hyperlink">
    <w:name w:val="Hyperlink"/>
    <w:uiPriority w:val="99"/>
    <w:rsid w:val="00DB5B30"/>
    <w:rPr>
      <w:rFonts w:cs="Times New Roman"/>
      <w:color w:val="0000FF"/>
      <w:u w:val="single"/>
    </w:rPr>
  </w:style>
  <w:style w:type="paragraph" w:styleId="ListParagraph">
    <w:name w:val="List Paragraph"/>
    <w:basedOn w:val="Normal"/>
    <w:uiPriority w:val="99"/>
    <w:qFormat/>
    <w:rsid w:val="00D27117"/>
    <w:pPr>
      <w:ind w:left="720"/>
    </w:pPr>
  </w:style>
  <w:style w:type="paragraph" w:customStyle="1" w:styleId="Default">
    <w:name w:val="Default"/>
    <w:uiPriority w:val="99"/>
    <w:rsid w:val="007845E1"/>
    <w:pPr>
      <w:autoSpaceDE w:val="0"/>
      <w:autoSpaceDN w:val="0"/>
      <w:adjustRightInd w:val="0"/>
    </w:pPr>
    <w:rPr>
      <w:rFonts w:ascii="QYPCUK+Palatino-Bold" w:hAnsi="QYPCUK+Palatino-Bold" w:cs="QYPCUK+Palatino-Bold"/>
      <w:color w:val="000000"/>
      <w:sz w:val="24"/>
      <w:szCs w:val="24"/>
      <w:lang w:val="en-US" w:eastAsia="en-US"/>
    </w:rPr>
  </w:style>
  <w:style w:type="paragraph" w:customStyle="1" w:styleId="Pa4">
    <w:name w:val="Pa4"/>
    <w:basedOn w:val="Default"/>
    <w:next w:val="Default"/>
    <w:uiPriority w:val="99"/>
    <w:rsid w:val="007845E1"/>
    <w:pPr>
      <w:spacing w:line="160" w:lineRule="atLeast"/>
    </w:pPr>
    <w:rPr>
      <w:rFonts w:cs="Times New Roman"/>
      <w:color w:val="auto"/>
    </w:rPr>
  </w:style>
  <w:style w:type="paragraph" w:customStyle="1" w:styleId="Pa7">
    <w:name w:val="Pa7"/>
    <w:basedOn w:val="Default"/>
    <w:next w:val="Default"/>
    <w:uiPriority w:val="99"/>
    <w:rsid w:val="007845E1"/>
    <w:pPr>
      <w:spacing w:line="140" w:lineRule="atLeast"/>
    </w:pPr>
    <w:rPr>
      <w:rFonts w:cs="Times New Roman"/>
      <w:color w:val="auto"/>
    </w:rPr>
  </w:style>
  <w:style w:type="character" w:customStyle="1" w:styleId="A4">
    <w:name w:val="A4"/>
    <w:uiPriority w:val="99"/>
    <w:rsid w:val="007845E1"/>
    <w:rPr>
      <w:rFonts w:ascii="JUXMAY+Palatino-Roman" w:hAnsi="JUXMAY+Palatino-Roman"/>
      <w:color w:val="000000"/>
      <w:sz w:val="11"/>
    </w:rPr>
  </w:style>
  <w:style w:type="paragraph" w:customStyle="1" w:styleId="Pa10">
    <w:name w:val="Pa10"/>
    <w:basedOn w:val="Default"/>
    <w:next w:val="Default"/>
    <w:uiPriority w:val="99"/>
    <w:rsid w:val="007845E1"/>
    <w:pPr>
      <w:spacing w:line="140" w:lineRule="atLeast"/>
    </w:pPr>
    <w:rPr>
      <w:rFonts w:cs="Times New Roman"/>
      <w:color w:val="auto"/>
    </w:rPr>
  </w:style>
  <w:style w:type="paragraph" w:styleId="HTMLPreformatted">
    <w:name w:val="HTML Preformatted"/>
    <w:basedOn w:val="Normal"/>
    <w:link w:val="HTMLPreformattedChar"/>
    <w:uiPriority w:val="99"/>
    <w:rsid w:val="002B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eastAsia="es-ES"/>
    </w:rPr>
  </w:style>
  <w:style w:type="character" w:customStyle="1" w:styleId="HTMLPreformattedChar">
    <w:name w:val="HTML Preformatted Char"/>
    <w:link w:val="HTMLPreformatted"/>
    <w:uiPriority w:val="99"/>
    <w:locked/>
    <w:rsid w:val="002B5578"/>
    <w:rPr>
      <w:rFonts w:ascii="Courier New" w:hAnsi="Courier New" w:cs="Times New Roman"/>
    </w:rPr>
  </w:style>
  <w:style w:type="paragraph" w:styleId="NormalWeb">
    <w:name w:val="Normal (Web)"/>
    <w:basedOn w:val="Normal"/>
    <w:uiPriority w:val="99"/>
    <w:rsid w:val="00F01D41"/>
    <w:pPr>
      <w:spacing w:before="100" w:beforeAutospacing="1" w:after="100" w:afterAutospacing="1"/>
    </w:pPr>
    <w:rPr>
      <w:lang w:val="en-US" w:eastAsia="en-US"/>
    </w:rPr>
  </w:style>
  <w:style w:type="character" w:styleId="HTMLCite">
    <w:name w:val="HTML Cite"/>
    <w:uiPriority w:val="99"/>
    <w:rsid w:val="00F01D41"/>
    <w:rPr>
      <w:rFonts w:cs="Times New Roman"/>
      <w:i/>
      <w:iCs/>
    </w:rPr>
  </w:style>
  <w:style w:type="paragraph" w:styleId="EndnoteText">
    <w:name w:val="endnote text"/>
    <w:basedOn w:val="Normal"/>
    <w:link w:val="EndnoteTextChar"/>
    <w:uiPriority w:val="99"/>
    <w:rsid w:val="00B26915"/>
    <w:rPr>
      <w:sz w:val="20"/>
      <w:szCs w:val="20"/>
    </w:rPr>
  </w:style>
  <w:style w:type="character" w:customStyle="1" w:styleId="EndnoteTextChar">
    <w:name w:val="Endnote Text Char"/>
    <w:link w:val="EndnoteText"/>
    <w:uiPriority w:val="99"/>
    <w:locked/>
    <w:rsid w:val="00B26915"/>
    <w:rPr>
      <w:rFonts w:cs="Times New Roman"/>
      <w:lang w:val="en-GB" w:eastAsia="en-GB"/>
    </w:rPr>
  </w:style>
  <w:style w:type="character" w:styleId="EndnoteReference">
    <w:name w:val="endnote reference"/>
    <w:uiPriority w:val="99"/>
    <w:rsid w:val="00B26915"/>
    <w:rPr>
      <w:rFonts w:cs="Times New Roman"/>
      <w:vertAlign w:val="superscript"/>
    </w:rPr>
  </w:style>
  <w:style w:type="paragraph" w:styleId="Subtitle">
    <w:name w:val="Subtitle"/>
    <w:basedOn w:val="Normal"/>
    <w:next w:val="Normal"/>
    <w:link w:val="SubtitleChar"/>
    <w:uiPriority w:val="99"/>
    <w:qFormat/>
    <w:rsid w:val="00A82F77"/>
    <w:pPr>
      <w:spacing w:after="60"/>
      <w:jc w:val="center"/>
      <w:outlineLvl w:val="1"/>
    </w:pPr>
    <w:rPr>
      <w:rFonts w:ascii="Cambria" w:hAnsi="Cambria"/>
    </w:rPr>
  </w:style>
  <w:style w:type="character" w:customStyle="1" w:styleId="SubtitleChar">
    <w:name w:val="Subtitle Char"/>
    <w:link w:val="Subtitle"/>
    <w:uiPriority w:val="99"/>
    <w:locked/>
    <w:rsid w:val="00A82F77"/>
    <w:rPr>
      <w:rFonts w:ascii="Cambria" w:hAnsi="Cambria" w:cs="Times New Roman"/>
      <w:sz w:val="24"/>
      <w:szCs w:val="24"/>
      <w:lang w:val="en-GB" w:eastAsia="en-GB"/>
    </w:rPr>
  </w:style>
  <w:style w:type="paragraph" w:styleId="BalloonText">
    <w:name w:val="Balloon Text"/>
    <w:basedOn w:val="Normal"/>
    <w:link w:val="BalloonTextChar"/>
    <w:uiPriority w:val="99"/>
    <w:rsid w:val="005745A9"/>
    <w:rPr>
      <w:rFonts w:ascii="Tahoma" w:hAnsi="Tahoma" w:cs="Tahoma"/>
      <w:sz w:val="16"/>
      <w:szCs w:val="16"/>
    </w:rPr>
  </w:style>
  <w:style w:type="character" w:customStyle="1" w:styleId="BalloonTextChar">
    <w:name w:val="Balloon Text Char"/>
    <w:link w:val="BalloonText"/>
    <w:uiPriority w:val="99"/>
    <w:locked/>
    <w:rsid w:val="005745A9"/>
    <w:rPr>
      <w:rFonts w:ascii="Tahoma" w:hAnsi="Tahoma" w:cs="Tahoma"/>
      <w:sz w:val="16"/>
      <w:szCs w:val="16"/>
      <w:lang w:val="en-GB" w:eastAsia="en-GB"/>
    </w:rPr>
  </w:style>
  <w:style w:type="character" w:styleId="SubtleReference">
    <w:name w:val="Subtle Reference"/>
    <w:basedOn w:val="DefaultParagraphFont"/>
    <w:uiPriority w:val="31"/>
    <w:qFormat/>
    <w:rsid w:val="00B3241F"/>
    <w:rPr>
      <w:smallCaps/>
      <w:color w:val="auto"/>
    </w:rPr>
  </w:style>
  <w:style w:type="character" w:styleId="Mention">
    <w:name w:val="Mention"/>
    <w:basedOn w:val="DefaultParagraphFont"/>
    <w:uiPriority w:val="99"/>
    <w:semiHidden/>
    <w:unhideWhenUsed/>
    <w:rsid w:val="002D210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21394">
      <w:bodyDiv w:val="1"/>
      <w:marLeft w:val="0"/>
      <w:marRight w:val="0"/>
      <w:marTop w:val="0"/>
      <w:marBottom w:val="0"/>
      <w:divBdr>
        <w:top w:val="none" w:sz="0" w:space="0" w:color="auto"/>
        <w:left w:val="none" w:sz="0" w:space="0" w:color="auto"/>
        <w:bottom w:val="none" w:sz="0" w:space="0" w:color="auto"/>
        <w:right w:val="none" w:sz="0" w:space="0" w:color="auto"/>
      </w:divBdr>
    </w:div>
    <w:div w:id="1421297337">
      <w:marLeft w:val="0"/>
      <w:marRight w:val="0"/>
      <w:marTop w:val="0"/>
      <w:marBottom w:val="0"/>
      <w:divBdr>
        <w:top w:val="none" w:sz="0" w:space="0" w:color="auto"/>
        <w:left w:val="none" w:sz="0" w:space="0" w:color="auto"/>
        <w:bottom w:val="none" w:sz="0" w:space="0" w:color="auto"/>
        <w:right w:val="none" w:sz="0" w:space="0" w:color="auto"/>
      </w:divBdr>
    </w:div>
    <w:div w:id="1421297368">
      <w:marLeft w:val="0"/>
      <w:marRight w:val="0"/>
      <w:marTop w:val="0"/>
      <w:marBottom w:val="0"/>
      <w:divBdr>
        <w:top w:val="none" w:sz="0" w:space="0" w:color="auto"/>
        <w:left w:val="none" w:sz="0" w:space="0" w:color="auto"/>
        <w:bottom w:val="none" w:sz="0" w:space="0" w:color="auto"/>
        <w:right w:val="none" w:sz="0" w:space="0" w:color="auto"/>
      </w:divBdr>
      <w:divsChild>
        <w:div w:id="1421297392">
          <w:marLeft w:val="0"/>
          <w:marRight w:val="0"/>
          <w:marTop w:val="0"/>
          <w:marBottom w:val="0"/>
          <w:divBdr>
            <w:top w:val="none" w:sz="0" w:space="0" w:color="auto"/>
            <w:left w:val="none" w:sz="0" w:space="0" w:color="auto"/>
            <w:bottom w:val="none" w:sz="0" w:space="0" w:color="auto"/>
            <w:right w:val="none" w:sz="0" w:space="0" w:color="auto"/>
          </w:divBdr>
          <w:divsChild>
            <w:div w:id="1421297387">
              <w:marLeft w:val="9"/>
              <w:marRight w:val="9"/>
              <w:marTop w:val="9"/>
              <w:marBottom w:val="9"/>
              <w:divBdr>
                <w:top w:val="none" w:sz="0" w:space="0" w:color="auto"/>
                <w:left w:val="none" w:sz="0" w:space="0" w:color="auto"/>
                <w:bottom w:val="none" w:sz="0" w:space="0" w:color="auto"/>
                <w:right w:val="none" w:sz="0" w:space="0" w:color="auto"/>
              </w:divBdr>
              <w:divsChild>
                <w:div w:id="1421297375">
                  <w:marLeft w:val="47"/>
                  <w:marRight w:val="47"/>
                  <w:marTop w:val="0"/>
                  <w:marBottom w:val="0"/>
                  <w:divBdr>
                    <w:top w:val="single" w:sz="4" w:space="2" w:color="CCCCCC"/>
                    <w:left w:val="single" w:sz="4" w:space="2" w:color="CCCCCC"/>
                    <w:bottom w:val="single" w:sz="4" w:space="2" w:color="CCCCCC"/>
                    <w:right w:val="single" w:sz="4" w:space="2" w:color="CCCCCC"/>
                  </w:divBdr>
                </w:div>
                <w:div w:id="1421297400">
                  <w:marLeft w:val="47"/>
                  <w:marRight w:val="47"/>
                  <w:marTop w:val="0"/>
                  <w:marBottom w:val="0"/>
                  <w:divBdr>
                    <w:top w:val="single" w:sz="4" w:space="0" w:color="CCCCCC"/>
                    <w:left w:val="single" w:sz="4" w:space="0" w:color="CCCCCC"/>
                    <w:bottom w:val="single" w:sz="4" w:space="0" w:color="CCCCCC"/>
                    <w:right w:val="single" w:sz="4" w:space="0" w:color="CCCCCC"/>
                  </w:divBdr>
                </w:div>
                <w:div w:id="1421297411">
                  <w:marLeft w:val="47"/>
                  <w:marRight w:val="47"/>
                  <w:marTop w:val="0"/>
                  <w:marBottom w:val="0"/>
                  <w:divBdr>
                    <w:top w:val="single" w:sz="4" w:space="0" w:color="CCCCCC"/>
                    <w:left w:val="single" w:sz="4" w:space="0" w:color="CCCCCC"/>
                    <w:bottom w:val="single" w:sz="4" w:space="0" w:color="CCCCCC"/>
                    <w:right w:val="single" w:sz="4" w:space="0" w:color="CCCCCC"/>
                  </w:divBdr>
                </w:div>
                <w:div w:id="1421297426">
                  <w:marLeft w:val="47"/>
                  <w:marRight w:val="47"/>
                  <w:marTop w:val="0"/>
                  <w:marBottom w:val="0"/>
                  <w:divBdr>
                    <w:top w:val="single" w:sz="4" w:space="2" w:color="CCCCCC"/>
                    <w:left w:val="single" w:sz="4" w:space="2" w:color="CCCCCC"/>
                    <w:bottom w:val="single" w:sz="4" w:space="2" w:color="CCCCCC"/>
                    <w:right w:val="single" w:sz="4" w:space="2" w:color="CCCCCC"/>
                  </w:divBdr>
                </w:div>
                <w:div w:id="1421297438">
                  <w:marLeft w:val="47"/>
                  <w:marRight w:val="47"/>
                  <w:marTop w:val="0"/>
                  <w:marBottom w:val="0"/>
                  <w:divBdr>
                    <w:top w:val="single" w:sz="4" w:space="0" w:color="CCCCCC"/>
                    <w:left w:val="single" w:sz="4" w:space="0" w:color="CCCCCC"/>
                    <w:bottom w:val="single" w:sz="4" w:space="0" w:color="CCCCCC"/>
                    <w:right w:val="single" w:sz="4" w:space="0" w:color="CCCCCC"/>
                  </w:divBdr>
                </w:div>
                <w:div w:id="1421297453">
                  <w:marLeft w:val="47"/>
                  <w:marRight w:val="47"/>
                  <w:marTop w:val="0"/>
                  <w:marBottom w:val="0"/>
                  <w:divBdr>
                    <w:top w:val="single" w:sz="4" w:space="0" w:color="CCCCCC"/>
                    <w:left w:val="single" w:sz="4" w:space="0" w:color="CCCCCC"/>
                    <w:bottom w:val="single" w:sz="4" w:space="0" w:color="CCCCCC"/>
                    <w:right w:val="single" w:sz="4" w:space="0" w:color="CCCCCC"/>
                  </w:divBdr>
                </w:div>
                <w:div w:id="1421297460">
                  <w:marLeft w:val="47"/>
                  <w:marRight w:val="47"/>
                  <w:marTop w:val="0"/>
                  <w:marBottom w:val="0"/>
                  <w:divBdr>
                    <w:top w:val="single" w:sz="4" w:space="2" w:color="CCCCCC"/>
                    <w:left w:val="single" w:sz="4" w:space="2" w:color="CCCCCC"/>
                    <w:bottom w:val="single" w:sz="4" w:space="2" w:color="CCCCCC"/>
                    <w:right w:val="single" w:sz="4" w:space="2" w:color="CCCCCC"/>
                  </w:divBdr>
                </w:div>
              </w:divsChild>
            </w:div>
          </w:divsChild>
        </w:div>
      </w:divsChild>
    </w:div>
    <w:div w:id="1421297369">
      <w:marLeft w:val="0"/>
      <w:marRight w:val="0"/>
      <w:marTop w:val="0"/>
      <w:marBottom w:val="0"/>
      <w:divBdr>
        <w:top w:val="none" w:sz="0" w:space="0" w:color="auto"/>
        <w:left w:val="none" w:sz="0" w:space="0" w:color="auto"/>
        <w:bottom w:val="none" w:sz="0" w:space="0" w:color="auto"/>
        <w:right w:val="none" w:sz="0" w:space="0" w:color="auto"/>
      </w:divBdr>
    </w:div>
    <w:div w:id="1421297391">
      <w:marLeft w:val="0"/>
      <w:marRight w:val="0"/>
      <w:marTop w:val="0"/>
      <w:marBottom w:val="0"/>
      <w:divBdr>
        <w:top w:val="none" w:sz="0" w:space="0" w:color="auto"/>
        <w:left w:val="none" w:sz="0" w:space="0" w:color="auto"/>
        <w:bottom w:val="none" w:sz="0" w:space="0" w:color="auto"/>
        <w:right w:val="none" w:sz="0" w:space="0" w:color="auto"/>
      </w:divBdr>
      <w:divsChild>
        <w:div w:id="1421297393">
          <w:marLeft w:val="1138"/>
          <w:marRight w:val="0"/>
          <w:marTop w:val="96"/>
          <w:marBottom w:val="0"/>
          <w:divBdr>
            <w:top w:val="none" w:sz="0" w:space="0" w:color="auto"/>
            <w:left w:val="none" w:sz="0" w:space="0" w:color="auto"/>
            <w:bottom w:val="none" w:sz="0" w:space="0" w:color="auto"/>
            <w:right w:val="none" w:sz="0" w:space="0" w:color="auto"/>
          </w:divBdr>
        </w:div>
        <w:div w:id="1421297410">
          <w:marLeft w:val="662"/>
          <w:marRight w:val="0"/>
          <w:marTop w:val="96"/>
          <w:marBottom w:val="0"/>
          <w:divBdr>
            <w:top w:val="none" w:sz="0" w:space="0" w:color="auto"/>
            <w:left w:val="none" w:sz="0" w:space="0" w:color="auto"/>
            <w:bottom w:val="none" w:sz="0" w:space="0" w:color="auto"/>
            <w:right w:val="none" w:sz="0" w:space="0" w:color="auto"/>
          </w:divBdr>
        </w:div>
      </w:divsChild>
    </w:div>
    <w:div w:id="1421297412">
      <w:marLeft w:val="0"/>
      <w:marRight w:val="0"/>
      <w:marTop w:val="0"/>
      <w:marBottom w:val="0"/>
      <w:divBdr>
        <w:top w:val="none" w:sz="0" w:space="0" w:color="auto"/>
        <w:left w:val="none" w:sz="0" w:space="0" w:color="auto"/>
        <w:bottom w:val="none" w:sz="0" w:space="0" w:color="auto"/>
        <w:right w:val="none" w:sz="0" w:space="0" w:color="auto"/>
      </w:divBdr>
      <w:divsChild>
        <w:div w:id="1421297425">
          <w:marLeft w:val="0"/>
          <w:marRight w:val="0"/>
          <w:marTop w:val="0"/>
          <w:marBottom w:val="0"/>
          <w:divBdr>
            <w:top w:val="none" w:sz="0" w:space="0" w:color="auto"/>
            <w:left w:val="none" w:sz="0" w:space="0" w:color="auto"/>
            <w:bottom w:val="none" w:sz="0" w:space="0" w:color="auto"/>
            <w:right w:val="none" w:sz="0" w:space="0" w:color="auto"/>
          </w:divBdr>
          <w:divsChild>
            <w:div w:id="1421297461">
              <w:marLeft w:val="9"/>
              <w:marRight w:val="9"/>
              <w:marTop w:val="9"/>
              <w:marBottom w:val="9"/>
              <w:divBdr>
                <w:top w:val="none" w:sz="0" w:space="0" w:color="auto"/>
                <w:left w:val="none" w:sz="0" w:space="0" w:color="auto"/>
                <w:bottom w:val="none" w:sz="0" w:space="0" w:color="auto"/>
                <w:right w:val="none" w:sz="0" w:space="0" w:color="auto"/>
              </w:divBdr>
              <w:divsChild>
                <w:div w:id="1421297325">
                  <w:marLeft w:val="47"/>
                  <w:marRight w:val="47"/>
                  <w:marTop w:val="0"/>
                  <w:marBottom w:val="0"/>
                  <w:divBdr>
                    <w:top w:val="single" w:sz="4" w:space="2" w:color="CCCCCC"/>
                    <w:left w:val="single" w:sz="4" w:space="2" w:color="CCCCCC"/>
                    <w:bottom w:val="single" w:sz="4" w:space="2" w:color="CCCCCC"/>
                    <w:right w:val="single" w:sz="4" w:space="2" w:color="CCCCCC"/>
                  </w:divBdr>
                </w:div>
                <w:div w:id="1421297328">
                  <w:marLeft w:val="47"/>
                  <w:marRight w:val="47"/>
                  <w:marTop w:val="0"/>
                  <w:marBottom w:val="0"/>
                  <w:divBdr>
                    <w:top w:val="single" w:sz="4" w:space="0" w:color="CCCCCC"/>
                    <w:left w:val="single" w:sz="4" w:space="0" w:color="CCCCCC"/>
                    <w:bottom w:val="single" w:sz="4" w:space="0" w:color="CCCCCC"/>
                    <w:right w:val="single" w:sz="4" w:space="0" w:color="CCCCCC"/>
                  </w:divBdr>
                </w:div>
                <w:div w:id="1421297353">
                  <w:marLeft w:val="47"/>
                  <w:marRight w:val="47"/>
                  <w:marTop w:val="0"/>
                  <w:marBottom w:val="0"/>
                  <w:divBdr>
                    <w:top w:val="single" w:sz="4" w:space="0" w:color="CCCCCC"/>
                    <w:left w:val="single" w:sz="4" w:space="0" w:color="CCCCCC"/>
                    <w:bottom w:val="single" w:sz="4" w:space="0" w:color="CCCCCC"/>
                    <w:right w:val="single" w:sz="4" w:space="0" w:color="CCCCCC"/>
                  </w:divBdr>
                </w:div>
                <w:div w:id="1421297358">
                  <w:marLeft w:val="47"/>
                  <w:marRight w:val="47"/>
                  <w:marTop w:val="0"/>
                  <w:marBottom w:val="0"/>
                  <w:divBdr>
                    <w:top w:val="single" w:sz="4" w:space="0" w:color="CCCCCC"/>
                    <w:left w:val="single" w:sz="4" w:space="0" w:color="CCCCCC"/>
                    <w:bottom w:val="single" w:sz="4" w:space="0" w:color="CCCCCC"/>
                    <w:right w:val="single" w:sz="4" w:space="0" w:color="CCCCCC"/>
                  </w:divBdr>
                </w:div>
                <w:div w:id="1421297362">
                  <w:marLeft w:val="47"/>
                  <w:marRight w:val="47"/>
                  <w:marTop w:val="0"/>
                  <w:marBottom w:val="0"/>
                  <w:divBdr>
                    <w:top w:val="single" w:sz="4" w:space="0" w:color="CCCCCC"/>
                    <w:left w:val="single" w:sz="4" w:space="0" w:color="CCCCCC"/>
                    <w:bottom w:val="single" w:sz="4" w:space="0" w:color="CCCCCC"/>
                    <w:right w:val="single" w:sz="4" w:space="0" w:color="CCCCCC"/>
                  </w:divBdr>
                </w:div>
                <w:div w:id="1421297394">
                  <w:marLeft w:val="47"/>
                  <w:marRight w:val="47"/>
                  <w:marTop w:val="0"/>
                  <w:marBottom w:val="0"/>
                  <w:divBdr>
                    <w:top w:val="single" w:sz="4" w:space="2" w:color="CCCCCC"/>
                    <w:left w:val="single" w:sz="4" w:space="2" w:color="CCCCCC"/>
                    <w:bottom w:val="single" w:sz="4" w:space="2" w:color="CCCCCC"/>
                    <w:right w:val="single" w:sz="4" w:space="2" w:color="CCCCCC"/>
                  </w:divBdr>
                </w:div>
                <w:div w:id="1421297398">
                  <w:marLeft w:val="47"/>
                  <w:marRight w:val="47"/>
                  <w:marTop w:val="0"/>
                  <w:marBottom w:val="0"/>
                  <w:divBdr>
                    <w:top w:val="single" w:sz="4" w:space="0" w:color="CCCCCC"/>
                    <w:left w:val="single" w:sz="4" w:space="0" w:color="CCCCCC"/>
                    <w:bottom w:val="single" w:sz="4" w:space="0" w:color="CCCCCC"/>
                    <w:right w:val="single" w:sz="4" w:space="0" w:color="CCCCCC"/>
                  </w:divBdr>
                </w:div>
                <w:div w:id="1421297399">
                  <w:marLeft w:val="47"/>
                  <w:marRight w:val="47"/>
                  <w:marTop w:val="0"/>
                  <w:marBottom w:val="0"/>
                  <w:divBdr>
                    <w:top w:val="single" w:sz="4" w:space="2" w:color="CCCCCC"/>
                    <w:left w:val="single" w:sz="4" w:space="2" w:color="CCCCCC"/>
                    <w:bottom w:val="single" w:sz="4" w:space="2" w:color="CCCCCC"/>
                    <w:right w:val="single" w:sz="4" w:space="2" w:color="CCCCCC"/>
                  </w:divBdr>
                </w:div>
                <w:div w:id="1421297402">
                  <w:marLeft w:val="47"/>
                  <w:marRight w:val="47"/>
                  <w:marTop w:val="0"/>
                  <w:marBottom w:val="0"/>
                  <w:divBdr>
                    <w:top w:val="single" w:sz="4" w:space="2" w:color="CCCCCC"/>
                    <w:left w:val="single" w:sz="4" w:space="2" w:color="CCCCCC"/>
                    <w:bottom w:val="single" w:sz="4" w:space="2" w:color="CCCCCC"/>
                    <w:right w:val="single" w:sz="4" w:space="2" w:color="CCCCCC"/>
                  </w:divBdr>
                </w:div>
                <w:div w:id="1421297405">
                  <w:marLeft w:val="47"/>
                  <w:marRight w:val="47"/>
                  <w:marTop w:val="0"/>
                  <w:marBottom w:val="0"/>
                  <w:divBdr>
                    <w:top w:val="single" w:sz="4" w:space="2" w:color="CCCCCC"/>
                    <w:left w:val="single" w:sz="4" w:space="2" w:color="CCCCCC"/>
                    <w:bottom w:val="single" w:sz="4" w:space="2" w:color="CCCCCC"/>
                    <w:right w:val="single" w:sz="4" w:space="2" w:color="CCCCCC"/>
                  </w:divBdr>
                </w:div>
                <w:div w:id="1421297406">
                  <w:marLeft w:val="47"/>
                  <w:marRight w:val="47"/>
                  <w:marTop w:val="0"/>
                  <w:marBottom w:val="0"/>
                  <w:divBdr>
                    <w:top w:val="single" w:sz="4" w:space="2" w:color="CCCCCC"/>
                    <w:left w:val="single" w:sz="4" w:space="2" w:color="CCCCCC"/>
                    <w:bottom w:val="single" w:sz="4" w:space="2" w:color="CCCCCC"/>
                    <w:right w:val="single" w:sz="4" w:space="2" w:color="CCCCCC"/>
                  </w:divBdr>
                </w:div>
                <w:div w:id="1421297408">
                  <w:marLeft w:val="47"/>
                  <w:marRight w:val="47"/>
                  <w:marTop w:val="0"/>
                  <w:marBottom w:val="0"/>
                  <w:divBdr>
                    <w:top w:val="single" w:sz="4" w:space="0" w:color="CCCCCC"/>
                    <w:left w:val="single" w:sz="4" w:space="0" w:color="CCCCCC"/>
                    <w:bottom w:val="single" w:sz="4" w:space="0" w:color="CCCCCC"/>
                    <w:right w:val="single" w:sz="4" w:space="0" w:color="CCCCCC"/>
                  </w:divBdr>
                </w:div>
                <w:div w:id="1421297415">
                  <w:marLeft w:val="47"/>
                  <w:marRight w:val="47"/>
                  <w:marTop w:val="0"/>
                  <w:marBottom w:val="0"/>
                  <w:divBdr>
                    <w:top w:val="single" w:sz="4" w:space="0" w:color="CCCCCC"/>
                    <w:left w:val="single" w:sz="4" w:space="0" w:color="CCCCCC"/>
                    <w:bottom w:val="single" w:sz="4" w:space="0" w:color="CCCCCC"/>
                    <w:right w:val="single" w:sz="4" w:space="0" w:color="CCCCCC"/>
                  </w:divBdr>
                </w:div>
                <w:div w:id="1421297422">
                  <w:marLeft w:val="47"/>
                  <w:marRight w:val="47"/>
                  <w:marTop w:val="0"/>
                  <w:marBottom w:val="0"/>
                  <w:divBdr>
                    <w:top w:val="single" w:sz="4" w:space="0" w:color="CCCCCC"/>
                    <w:left w:val="single" w:sz="4" w:space="0" w:color="CCCCCC"/>
                    <w:bottom w:val="single" w:sz="4" w:space="0" w:color="CCCCCC"/>
                    <w:right w:val="single" w:sz="4" w:space="0" w:color="CCCCCC"/>
                  </w:divBdr>
                </w:div>
                <w:div w:id="1421297428">
                  <w:marLeft w:val="47"/>
                  <w:marRight w:val="47"/>
                  <w:marTop w:val="0"/>
                  <w:marBottom w:val="0"/>
                  <w:divBdr>
                    <w:top w:val="single" w:sz="4" w:space="2" w:color="CCCCCC"/>
                    <w:left w:val="single" w:sz="4" w:space="2" w:color="CCCCCC"/>
                    <w:bottom w:val="single" w:sz="4" w:space="2" w:color="CCCCCC"/>
                    <w:right w:val="single" w:sz="4" w:space="2" w:color="CCCCCC"/>
                  </w:divBdr>
                </w:div>
                <w:div w:id="1421297432">
                  <w:marLeft w:val="47"/>
                  <w:marRight w:val="47"/>
                  <w:marTop w:val="0"/>
                  <w:marBottom w:val="0"/>
                  <w:divBdr>
                    <w:top w:val="single" w:sz="4" w:space="2" w:color="CCCCCC"/>
                    <w:left w:val="single" w:sz="4" w:space="2" w:color="CCCCCC"/>
                    <w:bottom w:val="single" w:sz="4" w:space="2" w:color="CCCCCC"/>
                    <w:right w:val="single" w:sz="4" w:space="2" w:color="CCCCCC"/>
                  </w:divBdr>
                </w:div>
                <w:div w:id="1421297440">
                  <w:marLeft w:val="47"/>
                  <w:marRight w:val="47"/>
                  <w:marTop w:val="0"/>
                  <w:marBottom w:val="0"/>
                  <w:divBdr>
                    <w:top w:val="single" w:sz="4" w:space="0" w:color="CCCCCC"/>
                    <w:left w:val="single" w:sz="4" w:space="0" w:color="CCCCCC"/>
                    <w:bottom w:val="single" w:sz="4" w:space="0" w:color="CCCCCC"/>
                    <w:right w:val="single" w:sz="4" w:space="0" w:color="CCCCCC"/>
                  </w:divBdr>
                </w:div>
                <w:div w:id="1421297442">
                  <w:marLeft w:val="47"/>
                  <w:marRight w:val="47"/>
                  <w:marTop w:val="0"/>
                  <w:marBottom w:val="0"/>
                  <w:divBdr>
                    <w:top w:val="single" w:sz="4" w:space="2" w:color="CCCCCC"/>
                    <w:left w:val="single" w:sz="4" w:space="2" w:color="CCCCCC"/>
                    <w:bottom w:val="single" w:sz="4" w:space="2" w:color="CCCCCC"/>
                    <w:right w:val="single" w:sz="4" w:space="2" w:color="CCCCCC"/>
                  </w:divBdr>
                </w:div>
                <w:div w:id="1421297445">
                  <w:marLeft w:val="47"/>
                  <w:marRight w:val="47"/>
                  <w:marTop w:val="0"/>
                  <w:marBottom w:val="0"/>
                  <w:divBdr>
                    <w:top w:val="single" w:sz="4" w:space="2" w:color="CCCCCC"/>
                    <w:left w:val="single" w:sz="4" w:space="2" w:color="CCCCCC"/>
                    <w:bottom w:val="single" w:sz="4" w:space="2" w:color="CCCCCC"/>
                    <w:right w:val="single" w:sz="4" w:space="2" w:color="CCCCCC"/>
                  </w:divBdr>
                </w:div>
                <w:div w:id="1421297447">
                  <w:marLeft w:val="47"/>
                  <w:marRight w:val="47"/>
                  <w:marTop w:val="0"/>
                  <w:marBottom w:val="0"/>
                  <w:divBdr>
                    <w:top w:val="single" w:sz="4" w:space="0" w:color="CCCCCC"/>
                    <w:left w:val="single" w:sz="4" w:space="0" w:color="CCCCCC"/>
                    <w:bottom w:val="single" w:sz="4" w:space="0" w:color="CCCCCC"/>
                    <w:right w:val="single" w:sz="4" w:space="0" w:color="CCCCCC"/>
                  </w:divBdr>
                </w:div>
                <w:div w:id="1421297466">
                  <w:marLeft w:val="47"/>
                  <w:marRight w:val="47"/>
                  <w:marTop w:val="0"/>
                  <w:marBottom w:val="0"/>
                  <w:divBdr>
                    <w:top w:val="single" w:sz="4" w:space="2" w:color="CCCCCC"/>
                    <w:left w:val="single" w:sz="4" w:space="2" w:color="CCCCCC"/>
                    <w:bottom w:val="single" w:sz="4" w:space="2" w:color="CCCCCC"/>
                    <w:right w:val="single" w:sz="4" w:space="2" w:color="CCCCCC"/>
                  </w:divBdr>
                </w:div>
                <w:div w:id="1421297468">
                  <w:marLeft w:val="47"/>
                  <w:marRight w:val="47"/>
                  <w:marTop w:val="0"/>
                  <w:marBottom w:val="0"/>
                  <w:divBdr>
                    <w:top w:val="single" w:sz="4" w:space="0" w:color="CCCCCC"/>
                    <w:left w:val="single" w:sz="4" w:space="0" w:color="CCCCCC"/>
                    <w:bottom w:val="single" w:sz="4" w:space="0" w:color="CCCCCC"/>
                    <w:right w:val="single" w:sz="4" w:space="0" w:color="CCCCCC"/>
                  </w:divBdr>
                </w:div>
                <w:div w:id="1421297469">
                  <w:marLeft w:val="47"/>
                  <w:marRight w:val="47"/>
                  <w:marTop w:val="0"/>
                  <w:marBottom w:val="0"/>
                  <w:divBdr>
                    <w:top w:val="single" w:sz="4" w:space="0" w:color="CCCCCC"/>
                    <w:left w:val="single" w:sz="4" w:space="0" w:color="CCCCCC"/>
                    <w:bottom w:val="single" w:sz="4" w:space="0" w:color="CCCCCC"/>
                    <w:right w:val="single" w:sz="4" w:space="0" w:color="CCCCCC"/>
                  </w:divBdr>
                </w:div>
              </w:divsChild>
            </w:div>
          </w:divsChild>
        </w:div>
      </w:divsChild>
    </w:div>
    <w:div w:id="1421297414">
      <w:marLeft w:val="0"/>
      <w:marRight w:val="0"/>
      <w:marTop w:val="0"/>
      <w:marBottom w:val="0"/>
      <w:divBdr>
        <w:top w:val="none" w:sz="0" w:space="0" w:color="auto"/>
        <w:left w:val="none" w:sz="0" w:space="0" w:color="auto"/>
        <w:bottom w:val="none" w:sz="0" w:space="0" w:color="auto"/>
        <w:right w:val="none" w:sz="0" w:space="0" w:color="auto"/>
      </w:divBdr>
      <w:divsChild>
        <w:div w:id="1421297433">
          <w:marLeft w:val="0"/>
          <w:marRight w:val="0"/>
          <w:marTop w:val="0"/>
          <w:marBottom w:val="0"/>
          <w:divBdr>
            <w:top w:val="none" w:sz="0" w:space="0" w:color="auto"/>
            <w:left w:val="none" w:sz="0" w:space="0" w:color="auto"/>
            <w:bottom w:val="none" w:sz="0" w:space="0" w:color="auto"/>
            <w:right w:val="none" w:sz="0" w:space="0" w:color="auto"/>
          </w:divBdr>
          <w:divsChild>
            <w:div w:id="1421297430">
              <w:marLeft w:val="9"/>
              <w:marRight w:val="9"/>
              <w:marTop w:val="9"/>
              <w:marBottom w:val="9"/>
              <w:divBdr>
                <w:top w:val="none" w:sz="0" w:space="0" w:color="auto"/>
                <w:left w:val="none" w:sz="0" w:space="0" w:color="auto"/>
                <w:bottom w:val="none" w:sz="0" w:space="0" w:color="auto"/>
                <w:right w:val="none" w:sz="0" w:space="0" w:color="auto"/>
              </w:divBdr>
              <w:divsChild>
                <w:div w:id="1421297324">
                  <w:marLeft w:val="47"/>
                  <w:marRight w:val="47"/>
                  <w:marTop w:val="0"/>
                  <w:marBottom w:val="0"/>
                  <w:divBdr>
                    <w:top w:val="single" w:sz="4" w:space="0" w:color="CCCCCC"/>
                    <w:left w:val="single" w:sz="4" w:space="0" w:color="CCCCCC"/>
                    <w:bottom w:val="single" w:sz="4" w:space="0" w:color="CCCCCC"/>
                    <w:right w:val="single" w:sz="4" w:space="0" w:color="CCCCCC"/>
                  </w:divBdr>
                </w:div>
                <w:div w:id="1421297326">
                  <w:marLeft w:val="47"/>
                  <w:marRight w:val="47"/>
                  <w:marTop w:val="0"/>
                  <w:marBottom w:val="0"/>
                  <w:divBdr>
                    <w:top w:val="single" w:sz="4" w:space="2" w:color="CCCCCC"/>
                    <w:left w:val="single" w:sz="4" w:space="2" w:color="CCCCCC"/>
                    <w:bottom w:val="single" w:sz="4" w:space="2" w:color="CCCCCC"/>
                    <w:right w:val="single" w:sz="4" w:space="2" w:color="CCCCCC"/>
                  </w:divBdr>
                </w:div>
                <w:div w:id="1421297329">
                  <w:marLeft w:val="47"/>
                  <w:marRight w:val="47"/>
                  <w:marTop w:val="0"/>
                  <w:marBottom w:val="0"/>
                  <w:divBdr>
                    <w:top w:val="single" w:sz="4" w:space="2" w:color="CCCCCC"/>
                    <w:left w:val="single" w:sz="4" w:space="2" w:color="CCCCCC"/>
                    <w:bottom w:val="single" w:sz="4" w:space="2" w:color="CCCCCC"/>
                    <w:right w:val="single" w:sz="4" w:space="2" w:color="CCCCCC"/>
                  </w:divBdr>
                </w:div>
                <w:div w:id="1421297331">
                  <w:marLeft w:val="47"/>
                  <w:marRight w:val="47"/>
                  <w:marTop w:val="0"/>
                  <w:marBottom w:val="0"/>
                  <w:divBdr>
                    <w:top w:val="single" w:sz="4" w:space="2" w:color="CCCCCC"/>
                    <w:left w:val="single" w:sz="4" w:space="2" w:color="CCCCCC"/>
                    <w:bottom w:val="single" w:sz="4" w:space="2" w:color="CCCCCC"/>
                    <w:right w:val="single" w:sz="4" w:space="2" w:color="CCCCCC"/>
                  </w:divBdr>
                </w:div>
                <w:div w:id="1421297335">
                  <w:marLeft w:val="47"/>
                  <w:marRight w:val="47"/>
                  <w:marTop w:val="0"/>
                  <w:marBottom w:val="0"/>
                  <w:divBdr>
                    <w:top w:val="single" w:sz="4" w:space="2" w:color="CCCCCC"/>
                    <w:left w:val="single" w:sz="4" w:space="2" w:color="CCCCCC"/>
                    <w:bottom w:val="single" w:sz="4" w:space="2" w:color="CCCCCC"/>
                    <w:right w:val="single" w:sz="4" w:space="2" w:color="CCCCCC"/>
                  </w:divBdr>
                </w:div>
                <w:div w:id="1421297345">
                  <w:marLeft w:val="47"/>
                  <w:marRight w:val="47"/>
                  <w:marTop w:val="0"/>
                  <w:marBottom w:val="0"/>
                  <w:divBdr>
                    <w:top w:val="single" w:sz="4" w:space="2" w:color="CCCCCC"/>
                    <w:left w:val="single" w:sz="4" w:space="2" w:color="CCCCCC"/>
                    <w:bottom w:val="single" w:sz="4" w:space="2" w:color="CCCCCC"/>
                    <w:right w:val="single" w:sz="4" w:space="2" w:color="CCCCCC"/>
                  </w:divBdr>
                </w:div>
                <w:div w:id="1421297354">
                  <w:marLeft w:val="47"/>
                  <w:marRight w:val="47"/>
                  <w:marTop w:val="0"/>
                  <w:marBottom w:val="0"/>
                  <w:divBdr>
                    <w:top w:val="single" w:sz="4" w:space="0" w:color="CCCCCC"/>
                    <w:left w:val="single" w:sz="4" w:space="0" w:color="CCCCCC"/>
                    <w:bottom w:val="single" w:sz="4" w:space="0" w:color="CCCCCC"/>
                    <w:right w:val="single" w:sz="4" w:space="0" w:color="CCCCCC"/>
                  </w:divBdr>
                </w:div>
                <w:div w:id="1421297359">
                  <w:marLeft w:val="47"/>
                  <w:marRight w:val="47"/>
                  <w:marTop w:val="0"/>
                  <w:marBottom w:val="0"/>
                  <w:divBdr>
                    <w:top w:val="single" w:sz="4" w:space="2" w:color="CCCCCC"/>
                    <w:left w:val="single" w:sz="4" w:space="2" w:color="CCCCCC"/>
                    <w:bottom w:val="single" w:sz="4" w:space="2" w:color="CCCCCC"/>
                    <w:right w:val="single" w:sz="4" w:space="2" w:color="CCCCCC"/>
                  </w:divBdr>
                </w:div>
                <w:div w:id="1421297365">
                  <w:marLeft w:val="47"/>
                  <w:marRight w:val="47"/>
                  <w:marTop w:val="0"/>
                  <w:marBottom w:val="0"/>
                  <w:divBdr>
                    <w:top w:val="single" w:sz="4" w:space="0" w:color="CCCCCC"/>
                    <w:left w:val="single" w:sz="4" w:space="0" w:color="CCCCCC"/>
                    <w:bottom w:val="single" w:sz="4" w:space="0" w:color="CCCCCC"/>
                    <w:right w:val="single" w:sz="4" w:space="0" w:color="CCCCCC"/>
                  </w:divBdr>
                </w:div>
                <w:div w:id="1421297372">
                  <w:marLeft w:val="47"/>
                  <w:marRight w:val="47"/>
                  <w:marTop w:val="0"/>
                  <w:marBottom w:val="0"/>
                  <w:divBdr>
                    <w:top w:val="single" w:sz="4" w:space="0" w:color="CCCCCC"/>
                    <w:left w:val="single" w:sz="4" w:space="0" w:color="CCCCCC"/>
                    <w:bottom w:val="single" w:sz="4" w:space="0" w:color="CCCCCC"/>
                    <w:right w:val="single" w:sz="4" w:space="0" w:color="CCCCCC"/>
                  </w:divBdr>
                </w:div>
                <w:div w:id="1421297373">
                  <w:marLeft w:val="47"/>
                  <w:marRight w:val="47"/>
                  <w:marTop w:val="0"/>
                  <w:marBottom w:val="0"/>
                  <w:divBdr>
                    <w:top w:val="single" w:sz="4" w:space="0" w:color="CCCCCC"/>
                    <w:left w:val="single" w:sz="4" w:space="0" w:color="CCCCCC"/>
                    <w:bottom w:val="single" w:sz="4" w:space="0" w:color="CCCCCC"/>
                    <w:right w:val="single" w:sz="4" w:space="0" w:color="CCCCCC"/>
                  </w:divBdr>
                </w:div>
                <w:div w:id="1421297376">
                  <w:marLeft w:val="47"/>
                  <w:marRight w:val="47"/>
                  <w:marTop w:val="0"/>
                  <w:marBottom w:val="0"/>
                  <w:divBdr>
                    <w:top w:val="single" w:sz="4" w:space="2" w:color="CCCCCC"/>
                    <w:left w:val="single" w:sz="4" w:space="2" w:color="CCCCCC"/>
                    <w:bottom w:val="single" w:sz="4" w:space="2" w:color="CCCCCC"/>
                    <w:right w:val="single" w:sz="4" w:space="2" w:color="CCCCCC"/>
                  </w:divBdr>
                </w:div>
                <w:div w:id="1421297378">
                  <w:marLeft w:val="47"/>
                  <w:marRight w:val="47"/>
                  <w:marTop w:val="0"/>
                  <w:marBottom w:val="0"/>
                  <w:divBdr>
                    <w:top w:val="single" w:sz="4" w:space="0" w:color="CCCCCC"/>
                    <w:left w:val="single" w:sz="4" w:space="0" w:color="CCCCCC"/>
                    <w:bottom w:val="single" w:sz="4" w:space="0" w:color="CCCCCC"/>
                    <w:right w:val="single" w:sz="4" w:space="0" w:color="CCCCCC"/>
                  </w:divBdr>
                </w:div>
                <w:div w:id="1421297380">
                  <w:marLeft w:val="47"/>
                  <w:marRight w:val="47"/>
                  <w:marTop w:val="0"/>
                  <w:marBottom w:val="0"/>
                  <w:divBdr>
                    <w:top w:val="single" w:sz="4" w:space="0" w:color="CCCCCC"/>
                    <w:left w:val="single" w:sz="4" w:space="0" w:color="CCCCCC"/>
                    <w:bottom w:val="single" w:sz="4" w:space="0" w:color="CCCCCC"/>
                    <w:right w:val="single" w:sz="4" w:space="0" w:color="CCCCCC"/>
                  </w:divBdr>
                </w:div>
                <w:div w:id="1421297385">
                  <w:marLeft w:val="47"/>
                  <w:marRight w:val="47"/>
                  <w:marTop w:val="0"/>
                  <w:marBottom w:val="0"/>
                  <w:divBdr>
                    <w:top w:val="single" w:sz="4" w:space="0" w:color="CCCCCC"/>
                    <w:left w:val="single" w:sz="4" w:space="0" w:color="CCCCCC"/>
                    <w:bottom w:val="single" w:sz="4" w:space="0" w:color="CCCCCC"/>
                    <w:right w:val="single" w:sz="4" w:space="0" w:color="CCCCCC"/>
                  </w:divBdr>
                </w:div>
                <w:div w:id="1421297417">
                  <w:marLeft w:val="47"/>
                  <w:marRight w:val="47"/>
                  <w:marTop w:val="0"/>
                  <w:marBottom w:val="0"/>
                  <w:divBdr>
                    <w:top w:val="single" w:sz="4" w:space="0" w:color="CCCCCC"/>
                    <w:left w:val="single" w:sz="4" w:space="0" w:color="CCCCCC"/>
                    <w:bottom w:val="single" w:sz="4" w:space="0" w:color="CCCCCC"/>
                    <w:right w:val="single" w:sz="4" w:space="0" w:color="CCCCCC"/>
                  </w:divBdr>
                </w:div>
                <w:div w:id="1421297450">
                  <w:marLeft w:val="47"/>
                  <w:marRight w:val="47"/>
                  <w:marTop w:val="0"/>
                  <w:marBottom w:val="0"/>
                  <w:divBdr>
                    <w:top w:val="single" w:sz="4" w:space="2" w:color="CCCCCC"/>
                    <w:left w:val="single" w:sz="4" w:space="2" w:color="CCCCCC"/>
                    <w:bottom w:val="single" w:sz="4" w:space="2" w:color="CCCCCC"/>
                    <w:right w:val="single" w:sz="4" w:space="2" w:color="CCCCCC"/>
                  </w:divBdr>
                </w:div>
                <w:div w:id="1421297451">
                  <w:marLeft w:val="47"/>
                  <w:marRight w:val="47"/>
                  <w:marTop w:val="0"/>
                  <w:marBottom w:val="0"/>
                  <w:divBdr>
                    <w:top w:val="single" w:sz="4" w:space="2" w:color="CCCCCC"/>
                    <w:left w:val="single" w:sz="4" w:space="2" w:color="CCCCCC"/>
                    <w:bottom w:val="single" w:sz="4" w:space="2" w:color="CCCCCC"/>
                    <w:right w:val="single" w:sz="4" w:space="2" w:color="CCCCCC"/>
                  </w:divBdr>
                </w:div>
                <w:div w:id="1421297457">
                  <w:marLeft w:val="47"/>
                  <w:marRight w:val="47"/>
                  <w:marTop w:val="0"/>
                  <w:marBottom w:val="0"/>
                  <w:divBdr>
                    <w:top w:val="single" w:sz="4" w:space="0" w:color="CCCCCC"/>
                    <w:left w:val="single" w:sz="4" w:space="0" w:color="CCCCCC"/>
                    <w:bottom w:val="single" w:sz="4" w:space="0" w:color="CCCCCC"/>
                    <w:right w:val="single" w:sz="4" w:space="0" w:color="CCCCCC"/>
                  </w:divBdr>
                </w:div>
                <w:div w:id="1421297467">
                  <w:marLeft w:val="47"/>
                  <w:marRight w:val="47"/>
                  <w:marTop w:val="0"/>
                  <w:marBottom w:val="0"/>
                  <w:divBdr>
                    <w:top w:val="single" w:sz="4" w:space="2" w:color="CCCCCC"/>
                    <w:left w:val="single" w:sz="4" w:space="2" w:color="CCCCCC"/>
                    <w:bottom w:val="single" w:sz="4" w:space="2" w:color="CCCCCC"/>
                    <w:right w:val="single" w:sz="4" w:space="2" w:color="CCCCCC"/>
                  </w:divBdr>
                </w:div>
              </w:divsChild>
            </w:div>
          </w:divsChild>
        </w:div>
      </w:divsChild>
    </w:div>
    <w:div w:id="1421297419">
      <w:marLeft w:val="0"/>
      <w:marRight w:val="0"/>
      <w:marTop w:val="0"/>
      <w:marBottom w:val="0"/>
      <w:divBdr>
        <w:top w:val="none" w:sz="0" w:space="0" w:color="auto"/>
        <w:left w:val="none" w:sz="0" w:space="0" w:color="auto"/>
        <w:bottom w:val="none" w:sz="0" w:space="0" w:color="auto"/>
        <w:right w:val="none" w:sz="0" w:space="0" w:color="auto"/>
      </w:divBdr>
      <w:divsChild>
        <w:div w:id="1421297347">
          <w:marLeft w:val="0"/>
          <w:marRight w:val="0"/>
          <w:marTop w:val="0"/>
          <w:marBottom w:val="0"/>
          <w:divBdr>
            <w:top w:val="none" w:sz="0" w:space="0" w:color="auto"/>
            <w:left w:val="none" w:sz="0" w:space="0" w:color="auto"/>
            <w:bottom w:val="none" w:sz="0" w:space="0" w:color="auto"/>
            <w:right w:val="none" w:sz="0" w:space="0" w:color="auto"/>
          </w:divBdr>
          <w:divsChild>
            <w:div w:id="1421297458">
              <w:marLeft w:val="0"/>
              <w:marRight w:val="0"/>
              <w:marTop w:val="0"/>
              <w:marBottom w:val="0"/>
              <w:divBdr>
                <w:top w:val="none" w:sz="0" w:space="0" w:color="auto"/>
                <w:left w:val="none" w:sz="0" w:space="0" w:color="auto"/>
                <w:bottom w:val="none" w:sz="0" w:space="0" w:color="auto"/>
                <w:right w:val="none" w:sz="0" w:space="0" w:color="auto"/>
              </w:divBdr>
              <w:divsChild>
                <w:div w:id="1421297418">
                  <w:marLeft w:val="0"/>
                  <w:marRight w:val="0"/>
                  <w:marTop w:val="0"/>
                  <w:marBottom w:val="0"/>
                  <w:divBdr>
                    <w:top w:val="none" w:sz="0" w:space="0" w:color="auto"/>
                    <w:left w:val="none" w:sz="0" w:space="0" w:color="auto"/>
                    <w:bottom w:val="none" w:sz="0" w:space="0" w:color="auto"/>
                    <w:right w:val="none" w:sz="0" w:space="0" w:color="auto"/>
                  </w:divBdr>
                  <w:divsChild>
                    <w:div w:id="1421297463">
                      <w:marLeft w:val="0"/>
                      <w:marRight w:val="0"/>
                      <w:marTop w:val="0"/>
                      <w:marBottom w:val="0"/>
                      <w:divBdr>
                        <w:top w:val="none" w:sz="0" w:space="0" w:color="auto"/>
                        <w:left w:val="none" w:sz="0" w:space="0" w:color="auto"/>
                        <w:bottom w:val="none" w:sz="0" w:space="0" w:color="auto"/>
                        <w:right w:val="none" w:sz="0" w:space="0" w:color="auto"/>
                      </w:divBdr>
                      <w:divsChild>
                        <w:div w:id="1421297332">
                          <w:marLeft w:val="0"/>
                          <w:marRight w:val="0"/>
                          <w:marTop w:val="0"/>
                          <w:marBottom w:val="0"/>
                          <w:divBdr>
                            <w:top w:val="none" w:sz="0" w:space="0" w:color="auto"/>
                            <w:left w:val="none" w:sz="0" w:space="0" w:color="auto"/>
                            <w:bottom w:val="none" w:sz="0" w:space="0" w:color="auto"/>
                            <w:right w:val="none" w:sz="0" w:space="0" w:color="auto"/>
                          </w:divBdr>
                          <w:divsChild>
                            <w:div w:id="1421297427">
                              <w:marLeft w:val="0"/>
                              <w:marRight w:val="0"/>
                              <w:marTop w:val="0"/>
                              <w:marBottom w:val="0"/>
                              <w:divBdr>
                                <w:top w:val="none" w:sz="0" w:space="0" w:color="auto"/>
                                <w:left w:val="none" w:sz="0" w:space="0" w:color="auto"/>
                                <w:bottom w:val="none" w:sz="0" w:space="0" w:color="auto"/>
                                <w:right w:val="none" w:sz="0" w:space="0" w:color="auto"/>
                              </w:divBdr>
                              <w:divsChild>
                                <w:div w:id="1421297348">
                                  <w:marLeft w:val="0"/>
                                  <w:marRight w:val="0"/>
                                  <w:marTop w:val="0"/>
                                  <w:marBottom w:val="0"/>
                                  <w:divBdr>
                                    <w:top w:val="none" w:sz="0" w:space="0" w:color="auto"/>
                                    <w:left w:val="none" w:sz="0" w:space="0" w:color="auto"/>
                                    <w:bottom w:val="none" w:sz="0" w:space="0" w:color="auto"/>
                                    <w:right w:val="none" w:sz="0" w:space="0" w:color="auto"/>
                                  </w:divBdr>
                                  <w:divsChild>
                                    <w:div w:id="1421297330">
                                      <w:marLeft w:val="0"/>
                                      <w:marRight w:val="0"/>
                                      <w:marTop w:val="0"/>
                                      <w:marBottom w:val="0"/>
                                      <w:divBdr>
                                        <w:top w:val="none" w:sz="0" w:space="0" w:color="auto"/>
                                        <w:left w:val="none" w:sz="0" w:space="0" w:color="auto"/>
                                        <w:bottom w:val="none" w:sz="0" w:space="0" w:color="auto"/>
                                        <w:right w:val="none" w:sz="0" w:space="0" w:color="auto"/>
                                      </w:divBdr>
                                      <w:divsChild>
                                        <w:div w:id="1421297334">
                                          <w:marLeft w:val="0"/>
                                          <w:marRight w:val="0"/>
                                          <w:marTop w:val="0"/>
                                          <w:marBottom w:val="0"/>
                                          <w:divBdr>
                                            <w:top w:val="none" w:sz="0" w:space="0" w:color="auto"/>
                                            <w:left w:val="none" w:sz="0" w:space="0" w:color="auto"/>
                                            <w:bottom w:val="none" w:sz="0" w:space="0" w:color="auto"/>
                                            <w:right w:val="none" w:sz="0" w:space="0" w:color="auto"/>
                                          </w:divBdr>
                                          <w:divsChild>
                                            <w:div w:id="1421297383">
                                              <w:marLeft w:val="0"/>
                                              <w:marRight w:val="0"/>
                                              <w:marTop w:val="0"/>
                                              <w:marBottom w:val="0"/>
                                              <w:divBdr>
                                                <w:top w:val="none" w:sz="0" w:space="0" w:color="auto"/>
                                                <w:left w:val="none" w:sz="0" w:space="0" w:color="auto"/>
                                                <w:bottom w:val="none" w:sz="0" w:space="0" w:color="auto"/>
                                                <w:right w:val="none" w:sz="0" w:space="0" w:color="auto"/>
                                              </w:divBdr>
                                              <w:divsChild>
                                                <w:div w:id="1421297382">
                                                  <w:marLeft w:val="0"/>
                                                  <w:marRight w:val="0"/>
                                                  <w:marTop w:val="0"/>
                                                  <w:marBottom w:val="0"/>
                                                  <w:divBdr>
                                                    <w:top w:val="none" w:sz="0" w:space="0" w:color="auto"/>
                                                    <w:left w:val="none" w:sz="0" w:space="0" w:color="auto"/>
                                                    <w:bottom w:val="none" w:sz="0" w:space="0" w:color="auto"/>
                                                    <w:right w:val="none" w:sz="0" w:space="0" w:color="auto"/>
                                                  </w:divBdr>
                                                  <w:divsChild>
                                                    <w:div w:id="1421297462">
                                                      <w:marLeft w:val="0"/>
                                                      <w:marRight w:val="0"/>
                                                      <w:marTop w:val="0"/>
                                                      <w:marBottom w:val="0"/>
                                                      <w:divBdr>
                                                        <w:top w:val="none" w:sz="0" w:space="0" w:color="auto"/>
                                                        <w:left w:val="none" w:sz="0" w:space="0" w:color="auto"/>
                                                        <w:bottom w:val="none" w:sz="0" w:space="0" w:color="auto"/>
                                                        <w:right w:val="none" w:sz="0" w:space="0" w:color="auto"/>
                                                      </w:divBdr>
                                                      <w:divsChild>
                                                        <w:div w:id="1421297346">
                                                          <w:marLeft w:val="0"/>
                                                          <w:marRight w:val="0"/>
                                                          <w:marTop w:val="0"/>
                                                          <w:marBottom w:val="0"/>
                                                          <w:divBdr>
                                                            <w:top w:val="single" w:sz="4" w:space="0" w:color="CCCCCC"/>
                                                            <w:left w:val="single" w:sz="4" w:space="0" w:color="CCCCCC"/>
                                                            <w:bottom w:val="single" w:sz="4" w:space="0" w:color="CCCCCC"/>
                                                            <w:right w:val="single" w:sz="4" w:space="0" w:color="CCCCCC"/>
                                                          </w:divBdr>
                                                          <w:divsChild>
                                                            <w:div w:id="1421297351">
                                                              <w:marLeft w:val="0"/>
                                                              <w:marRight w:val="0"/>
                                                              <w:marTop w:val="0"/>
                                                              <w:marBottom w:val="0"/>
                                                              <w:divBdr>
                                                                <w:top w:val="none" w:sz="0" w:space="0" w:color="auto"/>
                                                                <w:left w:val="none" w:sz="0" w:space="0" w:color="auto"/>
                                                                <w:bottom w:val="none" w:sz="0" w:space="0" w:color="auto"/>
                                                                <w:right w:val="none" w:sz="0" w:space="0" w:color="auto"/>
                                                              </w:divBdr>
                                                              <w:divsChild>
                                                                <w:div w:id="1421297364">
                                                                  <w:marLeft w:val="0"/>
                                                                  <w:marRight w:val="0"/>
                                                                  <w:marTop w:val="0"/>
                                                                  <w:marBottom w:val="0"/>
                                                                  <w:divBdr>
                                                                    <w:top w:val="none" w:sz="0" w:space="0" w:color="auto"/>
                                                                    <w:left w:val="none" w:sz="0" w:space="0" w:color="auto"/>
                                                                    <w:bottom w:val="none" w:sz="0" w:space="0" w:color="auto"/>
                                                                    <w:right w:val="none" w:sz="0" w:space="0" w:color="auto"/>
                                                                  </w:divBdr>
                                                                  <w:divsChild>
                                                                    <w:div w:id="1421297355">
                                                                      <w:marLeft w:val="-11"/>
                                                                      <w:marRight w:val="-11"/>
                                                                      <w:marTop w:val="0"/>
                                                                      <w:marBottom w:val="0"/>
                                                                      <w:divBdr>
                                                                        <w:top w:val="none" w:sz="0" w:space="0" w:color="auto"/>
                                                                        <w:left w:val="none" w:sz="0" w:space="0" w:color="auto"/>
                                                                        <w:bottom w:val="none" w:sz="0" w:space="0" w:color="auto"/>
                                                                        <w:right w:val="none" w:sz="0" w:space="0" w:color="auto"/>
                                                                      </w:divBdr>
                                                                      <w:divsChild>
                                                                        <w:div w:id="1421297333">
                                                                          <w:marLeft w:val="-4299"/>
                                                                          <w:marRight w:val="0"/>
                                                                          <w:marTop w:val="0"/>
                                                                          <w:marBottom w:val="97"/>
                                                                          <w:divBdr>
                                                                            <w:top w:val="none" w:sz="0" w:space="0" w:color="auto"/>
                                                                            <w:left w:val="none" w:sz="0" w:space="0" w:color="auto"/>
                                                                            <w:bottom w:val="single" w:sz="4" w:space="0" w:color="E5E5E5"/>
                                                                            <w:right w:val="none" w:sz="0" w:space="0" w:color="auto"/>
                                                                          </w:divBdr>
                                                                          <w:divsChild>
                                                                            <w:div w:id="1421297340">
                                                                              <w:marLeft w:val="0"/>
                                                                              <w:marRight w:val="0"/>
                                                                              <w:marTop w:val="0"/>
                                                                              <w:marBottom w:val="0"/>
                                                                              <w:divBdr>
                                                                                <w:top w:val="none" w:sz="0" w:space="0" w:color="auto"/>
                                                                                <w:left w:val="none" w:sz="0" w:space="0" w:color="auto"/>
                                                                                <w:bottom w:val="none" w:sz="0" w:space="0" w:color="auto"/>
                                                                                <w:right w:val="none" w:sz="0" w:space="0" w:color="auto"/>
                                                                              </w:divBdr>
                                                                              <w:divsChild>
                                                                                <w:div w:id="1421297413">
                                                                                  <w:marLeft w:val="0"/>
                                                                                  <w:marRight w:val="0"/>
                                                                                  <w:marTop w:val="0"/>
                                                                                  <w:marBottom w:val="0"/>
                                                                                  <w:divBdr>
                                                                                    <w:top w:val="none" w:sz="0" w:space="0" w:color="auto"/>
                                                                                    <w:left w:val="none" w:sz="0" w:space="0" w:color="auto"/>
                                                                                    <w:bottom w:val="none" w:sz="0" w:space="0" w:color="auto"/>
                                                                                    <w:right w:val="none" w:sz="0" w:space="0" w:color="auto"/>
                                                                                  </w:divBdr>
                                                                                  <w:divsChild>
                                                                                    <w:div w:id="1421297464">
                                                                                      <w:marLeft w:val="0"/>
                                                                                      <w:marRight w:val="0"/>
                                                                                      <w:marTop w:val="0"/>
                                                                                      <w:marBottom w:val="0"/>
                                                                                      <w:divBdr>
                                                                                        <w:top w:val="none" w:sz="0" w:space="0" w:color="auto"/>
                                                                                        <w:left w:val="none" w:sz="0" w:space="0" w:color="auto"/>
                                                                                        <w:bottom w:val="none" w:sz="0" w:space="0" w:color="auto"/>
                                                                                        <w:right w:val="none" w:sz="0" w:space="0" w:color="auto"/>
                                                                                      </w:divBdr>
                                                                                      <w:divsChild>
                                                                                        <w:div w:id="1421297456">
                                                                                          <w:marLeft w:val="0"/>
                                                                                          <w:marRight w:val="0"/>
                                                                                          <w:marTop w:val="0"/>
                                                                                          <w:marBottom w:val="0"/>
                                                                                          <w:divBdr>
                                                                                            <w:top w:val="single" w:sz="4" w:space="0" w:color="666666"/>
                                                                                            <w:left w:val="single" w:sz="4" w:space="0" w:color="CCCCCC"/>
                                                                                            <w:bottom w:val="single" w:sz="4" w:space="0" w:color="CCCCCC"/>
                                                                                            <w:right w:val="single" w:sz="4" w:space="0" w:color="CCCCCC"/>
                                                                                          </w:divBdr>
                                                                                          <w:divsChild>
                                                                                            <w:div w:id="1421297431">
                                                                                              <w:marLeft w:val="21"/>
                                                                                              <w:marRight w:val="0"/>
                                                                                              <w:marTop w:val="0"/>
                                                                                              <w:marBottom w:val="0"/>
                                                                                              <w:divBdr>
                                                                                                <w:top w:val="none" w:sz="0" w:space="0" w:color="auto"/>
                                                                                                <w:left w:val="none" w:sz="0" w:space="0" w:color="auto"/>
                                                                                                <w:bottom w:val="none" w:sz="0" w:space="0" w:color="auto"/>
                                                                                                <w:right w:val="none" w:sz="0" w:space="0" w:color="auto"/>
                                                                                              </w:divBdr>
                                                                                              <w:divsChild>
                                                                                                <w:div w:id="1421297423">
                                                                                                  <w:marLeft w:val="0"/>
                                                                                                  <w:marRight w:val="0"/>
                                                                                                  <w:marTop w:val="0"/>
                                                                                                  <w:marBottom w:val="0"/>
                                                                                                  <w:divBdr>
                                                                                                    <w:top w:val="none" w:sz="0" w:space="0" w:color="auto"/>
                                                                                                    <w:left w:val="none" w:sz="0" w:space="0" w:color="auto"/>
                                                                                                    <w:bottom w:val="none" w:sz="0" w:space="0" w:color="auto"/>
                                                                                                    <w:right w:val="none" w:sz="0" w:space="0" w:color="auto"/>
                                                                                                  </w:divBdr>
                                                                                                  <w:divsChild>
                                                                                                    <w:div w:id="1421297396">
                                                                                                      <w:marLeft w:val="0"/>
                                                                                                      <w:marRight w:val="0"/>
                                                                                                      <w:marTop w:val="0"/>
                                                                                                      <w:marBottom w:val="0"/>
                                                                                                      <w:divBdr>
                                                                                                        <w:top w:val="none" w:sz="0" w:space="0" w:color="auto"/>
                                                                                                        <w:left w:val="none" w:sz="0" w:space="0" w:color="auto"/>
                                                                                                        <w:bottom w:val="none" w:sz="0" w:space="0" w:color="auto"/>
                                                                                                        <w:right w:val="none" w:sz="0" w:space="0" w:color="auto"/>
                                                                                                      </w:divBdr>
                                                                                                      <w:divsChild>
                                                                                                        <w:div w:id="1421297421">
                                                                                                          <w:marLeft w:val="96"/>
                                                                                                          <w:marRight w:val="0"/>
                                                                                                          <w:marTop w:val="0"/>
                                                                                                          <w:marBottom w:val="0"/>
                                                                                                          <w:divBdr>
                                                                                                            <w:top w:val="none" w:sz="0" w:space="0" w:color="auto"/>
                                                                                                            <w:left w:val="single" w:sz="4" w:space="6" w:color="CCCCCC"/>
                                                                                                            <w:bottom w:val="none" w:sz="0" w:space="0" w:color="auto"/>
                                                                                                            <w:right w:val="none" w:sz="0" w:space="0" w:color="auto"/>
                                                                                                          </w:divBdr>
                                                                                                          <w:divsChild>
                                                                                                            <w:div w:id="1421297374">
                                                                                                              <w:marLeft w:val="0"/>
                                                                                                              <w:marRight w:val="0"/>
                                                                                                              <w:marTop w:val="0"/>
                                                                                                              <w:marBottom w:val="0"/>
                                                                                                              <w:divBdr>
                                                                                                                <w:top w:val="none" w:sz="0" w:space="0" w:color="auto"/>
                                                                                                                <w:left w:val="none" w:sz="0" w:space="0" w:color="auto"/>
                                                                                                                <w:bottom w:val="none" w:sz="0" w:space="0" w:color="auto"/>
                                                                                                                <w:right w:val="none" w:sz="0" w:space="0" w:color="auto"/>
                                                                                                              </w:divBdr>
                                                                                                              <w:divsChild>
                                                                                                                <w:div w:id="1421297327">
                                                                                                                  <w:marLeft w:val="0"/>
                                                                                                                  <w:marRight w:val="0"/>
                                                                                                                  <w:marTop w:val="0"/>
                                                                                                                  <w:marBottom w:val="0"/>
                                                                                                                  <w:divBdr>
                                                                                                                    <w:top w:val="none" w:sz="0" w:space="0" w:color="auto"/>
                                                                                                                    <w:left w:val="none" w:sz="0" w:space="0" w:color="auto"/>
                                                                                                                    <w:bottom w:val="none" w:sz="0" w:space="0" w:color="auto"/>
                                                                                                                    <w:right w:val="none" w:sz="0" w:space="0" w:color="auto"/>
                                                                                                                  </w:divBdr>
                                                                                                                </w:div>
                                                                                                                <w:div w:id="1421297343">
                                                                                                                  <w:marLeft w:val="0"/>
                                                                                                                  <w:marRight w:val="0"/>
                                                                                                                  <w:marTop w:val="0"/>
                                                                                                                  <w:marBottom w:val="0"/>
                                                                                                                  <w:divBdr>
                                                                                                                    <w:top w:val="none" w:sz="0" w:space="0" w:color="auto"/>
                                                                                                                    <w:left w:val="none" w:sz="0" w:space="0" w:color="auto"/>
                                                                                                                    <w:bottom w:val="none" w:sz="0" w:space="0" w:color="auto"/>
                                                                                                                    <w:right w:val="none" w:sz="0" w:space="0" w:color="auto"/>
                                                                                                                  </w:divBdr>
                                                                                                                </w:div>
                                                                                                                <w:div w:id="1421297367">
                                                                                                                  <w:marLeft w:val="0"/>
                                                                                                                  <w:marRight w:val="0"/>
                                                                                                                  <w:marTop w:val="0"/>
                                                                                                                  <w:marBottom w:val="0"/>
                                                                                                                  <w:divBdr>
                                                                                                                    <w:top w:val="none" w:sz="0" w:space="0" w:color="auto"/>
                                                                                                                    <w:left w:val="none" w:sz="0" w:space="0" w:color="auto"/>
                                                                                                                    <w:bottom w:val="none" w:sz="0" w:space="0" w:color="auto"/>
                                                                                                                    <w:right w:val="none" w:sz="0" w:space="0" w:color="auto"/>
                                                                                                                  </w:divBdr>
                                                                                                                </w:div>
                                                                                                                <w:div w:id="1421297386">
                                                                                                                  <w:marLeft w:val="0"/>
                                                                                                                  <w:marRight w:val="0"/>
                                                                                                                  <w:marTop w:val="0"/>
                                                                                                                  <w:marBottom w:val="0"/>
                                                                                                                  <w:divBdr>
                                                                                                                    <w:top w:val="none" w:sz="0" w:space="0" w:color="auto"/>
                                                                                                                    <w:left w:val="none" w:sz="0" w:space="0" w:color="auto"/>
                                                                                                                    <w:bottom w:val="none" w:sz="0" w:space="0" w:color="auto"/>
                                                                                                                    <w:right w:val="none" w:sz="0" w:space="0" w:color="auto"/>
                                                                                                                  </w:divBdr>
                                                                                                                </w:div>
                                                                                                                <w:div w:id="1421297389">
                                                                                                                  <w:marLeft w:val="0"/>
                                                                                                                  <w:marRight w:val="0"/>
                                                                                                                  <w:marTop w:val="0"/>
                                                                                                                  <w:marBottom w:val="0"/>
                                                                                                                  <w:divBdr>
                                                                                                                    <w:top w:val="none" w:sz="0" w:space="0" w:color="auto"/>
                                                                                                                    <w:left w:val="none" w:sz="0" w:space="0" w:color="auto"/>
                                                                                                                    <w:bottom w:val="none" w:sz="0" w:space="0" w:color="auto"/>
                                                                                                                    <w:right w:val="none" w:sz="0" w:space="0" w:color="auto"/>
                                                                                                                  </w:divBdr>
                                                                                                                </w:div>
                                                                                                                <w:div w:id="1421297416">
                                                                                                                  <w:marLeft w:val="0"/>
                                                                                                                  <w:marRight w:val="0"/>
                                                                                                                  <w:marTop w:val="0"/>
                                                                                                                  <w:marBottom w:val="0"/>
                                                                                                                  <w:divBdr>
                                                                                                                    <w:top w:val="none" w:sz="0" w:space="0" w:color="auto"/>
                                                                                                                    <w:left w:val="none" w:sz="0" w:space="0" w:color="auto"/>
                                                                                                                    <w:bottom w:val="none" w:sz="0" w:space="0" w:color="auto"/>
                                                                                                                    <w:right w:val="none" w:sz="0" w:space="0" w:color="auto"/>
                                                                                                                  </w:divBdr>
                                                                                                                </w:div>
                                                                                                                <w:div w:id="14212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34">
      <w:marLeft w:val="0"/>
      <w:marRight w:val="0"/>
      <w:marTop w:val="0"/>
      <w:marBottom w:val="0"/>
      <w:divBdr>
        <w:top w:val="none" w:sz="0" w:space="0" w:color="auto"/>
        <w:left w:val="none" w:sz="0" w:space="0" w:color="auto"/>
        <w:bottom w:val="none" w:sz="0" w:space="0" w:color="auto"/>
        <w:right w:val="none" w:sz="0" w:space="0" w:color="auto"/>
      </w:divBdr>
      <w:divsChild>
        <w:div w:id="1421297342">
          <w:marLeft w:val="0"/>
          <w:marRight w:val="0"/>
          <w:marTop w:val="0"/>
          <w:marBottom w:val="0"/>
          <w:divBdr>
            <w:top w:val="none" w:sz="0" w:space="0" w:color="auto"/>
            <w:left w:val="none" w:sz="0" w:space="0" w:color="auto"/>
            <w:bottom w:val="none" w:sz="0" w:space="0" w:color="auto"/>
            <w:right w:val="none" w:sz="0" w:space="0" w:color="auto"/>
          </w:divBdr>
          <w:divsChild>
            <w:div w:id="1421297350">
              <w:marLeft w:val="0"/>
              <w:marRight w:val="0"/>
              <w:marTop w:val="0"/>
              <w:marBottom w:val="0"/>
              <w:divBdr>
                <w:top w:val="none" w:sz="0" w:space="0" w:color="auto"/>
                <w:left w:val="none" w:sz="0" w:space="0" w:color="auto"/>
                <w:bottom w:val="none" w:sz="0" w:space="0" w:color="auto"/>
                <w:right w:val="none" w:sz="0" w:space="0" w:color="auto"/>
              </w:divBdr>
              <w:divsChild>
                <w:div w:id="1421297390">
                  <w:marLeft w:val="0"/>
                  <w:marRight w:val="0"/>
                  <w:marTop w:val="0"/>
                  <w:marBottom w:val="0"/>
                  <w:divBdr>
                    <w:top w:val="none" w:sz="0" w:space="0" w:color="auto"/>
                    <w:left w:val="none" w:sz="0" w:space="0" w:color="auto"/>
                    <w:bottom w:val="none" w:sz="0" w:space="0" w:color="auto"/>
                    <w:right w:val="none" w:sz="0" w:space="0" w:color="auto"/>
                  </w:divBdr>
                  <w:divsChild>
                    <w:div w:id="1421297404">
                      <w:marLeft w:val="0"/>
                      <w:marRight w:val="0"/>
                      <w:marTop w:val="0"/>
                      <w:marBottom w:val="0"/>
                      <w:divBdr>
                        <w:top w:val="none" w:sz="0" w:space="0" w:color="auto"/>
                        <w:left w:val="none" w:sz="0" w:space="0" w:color="auto"/>
                        <w:bottom w:val="none" w:sz="0" w:space="0" w:color="auto"/>
                        <w:right w:val="none" w:sz="0" w:space="0" w:color="auto"/>
                      </w:divBdr>
                      <w:divsChild>
                        <w:div w:id="1421297395">
                          <w:marLeft w:val="0"/>
                          <w:marRight w:val="0"/>
                          <w:marTop w:val="0"/>
                          <w:marBottom w:val="0"/>
                          <w:divBdr>
                            <w:top w:val="none" w:sz="0" w:space="0" w:color="auto"/>
                            <w:left w:val="none" w:sz="0" w:space="0" w:color="auto"/>
                            <w:bottom w:val="none" w:sz="0" w:space="0" w:color="auto"/>
                            <w:right w:val="none" w:sz="0" w:space="0" w:color="auto"/>
                          </w:divBdr>
                          <w:divsChild>
                            <w:div w:id="1421297397">
                              <w:marLeft w:val="0"/>
                              <w:marRight w:val="0"/>
                              <w:marTop w:val="0"/>
                              <w:marBottom w:val="0"/>
                              <w:divBdr>
                                <w:top w:val="none" w:sz="0" w:space="0" w:color="auto"/>
                                <w:left w:val="none" w:sz="0" w:space="0" w:color="auto"/>
                                <w:bottom w:val="none" w:sz="0" w:space="0" w:color="auto"/>
                                <w:right w:val="none" w:sz="0" w:space="0" w:color="auto"/>
                              </w:divBdr>
                              <w:divsChild>
                                <w:div w:id="1421297320">
                                  <w:marLeft w:val="0"/>
                                  <w:marRight w:val="0"/>
                                  <w:marTop w:val="0"/>
                                  <w:marBottom w:val="0"/>
                                  <w:divBdr>
                                    <w:top w:val="none" w:sz="0" w:space="0" w:color="auto"/>
                                    <w:left w:val="none" w:sz="0" w:space="0" w:color="auto"/>
                                    <w:bottom w:val="none" w:sz="0" w:space="0" w:color="auto"/>
                                    <w:right w:val="none" w:sz="0" w:space="0" w:color="auto"/>
                                  </w:divBdr>
                                  <w:divsChild>
                                    <w:div w:id="1421297370">
                                      <w:marLeft w:val="0"/>
                                      <w:marRight w:val="0"/>
                                      <w:marTop w:val="0"/>
                                      <w:marBottom w:val="0"/>
                                      <w:divBdr>
                                        <w:top w:val="none" w:sz="0" w:space="0" w:color="auto"/>
                                        <w:left w:val="none" w:sz="0" w:space="0" w:color="auto"/>
                                        <w:bottom w:val="none" w:sz="0" w:space="0" w:color="auto"/>
                                        <w:right w:val="none" w:sz="0" w:space="0" w:color="auto"/>
                                      </w:divBdr>
                                      <w:divsChild>
                                        <w:div w:id="1421297403">
                                          <w:marLeft w:val="0"/>
                                          <w:marRight w:val="0"/>
                                          <w:marTop w:val="0"/>
                                          <w:marBottom w:val="0"/>
                                          <w:divBdr>
                                            <w:top w:val="none" w:sz="0" w:space="0" w:color="auto"/>
                                            <w:left w:val="none" w:sz="0" w:space="0" w:color="auto"/>
                                            <w:bottom w:val="none" w:sz="0" w:space="0" w:color="auto"/>
                                            <w:right w:val="none" w:sz="0" w:space="0" w:color="auto"/>
                                          </w:divBdr>
                                          <w:divsChild>
                                            <w:div w:id="1421297446">
                                              <w:marLeft w:val="0"/>
                                              <w:marRight w:val="0"/>
                                              <w:marTop w:val="0"/>
                                              <w:marBottom w:val="0"/>
                                              <w:divBdr>
                                                <w:top w:val="none" w:sz="0" w:space="0" w:color="auto"/>
                                                <w:left w:val="none" w:sz="0" w:space="0" w:color="auto"/>
                                                <w:bottom w:val="none" w:sz="0" w:space="0" w:color="auto"/>
                                                <w:right w:val="none" w:sz="0" w:space="0" w:color="auto"/>
                                              </w:divBdr>
                                              <w:divsChild>
                                                <w:div w:id="1421297360">
                                                  <w:marLeft w:val="0"/>
                                                  <w:marRight w:val="0"/>
                                                  <w:marTop w:val="0"/>
                                                  <w:marBottom w:val="0"/>
                                                  <w:divBdr>
                                                    <w:top w:val="none" w:sz="0" w:space="0" w:color="auto"/>
                                                    <w:left w:val="none" w:sz="0" w:space="0" w:color="auto"/>
                                                    <w:bottom w:val="none" w:sz="0" w:space="0" w:color="auto"/>
                                                    <w:right w:val="none" w:sz="0" w:space="0" w:color="auto"/>
                                                  </w:divBdr>
                                                  <w:divsChild>
                                                    <w:div w:id="1421297424">
                                                      <w:marLeft w:val="0"/>
                                                      <w:marRight w:val="0"/>
                                                      <w:marTop w:val="0"/>
                                                      <w:marBottom w:val="0"/>
                                                      <w:divBdr>
                                                        <w:top w:val="none" w:sz="0" w:space="0" w:color="auto"/>
                                                        <w:left w:val="none" w:sz="0" w:space="0" w:color="auto"/>
                                                        <w:bottom w:val="none" w:sz="0" w:space="0" w:color="auto"/>
                                                        <w:right w:val="none" w:sz="0" w:space="0" w:color="auto"/>
                                                      </w:divBdr>
                                                      <w:divsChild>
                                                        <w:div w:id="1421297352">
                                                          <w:marLeft w:val="0"/>
                                                          <w:marRight w:val="0"/>
                                                          <w:marTop w:val="0"/>
                                                          <w:marBottom w:val="0"/>
                                                          <w:divBdr>
                                                            <w:top w:val="none" w:sz="0" w:space="0" w:color="auto"/>
                                                            <w:left w:val="none" w:sz="0" w:space="0" w:color="auto"/>
                                                            <w:bottom w:val="none" w:sz="0" w:space="0" w:color="auto"/>
                                                            <w:right w:val="none" w:sz="0" w:space="0" w:color="auto"/>
                                                          </w:divBdr>
                                                          <w:divsChild>
                                                            <w:div w:id="1421297459">
                                                              <w:marLeft w:val="0"/>
                                                              <w:marRight w:val="0"/>
                                                              <w:marTop w:val="0"/>
                                                              <w:marBottom w:val="0"/>
                                                              <w:divBdr>
                                                                <w:top w:val="none" w:sz="0" w:space="0" w:color="auto"/>
                                                                <w:left w:val="none" w:sz="0" w:space="0" w:color="auto"/>
                                                                <w:bottom w:val="none" w:sz="0" w:space="0" w:color="auto"/>
                                                                <w:right w:val="none" w:sz="0" w:space="0" w:color="auto"/>
                                                              </w:divBdr>
                                                              <w:divsChild>
                                                                <w:div w:id="1421297384">
                                                                  <w:marLeft w:val="0"/>
                                                                  <w:marRight w:val="0"/>
                                                                  <w:marTop w:val="0"/>
                                                                  <w:marBottom w:val="0"/>
                                                                  <w:divBdr>
                                                                    <w:top w:val="none" w:sz="0" w:space="0" w:color="auto"/>
                                                                    <w:left w:val="none" w:sz="0" w:space="0" w:color="auto"/>
                                                                    <w:bottom w:val="none" w:sz="0" w:space="0" w:color="auto"/>
                                                                    <w:right w:val="none" w:sz="0" w:space="0" w:color="auto"/>
                                                                  </w:divBdr>
                                                                  <w:divsChild>
                                                                    <w:div w:id="1421297357">
                                                                      <w:marLeft w:val="0"/>
                                                                      <w:marRight w:val="0"/>
                                                                      <w:marTop w:val="0"/>
                                                                      <w:marBottom w:val="0"/>
                                                                      <w:divBdr>
                                                                        <w:top w:val="none" w:sz="0" w:space="0" w:color="auto"/>
                                                                        <w:left w:val="none" w:sz="0" w:space="0" w:color="auto"/>
                                                                        <w:bottom w:val="none" w:sz="0" w:space="0" w:color="auto"/>
                                                                        <w:right w:val="none" w:sz="0" w:space="0" w:color="auto"/>
                                                                      </w:divBdr>
                                                                      <w:divsChild>
                                                                        <w:div w:id="1421297322">
                                                                          <w:marLeft w:val="0"/>
                                                                          <w:marRight w:val="0"/>
                                                                          <w:marTop w:val="0"/>
                                                                          <w:marBottom w:val="0"/>
                                                                          <w:divBdr>
                                                                            <w:top w:val="none" w:sz="0" w:space="0" w:color="auto"/>
                                                                            <w:left w:val="none" w:sz="0" w:space="0" w:color="auto"/>
                                                                            <w:bottom w:val="none" w:sz="0" w:space="0" w:color="auto"/>
                                                                            <w:right w:val="none" w:sz="0" w:space="0" w:color="auto"/>
                                                                          </w:divBdr>
                                                                          <w:divsChild>
                                                                            <w:div w:id="1421297439">
                                                                              <w:marLeft w:val="0"/>
                                                                              <w:marRight w:val="0"/>
                                                                              <w:marTop w:val="0"/>
                                                                              <w:marBottom w:val="0"/>
                                                                              <w:divBdr>
                                                                                <w:top w:val="none" w:sz="0" w:space="0" w:color="auto"/>
                                                                                <w:left w:val="none" w:sz="0" w:space="0" w:color="auto"/>
                                                                                <w:bottom w:val="none" w:sz="0" w:space="0" w:color="auto"/>
                                                                                <w:right w:val="none" w:sz="0" w:space="0" w:color="auto"/>
                                                                              </w:divBdr>
                                                                              <w:divsChild>
                                                                                <w:div w:id="1421297371">
                                                                                  <w:marLeft w:val="0"/>
                                                                                  <w:marRight w:val="0"/>
                                                                                  <w:marTop w:val="0"/>
                                                                                  <w:marBottom w:val="0"/>
                                                                                  <w:divBdr>
                                                                                    <w:top w:val="none" w:sz="0" w:space="0" w:color="auto"/>
                                                                                    <w:left w:val="none" w:sz="0" w:space="0" w:color="auto"/>
                                                                                    <w:bottom w:val="none" w:sz="0" w:space="0" w:color="auto"/>
                                                                                    <w:right w:val="none" w:sz="0" w:space="0" w:color="auto"/>
                                                                                  </w:divBdr>
                                                                                  <w:divsChild>
                                                                                    <w:div w:id="1421297321">
                                                                                      <w:marLeft w:val="0"/>
                                                                                      <w:marRight w:val="0"/>
                                                                                      <w:marTop w:val="0"/>
                                                                                      <w:marBottom w:val="0"/>
                                                                                      <w:divBdr>
                                                                                        <w:top w:val="none" w:sz="0" w:space="0" w:color="auto"/>
                                                                                        <w:left w:val="none" w:sz="0" w:space="0" w:color="auto"/>
                                                                                        <w:bottom w:val="none" w:sz="0" w:space="0" w:color="auto"/>
                                                                                        <w:right w:val="none" w:sz="0" w:space="0" w:color="auto"/>
                                                                                      </w:divBdr>
                                                                                      <w:divsChild>
                                                                                        <w:div w:id="1421297361">
                                                                                          <w:marLeft w:val="0"/>
                                                                                          <w:marRight w:val="0"/>
                                                                                          <w:marTop w:val="0"/>
                                                                                          <w:marBottom w:val="0"/>
                                                                                          <w:divBdr>
                                                                                            <w:top w:val="none" w:sz="0" w:space="0" w:color="auto"/>
                                                                                            <w:left w:val="none" w:sz="0" w:space="0" w:color="auto"/>
                                                                                            <w:bottom w:val="none" w:sz="0" w:space="0" w:color="auto"/>
                                                                                            <w:right w:val="none" w:sz="0" w:space="0" w:color="auto"/>
                                                                                          </w:divBdr>
                                                                                          <w:divsChild>
                                                                                            <w:div w:id="1421297338">
                                                                                              <w:marLeft w:val="0"/>
                                                                                              <w:marRight w:val="0"/>
                                                                                              <w:marTop w:val="0"/>
                                                                                              <w:marBottom w:val="0"/>
                                                                                              <w:divBdr>
                                                                                                <w:top w:val="none" w:sz="0" w:space="0" w:color="auto"/>
                                                                                                <w:left w:val="none" w:sz="0" w:space="0" w:color="auto"/>
                                                                                                <w:bottom w:val="none" w:sz="0" w:space="0" w:color="auto"/>
                                                                                                <w:right w:val="none" w:sz="0" w:space="0" w:color="auto"/>
                                                                                              </w:divBdr>
                                                                                              <w:divsChild>
                                                                                                <w:div w:id="1421297366">
                                                                                                  <w:marLeft w:val="0"/>
                                                                                                  <w:marRight w:val="0"/>
                                                                                                  <w:marTop w:val="0"/>
                                                                                                  <w:marBottom w:val="0"/>
                                                                                                  <w:divBdr>
                                                                                                    <w:top w:val="none" w:sz="0" w:space="0" w:color="auto"/>
                                                                                                    <w:left w:val="none" w:sz="0" w:space="0" w:color="auto"/>
                                                                                                    <w:bottom w:val="none" w:sz="0" w:space="0" w:color="auto"/>
                                                                                                    <w:right w:val="none" w:sz="0" w:space="0" w:color="auto"/>
                                                                                                  </w:divBdr>
                                                                                                  <w:divsChild>
                                                                                                    <w:div w:id="1421297356">
                                                                                                      <w:marLeft w:val="0"/>
                                                                                                      <w:marRight w:val="0"/>
                                                                                                      <w:marTop w:val="0"/>
                                                                                                      <w:marBottom w:val="0"/>
                                                                                                      <w:divBdr>
                                                                                                        <w:top w:val="none" w:sz="0" w:space="0" w:color="auto"/>
                                                                                                        <w:left w:val="none" w:sz="0" w:space="0" w:color="auto"/>
                                                                                                        <w:bottom w:val="none" w:sz="0" w:space="0" w:color="auto"/>
                                                                                                        <w:right w:val="none" w:sz="0" w:space="0" w:color="auto"/>
                                                                                                      </w:divBdr>
                                                                                                      <w:divsChild>
                                                                                                        <w:div w:id="1421297443">
                                                                                                          <w:marLeft w:val="0"/>
                                                                                                          <w:marRight w:val="0"/>
                                                                                                          <w:marTop w:val="0"/>
                                                                                                          <w:marBottom w:val="0"/>
                                                                                                          <w:divBdr>
                                                                                                            <w:top w:val="none" w:sz="0" w:space="0" w:color="auto"/>
                                                                                                            <w:left w:val="none" w:sz="0" w:space="0" w:color="auto"/>
                                                                                                            <w:bottom w:val="none" w:sz="0" w:space="0" w:color="auto"/>
                                                                                                            <w:right w:val="none" w:sz="0" w:space="0" w:color="auto"/>
                                                                                                          </w:divBdr>
                                                                                                          <w:divsChild>
                                                                                                            <w:div w:id="1421297336">
                                                                                                              <w:marLeft w:val="0"/>
                                                                                                              <w:marRight w:val="0"/>
                                                                                                              <w:marTop w:val="0"/>
                                                                                                              <w:marBottom w:val="0"/>
                                                                                                              <w:divBdr>
                                                                                                                <w:top w:val="none" w:sz="0" w:space="0" w:color="auto"/>
                                                                                                                <w:left w:val="none" w:sz="0" w:space="0" w:color="auto"/>
                                                                                                                <w:bottom w:val="none" w:sz="0" w:space="0" w:color="auto"/>
                                                                                                                <w:right w:val="none" w:sz="0" w:space="0" w:color="auto"/>
                                                                                                              </w:divBdr>
                                                                                                              <w:divsChild>
                                                                                                                <w:div w:id="1421297381">
                                                                                                                  <w:marLeft w:val="0"/>
                                                                                                                  <w:marRight w:val="0"/>
                                                                                                                  <w:marTop w:val="0"/>
                                                                                                                  <w:marBottom w:val="0"/>
                                                                                                                  <w:divBdr>
                                                                                                                    <w:top w:val="none" w:sz="0" w:space="0" w:color="auto"/>
                                                                                                                    <w:left w:val="none" w:sz="0" w:space="0" w:color="auto"/>
                                                                                                                    <w:bottom w:val="none" w:sz="0" w:space="0" w:color="auto"/>
                                                                                                                    <w:right w:val="none" w:sz="0" w:space="0" w:color="auto"/>
                                                                                                                  </w:divBdr>
                                                                                                                  <w:divsChild>
                                                                                                                    <w:div w:id="1421297344">
                                                                                                                      <w:marLeft w:val="0"/>
                                                                                                                      <w:marRight w:val="0"/>
                                                                                                                      <w:marTop w:val="0"/>
                                                                                                                      <w:marBottom w:val="0"/>
                                                                                                                      <w:divBdr>
                                                                                                                        <w:top w:val="none" w:sz="0" w:space="0" w:color="auto"/>
                                                                                                                        <w:left w:val="none" w:sz="0" w:space="0" w:color="auto"/>
                                                                                                                        <w:bottom w:val="none" w:sz="0" w:space="0" w:color="auto"/>
                                                                                                                        <w:right w:val="none" w:sz="0" w:space="0" w:color="auto"/>
                                                                                                                      </w:divBdr>
                                                                                                                      <w:divsChild>
                                                                                                                        <w:div w:id="1421297401">
                                                                                                                          <w:marLeft w:val="0"/>
                                                                                                                          <w:marRight w:val="0"/>
                                                                                                                          <w:marTop w:val="0"/>
                                                                                                                          <w:marBottom w:val="0"/>
                                                                                                                          <w:divBdr>
                                                                                                                            <w:top w:val="none" w:sz="0" w:space="0" w:color="auto"/>
                                                                                                                            <w:left w:val="none" w:sz="0" w:space="0" w:color="auto"/>
                                                                                                                            <w:bottom w:val="none" w:sz="0" w:space="0" w:color="auto"/>
                                                                                                                            <w:right w:val="none" w:sz="0" w:space="0" w:color="auto"/>
                                                                                                                          </w:divBdr>
                                                                                                                          <w:divsChild>
                                                                                                                            <w:div w:id="1421297339">
                                                                                                                              <w:marLeft w:val="0"/>
                                                                                                                              <w:marRight w:val="0"/>
                                                                                                                              <w:marTop w:val="0"/>
                                                                                                                              <w:marBottom w:val="0"/>
                                                                                                                              <w:divBdr>
                                                                                                                                <w:top w:val="none" w:sz="0" w:space="0" w:color="auto"/>
                                                                                                                                <w:left w:val="none" w:sz="0" w:space="0" w:color="auto"/>
                                                                                                                                <w:bottom w:val="none" w:sz="0" w:space="0" w:color="auto"/>
                                                                                                                                <w:right w:val="none" w:sz="0" w:space="0" w:color="auto"/>
                                                                                                                              </w:divBdr>
                                                                                                                              <w:divsChild>
                                                                                                                                <w:div w:id="1421297449">
                                                                                                                                  <w:marLeft w:val="0"/>
                                                                                                                                  <w:marRight w:val="0"/>
                                                                                                                                  <w:marTop w:val="0"/>
                                                                                                                                  <w:marBottom w:val="0"/>
                                                                                                                                  <w:divBdr>
                                                                                                                                    <w:top w:val="none" w:sz="0" w:space="0" w:color="auto"/>
                                                                                                                                    <w:left w:val="none" w:sz="0" w:space="0" w:color="auto"/>
                                                                                                                                    <w:bottom w:val="none" w:sz="0" w:space="0" w:color="auto"/>
                                                                                                                                    <w:right w:val="none" w:sz="0" w:space="0" w:color="auto"/>
                                                                                                                                  </w:divBdr>
                                                                                                                                  <w:divsChild>
                                                                                                                                    <w:div w:id="1421297323">
                                                                                                                                      <w:marLeft w:val="0"/>
                                                                                                                                      <w:marRight w:val="0"/>
                                                                                                                                      <w:marTop w:val="0"/>
                                                                                                                                      <w:marBottom w:val="0"/>
                                                                                                                                      <w:divBdr>
                                                                                                                                        <w:top w:val="none" w:sz="0" w:space="0" w:color="auto"/>
                                                                                                                                        <w:left w:val="none" w:sz="0" w:space="0" w:color="auto"/>
                                                                                                                                        <w:bottom w:val="none" w:sz="0" w:space="0" w:color="auto"/>
                                                                                                                                        <w:right w:val="none" w:sz="0" w:space="0" w:color="auto"/>
                                                                                                                                      </w:divBdr>
                                                                                                                                      <w:divsChild>
                                                                                                                                        <w:div w:id="1421297420">
                                                                                                                                          <w:marLeft w:val="0"/>
                                                                                                                                          <w:marRight w:val="0"/>
                                                                                                                                          <w:marTop w:val="0"/>
                                                                                                                                          <w:marBottom w:val="0"/>
                                                                                                                                          <w:divBdr>
                                                                                                                                            <w:top w:val="none" w:sz="0" w:space="0" w:color="auto"/>
                                                                                                                                            <w:left w:val="none" w:sz="0" w:space="0" w:color="auto"/>
                                                                                                                                            <w:bottom w:val="none" w:sz="0" w:space="0" w:color="auto"/>
                                                                                                                                            <w:right w:val="none" w:sz="0" w:space="0" w:color="auto"/>
                                                                                                                                          </w:divBdr>
                                                                                                                                          <w:divsChild>
                                                                                                                                            <w:div w:id="1421297409">
                                                                                                                                              <w:marLeft w:val="0"/>
                                                                                                                                              <w:marRight w:val="0"/>
                                                                                                                                              <w:marTop w:val="0"/>
                                                                                                                                              <w:marBottom w:val="0"/>
                                                                                                                                              <w:divBdr>
                                                                                                                                                <w:top w:val="none" w:sz="0" w:space="0" w:color="auto"/>
                                                                                                                                                <w:left w:val="none" w:sz="0" w:space="0" w:color="auto"/>
                                                                                                                                                <w:bottom w:val="none" w:sz="0" w:space="0" w:color="auto"/>
                                                                                                                                                <w:right w:val="none" w:sz="0" w:space="0" w:color="auto"/>
                                                                                                                                              </w:divBdr>
                                                                                                                                              <w:divsChild>
                                                                                                                                                <w:div w:id="1421297437">
                                                                                                                                                  <w:marLeft w:val="0"/>
                                                                                                                                                  <w:marRight w:val="0"/>
                                                                                                                                                  <w:marTop w:val="0"/>
                                                                                                                                                  <w:marBottom w:val="0"/>
                                                                                                                                                  <w:divBdr>
                                                                                                                                                    <w:top w:val="none" w:sz="0" w:space="0" w:color="auto"/>
                                                                                                                                                    <w:left w:val="none" w:sz="0" w:space="0" w:color="auto"/>
                                                                                                                                                    <w:bottom w:val="none" w:sz="0" w:space="0" w:color="auto"/>
                                                                                                                                                    <w:right w:val="none" w:sz="0" w:space="0" w:color="auto"/>
                                                                                                                                                  </w:divBdr>
                                                                                                                                                  <w:divsChild>
                                                                                                                                                    <w:div w:id="1421297407">
                                                                                                                                                      <w:marLeft w:val="0"/>
                                                                                                                                                      <w:marRight w:val="0"/>
                                                                                                                                                      <w:marTop w:val="0"/>
                                                                                                                                                      <w:marBottom w:val="0"/>
                                                                                                                                                      <w:divBdr>
                                                                                                                                                        <w:top w:val="none" w:sz="0" w:space="0" w:color="auto"/>
                                                                                                                                                        <w:left w:val="none" w:sz="0" w:space="0" w:color="auto"/>
                                                                                                                                                        <w:bottom w:val="none" w:sz="0" w:space="0" w:color="auto"/>
                                                                                                                                                        <w:right w:val="none" w:sz="0" w:space="0" w:color="auto"/>
                                                                                                                                                      </w:divBdr>
                                                                                                                                                      <w:divsChild>
                                                                                                                                                        <w:div w:id="1421297341">
                                                                                                                                                          <w:marLeft w:val="0"/>
                                                                                                                                                          <w:marRight w:val="0"/>
                                                                                                                                                          <w:marTop w:val="0"/>
                                                                                                                                                          <w:marBottom w:val="0"/>
                                                                                                                                                          <w:divBdr>
                                                                                                                                                            <w:top w:val="none" w:sz="0" w:space="0" w:color="auto"/>
                                                                                                                                                            <w:left w:val="none" w:sz="0" w:space="0" w:color="auto"/>
                                                                                                                                                            <w:bottom w:val="none" w:sz="0" w:space="0" w:color="auto"/>
                                                                                                                                                            <w:right w:val="none" w:sz="0" w:space="0" w:color="auto"/>
                                                                                                                                                          </w:divBdr>
                                                                                                                                                        </w:div>
                                                                                                                                                        <w:div w:id="1421297349">
                                                                                                                                                          <w:marLeft w:val="0"/>
                                                                                                                                                          <w:marRight w:val="0"/>
                                                                                                                                                          <w:marTop w:val="0"/>
                                                                                                                                                          <w:marBottom w:val="0"/>
                                                                                                                                                          <w:divBdr>
                                                                                                                                                            <w:top w:val="none" w:sz="0" w:space="0" w:color="auto"/>
                                                                                                                                                            <w:left w:val="none" w:sz="0" w:space="0" w:color="auto"/>
                                                                                                                                                            <w:bottom w:val="none" w:sz="0" w:space="0" w:color="auto"/>
                                                                                                                                                            <w:right w:val="none" w:sz="0" w:space="0" w:color="auto"/>
                                                                                                                                                          </w:divBdr>
                                                                                                                                                        </w:div>
                                                                                                                                                        <w:div w:id="1421297363">
                                                                                                                                                          <w:marLeft w:val="0"/>
                                                                                                                                                          <w:marRight w:val="0"/>
                                                                                                                                                          <w:marTop w:val="0"/>
                                                                                                                                                          <w:marBottom w:val="0"/>
                                                                                                                                                          <w:divBdr>
                                                                                                                                                            <w:top w:val="none" w:sz="0" w:space="0" w:color="auto"/>
                                                                                                                                                            <w:left w:val="none" w:sz="0" w:space="0" w:color="auto"/>
                                                                                                                                                            <w:bottom w:val="none" w:sz="0" w:space="0" w:color="auto"/>
                                                                                                                                                            <w:right w:val="none" w:sz="0" w:space="0" w:color="auto"/>
                                                                                                                                                          </w:divBdr>
                                                                                                                                                        </w:div>
                                                                                                                                                        <w:div w:id="1421297377">
                                                                                                                                                          <w:marLeft w:val="0"/>
                                                                                                                                                          <w:marRight w:val="0"/>
                                                                                                                                                          <w:marTop w:val="0"/>
                                                                                                                                                          <w:marBottom w:val="0"/>
                                                                                                                                                          <w:divBdr>
                                                                                                                                                            <w:top w:val="none" w:sz="0" w:space="0" w:color="auto"/>
                                                                                                                                                            <w:left w:val="none" w:sz="0" w:space="0" w:color="auto"/>
                                                                                                                                                            <w:bottom w:val="none" w:sz="0" w:space="0" w:color="auto"/>
                                                                                                                                                            <w:right w:val="none" w:sz="0" w:space="0" w:color="auto"/>
                                                                                                                                                          </w:divBdr>
                                                                                                                                                        </w:div>
                                                                                                                                                        <w:div w:id="1421297379">
                                                                                                                                                          <w:marLeft w:val="0"/>
                                                                                                                                                          <w:marRight w:val="0"/>
                                                                                                                                                          <w:marTop w:val="0"/>
                                                                                                                                                          <w:marBottom w:val="0"/>
                                                                                                                                                          <w:divBdr>
                                                                                                                                                            <w:top w:val="none" w:sz="0" w:space="0" w:color="auto"/>
                                                                                                                                                            <w:left w:val="none" w:sz="0" w:space="0" w:color="auto"/>
                                                                                                                                                            <w:bottom w:val="none" w:sz="0" w:space="0" w:color="auto"/>
                                                                                                                                                            <w:right w:val="none" w:sz="0" w:space="0" w:color="auto"/>
                                                                                                                                                          </w:divBdr>
                                                                                                                                                        </w:div>
                                                                                                                                                        <w:div w:id="1421297388">
                                                                                                                                                          <w:marLeft w:val="0"/>
                                                                                                                                                          <w:marRight w:val="0"/>
                                                                                                                                                          <w:marTop w:val="0"/>
                                                                                                                                                          <w:marBottom w:val="0"/>
                                                                                                                                                          <w:divBdr>
                                                                                                                                                            <w:top w:val="none" w:sz="0" w:space="0" w:color="auto"/>
                                                                                                                                                            <w:left w:val="none" w:sz="0" w:space="0" w:color="auto"/>
                                                                                                                                                            <w:bottom w:val="none" w:sz="0" w:space="0" w:color="auto"/>
                                                                                                                                                            <w:right w:val="none" w:sz="0" w:space="0" w:color="auto"/>
                                                                                                                                                          </w:divBdr>
                                                                                                                                                        </w:div>
                                                                                                                                                        <w:div w:id="1421297429">
                                                                                                                                                          <w:marLeft w:val="0"/>
                                                                                                                                                          <w:marRight w:val="0"/>
                                                                                                                                                          <w:marTop w:val="0"/>
                                                                                                                                                          <w:marBottom w:val="0"/>
                                                                                                                                                          <w:divBdr>
                                                                                                                                                            <w:top w:val="none" w:sz="0" w:space="0" w:color="auto"/>
                                                                                                                                                            <w:left w:val="none" w:sz="0" w:space="0" w:color="auto"/>
                                                                                                                                                            <w:bottom w:val="none" w:sz="0" w:space="0" w:color="auto"/>
                                                                                                                                                            <w:right w:val="none" w:sz="0" w:space="0" w:color="auto"/>
                                                                                                                                                          </w:divBdr>
                                                                                                                                                        </w:div>
                                                                                                                                                        <w:div w:id="1421297436">
                                                                                                                                                          <w:marLeft w:val="0"/>
                                                                                                                                                          <w:marRight w:val="0"/>
                                                                                                                                                          <w:marTop w:val="0"/>
                                                                                                                                                          <w:marBottom w:val="0"/>
                                                                                                                                                          <w:divBdr>
                                                                                                                                                            <w:top w:val="none" w:sz="0" w:space="0" w:color="auto"/>
                                                                                                                                                            <w:left w:val="none" w:sz="0" w:space="0" w:color="auto"/>
                                                                                                                                                            <w:bottom w:val="none" w:sz="0" w:space="0" w:color="auto"/>
                                                                                                                                                            <w:right w:val="none" w:sz="0" w:space="0" w:color="auto"/>
                                                                                                                                                          </w:divBdr>
                                                                                                                                                        </w:div>
                                                                                                                                                        <w:div w:id="1421297441">
                                                                                                                                                          <w:marLeft w:val="0"/>
                                                                                                                                                          <w:marRight w:val="0"/>
                                                                                                                                                          <w:marTop w:val="0"/>
                                                                                                                                                          <w:marBottom w:val="0"/>
                                                                                                                                                          <w:divBdr>
                                                                                                                                                            <w:top w:val="none" w:sz="0" w:space="0" w:color="auto"/>
                                                                                                                                                            <w:left w:val="none" w:sz="0" w:space="0" w:color="auto"/>
                                                                                                                                                            <w:bottom w:val="none" w:sz="0" w:space="0" w:color="auto"/>
                                                                                                                                                            <w:right w:val="none" w:sz="0" w:space="0" w:color="auto"/>
                                                                                                                                                          </w:divBdr>
                                                                                                                                                        </w:div>
                                                                                                                                                        <w:div w:id="1421297444">
                                                                                                                                                          <w:marLeft w:val="0"/>
                                                                                                                                                          <w:marRight w:val="0"/>
                                                                                                                                                          <w:marTop w:val="0"/>
                                                                                                                                                          <w:marBottom w:val="0"/>
                                                                                                                                                          <w:divBdr>
                                                                                                                                                            <w:top w:val="none" w:sz="0" w:space="0" w:color="auto"/>
                                                                                                                                                            <w:left w:val="none" w:sz="0" w:space="0" w:color="auto"/>
                                                                                                                                                            <w:bottom w:val="none" w:sz="0" w:space="0" w:color="auto"/>
                                                                                                                                                            <w:right w:val="none" w:sz="0" w:space="0" w:color="auto"/>
                                                                                                                                                          </w:divBdr>
                                                                                                                                                        </w:div>
                                                                                                                                                        <w:div w:id="1421297454">
                                                                                                                                                          <w:marLeft w:val="0"/>
                                                                                                                                                          <w:marRight w:val="0"/>
                                                                                                                                                          <w:marTop w:val="0"/>
                                                                                                                                                          <w:marBottom w:val="0"/>
                                                                                                                                                          <w:divBdr>
                                                                                                                                                            <w:top w:val="none" w:sz="0" w:space="0" w:color="auto"/>
                                                                                                                                                            <w:left w:val="none" w:sz="0" w:space="0" w:color="auto"/>
                                                                                                                                                            <w:bottom w:val="none" w:sz="0" w:space="0" w:color="auto"/>
                                                                                                                                                            <w:right w:val="none" w:sz="0" w:space="0" w:color="auto"/>
                                                                                                                                                          </w:divBdr>
                                                                                                                                                        </w:div>
                                                                                                                                                        <w:div w:id="1421297455">
                                                                                                                                                          <w:marLeft w:val="0"/>
                                                                                                                                                          <w:marRight w:val="0"/>
                                                                                                                                                          <w:marTop w:val="0"/>
                                                                                                                                                          <w:marBottom w:val="0"/>
                                                                                                                                                          <w:divBdr>
                                                                                                                                                            <w:top w:val="none" w:sz="0" w:space="0" w:color="auto"/>
                                                                                                                                                            <w:left w:val="none" w:sz="0" w:space="0" w:color="auto"/>
                                                                                                                                                            <w:bottom w:val="none" w:sz="0" w:space="0" w:color="auto"/>
                                                                                                                                                            <w:right w:val="none" w:sz="0" w:space="0" w:color="auto"/>
                                                                                                                                                          </w:divBdr>
                                                                                                                                                        </w:div>
                                                                                                                                                        <w:div w:id="14212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35">
      <w:marLeft w:val="0"/>
      <w:marRight w:val="0"/>
      <w:marTop w:val="0"/>
      <w:marBottom w:val="0"/>
      <w:divBdr>
        <w:top w:val="none" w:sz="0" w:space="0" w:color="auto"/>
        <w:left w:val="none" w:sz="0" w:space="0" w:color="auto"/>
        <w:bottom w:val="none" w:sz="0" w:space="0" w:color="auto"/>
        <w:right w:val="none" w:sz="0" w:space="0" w:color="auto"/>
      </w:divBdr>
    </w:div>
    <w:div w:id="1421297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eadata.gov.br/ipeaweb.dll/ipeadata?598502812" TargetMode="External"/><Relationship Id="rId4" Type="http://schemas.openxmlformats.org/officeDocument/2006/relationships/settings" Target="settings.xml"/><Relationship Id="rId9" Type="http://schemas.openxmlformats.org/officeDocument/2006/relationships/hyperlink" Target="http://www.ibge.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A01E7-F42D-431B-96FE-490932DB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94181</TotalTime>
  <Pages>17</Pages>
  <Words>8083</Words>
  <Characters>46074</Characters>
  <Application>Microsoft Office Word</Application>
  <DocSecurity>0</DocSecurity>
  <Lines>383</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Pablo Astorga</cp:lastModifiedBy>
  <cp:revision>2889</cp:revision>
  <cp:lastPrinted>2017-06-30T14:57:00Z</cp:lastPrinted>
  <dcterms:created xsi:type="dcterms:W3CDTF">2014-10-13T18:23:00Z</dcterms:created>
  <dcterms:modified xsi:type="dcterms:W3CDTF">2017-09-01T16:24:00Z</dcterms:modified>
</cp:coreProperties>
</file>