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FA" w:rsidRPr="00F266FA" w:rsidRDefault="00F266FA" w:rsidP="00F266FA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C9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7615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66FA">
        <w:rPr>
          <w:rFonts w:ascii="Times New Roman" w:hAnsi="Times New Roman" w:cs="Times New Roman"/>
          <w:b/>
          <w:sz w:val="24"/>
          <w:szCs w:val="24"/>
          <w:lang w:val="en-US"/>
        </w:rPr>
        <w:t>: Values of Human Rights Protection Provisions</w:t>
      </w:r>
    </w:p>
    <w:p w:rsidR="00F266FA" w:rsidRPr="00F266FA" w:rsidRDefault="00F266FA" w:rsidP="00F266F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6FA" w:rsidRPr="00F266FA" w:rsidRDefault="009A1DDD" w:rsidP="00F266F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Case study 1:</w:t>
      </w:r>
      <w:r w:rsidR="00F266FA" w:rsidRPr="00F266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 Sanctions – Subsistence Rights</w:t>
      </w:r>
    </w:p>
    <w:p w:rsidR="00F266FA" w:rsidRPr="00F266FA" w:rsidRDefault="009A1DDD" w:rsidP="00F266FA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1989-2012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1989-2012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551"/>
        <w:gridCol w:w="2521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de-DE"/>
              </w:rPr>
              <w:footnoteReference w:id="1"/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1989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0.38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0.38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0.38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0.38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0.38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1997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</w:tbl>
    <w:p w:rsidR="00F266FA" w:rsidRPr="00F266FA" w:rsidRDefault="00F266FA" w:rsidP="00883D67">
      <w:pPr>
        <w:keepNext/>
        <w:keepLines/>
        <w:spacing w:before="200" w:after="0"/>
        <w:outlineLvl w:val="2"/>
        <w:rPr>
          <w:rFonts w:ascii="Times New Roman" w:hAnsi="Times New Roman" w:cs="Times New Roman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1989-2012 </w:t>
      </w:r>
    </w:p>
    <w:p w:rsidR="00883D67" w:rsidRPr="001512E4" w:rsidRDefault="00883D67" w:rsidP="00883D67">
      <w:pPr>
        <w:rPr>
          <w:rFonts w:ascii="Times New Roman" w:hAnsi="Times New Roman" w:cs="Times New Roman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877A492" wp14:editId="10F14D02">
            <wp:extent cx="5779008" cy="2651760"/>
            <wp:effectExtent l="0" t="0" r="12700" b="1524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1DDD" w:rsidRDefault="009A1DDD" w:rsidP="00F266F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6FA" w:rsidRPr="00F266FA" w:rsidRDefault="009A1DDD" w:rsidP="00F266F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Case study 2</w:t>
      </w:r>
      <w:r w:rsidR="00F266FA" w:rsidRPr="00F266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266FA" w:rsidRPr="00F266FA">
        <w:rPr>
          <w:rFonts w:ascii="Times New Roman" w:hAnsi="Times New Roman" w:cs="Times New Roman"/>
          <w:b/>
          <w:sz w:val="24"/>
          <w:szCs w:val="24"/>
          <w:lang w:val="en-GB"/>
        </w:rPr>
        <w:t>UN Sanctions – Due Process Rights</w:t>
      </w:r>
    </w:p>
    <w:p w:rsidR="00F266FA" w:rsidRPr="00F266FA" w:rsidRDefault="009A1DDD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2001-2012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18"/>
        <w:gridCol w:w="1710"/>
        <w:gridCol w:w="1021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</w:tbl>
    <w:p w:rsidR="00F266FA" w:rsidRPr="00F266FA" w:rsidRDefault="009A1DDD" w:rsidP="00883D67">
      <w:pPr>
        <w:keepNext/>
        <w:keepLines/>
        <w:spacing w:before="200" w:after="0"/>
        <w:outlineLvl w:val="2"/>
        <w:rPr>
          <w:b/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omplaint provisions 2001-2012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166"/>
        <w:gridCol w:w="1166"/>
        <w:gridCol w:w="1403"/>
        <w:gridCol w:w="1340"/>
        <w:gridCol w:w="928"/>
        <w:gridCol w:w="1615"/>
        <w:gridCol w:w="866"/>
      </w:tblGrid>
      <w:tr w:rsidR="00F266FA" w:rsidRPr="00F266FA" w:rsidTr="00883D67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Delegation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Complainant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Accessibility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Remedy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rFonts w:ascii="Times New Roman" w:hAnsi="Times New Roman" w:cs="Times New Roman"/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2001-2012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1.38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</w:tbl>
    <w:p w:rsidR="00F266FA" w:rsidRPr="00F266FA" w:rsidRDefault="00F266FA" w:rsidP="00F266FA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Cs/>
          <w:color w:val="000000" w:themeColor="text1"/>
          <w:u w:val="single"/>
          <w:lang w:val="en-US"/>
        </w:rPr>
      </w:pPr>
    </w:p>
    <w:p w:rsidR="009A1DDD" w:rsidRDefault="009A1DDD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br w:type="page"/>
      </w:r>
    </w:p>
    <w:p w:rsidR="00F266FA" w:rsidRPr="00F266FA" w:rsidRDefault="00F266FA" w:rsidP="009A1DDD">
      <w:pPr>
        <w:keepNext/>
        <w:keepLines/>
        <w:spacing w:before="200" w:after="0"/>
        <w:outlineLvl w:val="2"/>
        <w:rPr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Aggregated values of human rights protection provisions 2001-2012 </w:t>
      </w:r>
    </w:p>
    <w:p w:rsidR="00883D67" w:rsidRPr="00BB251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32D8C768" wp14:editId="4166ACFC">
            <wp:extent cx="5779008" cy="2651760"/>
            <wp:effectExtent l="0" t="0" r="12700" b="1524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6FA" w:rsidRPr="00F266FA" w:rsidRDefault="00F266FA" w:rsidP="00F266FA">
      <w:pPr>
        <w:rPr>
          <w:rFonts w:ascii="Times New Roman" w:hAnsi="Times New Roman" w:cs="Times New Roman"/>
          <w:lang w:val="en-US"/>
        </w:rPr>
      </w:pP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Case study 3</w:t>
      </w:r>
      <w:r w:rsidR="00F266FA"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: EU Sanctions – Subsistence Rights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9A1DDD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1993-2012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</w:tbl>
    <w:p w:rsidR="00F266FA" w:rsidRPr="00F266FA" w:rsidRDefault="00F266FA" w:rsidP="00F266FA">
      <w:pPr>
        <w:rPr>
          <w:lang w:val="en-US"/>
        </w:rPr>
      </w:pPr>
    </w:p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Aggregated values of human rights protection provisions 1993-2012 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</w:tbl>
    <w:p w:rsidR="00F266FA" w:rsidRPr="00883D67" w:rsidRDefault="00F266FA" w:rsidP="00F266FA">
      <w:pPr>
        <w:keepNext/>
        <w:keepLines/>
        <w:spacing w:before="200" w:after="0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1993-2012 </w:t>
      </w:r>
    </w:p>
    <w:p w:rsidR="00883D6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06A4404" wp14:editId="27C00640">
            <wp:extent cx="5779008" cy="2651760"/>
            <wp:effectExtent l="0" t="0" r="12700" b="1524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6FA" w:rsidRPr="00F266FA" w:rsidRDefault="00F266FA" w:rsidP="00F266FA">
      <w:pPr>
        <w:rPr>
          <w:lang w:val="en-US"/>
        </w:rPr>
      </w:pPr>
    </w:p>
    <w:p w:rsidR="009A1DDD" w:rsidRDefault="009A1DDD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br w:type="page"/>
      </w: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lastRenderedPageBreak/>
        <w:t>Case study 4</w:t>
      </w:r>
      <w:r w:rsidR="00F266FA"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: EU Sanctions – Due Process Rights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9A1DDD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revention provisions 2000-2012 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</w:tbl>
    <w:p w:rsidR="00F266FA" w:rsidRPr="00F266FA" w:rsidRDefault="009A1DDD" w:rsidP="00F266FA">
      <w:pPr>
        <w:keepNext/>
        <w:keepLines/>
        <w:spacing w:before="200" w:after="0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omplaint provisions 2000-2012 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166"/>
        <w:gridCol w:w="1166"/>
        <w:gridCol w:w="1403"/>
        <w:gridCol w:w="1340"/>
        <w:gridCol w:w="928"/>
        <w:gridCol w:w="1615"/>
        <w:gridCol w:w="866"/>
      </w:tblGrid>
      <w:tr w:rsidR="00F266FA" w:rsidRPr="00F266FA" w:rsidTr="00883D67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Delegation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Complainant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Accessibility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Remedy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2000-2012 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0.29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1.13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</w:tbl>
    <w:p w:rsidR="00F266FA" w:rsidRPr="00883D67" w:rsidRDefault="00F266FA" w:rsidP="00F266FA">
      <w:pPr>
        <w:keepNext/>
        <w:keepLines/>
        <w:spacing w:before="200" w:after="0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2000-2012 </w:t>
      </w:r>
    </w:p>
    <w:p w:rsidR="00883D6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10BD233" wp14:editId="4D8BD088">
            <wp:extent cx="5779008" cy="2651760"/>
            <wp:effectExtent l="0" t="0" r="12700" b="1524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Case study 5</w:t>
      </w:r>
      <w:r w:rsidR="00F266FA" w:rsidRPr="00F266F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: UN Peacekeeping – Bodily Integrity Rights and Right not to be Subjected to Inhuman or Degrading Treatment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1997-2012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1.94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1.94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</w:tbl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omplaint provisions 1997-2012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166"/>
        <w:gridCol w:w="1166"/>
        <w:gridCol w:w="1403"/>
        <w:gridCol w:w="1340"/>
        <w:gridCol w:w="928"/>
        <w:gridCol w:w="1615"/>
        <w:gridCol w:w="866"/>
      </w:tblGrid>
      <w:tr w:rsidR="00F266FA" w:rsidRPr="00F266FA" w:rsidTr="00883D67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Delegation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Complainant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Accessibility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Remedy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1.13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1.46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1997-2012 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1.17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1.17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1.73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1.73</w:t>
            </w:r>
          </w:p>
        </w:tc>
      </w:tr>
    </w:tbl>
    <w:p w:rsidR="00F266FA" w:rsidRPr="00F266FA" w:rsidRDefault="00F266FA" w:rsidP="00F266FA">
      <w:pPr>
        <w:rPr>
          <w:lang w:val="en-US"/>
        </w:rPr>
      </w:pPr>
    </w:p>
    <w:p w:rsidR="00883D67" w:rsidRPr="00883D67" w:rsidRDefault="00F266FA" w:rsidP="00F266FA">
      <w:pPr>
        <w:keepNext/>
        <w:keepLines/>
        <w:spacing w:before="200" w:after="0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Aggregated values of human rights protection provisions 1997-2012 </w:t>
      </w:r>
    </w:p>
    <w:p w:rsidR="00883D6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6191B0B6" wp14:editId="2D352E61">
            <wp:extent cx="5779008" cy="2651760"/>
            <wp:effectExtent l="0" t="0" r="12700" b="1524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66FA" w:rsidRPr="00F266FA" w:rsidRDefault="00F266FA" w:rsidP="00F266FA">
      <w:pPr>
        <w:keepNext/>
        <w:keepLines/>
        <w:spacing w:before="200" w:after="0"/>
        <w:outlineLvl w:val="2"/>
        <w:rPr>
          <w:rFonts w:ascii="Arial" w:eastAsiaTheme="majorEastAsia" w:hAnsi="Arial" w:cs="Arial"/>
          <w:bCs/>
          <w:color w:val="000000" w:themeColor="text1"/>
          <w:sz w:val="18"/>
          <w:szCs w:val="18"/>
          <w:lang w:val="en-US"/>
        </w:rPr>
      </w:pP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Case study 6</w:t>
      </w:r>
      <w:r w:rsidR="00F266FA"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: UN Peacekeeping – Due Process Rights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1993-2012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</w:tbl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>C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omplaint provisions 1993-2012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166"/>
        <w:gridCol w:w="1166"/>
        <w:gridCol w:w="1403"/>
        <w:gridCol w:w="1340"/>
        <w:gridCol w:w="928"/>
        <w:gridCol w:w="1615"/>
        <w:gridCol w:w="866"/>
      </w:tblGrid>
      <w:tr w:rsidR="00F266FA" w:rsidRPr="00F266FA" w:rsidTr="00883D67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Delegation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Complainant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Accessibility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Remedy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1993-2012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1.06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1.06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1.06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1.06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1.06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1.06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1.13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1.21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1.21</w:t>
            </w:r>
          </w:p>
        </w:tc>
      </w:tr>
    </w:tbl>
    <w:p w:rsidR="00F266FA" w:rsidRPr="00F266FA" w:rsidRDefault="00F266FA" w:rsidP="00F266FA">
      <w:pPr>
        <w:rPr>
          <w:lang w:val="en-US"/>
        </w:rPr>
      </w:pPr>
    </w:p>
    <w:p w:rsidR="00F266FA" w:rsidRPr="00F266FA" w:rsidRDefault="00F266FA" w:rsidP="00F266FA">
      <w:pPr>
        <w:keepNext/>
        <w:keepLines/>
        <w:spacing w:before="200" w:after="0"/>
        <w:outlineLvl w:val="2"/>
        <w:rPr>
          <w:rFonts w:ascii="Arial" w:eastAsiaTheme="majorEastAsia" w:hAnsi="Arial" w:cs="Arial"/>
          <w:bCs/>
          <w:color w:val="000000" w:themeColor="text1"/>
          <w:sz w:val="18"/>
          <w:szCs w:val="18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1993-2012</w:t>
      </w:r>
    </w:p>
    <w:p w:rsidR="00883D6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0E0F3A0" wp14:editId="70EF0CA6">
            <wp:extent cx="5779008" cy="2651760"/>
            <wp:effectExtent l="0" t="0" r="12700" b="1524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Case study 7</w:t>
      </w:r>
      <w:r w:rsidR="00F266FA"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: NATO Peacekeeping – Bodily Integrity Rights and Right not to be Enslaved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2003-2012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2003-2012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0.83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0.92</w:t>
            </w:r>
          </w:p>
        </w:tc>
      </w:tr>
    </w:tbl>
    <w:p w:rsidR="00F266FA" w:rsidRPr="00F266FA" w:rsidRDefault="00F266FA" w:rsidP="00883D67">
      <w:pPr>
        <w:keepNext/>
        <w:keepLines/>
        <w:spacing w:before="200" w:after="0"/>
        <w:outlineLvl w:val="2"/>
        <w:rPr>
          <w:rFonts w:ascii="Arial" w:hAnsi="Arial" w:cs="Arial"/>
          <w:sz w:val="18"/>
          <w:szCs w:val="18"/>
          <w:u w:val="single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2003-2012</w:t>
      </w:r>
    </w:p>
    <w:p w:rsidR="00883D67" w:rsidRPr="00504843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002725AD" wp14:editId="78DD1D02">
            <wp:extent cx="5779008" cy="2651760"/>
            <wp:effectExtent l="0" t="0" r="12700" b="1524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Case study 8</w:t>
      </w:r>
      <w:r w:rsidR="00F266FA"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 xml:space="preserve">: NATO Peacekeeping – Due Process Rights 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2000-2012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</w:tbl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omplaint provisions 2000-2012 </w:t>
      </w:r>
    </w:p>
    <w:tbl>
      <w:tblPr>
        <w:tblW w:w="9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166"/>
        <w:gridCol w:w="1166"/>
        <w:gridCol w:w="1403"/>
        <w:gridCol w:w="1340"/>
        <w:gridCol w:w="928"/>
        <w:gridCol w:w="1615"/>
        <w:gridCol w:w="866"/>
      </w:tblGrid>
      <w:tr w:rsidR="00F266FA" w:rsidRPr="00F266FA" w:rsidTr="00883D67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Delegation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Complainant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Accessibility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Remedy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0.50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2000-2012 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0.54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0.63</w:t>
            </w:r>
          </w:p>
        </w:tc>
      </w:tr>
    </w:tbl>
    <w:p w:rsidR="00F266FA" w:rsidRPr="00F266FA" w:rsidRDefault="00F266FA" w:rsidP="00F266FA">
      <w:pPr>
        <w:keepNext/>
        <w:keepLines/>
        <w:spacing w:before="200" w:after="0"/>
        <w:outlineLvl w:val="2"/>
        <w:rPr>
          <w:rFonts w:ascii="Arial" w:eastAsiaTheme="majorEastAsia" w:hAnsi="Arial" w:cs="Arial"/>
          <w:bCs/>
          <w:color w:val="000000" w:themeColor="text1"/>
          <w:sz w:val="18"/>
          <w:szCs w:val="18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2000-2012</w:t>
      </w:r>
    </w:p>
    <w:p w:rsidR="00883D6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0057AEC4" wp14:editId="3ED84C93">
            <wp:extent cx="5779008" cy="2651760"/>
            <wp:effectExtent l="0" t="0" r="12700" b="15240"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266FA" w:rsidRPr="00F266FA" w:rsidRDefault="00F266FA" w:rsidP="00F266FA">
      <w:pPr>
        <w:rPr>
          <w:lang w:val="en-US"/>
        </w:rPr>
      </w:pPr>
    </w:p>
    <w:p w:rsidR="009A1DDD" w:rsidRDefault="009A1DDD">
      <w:pP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br w:type="page"/>
      </w:r>
    </w:p>
    <w:p w:rsidR="00F266FA" w:rsidRPr="00F266FA" w:rsidRDefault="009A1DDD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lastRenderedPageBreak/>
        <w:t>Case study 9</w:t>
      </w:r>
      <w:r w:rsidR="00F266FA"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: World Bank Lending – Subsistence and Cultural Rights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1970-2012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1.42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1.58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2.00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</w:tbl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omplaint provisions 1970-2012 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166"/>
        <w:gridCol w:w="1166"/>
        <w:gridCol w:w="1403"/>
        <w:gridCol w:w="1340"/>
        <w:gridCol w:w="928"/>
        <w:gridCol w:w="1615"/>
        <w:gridCol w:w="866"/>
      </w:tblGrid>
      <w:tr w:rsidR="00F266FA" w:rsidRPr="00F266FA" w:rsidTr="00883D67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Delegation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Complainant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Accessibility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Remedy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1.67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 xml:space="preserve">Aggregated values of human rights protection provisions 1970-2012 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0.79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1.84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1.71</w:t>
            </w:r>
          </w:p>
        </w:tc>
      </w:tr>
    </w:tbl>
    <w:p w:rsidR="00883D67" w:rsidRPr="00883D67" w:rsidRDefault="00F266FA" w:rsidP="00F266FA">
      <w:pPr>
        <w:keepNext/>
        <w:keepLines/>
        <w:spacing w:before="200" w:after="0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1970-2012</w:t>
      </w:r>
    </w:p>
    <w:p w:rsidR="00883D67" w:rsidRDefault="00883D67" w:rsidP="00883D67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7380D61D" wp14:editId="30A30B93">
            <wp:extent cx="5779008" cy="2651760"/>
            <wp:effectExtent l="0" t="0" r="12700" b="15240"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F266FA" w:rsidP="00F266FA">
      <w:pPr>
        <w:keepNext/>
        <w:keepLines/>
        <w:spacing w:before="200" w:after="0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</w:pPr>
      <w:r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C</w:t>
      </w:r>
      <w:r w:rsidR="009A1DDD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>ase study 10:</w:t>
      </w:r>
      <w:r w:rsidRPr="00F266FA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val="en-US"/>
        </w:rPr>
        <w:t xml:space="preserve"> IMF Lending – Subsistence Rights</w:t>
      </w:r>
    </w:p>
    <w:p w:rsidR="00F266FA" w:rsidRPr="00F266FA" w:rsidRDefault="00F266FA" w:rsidP="00F266FA">
      <w:pPr>
        <w:rPr>
          <w:lang w:val="en-US"/>
        </w:rPr>
      </w:pPr>
    </w:p>
    <w:p w:rsidR="00F266FA" w:rsidRPr="00F266FA" w:rsidRDefault="00D234D9" w:rsidP="00883D67">
      <w:pPr>
        <w:keepNext/>
        <w:keepLines/>
        <w:spacing w:before="200" w:after="0"/>
        <w:outlineLvl w:val="2"/>
        <w:rPr>
          <w:lang w:val="en-US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P</w:t>
      </w:r>
      <w:r w:rsidR="00F266FA"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revention provisions 1990-2012</w:t>
      </w: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143"/>
        <w:gridCol w:w="1008"/>
        <w:gridCol w:w="690"/>
        <w:gridCol w:w="1106"/>
        <w:gridCol w:w="1853"/>
        <w:gridCol w:w="1710"/>
        <w:gridCol w:w="986"/>
      </w:tblGrid>
      <w:tr w:rsidR="00F266FA" w:rsidRPr="00F266FA" w:rsidTr="00883D67">
        <w:trPr>
          <w:trHeight w:val="5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Obligation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Precision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Scope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Addressee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883D67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Compliance m</w:t>
            </w:r>
            <w:r w:rsidR="00F266FA"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anagement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Mainstreaming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Overall 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1.50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  <w:tr w:rsidR="00F266FA" w:rsidRPr="00F266FA" w:rsidTr="00883D67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1.33</w:t>
            </w:r>
          </w:p>
        </w:tc>
      </w:tr>
    </w:tbl>
    <w:p w:rsidR="00F266FA" w:rsidRPr="00F266FA" w:rsidRDefault="00F266FA" w:rsidP="009A1DDD">
      <w:pPr>
        <w:keepNext/>
        <w:keepLines/>
        <w:spacing w:before="200" w:after="0"/>
        <w:ind w:firstLine="708"/>
        <w:outlineLvl w:val="2"/>
        <w:rPr>
          <w:lang w:val="en-US"/>
        </w:rPr>
      </w:pPr>
      <w:r w:rsidRPr="00F266FA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1990-2012</w:t>
      </w: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80"/>
        <w:gridCol w:w="2280"/>
        <w:gridCol w:w="2180"/>
      </w:tblGrid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Year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Prevention provisions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Complaint provisions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Overall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0.00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0.75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  <w:tr w:rsidR="00F266FA" w:rsidRPr="00F266FA" w:rsidTr="00883D67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66FA" w:rsidRPr="00F266FA" w:rsidRDefault="00F266FA" w:rsidP="00F2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26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0.67</w:t>
            </w:r>
          </w:p>
        </w:tc>
      </w:tr>
    </w:tbl>
    <w:p w:rsidR="00F266FA" w:rsidRPr="00F266FA" w:rsidRDefault="00F266FA" w:rsidP="00883D67">
      <w:pPr>
        <w:keepNext/>
        <w:keepLines/>
        <w:spacing w:before="200" w:after="0"/>
        <w:outlineLvl w:val="2"/>
        <w:rPr>
          <w:lang w:val="en-US"/>
        </w:rPr>
      </w:pPr>
      <w:r w:rsidRPr="00883D6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Aggregated values of human rights protection provisions 1990-2012</w:t>
      </w:r>
    </w:p>
    <w:p w:rsidR="006B4884" w:rsidRPr="00F266FA" w:rsidRDefault="00883D67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2A89471" wp14:editId="38538ACB">
            <wp:extent cx="5779008" cy="2651760"/>
            <wp:effectExtent l="0" t="0" r="12700" b="15240"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6B4884" w:rsidRPr="00F266FA" w:rsidSect="00883D67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18" w:rsidRDefault="00CC4218" w:rsidP="00F266FA">
      <w:pPr>
        <w:spacing w:after="0" w:line="240" w:lineRule="auto"/>
      </w:pPr>
      <w:r>
        <w:separator/>
      </w:r>
    </w:p>
  </w:endnote>
  <w:endnote w:type="continuationSeparator" w:id="0">
    <w:p w:rsidR="00CC4218" w:rsidRDefault="00CC4218" w:rsidP="00F2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67" w:rsidRDefault="00883D67" w:rsidP="00883D6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A6C7A" w:rsidRPr="004A6C7A">
      <w:rPr>
        <w:noProof/>
        <w:lang w:val="de-DE"/>
      </w:rPr>
      <w:t>1</w:t>
    </w:r>
    <w:r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18" w:rsidRDefault="00CC4218" w:rsidP="00F266FA">
      <w:pPr>
        <w:spacing w:after="0" w:line="240" w:lineRule="auto"/>
      </w:pPr>
      <w:r>
        <w:separator/>
      </w:r>
    </w:p>
  </w:footnote>
  <w:footnote w:type="continuationSeparator" w:id="0">
    <w:p w:rsidR="00CC4218" w:rsidRDefault="00CC4218" w:rsidP="00F266FA">
      <w:pPr>
        <w:spacing w:after="0" w:line="240" w:lineRule="auto"/>
      </w:pPr>
      <w:r>
        <w:continuationSeparator/>
      </w:r>
    </w:p>
  </w:footnote>
  <w:footnote w:id="1">
    <w:p w:rsidR="00883D67" w:rsidRPr="00C20F7E" w:rsidRDefault="00883D67" w:rsidP="00F266FA">
      <w:pPr>
        <w:pStyle w:val="FootnoteText"/>
        <w:rPr>
          <w:lang w:val="en-US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C20F7E">
        <w:rPr>
          <w:lang w:val="en-US"/>
        </w:rPr>
        <w:t>Overall value = (Prevention provisions + Complaint provisions)/2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2A632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2D11"/>
    <w:multiLevelType w:val="hybridMultilevel"/>
    <w:tmpl w:val="585420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438CF"/>
    <w:multiLevelType w:val="multilevel"/>
    <w:tmpl w:val="5CA0D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C4AAF"/>
    <w:multiLevelType w:val="hybridMultilevel"/>
    <w:tmpl w:val="190EA8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01"/>
    <w:multiLevelType w:val="hybridMultilevel"/>
    <w:tmpl w:val="96EC5C32"/>
    <w:lvl w:ilvl="0" w:tplc="636A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3028"/>
    <w:multiLevelType w:val="hybridMultilevel"/>
    <w:tmpl w:val="3A1CB7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35BB6"/>
    <w:multiLevelType w:val="hybridMultilevel"/>
    <w:tmpl w:val="52F053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D691C"/>
    <w:multiLevelType w:val="hybridMultilevel"/>
    <w:tmpl w:val="3BE04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7024F"/>
    <w:multiLevelType w:val="hybridMultilevel"/>
    <w:tmpl w:val="8C368FCC"/>
    <w:lvl w:ilvl="0" w:tplc="26003C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A25C8"/>
    <w:multiLevelType w:val="hybridMultilevel"/>
    <w:tmpl w:val="51A47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3D8"/>
    <w:multiLevelType w:val="hybridMultilevel"/>
    <w:tmpl w:val="09820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656D0"/>
    <w:multiLevelType w:val="hybridMultilevel"/>
    <w:tmpl w:val="43E05D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F960D6"/>
    <w:multiLevelType w:val="hybridMultilevel"/>
    <w:tmpl w:val="AD04E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3502"/>
    <w:multiLevelType w:val="hybridMultilevel"/>
    <w:tmpl w:val="71229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58A7"/>
    <w:multiLevelType w:val="hybridMultilevel"/>
    <w:tmpl w:val="F2C2AD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31167C"/>
    <w:multiLevelType w:val="hybridMultilevel"/>
    <w:tmpl w:val="C2A005CC"/>
    <w:lvl w:ilvl="0" w:tplc="FAEE42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200242"/>
    <w:multiLevelType w:val="hybridMultilevel"/>
    <w:tmpl w:val="1348FE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C7893"/>
    <w:multiLevelType w:val="multilevel"/>
    <w:tmpl w:val="DD742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4C35A0"/>
    <w:multiLevelType w:val="hybridMultilevel"/>
    <w:tmpl w:val="E0166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B6F38"/>
    <w:multiLevelType w:val="hybridMultilevel"/>
    <w:tmpl w:val="638EA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110"/>
    <w:multiLevelType w:val="hybridMultilevel"/>
    <w:tmpl w:val="239205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4B444F"/>
    <w:multiLevelType w:val="multilevel"/>
    <w:tmpl w:val="D4D8081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33851CF"/>
    <w:multiLevelType w:val="hybridMultilevel"/>
    <w:tmpl w:val="36CEEB48"/>
    <w:lvl w:ilvl="0" w:tplc="06122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F43AA6"/>
    <w:multiLevelType w:val="hybridMultilevel"/>
    <w:tmpl w:val="7CD441BC"/>
    <w:lvl w:ilvl="0" w:tplc="4E5C779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111937"/>
    <w:multiLevelType w:val="hybridMultilevel"/>
    <w:tmpl w:val="857C48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81C9F"/>
    <w:multiLevelType w:val="hybridMultilevel"/>
    <w:tmpl w:val="700880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2D24B7"/>
    <w:multiLevelType w:val="hybridMultilevel"/>
    <w:tmpl w:val="CD720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8FC"/>
    <w:multiLevelType w:val="hybridMultilevel"/>
    <w:tmpl w:val="D966BE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444DF"/>
    <w:multiLevelType w:val="hybridMultilevel"/>
    <w:tmpl w:val="5E2C4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748D7"/>
    <w:multiLevelType w:val="hybridMultilevel"/>
    <w:tmpl w:val="A1F84D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850EC"/>
    <w:multiLevelType w:val="hybridMultilevel"/>
    <w:tmpl w:val="2BFA7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CAE"/>
    <w:multiLevelType w:val="hybridMultilevel"/>
    <w:tmpl w:val="1348FE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25EC"/>
    <w:multiLevelType w:val="hybridMultilevel"/>
    <w:tmpl w:val="3692CE02"/>
    <w:lvl w:ilvl="0" w:tplc="06122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2550F2"/>
    <w:multiLevelType w:val="multilevel"/>
    <w:tmpl w:val="3F7012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6F240D77"/>
    <w:multiLevelType w:val="hybridMultilevel"/>
    <w:tmpl w:val="8C9A51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2188D"/>
    <w:multiLevelType w:val="hybridMultilevel"/>
    <w:tmpl w:val="0B1C9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A103E"/>
    <w:multiLevelType w:val="hybridMultilevel"/>
    <w:tmpl w:val="5322B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484DB5"/>
    <w:multiLevelType w:val="hybridMultilevel"/>
    <w:tmpl w:val="BFEAF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E5E25"/>
    <w:multiLevelType w:val="multilevel"/>
    <w:tmpl w:val="14B0E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3"/>
  </w:num>
  <w:num w:numId="5">
    <w:abstractNumId w:val="24"/>
  </w:num>
  <w:num w:numId="6">
    <w:abstractNumId w:val="25"/>
  </w:num>
  <w:num w:numId="7">
    <w:abstractNumId w:val="27"/>
  </w:num>
  <w:num w:numId="8">
    <w:abstractNumId w:val="14"/>
  </w:num>
  <w:num w:numId="9">
    <w:abstractNumId w:val="6"/>
  </w:num>
  <w:num w:numId="10">
    <w:abstractNumId w:val="38"/>
  </w:num>
  <w:num w:numId="11">
    <w:abstractNumId w:val="17"/>
  </w:num>
  <w:num w:numId="12">
    <w:abstractNumId w:val="7"/>
  </w:num>
  <w:num w:numId="13">
    <w:abstractNumId w:val="36"/>
  </w:num>
  <w:num w:numId="14">
    <w:abstractNumId w:val="34"/>
  </w:num>
  <w:num w:numId="15">
    <w:abstractNumId w:val="11"/>
  </w:num>
  <w:num w:numId="16">
    <w:abstractNumId w:val="21"/>
  </w:num>
  <w:num w:numId="17">
    <w:abstractNumId w:val="28"/>
  </w:num>
  <w:num w:numId="18">
    <w:abstractNumId w:val="5"/>
  </w:num>
  <w:num w:numId="19">
    <w:abstractNumId w:val="13"/>
  </w:num>
  <w:num w:numId="20">
    <w:abstractNumId w:val="26"/>
  </w:num>
  <w:num w:numId="21">
    <w:abstractNumId w:val="33"/>
  </w:num>
  <w:num w:numId="22">
    <w:abstractNumId w:val="1"/>
  </w:num>
  <w:num w:numId="23">
    <w:abstractNumId w:val="18"/>
  </w:num>
  <w:num w:numId="24">
    <w:abstractNumId w:val="10"/>
  </w:num>
  <w:num w:numId="25">
    <w:abstractNumId w:val="20"/>
  </w:num>
  <w:num w:numId="26">
    <w:abstractNumId w:val="0"/>
  </w:num>
  <w:num w:numId="27">
    <w:abstractNumId w:val="19"/>
  </w:num>
  <w:num w:numId="28">
    <w:abstractNumId w:val="30"/>
  </w:num>
  <w:num w:numId="29">
    <w:abstractNumId w:val="9"/>
  </w:num>
  <w:num w:numId="30">
    <w:abstractNumId w:val="8"/>
  </w:num>
  <w:num w:numId="31">
    <w:abstractNumId w:val="37"/>
  </w:num>
  <w:num w:numId="32">
    <w:abstractNumId w:val="4"/>
  </w:num>
  <w:num w:numId="33">
    <w:abstractNumId w:val="31"/>
  </w:num>
  <w:num w:numId="34">
    <w:abstractNumId w:val="35"/>
  </w:num>
  <w:num w:numId="35">
    <w:abstractNumId w:val="12"/>
  </w:num>
  <w:num w:numId="36">
    <w:abstractNumId w:val="32"/>
  </w:num>
  <w:num w:numId="37">
    <w:abstractNumId w:val="22"/>
  </w:num>
  <w:num w:numId="38">
    <w:abstractNumId w:val="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FA"/>
    <w:rsid w:val="004A6C7A"/>
    <w:rsid w:val="005B2E19"/>
    <w:rsid w:val="006B4884"/>
    <w:rsid w:val="007615C6"/>
    <w:rsid w:val="00883D67"/>
    <w:rsid w:val="00895F0B"/>
    <w:rsid w:val="009A1DDD"/>
    <w:rsid w:val="00B218EE"/>
    <w:rsid w:val="00B273E9"/>
    <w:rsid w:val="00C97976"/>
    <w:rsid w:val="00CC4218"/>
    <w:rsid w:val="00D234D9"/>
    <w:rsid w:val="00D4164C"/>
    <w:rsid w:val="00F266FA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33839-461F-45A1-BEE2-EEE898A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6FA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6FA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GB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6FA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6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66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66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66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66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6FA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66F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F266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F266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66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66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266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266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266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266F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unhideWhenUsed/>
    <w:rsid w:val="00F266FA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FootnoteText">
    <w:name w:val="footnote text"/>
    <w:aliases w:val="fn"/>
    <w:basedOn w:val="Normal"/>
    <w:link w:val="FootnoteTextChar"/>
    <w:uiPriority w:val="99"/>
    <w:unhideWhenUsed/>
    <w:rsid w:val="00F266F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ootnoteTextChar">
    <w:name w:val="Footnote Text Char"/>
    <w:aliases w:val="fn Char"/>
    <w:basedOn w:val="DefaultParagraphFont"/>
    <w:link w:val="FootnoteText"/>
    <w:uiPriority w:val="99"/>
    <w:rsid w:val="00F266FA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FootnoteReference">
    <w:name w:val="footnote reference"/>
    <w:basedOn w:val="DefaultParagraphFont"/>
    <w:uiPriority w:val="99"/>
    <w:unhideWhenUsed/>
    <w:rsid w:val="00F266FA"/>
    <w:rPr>
      <w:rFonts w:cs="Times New Roman"/>
      <w:vertAlign w:val="superscript"/>
    </w:rPr>
  </w:style>
  <w:style w:type="paragraph" w:styleId="NoSpacing">
    <w:name w:val="No Spacing"/>
    <w:uiPriority w:val="1"/>
    <w:qFormat/>
    <w:rsid w:val="00F266F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F266FA"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6F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SimSun" w:hAnsi="Courier New" w:cs="Courier New"/>
      <w:sz w:val="20"/>
      <w:szCs w:val="20"/>
      <w:lang w:val="en-GB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66FA"/>
    <w:rPr>
      <w:rFonts w:ascii="Courier New" w:eastAsia="SimSun" w:hAnsi="Courier New" w:cs="Courier New"/>
      <w:sz w:val="20"/>
      <w:szCs w:val="20"/>
      <w:lang w:val="en-GB" w:eastAsia="de-DE"/>
    </w:rPr>
  </w:style>
  <w:style w:type="character" w:customStyle="1" w:styleId="eljfulZchn">
    <w:name w:val="eljful Zchn"/>
    <w:basedOn w:val="DefaultParagraphFont"/>
    <w:link w:val="eljful"/>
    <w:uiPriority w:val="99"/>
    <w:locked/>
    <w:rsid w:val="00F266FA"/>
    <w:rPr>
      <w:rFonts w:ascii="Arial" w:hAnsi="Arial" w:cs="Arial"/>
      <w:sz w:val="20"/>
      <w:szCs w:val="20"/>
      <w:lang w:val="en-GB"/>
    </w:rPr>
  </w:style>
  <w:style w:type="paragraph" w:customStyle="1" w:styleId="eljful">
    <w:name w:val="eljful"/>
    <w:basedOn w:val="Normal"/>
    <w:next w:val="Normal"/>
    <w:link w:val="eljfulZchn"/>
    <w:uiPriority w:val="99"/>
    <w:rsid w:val="00F266FA"/>
    <w:pPr>
      <w:widowControl w:val="0"/>
      <w:adjustRightInd w:val="0"/>
      <w:spacing w:after="0" w:line="240" w:lineRule="auto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paragraph" w:customStyle="1" w:styleId="15block">
    <w:name w:val="1.5+block"/>
    <w:basedOn w:val="Normal"/>
    <w:rsid w:val="00F266FA"/>
    <w:pPr>
      <w:widowControl w:val="0"/>
      <w:adjustRightInd w:val="0"/>
      <w:spacing w:after="120" w:line="360" w:lineRule="exact"/>
      <w:jc w:val="both"/>
      <w:textAlignment w:val="baseline"/>
    </w:pPr>
    <w:rPr>
      <w:rFonts w:ascii="Times New Roman" w:eastAsia="SimSun" w:hAnsi="Times New Roman" w:cs="Times New Roman"/>
      <w:sz w:val="24"/>
      <w:szCs w:val="20"/>
      <w:lang w:val="en-US" w:eastAsia="de-DE"/>
    </w:rPr>
  </w:style>
  <w:style w:type="paragraph" w:styleId="Header">
    <w:name w:val="header"/>
    <w:basedOn w:val="Normal"/>
    <w:link w:val="HeaderChar"/>
    <w:uiPriority w:val="99"/>
    <w:unhideWhenUsed/>
    <w:rsid w:val="00F266FA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F266FA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F266FA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F266FA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customStyle="1" w:styleId="Default">
    <w:name w:val="Default"/>
    <w:rsid w:val="00F266FA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paragraph" w:customStyle="1" w:styleId="Listenabsatz1">
    <w:name w:val="Listenabsatz1"/>
    <w:basedOn w:val="Normal"/>
    <w:link w:val="Listenabsatz1Char"/>
    <w:rsid w:val="00F266FA"/>
    <w:pPr>
      <w:widowControl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unhideWhenUsed/>
    <w:rsid w:val="00F266FA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6FA"/>
    <w:rPr>
      <w:rFonts w:ascii="Tahoma" w:eastAsia="Times New Roman" w:hAnsi="Tahoma" w:cs="Tahoma"/>
      <w:sz w:val="16"/>
      <w:szCs w:val="16"/>
      <w:lang w:val="en-GB" w:eastAsia="de-DE"/>
    </w:rPr>
  </w:style>
  <w:style w:type="character" w:styleId="CommentReference">
    <w:name w:val="annotation reference"/>
    <w:basedOn w:val="DefaultParagraphFont"/>
    <w:uiPriority w:val="99"/>
    <w:unhideWhenUsed/>
    <w:rsid w:val="00F266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6F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6FA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26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6FA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character" w:styleId="HTMLCite">
    <w:name w:val="HTML Cite"/>
    <w:basedOn w:val="DefaultParagraphFont"/>
    <w:uiPriority w:val="99"/>
    <w:semiHidden/>
    <w:unhideWhenUsed/>
    <w:rsid w:val="00F266FA"/>
    <w:rPr>
      <w:i/>
      <w:iCs/>
    </w:rPr>
  </w:style>
  <w:style w:type="character" w:styleId="FollowedHyperlink">
    <w:name w:val="FollowedHyperlink"/>
    <w:basedOn w:val="DefaultParagraphFont"/>
    <w:unhideWhenUsed/>
    <w:rsid w:val="00F266F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66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6FA"/>
    <w:rPr>
      <w:rFonts w:ascii="Calibri" w:hAnsi="Calibri"/>
      <w:szCs w:val="21"/>
    </w:rPr>
  </w:style>
  <w:style w:type="character" w:customStyle="1" w:styleId="st">
    <w:name w:val="st"/>
    <w:basedOn w:val="DefaultParagraphFont"/>
    <w:rsid w:val="00F266FA"/>
  </w:style>
  <w:style w:type="character" w:styleId="Emphasis">
    <w:name w:val="Emphasis"/>
    <w:basedOn w:val="DefaultParagraphFont"/>
    <w:uiPriority w:val="20"/>
    <w:qFormat/>
    <w:rsid w:val="00F266FA"/>
    <w:rPr>
      <w:i/>
      <w:iCs/>
    </w:rPr>
  </w:style>
  <w:style w:type="table" w:styleId="TableGrid">
    <w:name w:val="Table Grid"/>
    <w:basedOn w:val="TableNormal"/>
    <w:uiPriority w:val="59"/>
    <w:rsid w:val="00F266FA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266FA"/>
    <w:pPr>
      <w:widowControl w:val="0"/>
      <w:spacing w:after="0" w:line="240" w:lineRule="auto"/>
      <w:ind w:left="2136" w:hanging="36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66FA"/>
    <w:rPr>
      <w:rFonts w:ascii="Arial" w:eastAsia="Arial" w:hAnsi="Arial"/>
      <w:lang w:val="en-US"/>
    </w:rPr>
  </w:style>
  <w:style w:type="character" w:customStyle="1" w:styleId="a-size-large1">
    <w:name w:val="a-size-large1"/>
    <w:basedOn w:val="DefaultParagraphFont"/>
    <w:rsid w:val="00F266FA"/>
    <w:rPr>
      <w:rFonts w:ascii="Arial" w:hAnsi="Arial" w:cs="Arial" w:hint="default"/>
    </w:rPr>
  </w:style>
  <w:style w:type="paragraph" w:customStyle="1" w:styleId="CitaviLiteraturverzeichnis">
    <w:name w:val="Citavi Literaturverzeichnis"/>
    <w:uiPriority w:val="99"/>
    <w:rsid w:val="00F266FA"/>
    <w:pPr>
      <w:autoSpaceDE w:val="0"/>
      <w:autoSpaceDN w:val="0"/>
      <w:adjustRightInd w:val="0"/>
      <w:spacing w:after="12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6">
    <w:name w:val="A6"/>
    <w:uiPriority w:val="99"/>
    <w:rsid w:val="00F266FA"/>
    <w:rPr>
      <w:color w:val="000000"/>
      <w:sz w:val="13"/>
      <w:szCs w:val="13"/>
    </w:rPr>
  </w:style>
  <w:style w:type="paragraph" w:customStyle="1" w:styleId="Pa11">
    <w:name w:val="Pa11"/>
    <w:basedOn w:val="Default"/>
    <w:next w:val="Default"/>
    <w:uiPriority w:val="99"/>
    <w:rsid w:val="00F266FA"/>
    <w:pPr>
      <w:widowControl/>
      <w:spacing w:line="201" w:lineRule="atLeast"/>
      <w:jc w:val="left"/>
      <w:textAlignment w:val="auto"/>
    </w:pPr>
    <w:rPr>
      <w:rFonts w:ascii="Times New Roman" w:eastAsiaTheme="minorEastAsia" w:hAnsi="Times New Roman"/>
      <w:color w:val="auto"/>
    </w:rPr>
  </w:style>
  <w:style w:type="character" w:customStyle="1" w:styleId="wzbaktiv-autor">
    <w:name w:val="wzbaktiv-autor"/>
    <w:basedOn w:val="DefaultParagraphFont"/>
    <w:rsid w:val="00F266FA"/>
  </w:style>
  <w:style w:type="paragraph" w:customStyle="1" w:styleId="Funote">
    <w:name w:val="Fußnote"/>
    <w:basedOn w:val="Normal"/>
    <w:qFormat/>
    <w:rsid w:val="00F266FA"/>
    <w:pPr>
      <w:spacing w:after="0"/>
      <w:ind w:left="193" w:hanging="193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bsatz-Standardschriftart1">
    <w:name w:val="Absatz-Standardschriftart1"/>
    <w:rsid w:val="00F266FA"/>
  </w:style>
  <w:style w:type="character" w:customStyle="1" w:styleId="Funotenzeichen1">
    <w:name w:val="Fußnotenzeichen1"/>
    <w:rsid w:val="00F266FA"/>
    <w:rPr>
      <w:vertAlign w:val="superscript"/>
    </w:rPr>
  </w:style>
  <w:style w:type="character" w:styleId="EndnoteReference">
    <w:name w:val="endnote reference"/>
    <w:uiPriority w:val="99"/>
    <w:rsid w:val="00F266FA"/>
    <w:rPr>
      <w:vertAlign w:val="superscript"/>
    </w:rPr>
  </w:style>
  <w:style w:type="character" w:customStyle="1" w:styleId="Endnotenzeichen1">
    <w:name w:val="Endnotenzeichen1"/>
    <w:rsid w:val="00F266FA"/>
  </w:style>
  <w:style w:type="paragraph" w:customStyle="1" w:styleId="berschrift">
    <w:name w:val="Überschrift"/>
    <w:basedOn w:val="Normal"/>
    <w:next w:val="BodyText"/>
    <w:rsid w:val="00F266F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F266FA"/>
    <w:pPr>
      <w:widowControl/>
      <w:suppressAutoHyphens/>
      <w:spacing w:after="120"/>
      <w:ind w:left="0" w:firstLine="0"/>
    </w:pPr>
    <w:rPr>
      <w:rFonts w:ascii="Times New Roman" w:eastAsia="Times New Roman" w:hAnsi="Times New Roman" w:cs="Mangal"/>
      <w:sz w:val="24"/>
      <w:szCs w:val="24"/>
      <w:lang w:val="de-DE" w:eastAsia="ar-SA"/>
    </w:rPr>
  </w:style>
  <w:style w:type="paragraph" w:customStyle="1" w:styleId="Beschriftung1">
    <w:name w:val="Beschriftung1"/>
    <w:basedOn w:val="Normal"/>
    <w:rsid w:val="00F266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Verzeichnis">
    <w:name w:val="Verzeichnis"/>
    <w:basedOn w:val="Normal"/>
    <w:rsid w:val="00F266F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semiHidden/>
    <w:rsid w:val="00F266F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F266F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PageNumber">
    <w:name w:val="page number"/>
    <w:basedOn w:val="DefaultParagraphFont"/>
    <w:rsid w:val="00F266FA"/>
  </w:style>
  <w:style w:type="paragraph" w:customStyle="1" w:styleId="EndNoteBibliographyTitle">
    <w:name w:val="EndNote Bibliography Title"/>
    <w:basedOn w:val="Normal"/>
    <w:link w:val="EndNoteBibliographyTitleZchn"/>
    <w:rsid w:val="00F266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F266FA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customStyle="1" w:styleId="EndNoteBibliography">
    <w:name w:val="EndNote Bibliography"/>
    <w:basedOn w:val="Normal"/>
    <w:link w:val="EndNoteBibliographyZchn"/>
    <w:rsid w:val="00F266F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EndNoteBibliographyZchn">
    <w:name w:val="EndNote Bibliography Zchn"/>
    <w:basedOn w:val="DefaultParagraphFont"/>
    <w:link w:val="EndNoteBibliography"/>
    <w:rsid w:val="00F266FA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styleId="Strong">
    <w:name w:val="Strong"/>
    <w:uiPriority w:val="22"/>
    <w:qFormat/>
    <w:rsid w:val="00F266FA"/>
    <w:rPr>
      <w:b/>
      <w:bCs/>
    </w:rPr>
  </w:style>
  <w:style w:type="character" w:customStyle="1" w:styleId="FunotentextZchn1">
    <w:name w:val="Fußnotentext Zchn1"/>
    <w:rsid w:val="00F266FA"/>
    <w:rPr>
      <w:kern w:val="1"/>
      <w:lang w:val="en-US" w:eastAsia="de-DE" w:bidi="ar-SA"/>
    </w:rPr>
  </w:style>
  <w:style w:type="character" w:customStyle="1" w:styleId="apple-converted-space">
    <w:name w:val="apple-converted-space"/>
    <w:rsid w:val="00F266FA"/>
  </w:style>
  <w:style w:type="character" w:customStyle="1" w:styleId="Funotenzeichen3">
    <w:name w:val="Fußnotenzeichen3"/>
    <w:rsid w:val="00F266FA"/>
    <w:rPr>
      <w:vertAlign w:val="superscript"/>
    </w:rPr>
  </w:style>
  <w:style w:type="paragraph" w:customStyle="1" w:styleId="NeuStandard">
    <w:name w:val="NeuStandard"/>
    <w:basedOn w:val="Normal"/>
    <w:link w:val="NeuStandardZchn"/>
    <w:qFormat/>
    <w:rsid w:val="00F266FA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euStandardZchn">
    <w:name w:val="NeuStandard Zchn"/>
    <w:basedOn w:val="DefaultParagraphFont"/>
    <w:link w:val="NeuStandard"/>
    <w:rsid w:val="00F266F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66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66FA"/>
    <w:rPr>
      <w:sz w:val="20"/>
      <w:szCs w:val="20"/>
    </w:rPr>
  </w:style>
  <w:style w:type="paragraph" w:customStyle="1" w:styleId="Referenz">
    <w:name w:val="Referenz"/>
    <w:basedOn w:val="Normal"/>
    <w:link w:val="ReferenzZchn"/>
    <w:qFormat/>
    <w:rsid w:val="00F266FA"/>
    <w:pPr>
      <w:spacing w:line="240" w:lineRule="auto"/>
      <w:ind w:left="709" w:hanging="709"/>
    </w:pPr>
    <w:rPr>
      <w:rFonts w:ascii="Times New Roman" w:eastAsia="Calibri" w:hAnsi="Times New Roman" w:cs="Times New Roman"/>
      <w:color w:val="131413"/>
      <w:sz w:val="24"/>
      <w:szCs w:val="24"/>
      <w:lang w:val="en-US" w:eastAsia="de-DE"/>
    </w:rPr>
  </w:style>
  <w:style w:type="character" w:customStyle="1" w:styleId="ReferenzZchn">
    <w:name w:val="Referenz Zchn"/>
    <w:basedOn w:val="DefaultParagraphFont"/>
    <w:link w:val="Referenz"/>
    <w:rsid w:val="00F266FA"/>
    <w:rPr>
      <w:rFonts w:ascii="Times New Roman" w:eastAsia="Calibri" w:hAnsi="Times New Roman" w:cs="Times New Roman"/>
      <w:color w:val="131413"/>
      <w:sz w:val="24"/>
      <w:szCs w:val="24"/>
      <w:lang w:val="en-US" w:eastAsia="de-DE"/>
    </w:rPr>
  </w:style>
  <w:style w:type="character" w:customStyle="1" w:styleId="FootnoteCharacters">
    <w:name w:val="Footnote Characters"/>
    <w:rsid w:val="00F266FA"/>
  </w:style>
  <w:style w:type="paragraph" w:customStyle="1" w:styleId="Funotentext1">
    <w:name w:val="Fußnotentext1"/>
    <w:basedOn w:val="Normal"/>
    <w:rsid w:val="00F266F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ar-SA"/>
    </w:rPr>
  </w:style>
  <w:style w:type="paragraph" w:customStyle="1" w:styleId="15blockeinzug">
    <w:name w:val="1.5+block+einzug"/>
    <w:basedOn w:val="15block"/>
    <w:rsid w:val="00F266FA"/>
    <w:pPr>
      <w:widowControl/>
      <w:suppressAutoHyphens/>
      <w:adjustRightInd/>
      <w:spacing w:after="0" w:line="360" w:lineRule="auto"/>
      <w:ind w:firstLine="709"/>
      <w:textAlignment w:val="auto"/>
    </w:pPr>
    <w:rPr>
      <w:rFonts w:eastAsia="Times New Roman"/>
      <w:color w:val="000000"/>
      <w:szCs w:val="24"/>
      <w:lang w:val="en-GB" w:eastAsia="ar-SA"/>
    </w:rPr>
  </w:style>
  <w:style w:type="character" w:customStyle="1" w:styleId="citetitle">
    <w:name w:val="cite_title"/>
    <w:basedOn w:val="DefaultParagraphFont"/>
    <w:rsid w:val="00F266FA"/>
  </w:style>
  <w:style w:type="character" w:customStyle="1" w:styleId="personname2">
    <w:name w:val="person_name2"/>
    <w:basedOn w:val="DefaultParagraphFont"/>
    <w:rsid w:val="00F266FA"/>
  </w:style>
  <w:style w:type="character" w:customStyle="1" w:styleId="author">
    <w:name w:val="author"/>
    <w:basedOn w:val="DefaultParagraphFont"/>
    <w:rsid w:val="00F266FA"/>
  </w:style>
  <w:style w:type="paragraph" w:customStyle="1" w:styleId="CitaviBibliographyEntry">
    <w:name w:val="Citavi Bibliography Entry"/>
    <w:basedOn w:val="Normal"/>
    <w:link w:val="CitaviBibliographyEntryZchn"/>
    <w:rsid w:val="00F266FA"/>
    <w:pPr>
      <w:tabs>
        <w:tab w:val="left" w:pos="227"/>
      </w:tabs>
      <w:spacing w:after="120"/>
      <w:ind w:left="227" w:hanging="227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F266FA"/>
  </w:style>
  <w:style w:type="paragraph" w:customStyle="1" w:styleId="CitaviBibliographyHeading">
    <w:name w:val="Citavi Bibliography Heading"/>
    <w:basedOn w:val="Heading1"/>
    <w:link w:val="CitaviBibliographyHeadingZchn"/>
    <w:rsid w:val="00F266FA"/>
    <w:pPr>
      <w:keepNext/>
      <w:keepLines/>
      <w:spacing w:before="480" w:line="276" w:lineRule="auto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/>
    </w:rPr>
  </w:style>
  <w:style w:type="character" w:customStyle="1" w:styleId="CitaviBibliographyHeadingZchn">
    <w:name w:val="Citavi Bibliography Heading Zchn"/>
    <w:basedOn w:val="DefaultParagraphFont"/>
    <w:link w:val="CitaviBibliographyHeading"/>
    <w:rsid w:val="00F266FA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numbering" w:customStyle="1" w:styleId="Formatvorlage1">
    <w:name w:val="Formatvorlage1"/>
    <w:uiPriority w:val="99"/>
    <w:rsid w:val="00F266FA"/>
    <w:pPr>
      <w:numPr>
        <w:numId w:val="16"/>
      </w:numPr>
    </w:pPr>
  </w:style>
  <w:style w:type="table" w:customStyle="1" w:styleId="Tabellenraster1">
    <w:name w:val="Tabellenraster1"/>
    <w:rsid w:val="00F266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rsid w:val="00F266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list">
    <w:name w:val="litlist"/>
    <w:basedOn w:val="Normal"/>
    <w:rsid w:val="00F266FA"/>
    <w:pPr>
      <w:keepLines/>
      <w:spacing w:after="180" w:line="240" w:lineRule="auto"/>
      <w:ind w:left="425" w:hanging="425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table" w:customStyle="1" w:styleId="Tabellenraster2">
    <w:name w:val="Tabellenraster2"/>
    <w:basedOn w:val="TableNormal"/>
    <w:next w:val="TableGrid"/>
    <w:uiPriority w:val="59"/>
    <w:rsid w:val="00F266F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F266F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F266FA"/>
    <w:pPr>
      <w:numPr>
        <w:numId w:val="26"/>
      </w:numPr>
      <w:contextualSpacing/>
    </w:pPr>
    <w:rPr>
      <w:rFonts w:ascii="Calibri" w:eastAsia="Times New Roman" w:hAnsi="Calibri" w:cs="Times New Roman"/>
    </w:rPr>
  </w:style>
  <w:style w:type="character" w:customStyle="1" w:styleId="addmd">
    <w:name w:val="addmd"/>
    <w:rsid w:val="00F266FA"/>
  </w:style>
  <w:style w:type="character" w:customStyle="1" w:styleId="Untertitel1">
    <w:name w:val="Untertitel1"/>
    <w:rsid w:val="00F266FA"/>
  </w:style>
  <w:style w:type="character" w:customStyle="1" w:styleId="maintitle">
    <w:name w:val="maintitle"/>
    <w:rsid w:val="00F266FA"/>
  </w:style>
  <w:style w:type="paragraph" w:customStyle="1" w:styleId="articlecategory">
    <w:name w:val="articlecategory"/>
    <w:basedOn w:val="Normal"/>
    <w:rsid w:val="00F2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F266FA"/>
    <w:pPr>
      <w:tabs>
        <w:tab w:val="right" w:leader="dot" w:pos="9062"/>
      </w:tabs>
      <w:spacing w:after="100" w:line="480" w:lineRule="auto"/>
    </w:pPr>
    <w:rPr>
      <w:rFonts w:ascii="Times New Roman" w:hAnsi="Times New Roman" w:cs="Times New Roman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F266FA"/>
    <w:pPr>
      <w:spacing w:after="0"/>
    </w:pPr>
    <w:rPr>
      <w:rFonts w:ascii="Times New Roman" w:hAnsi="Times New Roman"/>
      <w:sz w:val="24"/>
    </w:rPr>
  </w:style>
  <w:style w:type="paragraph" w:customStyle="1" w:styleId="Figures">
    <w:name w:val="Figures"/>
    <w:basedOn w:val="Listenabsatz1"/>
    <w:link w:val="FiguresChar"/>
    <w:qFormat/>
    <w:rsid w:val="00F266FA"/>
    <w:pPr>
      <w:spacing w:line="360" w:lineRule="auto"/>
      <w:ind w:left="0"/>
      <w:jc w:val="left"/>
    </w:pPr>
    <w:rPr>
      <w:szCs w:val="24"/>
    </w:rPr>
  </w:style>
  <w:style w:type="paragraph" w:customStyle="1" w:styleId="Tables">
    <w:name w:val="Tables"/>
    <w:basedOn w:val="Normal"/>
    <w:link w:val="TablesChar"/>
    <w:qFormat/>
    <w:rsid w:val="00F266FA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enabsatz1Char">
    <w:name w:val="Listenabsatz1 Char"/>
    <w:basedOn w:val="DefaultParagraphFont"/>
    <w:link w:val="Listenabsatz1"/>
    <w:rsid w:val="00F266FA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FiguresChar">
    <w:name w:val="Figures Char"/>
    <w:basedOn w:val="Listenabsatz1Char"/>
    <w:link w:val="Figures"/>
    <w:rsid w:val="00F266FA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TablesChar">
    <w:name w:val="Tables Char"/>
    <w:basedOn w:val="DefaultParagraphFont"/>
    <w:link w:val="Tables"/>
    <w:rsid w:val="00F266F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UN%20Sanctions%20Subsistence%20Rights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IMF%20Lending%20Subsistence%20Rights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UN%20Sanctions%20Due%20Process%20Rights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EU%20Sanctions%20Subsistence%20Rights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EU%20Sanctions%20Due%20Process%20Rights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UN%20Peacekeeping%20Bodily%20Integrity%20Rights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UN%20Peacekeeping%20Due%20Process%20Rights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NATO%20Peacekeeping%20Bodily%20Integrity%20Rights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NATO%20Peacekeeping%20Due%20Process%20Rights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iwi\Desktop\Appendix\World%20Bank%20Lending%20Subsistence%20and%20Cultural%20Rights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Overall!$A$4:$A$27</c:f>
              <c:numCache>
                <c:formatCode>General</c:formatCode>
                <c:ptCount val="24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</c:numCache>
            </c:numRef>
          </c:cat>
          <c:val>
            <c:numRef>
              <c:f>Overall!$B$4:$B$27</c:f>
              <c:numCache>
                <c:formatCode>0.00</c:formatCode>
                <c:ptCount val="24"/>
                <c:pt idx="0">
                  <c:v>0</c:v>
                </c:pt>
                <c:pt idx="1">
                  <c:v>0.75</c:v>
                </c:pt>
                <c:pt idx="2">
                  <c:v>0.75</c:v>
                </c:pt>
                <c:pt idx="3">
                  <c:v>0.75</c:v>
                </c:pt>
                <c:pt idx="4">
                  <c:v>0.75</c:v>
                </c:pt>
                <c:pt idx="5">
                  <c:v>0.75</c:v>
                </c:pt>
                <c:pt idx="6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  <c:pt idx="11">
                  <c:v>1.58</c:v>
                </c:pt>
                <c:pt idx="12">
                  <c:v>1.58</c:v>
                </c:pt>
                <c:pt idx="13">
                  <c:v>1.58</c:v>
                </c:pt>
                <c:pt idx="14">
                  <c:v>1.67</c:v>
                </c:pt>
                <c:pt idx="15">
                  <c:v>1.67</c:v>
                </c:pt>
                <c:pt idx="16">
                  <c:v>1.67</c:v>
                </c:pt>
                <c:pt idx="17">
                  <c:v>1.67</c:v>
                </c:pt>
                <c:pt idx="18">
                  <c:v>1.67</c:v>
                </c:pt>
                <c:pt idx="19">
                  <c:v>1.67</c:v>
                </c:pt>
                <c:pt idx="20">
                  <c:v>1.67</c:v>
                </c:pt>
                <c:pt idx="21">
                  <c:v>1.67</c:v>
                </c:pt>
                <c:pt idx="22">
                  <c:v>1.67</c:v>
                </c:pt>
                <c:pt idx="23">
                  <c:v>1.67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Overall!$A$4:$A$27</c:f>
              <c:numCache>
                <c:formatCode>General</c:formatCode>
                <c:ptCount val="24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</c:numCache>
            </c:numRef>
          </c:cat>
          <c:val>
            <c:numRef>
              <c:f>Overall!$C$4:$C$27</c:f>
              <c:numCache>
                <c:formatCode>0.00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Overall!$A$4:$A$27</c:f>
              <c:numCache>
                <c:formatCode>General</c:formatCode>
                <c:ptCount val="24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</c:numCache>
            </c:numRef>
          </c:cat>
          <c:val>
            <c:numRef>
              <c:f>Overall!$D$4:$D$27</c:f>
              <c:numCache>
                <c:formatCode>0.00</c:formatCode>
                <c:ptCount val="24"/>
                <c:pt idx="0">
                  <c:v>0</c:v>
                </c:pt>
                <c:pt idx="1">
                  <c:v>0.38</c:v>
                </c:pt>
                <c:pt idx="2">
                  <c:v>0.38</c:v>
                </c:pt>
                <c:pt idx="3">
                  <c:v>0.38</c:v>
                </c:pt>
                <c:pt idx="4">
                  <c:v>0.38</c:v>
                </c:pt>
                <c:pt idx="5">
                  <c:v>0.38</c:v>
                </c:pt>
                <c:pt idx="6">
                  <c:v>0.75</c:v>
                </c:pt>
                <c:pt idx="7">
                  <c:v>0.75</c:v>
                </c:pt>
                <c:pt idx="8">
                  <c:v>0.75</c:v>
                </c:pt>
                <c:pt idx="9">
                  <c:v>0.75</c:v>
                </c:pt>
                <c:pt idx="10">
                  <c:v>0.75</c:v>
                </c:pt>
                <c:pt idx="11">
                  <c:v>0.79</c:v>
                </c:pt>
                <c:pt idx="12">
                  <c:v>0.79</c:v>
                </c:pt>
                <c:pt idx="13">
                  <c:v>0.79</c:v>
                </c:pt>
                <c:pt idx="14">
                  <c:v>0.84</c:v>
                </c:pt>
                <c:pt idx="15">
                  <c:v>0.84</c:v>
                </c:pt>
                <c:pt idx="16">
                  <c:v>0.84</c:v>
                </c:pt>
                <c:pt idx="17">
                  <c:v>0.84</c:v>
                </c:pt>
                <c:pt idx="18">
                  <c:v>0.84</c:v>
                </c:pt>
                <c:pt idx="19">
                  <c:v>0.84</c:v>
                </c:pt>
                <c:pt idx="20">
                  <c:v>0.84</c:v>
                </c:pt>
                <c:pt idx="21">
                  <c:v>0.84</c:v>
                </c:pt>
                <c:pt idx="22">
                  <c:v>0.84</c:v>
                </c:pt>
                <c:pt idx="23">
                  <c:v>0.84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027216"/>
        <c:axId val="385027608"/>
      </c:lineChart>
      <c:catAx>
        <c:axId val="385027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5027608"/>
        <c:crossesAt val="0"/>
        <c:auto val="1"/>
        <c:lblAlgn val="ctr"/>
        <c:lblOffset val="100"/>
        <c:noMultiLvlLbl val="0"/>
      </c:catAx>
      <c:valAx>
        <c:axId val="385027608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5027216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Overall!$A$4:$A$26</c:f>
              <c:numCache>
                <c:formatCode>General</c:formatCode>
                <c:ptCount val="2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</c:numCache>
            </c:numRef>
          </c:cat>
          <c:val>
            <c:numRef>
              <c:f>Overall!$B$4:$B$26</c:f>
              <c:numCache>
                <c:formatCode>0.00</c:formatCode>
                <c:ptCount val="23"/>
                <c:pt idx="0">
                  <c:v>0</c:v>
                </c:pt>
                <c:pt idx="1">
                  <c:v>1.33</c:v>
                </c:pt>
                <c:pt idx="2">
                  <c:v>1.33</c:v>
                </c:pt>
                <c:pt idx="3">
                  <c:v>1.33</c:v>
                </c:pt>
                <c:pt idx="4">
                  <c:v>1.33</c:v>
                </c:pt>
                <c:pt idx="5">
                  <c:v>1.33</c:v>
                </c:pt>
                <c:pt idx="6">
                  <c:v>1.33</c:v>
                </c:pt>
                <c:pt idx="7">
                  <c:v>1.33</c:v>
                </c:pt>
                <c:pt idx="8">
                  <c:v>1.33</c:v>
                </c:pt>
                <c:pt idx="9">
                  <c:v>1.33</c:v>
                </c:pt>
                <c:pt idx="10">
                  <c:v>1.33</c:v>
                </c:pt>
                <c:pt idx="11">
                  <c:v>1.33</c:v>
                </c:pt>
                <c:pt idx="12">
                  <c:v>1.33</c:v>
                </c:pt>
                <c:pt idx="13">
                  <c:v>1.33</c:v>
                </c:pt>
                <c:pt idx="14">
                  <c:v>1.5</c:v>
                </c:pt>
                <c:pt idx="15">
                  <c:v>1.5</c:v>
                </c:pt>
                <c:pt idx="16">
                  <c:v>1.5</c:v>
                </c:pt>
                <c:pt idx="17">
                  <c:v>1.5</c:v>
                </c:pt>
                <c:pt idx="18">
                  <c:v>1.33</c:v>
                </c:pt>
                <c:pt idx="19">
                  <c:v>1.33</c:v>
                </c:pt>
                <c:pt idx="20">
                  <c:v>1.33</c:v>
                </c:pt>
                <c:pt idx="21">
                  <c:v>1.33</c:v>
                </c:pt>
                <c:pt idx="22">
                  <c:v>1.33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Overall!$A$4:$A$26</c:f>
              <c:numCache>
                <c:formatCode>General</c:formatCode>
                <c:ptCount val="2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</c:numCache>
            </c:numRef>
          </c:cat>
          <c:val>
            <c:numRef>
              <c:f>Overall!$C$4:$C$26</c:f>
              <c:numCache>
                <c:formatCode>0.00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Overall!$A$4:$A$26</c:f>
              <c:numCache>
                <c:formatCode>General</c:formatCode>
                <c:ptCount val="2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</c:numCache>
            </c:numRef>
          </c:cat>
          <c:val>
            <c:numRef>
              <c:f>Overall!$D$4:$D$26</c:f>
              <c:numCache>
                <c:formatCode>0.00</c:formatCode>
                <c:ptCount val="23"/>
                <c:pt idx="0">
                  <c:v>0</c:v>
                </c:pt>
                <c:pt idx="1">
                  <c:v>0.67</c:v>
                </c:pt>
                <c:pt idx="2">
                  <c:v>0.67</c:v>
                </c:pt>
                <c:pt idx="3">
                  <c:v>0.67</c:v>
                </c:pt>
                <c:pt idx="4">
                  <c:v>0.67</c:v>
                </c:pt>
                <c:pt idx="5">
                  <c:v>0.67</c:v>
                </c:pt>
                <c:pt idx="6">
                  <c:v>0.67</c:v>
                </c:pt>
                <c:pt idx="7">
                  <c:v>0.67</c:v>
                </c:pt>
                <c:pt idx="8">
                  <c:v>0.67</c:v>
                </c:pt>
                <c:pt idx="9">
                  <c:v>0.67</c:v>
                </c:pt>
                <c:pt idx="10">
                  <c:v>0.67</c:v>
                </c:pt>
                <c:pt idx="11">
                  <c:v>0.67</c:v>
                </c:pt>
                <c:pt idx="12">
                  <c:v>0.67</c:v>
                </c:pt>
                <c:pt idx="13">
                  <c:v>0.67</c:v>
                </c:pt>
                <c:pt idx="14">
                  <c:v>0.75</c:v>
                </c:pt>
                <c:pt idx="15">
                  <c:v>0.75</c:v>
                </c:pt>
                <c:pt idx="16">
                  <c:v>0.75</c:v>
                </c:pt>
                <c:pt idx="17">
                  <c:v>0.75</c:v>
                </c:pt>
                <c:pt idx="18">
                  <c:v>0.67</c:v>
                </c:pt>
                <c:pt idx="19">
                  <c:v>0.67</c:v>
                </c:pt>
                <c:pt idx="20">
                  <c:v>0.67</c:v>
                </c:pt>
                <c:pt idx="21">
                  <c:v>0.67</c:v>
                </c:pt>
                <c:pt idx="22">
                  <c:v>0.67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901408"/>
        <c:axId val="304180016"/>
      </c:lineChart>
      <c:catAx>
        <c:axId val="171901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4180016"/>
        <c:crossesAt val="0"/>
        <c:auto val="1"/>
        <c:lblAlgn val="ctr"/>
        <c:lblOffset val="100"/>
        <c:noMultiLvlLbl val="0"/>
      </c:catAx>
      <c:valAx>
        <c:axId val="304180016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71901408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Overall!$A$4:$A$15</c:f>
              <c:numCache>
                <c:formatCode>General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Overall!$B$4:$B$15</c:f>
              <c:numCache>
                <c:formatCode>0.00</c:formatCode>
                <c:ptCount val="12"/>
                <c:pt idx="0">
                  <c:v>0</c:v>
                </c:pt>
                <c:pt idx="1">
                  <c:v>0.57999999999999996</c:v>
                </c:pt>
                <c:pt idx="2">
                  <c:v>0.57999999999999996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1.25</c:v>
                </c:pt>
                <c:pt idx="6">
                  <c:v>1.25</c:v>
                </c:pt>
                <c:pt idx="7">
                  <c:v>1.42</c:v>
                </c:pt>
                <c:pt idx="8">
                  <c:v>1.42</c:v>
                </c:pt>
                <c:pt idx="9">
                  <c:v>1.42</c:v>
                </c:pt>
                <c:pt idx="10">
                  <c:v>1.42</c:v>
                </c:pt>
                <c:pt idx="11">
                  <c:v>1.42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Overall!$A$4:$A$15</c:f>
              <c:numCache>
                <c:formatCode>General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Overall!$C$4:$C$15</c:f>
              <c:numCache>
                <c:formatCode>0.00</c:formatCode>
                <c:ptCount val="12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1.33</c:v>
                </c:pt>
                <c:pt idx="6">
                  <c:v>1.33</c:v>
                </c:pt>
                <c:pt idx="7">
                  <c:v>1.33</c:v>
                </c:pt>
                <c:pt idx="8">
                  <c:v>1.36</c:v>
                </c:pt>
                <c:pt idx="9">
                  <c:v>1.36</c:v>
                </c:pt>
                <c:pt idx="10">
                  <c:v>1.42</c:v>
                </c:pt>
                <c:pt idx="11">
                  <c:v>1.42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Overall!$A$4:$A$15</c:f>
              <c:numCache>
                <c:formatCode>General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Overall!$D$4:$D$15</c:f>
              <c:numCache>
                <c:formatCode>0.00</c:formatCode>
                <c:ptCount val="12"/>
                <c:pt idx="0">
                  <c:v>0</c:v>
                </c:pt>
                <c:pt idx="1">
                  <c:v>0.54</c:v>
                </c:pt>
                <c:pt idx="2">
                  <c:v>0.54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1.29</c:v>
                </c:pt>
                <c:pt idx="6">
                  <c:v>1.29</c:v>
                </c:pt>
                <c:pt idx="7">
                  <c:v>1.38</c:v>
                </c:pt>
                <c:pt idx="8">
                  <c:v>1.39</c:v>
                </c:pt>
                <c:pt idx="9">
                  <c:v>1.39</c:v>
                </c:pt>
                <c:pt idx="10">
                  <c:v>1.42</c:v>
                </c:pt>
                <c:pt idx="11">
                  <c:v>1.42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028000"/>
        <c:axId val="385026824"/>
      </c:lineChart>
      <c:catAx>
        <c:axId val="385028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5026824"/>
        <c:crossesAt val="0"/>
        <c:auto val="1"/>
        <c:lblAlgn val="ctr"/>
        <c:lblOffset val="100"/>
        <c:noMultiLvlLbl val="0"/>
      </c:catAx>
      <c:valAx>
        <c:axId val="385026824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5028000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Overall!$A$4:$A$23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Overall!$B$4:$B$23</c:f>
              <c:numCache>
                <c:formatCode>0.00</c:formatCode>
                <c:ptCount val="20"/>
                <c:pt idx="0">
                  <c:v>0</c:v>
                </c:pt>
                <c:pt idx="1">
                  <c:v>0.57999999999999996</c:v>
                </c:pt>
                <c:pt idx="2">
                  <c:v>0.57999999999999996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0.57999999999999996</c:v>
                </c:pt>
                <c:pt idx="6">
                  <c:v>0.57999999999999996</c:v>
                </c:pt>
                <c:pt idx="7">
                  <c:v>0.57999999999999996</c:v>
                </c:pt>
                <c:pt idx="8">
                  <c:v>0.57999999999999996</c:v>
                </c:pt>
                <c:pt idx="9">
                  <c:v>0.57999999999999996</c:v>
                </c:pt>
                <c:pt idx="10">
                  <c:v>1.42</c:v>
                </c:pt>
                <c:pt idx="11">
                  <c:v>1.42</c:v>
                </c:pt>
                <c:pt idx="12">
                  <c:v>1.5</c:v>
                </c:pt>
                <c:pt idx="13">
                  <c:v>1.5</c:v>
                </c:pt>
                <c:pt idx="14">
                  <c:v>1.5</c:v>
                </c:pt>
                <c:pt idx="15">
                  <c:v>1.5</c:v>
                </c:pt>
                <c:pt idx="16">
                  <c:v>1.5</c:v>
                </c:pt>
                <c:pt idx="17">
                  <c:v>1.5</c:v>
                </c:pt>
                <c:pt idx="18">
                  <c:v>1.5</c:v>
                </c:pt>
                <c:pt idx="19">
                  <c:v>1.5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Overall!$A$4:$A$23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Overall!$C$4:$C$23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Overall!$A$4:$A$23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Overall!$D$4:$D$23</c:f>
              <c:numCache>
                <c:formatCode>0.00</c:formatCode>
                <c:ptCount val="20"/>
                <c:pt idx="0">
                  <c:v>0</c:v>
                </c:pt>
                <c:pt idx="1">
                  <c:v>0.28999999999999998</c:v>
                </c:pt>
                <c:pt idx="2">
                  <c:v>0.28999999999999998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0.28999999999999998</c:v>
                </c:pt>
                <c:pt idx="6">
                  <c:v>0.28999999999999998</c:v>
                </c:pt>
                <c:pt idx="7">
                  <c:v>0.28999999999999998</c:v>
                </c:pt>
                <c:pt idx="8">
                  <c:v>0.28999999999999998</c:v>
                </c:pt>
                <c:pt idx="9">
                  <c:v>0.28999999999999998</c:v>
                </c:pt>
                <c:pt idx="10">
                  <c:v>0.71</c:v>
                </c:pt>
                <c:pt idx="11">
                  <c:v>0.71</c:v>
                </c:pt>
                <c:pt idx="12">
                  <c:v>0.75</c:v>
                </c:pt>
                <c:pt idx="13">
                  <c:v>0.75</c:v>
                </c:pt>
                <c:pt idx="14">
                  <c:v>0.75</c:v>
                </c:pt>
                <c:pt idx="15">
                  <c:v>0.75</c:v>
                </c:pt>
                <c:pt idx="16">
                  <c:v>0.75</c:v>
                </c:pt>
                <c:pt idx="17">
                  <c:v>0.75</c:v>
                </c:pt>
                <c:pt idx="18">
                  <c:v>0.75</c:v>
                </c:pt>
                <c:pt idx="19">
                  <c:v>0.75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6026776"/>
        <c:axId val="306027168"/>
      </c:lineChart>
      <c:catAx>
        <c:axId val="306026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6027168"/>
        <c:crossesAt val="0"/>
        <c:auto val="1"/>
        <c:lblAlgn val="ctr"/>
        <c:lblOffset val="100"/>
        <c:noMultiLvlLbl val="0"/>
      </c:catAx>
      <c:valAx>
        <c:axId val="306027168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6026776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Overall!$A$4:$A$16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Overall!$B$4:$B$16</c:f>
              <c:numCache>
                <c:formatCode>0.00</c:formatCode>
                <c:ptCount val="13"/>
                <c:pt idx="0">
                  <c:v>0</c:v>
                </c:pt>
                <c:pt idx="1">
                  <c:v>0.57999999999999996</c:v>
                </c:pt>
                <c:pt idx="2">
                  <c:v>0.67</c:v>
                </c:pt>
                <c:pt idx="3">
                  <c:v>0.67</c:v>
                </c:pt>
                <c:pt idx="4">
                  <c:v>0.67</c:v>
                </c:pt>
                <c:pt idx="5">
                  <c:v>0.67</c:v>
                </c:pt>
                <c:pt idx="6">
                  <c:v>1.25</c:v>
                </c:pt>
                <c:pt idx="7">
                  <c:v>1.67</c:v>
                </c:pt>
                <c:pt idx="8">
                  <c:v>1.67</c:v>
                </c:pt>
                <c:pt idx="9">
                  <c:v>1.67</c:v>
                </c:pt>
                <c:pt idx="10">
                  <c:v>1.67</c:v>
                </c:pt>
                <c:pt idx="11">
                  <c:v>1.67</c:v>
                </c:pt>
                <c:pt idx="12">
                  <c:v>1.67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Overall!$A$4:$A$16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Overall!$C$4:$C$16</c:f>
              <c:numCache>
                <c:formatCode>0.00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0.57999999999999996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0.57999999999999996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Overall!$A$4:$A$16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Overall!$D$4:$D$16</c:f>
              <c:numCache>
                <c:formatCode>0.00</c:formatCode>
                <c:ptCount val="13"/>
                <c:pt idx="0">
                  <c:v>0</c:v>
                </c:pt>
                <c:pt idx="1">
                  <c:v>0.28999999999999998</c:v>
                </c:pt>
                <c:pt idx="2">
                  <c:v>0.63</c:v>
                </c:pt>
                <c:pt idx="3">
                  <c:v>0.63</c:v>
                </c:pt>
                <c:pt idx="4">
                  <c:v>0.63</c:v>
                </c:pt>
                <c:pt idx="5">
                  <c:v>0.63</c:v>
                </c:pt>
                <c:pt idx="6">
                  <c:v>1.1299999999999999</c:v>
                </c:pt>
                <c:pt idx="7">
                  <c:v>1.84</c:v>
                </c:pt>
                <c:pt idx="8">
                  <c:v>1.84</c:v>
                </c:pt>
                <c:pt idx="9">
                  <c:v>1.84</c:v>
                </c:pt>
                <c:pt idx="10">
                  <c:v>1.84</c:v>
                </c:pt>
                <c:pt idx="11">
                  <c:v>1.84</c:v>
                </c:pt>
                <c:pt idx="12">
                  <c:v>1.84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6025992"/>
        <c:axId val="306026384"/>
      </c:lineChart>
      <c:catAx>
        <c:axId val="306025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6026384"/>
        <c:crossesAt val="0"/>
        <c:auto val="1"/>
        <c:lblAlgn val="ctr"/>
        <c:lblOffset val="100"/>
        <c:noMultiLvlLbl val="0"/>
      </c:catAx>
      <c:valAx>
        <c:axId val="306026384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6025992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Overall!$A$4:$A$19</c:f>
              <c:numCache>
                <c:formatCode>General</c:formatCode>
                <c:ptCount val="16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</c:numCache>
            </c:numRef>
          </c:cat>
          <c:val>
            <c:numRef>
              <c:f>Overall!$B$4:$B$19</c:f>
              <c:numCache>
                <c:formatCode>0.00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1.83</c:v>
                </c:pt>
                <c:pt idx="7">
                  <c:v>1.83</c:v>
                </c:pt>
                <c:pt idx="8">
                  <c:v>1.94</c:v>
                </c:pt>
                <c:pt idx="9">
                  <c:v>1.94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Overall!$A$4:$A$19</c:f>
              <c:numCache>
                <c:formatCode>General</c:formatCode>
                <c:ptCount val="16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</c:numCache>
            </c:numRef>
          </c:cat>
          <c:val>
            <c:numRef>
              <c:f>Overall!$C$4:$C$19</c:f>
              <c:numCache>
                <c:formatCode>0.00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1.1299999999999999</c:v>
                </c:pt>
                <c:pt idx="9">
                  <c:v>1.46</c:v>
                </c:pt>
                <c:pt idx="10">
                  <c:v>1.46</c:v>
                </c:pt>
                <c:pt idx="11">
                  <c:v>1.46</c:v>
                </c:pt>
                <c:pt idx="12">
                  <c:v>1.46</c:v>
                </c:pt>
                <c:pt idx="13">
                  <c:v>1.46</c:v>
                </c:pt>
                <c:pt idx="14">
                  <c:v>1.46</c:v>
                </c:pt>
                <c:pt idx="15">
                  <c:v>1.46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Overall!$A$4:$A$19</c:f>
              <c:numCache>
                <c:formatCode>General</c:formatCode>
                <c:ptCount val="16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</c:numCache>
            </c:numRef>
          </c:cat>
          <c:val>
            <c:numRef>
              <c:f>Overall!$D$4:$D$19</c:f>
              <c:numCache>
                <c:formatCode>0.00</c:formatCode>
                <c:ptCount val="16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0.75</c:v>
                </c:pt>
                <c:pt idx="6">
                  <c:v>1.17</c:v>
                </c:pt>
                <c:pt idx="7">
                  <c:v>1.17</c:v>
                </c:pt>
                <c:pt idx="8">
                  <c:v>1.53</c:v>
                </c:pt>
                <c:pt idx="9">
                  <c:v>1.7</c:v>
                </c:pt>
                <c:pt idx="10">
                  <c:v>1.73</c:v>
                </c:pt>
                <c:pt idx="11">
                  <c:v>1.73</c:v>
                </c:pt>
                <c:pt idx="12">
                  <c:v>1.73</c:v>
                </c:pt>
                <c:pt idx="13">
                  <c:v>1.73</c:v>
                </c:pt>
                <c:pt idx="14">
                  <c:v>1.73</c:v>
                </c:pt>
                <c:pt idx="15">
                  <c:v>1.73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047232"/>
        <c:axId val="302049192"/>
      </c:lineChart>
      <c:catAx>
        <c:axId val="302047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2049192"/>
        <c:crossesAt val="0"/>
        <c:auto val="1"/>
        <c:lblAlgn val="ctr"/>
        <c:lblOffset val="100"/>
        <c:noMultiLvlLbl val="0"/>
      </c:catAx>
      <c:valAx>
        <c:axId val="302049192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2047232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Overall!$A$4:$A$23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Overall!$B$4:$B$23</c:f>
              <c:numCache>
                <c:formatCode>0.00</c:formatCode>
                <c:ptCount val="20"/>
                <c:pt idx="0">
                  <c:v>0</c:v>
                </c:pt>
                <c:pt idx="1">
                  <c:v>1.33</c:v>
                </c:pt>
                <c:pt idx="2">
                  <c:v>1.33</c:v>
                </c:pt>
                <c:pt idx="3">
                  <c:v>1.33</c:v>
                </c:pt>
                <c:pt idx="4">
                  <c:v>1.33</c:v>
                </c:pt>
                <c:pt idx="5">
                  <c:v>1.33</c:v>
                </c:pt>
                <c:pt idx="6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  <c:pt idx="11">
                  <c:v>1.5</c:v>
                </c:pt>
                <c:pt idx="12">
                  <c:v>1.5</c:v>
                </c:pt>
                <c:pt idx="13">
                  <c:v>1.5</c:v>
                </c:pt>
                <c:pt idx="14">
                  <c:v>1.5</c:v>
                </c:pt>
                <c:pt idx="15">
                  <c:v>1.5</c:v>
                </c:pt>
                <c:pt idx="16">
                  <c:v>1.67</c:v>
                </c:pt>
                <c:pt idx="17">
                  <c:v>1.83</c:v>
                </c:pt>
                <c:pt idx="18">
                  <c:v>1.83</c:v>
                </c:pt>
                <c:pt idx="19">
                  <c:v>1.83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Overall!$A$4:$A$23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Overall!$C$4:$C$23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0.63</c:v>
                </c:pt>
                <c:pt idx="8">
                  <c:v>0.63</c:v>
                </c:pt>
                <c:pt idx="9">
                  <c:v>0.63</c:v>
                </c:pt>
                <c:pt idx="10">
                  <c:v>0.63</c:v>
                </c:pt>
                <c:pt idx="11">
                  <c:v>0.63</c:v>
                </c:pt>
                <c:pt idx="12">
                  <c:v>0.63</c:v>
                </c:pt>
                <c:pt idx="13">
                  <c:v>0.57999999999999996</c:v>
                </c:pt>
                <c:pt idx="14">
                  <c:v>0.57999999999999996</c:v>
                </c:pt>
                <c:pt idx="15">
                  <c:v>0.57999999999999996</c:v>
                </c:pt>
                <c:pt idx="16">
                  <c:v>0.57999999999999996</c:v>
                </c:pt>
                <c:pt idx="17">
                  <c:v>0.57999999999999996</c:v>
                </c:pt>
                <c:pt idx="18">
                  <c:v>0.57999999999999996</c:v>
                </c:pt>
                <c:pt idx="19">
                  <c:v>0.57999999999999996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Overall!$A$4:$A$23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Overall!$D$4:$D$23</c:f>
              <c:numCache>
                <c:formatCode>0.00</c:formatCode>
                <c:ptCount val="20"/>
                <c:pt idx="0">
                  <c:v>0</c:v>
                </c:pt>
                <c:pt idx="1">
                  <c:v>0.67</c:v>
                </c:pt>
                <c:pt idx="2">
                  <c:v>0.67</c:v>
                </c:pt>
                <c:pt idx="3">
                  <c:v>0.67</c:v>
                </c:pt>
                <c:pt idx="4">
                  <c:v>0.67</c:v>
                </c:pt>
                <c:pt idx="5">
                  <c:v>0.67</c:v>
                </c:pt>
                <c:pt idx="6">
                  <c:v>0.75</c:v>
                </c:pt>
                <c:pt idx="7">
                  <c:v>1.06</c:v>
                </c:pt>
                <c:pt idx="8">
                  <c:v>1.06</c:v>
                </c:pt>
                <c:pt idx="9">
                  <c:v>1.06</c:v>
                </c:pt>
                <c:pt idx="10">
                  <c:v>1.06</c:v>
                </c:pt>
                <c:pt idx="11">
                  <c:v>1.06</c:v>
                </c:pt>
                <c:pt idx="12">
                  <c:v>1.06</c:v>
                </c:pt>
                <c:pt idx="13">
                  <c:v>1.04</c:v>
                </c:pt>
                <c:pt idx="14">
                  <c:v>1.04</c:v>
                </c:pt>
                <c:pt idx="15">
                  <c:v>1.04</c:v>
                </c:pt>
                <c:pt idx="16">
                  <c:v>1.1299999999999999</c:v>
                </c:pt>
                <c:pt idx="17">
                  <c:v>1.21</c:v>
                </c:pt>
                <c:pt idx="18">
                  <c:v>1.21</c:v>
                </c:pt>
                <c:pt idx="19">
                  <c:v>1.21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048016"/>
        <c:axId val="384279040"/>
      </c:lineChart>
      <c:catAx>
        <c:axId val="302048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4279040"/>
        <c:crossesAt val="0"/>
        <c:auto val="1"/>
        <c:lblAlgn val="ctr"/>
        <c:lblOffset val="100"/>
        <c:noMultiLvlLbl val="0"/>
      </c:catAx>
      <c:valAx>
        <c:axId val="384279040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02048016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Overall!$A$4:$A$13</c:f>
              <c:numCache>
                <c:formatCode>General</c:formatCode>
                <c:ptCount val="1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</c:numCache>
            </c:numRef>
          </c:cat>
          <c:val>
            <c:numRef>
              <c:f>Overall!$B$4:$B$13</c:f>
              <c:numCache>
                <c:formatCode>0.00</c:formatCode>
                <c:ptCount val="10"/>
                <c:pt idx="0">
                  <c:v>0</c:v>
                </c:pt>
                <c:pt idx="1">
                  <c:v>1.67</c:v>
                </c:pt>
                <c:pt idx="2">
                  <c:v>1.67</c:v>
                </c:pt>
                <c:pt idx="3">
                  <c:v>1.67</c:v>
                </c:pt>
                <c:pt idx="4">
                  <c:v>1.67</c:v>
                </c:pt>
                <c:pt idx="5">
                  <c:v>1.67</c:v>
                </c:pt>
                <c:pt idx="6">
                  <c:v>1.5</c:v>
                </c:pt>
                <c:pt idx="7">
                  <c:v>1.67</c:v>
                </c:pt>
                <c:pt idx="8">
                  <c:v>1.67</c:v>
                </c:pt>
                <c:pt idx="9">
                  <c:v>1.83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Overall!$A$4:$A$13</c:f>
              <c:numCache>
                <c:formatCode>General</c:formatCode>
                <c:ptCount val="1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</c:numCache>
            </c:numRef>
          </c:cat>
          <c:val>
            <c:numRef>
              <c:f>Overall!$C$4:$C$13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Overall!$A$4:$A$13</c:f>
              <c:numCache>
                <c:formatCode>General</c:formatCode>
                <c:ptCount val="1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</c:numCache>
            </c:numRef>
          </c:cat>
          <c:val>
            <c:numRef>
              <c:f>Overall!$D$4:$D$13</c:f>
              <c:numCache>
                <c:formatCode>0.00</c:formatCode>
                <c:ptCount val="10"/>
                <c:pt idx="0">
                  <c:v>0</c:v>
                </c:pt>
                <c:pt idx="1">
                  <c:v>0.83</c:v>
                </c:pt>
                <c:pt idx="2">
                  <c:v>0.83</c:v>
                </c:pt>
                <c:pt idx="3">
                  <c:v>0.83</c:v>
                </c:pt>
                <c:pt idx="4">
                  <c:v>0.83</c:v>
                </c:pt>
                <c:pt idx="5">
                  <c:v>0.83</c:v>
                </c:pt>
                <c:pt idx="6">
                  <c:v>0.75</c:v>
                </c:pt>
                <c:pt idx="7">
                  <c:v>0.83</c:v>
                </c:pt>
                <c:pt idx="8">
                  <c:v>0.83</c:v>
                </c:pt>
                <c:pt idx="9">
                  <c:v>0.92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279432"/>
        <c:axId val="384280216"/>
      </c:lineChart>
      <c:catAx>
        <c:axId val="384279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4280216"/>
        <c:crossesAt val="0"/>
        <c:auto val="1"/>
        <c:lblAlgn val="ctr"/>
        <c:lblOffset val="100"/>
        <c:noMultiLvlLbl val="0"/>
      </c:catAx>
      <c:valAx>
        <c:axId val="384280216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384279432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Overall!$A$4:$A$16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Overall!$B$4:$B$16</c:f>
              <c:numCache>
                <c:formatCode>0.00</c:formatCode>
                <c:ptCount val="13"/>
                <c:pt idx="0">
                  <c:v>0</c:v>
                </c:pt>
                <c:pt idx="1">
                  <c:v>0.57999999999999996</c:v>
                </c:pt>
                <c:pt idx="2">
                  <c:v>0.57999999999999996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0.57999999999999996</c:v>
                </c:pt>
                <c:pt idx="6">
                  <c:v>0.75</c:v>
                </c:pt>
                <c:pt idx="7">
                  <c:v>0.75</c:v>
                </c:pt>
                <c:pt idx="8">
                  <c:v>0.75</c:v>
                </c:pt>
                <c:pt idx="9">
                  <c:v>0.75</c:v>
                </c:pt>
                <c:pt idx="10">
                  <c:v>0.75</c:v>
                </c:pt>
                <c:pt idx="11">
                  <c:v>0.75</c:v>
                </c:pt>
                <c:pt idx="12">
                  <c:v>0.75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Overall!$A$4:$A$16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Overall!$C$4:$C$16</c:f>
              <c:numCache>
                <c:formatCode>0.00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Overall!$A$4:$A$16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Overall!$D$4:$D$16</c:f>
              <c:numCache>
                <c:formatCode>0.00</c:formatCode>
                <c:ptCount val="13"/>
                <c:pt idx="0">
                  <c:v>0</c:v>
                </c:pt>
                <c:pt idx="1">
                  <c:v>0.54</c:v>
                </c:pt>
                <c:pt idx="2">
                  <c:v>0.54</c:v>
                </c:pt>
                <c:pt idx="3">
                  <c:v>0.54</c:v>
                </c:pt>
                <c:pt idx="4">
                  <c:v>0.54</c:v>
                </c:pt>
                <c:pt idx="5">
                  <c:v>0.54</c:v>
                </c:pt>
                <c:pt idx="6">
                  <c:v>0.63</c:v>
                </c:pt>
                <c:pt idx="7">
                  <c:v>0.63</c:v>
                </c:pt>
                <c:pt idx="8">
                  <c:v>0.63</c:v>
                </c:pt>
                <c:pt idx="9">
                  <c:v>0.63</c:v>
                </c:pt>
                <c:pt idx="10">
                  <c:v>0.63</c:v>
                </c:pt>
                <c:pt idx="11">
                  <c:v>0.63</c:v>
                </c:pt>
                <c:pt idx="12">
                  <c:v>0.63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0386344"/>
        <c:axId val="290386736"/>
      </c:lineChart>
      <c:catAx>
        <c:axId val="290386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90386736"/>
        <c:crossesAt val="0"/>
        <c:auto val="1"/>
        <c:lblAlgn val="ctr"/>
        <c:lblOffset val="100"/>
        <c:noMultiLvlLbl val="0"/>
      </c:catAx>
      <c:valAx>
        <c:axId val="290386736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90386344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v>Prevention</c:v>
          </c:tx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Overall!$A$4:$A$46</c:f>
              <c:numCache>
                <c:formatCode>General</c:formatCode>
                <c:ptCount val="43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</c:numCache>
            </c:numRef>
          </c:cat>
          <c:val>
            <c:numRef>
              <c:f>Overall!$B$4:$B$46</c:f>
              <c:numCache>
                <c:formatCode>0.00</c:formatCode>
                <c:ptCount val="43"/>
                <c:pt idx="0">
                  <c:v>0</c:v>
                </c:pt>
                <c:pt idx="1">
                  <c:v>1.42</c:v>
                </c:pt>
                <c:pt idx="2">
                  <c:v>1.42</c:v>
                </c:pt>
                <c:pt idx="3">
                  <c:v>1.42</c:v>
                </c:pt>
                <c:pt idx="4">
                  <c:v>1.42</c:v>
                </c:pt>
                <c:pt idx="5">
                  <c:v>1.42</c:v>
                </c:pt>
                <c:pt idx="6">
                  <c:v>1.42</c:v>
                </c:pt>
                <c:pt idx="7">
                  <c:v>1.42</c:v>
                </c:pt>
                <c:pt idx="8">
                  <c:v>1.42</c:v>
                </c:pt>
                <c:pt idx="9">
                  <c:v>1.42</c:v>
                </c:pt>
                <c:pt idx="10">
                  <c:v>1.42</c:v>
                </c:pt>
                <c:pt idx="11">
                  <c:v>1.42</c:v>
                </c:pt>
                <c:pt idx="12">
                  <c:v>1.58</c:v>
                </c:pt>
                <c:pt idx="13">
                  <c:v>1.58</c:v>
                </c:pt>
                <c:pt idx="14">
                  <c:v>1.67</c:v>
                </c:pt>
                <c:pt idx="15">
                  <c:v>1.67</c:v>
                </c:pt>
                <c:pt idx="16">
                  <c:v>1.67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1.83</c:v>
                </c:pt>
                <c:pt idx="29">
                  <c:v>1.75</c:v>
                </c:pt>
                <c:pt idx="30">
                  <c:v>1.75</c:v>
                </c:pt>
                <c:pt idx="31">
                  <c:v>1.75</c:v>
                </c:pt>
                <c:pt idx="32">
                  <c:v>1.75</c:v>
                </c:pt>
                <c:pt idx="33">
                  <c:v>1.75</c:v>
                </c:pt>
                <c:pt idx="34">
                  <c:v>1.75</c:v>
                </c:pt>
                <c:pt idx="35">
                  <c:v>1.75</c:v>
                </c:pt>
                <c:pt idx="36">
                  <c:v>1.75</c:v>
                </c:pt>
                <c:pt idx="37">
                  <c:v>1.75</c:v>
                </c:pt>
                <c:pt idx="38">
                  <c:v>1.75</c:v>
                </c:pt>
                <c:pt idx="39">
                  <c:v>1.75</c:v>
                </c:pt>
                <c:pt idx="40">
                  <c:v>1.75</c:v>
                </c:pt>
                <c:pt idx="41">
                  <c:v>1.75</c:v>
                </c:pt>
                <c:pt idx="42">
                  <c:v>1.75</c:v>
                </c:pt>
              </c:numCache>
            </c:numRef>
          </c:val>
          <c:smooth val="0"/>
        </c:ser>
        <c:ser>
          <c:idx val="2"/>
          <c:order val="1"/>
          <c:tx>
            <c:v>Complaint</c:v>
          </c:tx>
          <c:spPr>
            <a:ln w="34925">
              <a:solidFill>
                <a:schemeClr val="tx1">
                  <a:lumMod val="75000"/>
                  <a:lumOff val="2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Overall!$A$4:$A$46</c:f>
              <c:numCache>
                <c:formatCode>General</c:formatCode>
                <c:ptCount val="43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</c:numCache>
            </c:numRef>
          </c:cat>
          <c:val>
            <c:numRef>
              <c:f>Overall!$C$4:$C$46</c:f>
              <c:numCache>
                <c:formatCode>0.00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1.67</c:v>
                </c:pt>
                <c:pt idx="24">
                  <c:v>1.67</c:v>
                </c:pt>
                <c:pt idx="25">
                  <c:v>1.67</c:v>
                </c:pt>
                <c:pt idx="26">
                  <c:v>1.67</c:v>
                </c:pt>
                <c:pt idx="27">
                  <c:v>1.67</c:v>
                </c:pt>
                <c:pt idx="28">
                  <c:v>1.67</c:v>
                </c:pt>
                <c:pt idx="29">
                  <c:v>1.67</c:v>
                </c:pt>
                <c:pt idx="30">
                  <c:v>1.67</c:v>
                </c:pt>
                <c:pt idx="31">
                  <c:v>1.67</c:v>
                </c:pt>
                <c:pt idx="32">
                  <c:v>1.67</c:v>
                </c:pt>
                <c:pt idx="33">
                  <c:v>1.67</c:v>
                </c:pt>
                <c:pt idx="34">
                  <c:v>1.67</c:v>
                </c:pt>
                <c:pt idx="35">
                  <c:v>1.67</c:v>
                </c:pt>
                <c:pt idx="36">
                  <c:v>1.67</c:v>
                </c:pt>
                <c:pt idx="37">
                  <c:v>1.67</c:v>
                </c:pt>
                <c:pt idx="38">
                  <c:v>1.67</c:v>
                </c:pt>
                <c:pt idx="39">
                  <c:v>1.67</c:v>
                </c:pt>
                <c:pt idx="40">
                  <c:v>1.67</c:v>
                </c:pt>
                <c:pt idx="41">
                  <c:v>1.67</c:v>
                </c:pt>
                <c:pt idx="42">
                  <c:v>1.67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Overall!$D$3</c:f>
              <c:strCache>
                <c:ptCount val="1"/>
                <c:pt idx="0">
                  <c:v>Overall</c:v>
                </c:pt>
              </c:strCache>
            </c:strRef>
          </c:tx>
          <c:spPr>
            <a:ln w="41275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Overall!$A$4:$A$46</c:f>
              <c:numCache>
                <c:formatCode>General</c:formatCode>
                <c:ptCount val="43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</c:numCache>
            </c:numRef>
          </c:cat>
          <c:val>
            <c:numRef>
              <c:f>Overall!$D$4:$D$46</c:f>
              <c:numCache>
                <c:formatCode>0.00</c:formatCode>
                <c:ptCount val="43"/>
                <c:pt idx="0">
                  <c:v>0</c:v>
                </c:pt>
                <c:pt idx="1">
                  <c:v>0.71</c:v>
                </c:pt>
                <c:pt idx="2">
                  <c:v>0.71</c:v>
                </c:pt>
                <c:pt idx="3">
                  <c:v>0.71</c:v>
                </c:pt>
                <c:pt idx="4">
                  <c:v>0.71</c:v>
                </c:pt>
                <c:pt idx="5">
                  <c:v>0.71</c:v>
                </c:pt>
                <c:pt idx="6">
                  <c:v>0.71</c:v>
                </c:pt>
                <c:pt idx="7">
                  <c:v>0.71</c:v>
                </c:pt>
                <c:pt idx="8">
                  <c:v>0.71</c:v>
                </c:pt>
                <c:pt idx="9">
                  <c:v>0.71</c:v>
                </c:pt>
                <c:pt idx="10">
                  <c:v>0.71</c:v>
                </c:pt>
                <c:pt idx="11">
                  <c:v>0.71</c:v>
                </c:pt>
                <c:pt idx="12">
                  <c:v>0.79</c:v>
                </c:pt>
                <c:pt idx="13">
                  <c:v>0.79</c:v>
                </c:pt>
                <c:pt idx="14">
                  <c:v>0.84</c:v>
                </c:pt>
                <c:pt idx="15">
                  <c:v>0.84</c:v>
                </c:pt>
                <c:pt idx="16">
                  <c:v>0.84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1.84</c:v>
                </c:pt>
                <c:pt idx="24">
                  <c:v>1.84</c:v>
                </c:pt>
                <c:pt idx="25">
                  <c:v>1.84</c:v>
                </c:pt>
                <c:pt idx="26">
                  <c:v>1.84</c:v>
                </c:pt>
                <c:pt idx="27">
                  <c:v>1.84</c:v>
                </c:pt>
                <c:pt idx="28">
                  <c:v>1.75</c:v>
                </c:pt>
                <c:pt idx="29">
                  <c:v>1.71</c:v>
                </c:pt>
                <c:pt idx="30">
                  <c:v>1.71</c:v>
                </c:pt>
                <c:pt idx="31">
                  <c:v>1.71</c:v>
                </c:pt>
                <c:pt idx="32">
                  <c:v>1.71</c:v>
                </c:pt>
                <c:pt idx="33">
                  <c:v>1.71</c:v>
                </c:pt>
                <c:pt idx="34">
                  <c:v>1.71</c:v>
                </c:pt>
                <c:pt idx="35">
                  <c:v>1.71</c:v>
                </c:pt>
                <c:pt idx="36">
                  <c:v>1.71</c:v>
                </c:pt>
                <c:pt idx="37">
                  <c:v>1.71</c:v>
                </c:pt>
                <c:pt idx="38">
                  <c:v>1.71</c:v>
                </c:pt>
                <c:pt idx="39">
                  <c:v>1.71</c:v>
                </c:pt>
                <c:pt idx="40">
                  <c:v>1.71</c:v>
                </c:pt>
                <c:pt idx="41">
                  <c:v>1.71</c:v>
                </c:pt>
                <c:pt idx="42">
                  <c:v>1.71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5390216"/>
        <c:axId val="295389040"/>
      </c:lineChart>
      <c:catAx>
        <c:axId val="295390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Years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txPr>
          <a:bodyPr rot="-54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95389040"/>
        <c:crossesAt val="0"/>
        <c:auto val="1"/>
        <c:lblAlgn val="ctr"/>
        <c:lblOffset val="100"/>
        <c:noMultiLvlLbl val="0"/>
      </c:catAx>
      <c:valAx>
        <c:axId val="295389040"/>
        <c:scaling>
          <c:orientation val="minMax"/>
          <c:max val="2.2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de-DE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Quality</a:t>
                </a:r>
                <a:r>
                  <a:rPr lang="de-DE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protection provisions</a:t>
                </a:r>
                <a:endParaRPr lang="de-DE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95390216"/>
        <c:crosses val="autoZero"/>
        <c:crossBetween val="between"/>
        <c:majorUnit val="0.5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3186</Words>
  <Characters>18161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Uni-Bamberg</Company>
  <LinksUpToDate>false</LinksUpToDate>
  <CharactersWithSpaces>21305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Heupel</dc:creator>
  <cp:lastModifiedBy>Rubrick Biegon</cp:lastModifiedBy>
  <cp:revision>2</cp:revision>
  <cp:lastPrinted>2016-06-29T14:02:00Z</cp:lastPrinted>
  <dcterms:created xsi:type="dcterms:W3CDTF">2017-07-25T09:22:00Z</dcterms:created>
  <dcterms:modified xsi:type="dcterms:W3CDTF">2017-07-25T09:22:00Z</dcterms:modified>
</cp:coreProperties>
</file>