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37E7B" w:rsidRPr="0098112F" w:rsidRDefault="00937E7B" w:rsidP="00937E7B">
      <w:pPr>
        <w:tabs>
          <w:tab w:val="left" w:pos="7213"/>
        </w:tabs>
        <w:spacing w:after="0"/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lang w:val="en-GB"/>
        </w:rPr>
        <w:t xml:space="preserve">Supplementary </w:t>
      </w:r>
      <w:r w:rsidRPr="0098112F">
        <w:rPr>
          <w:rFonts w:ascii="Arial" w:hAnsi="Arial"/>
          <w:b/>
          <w:lang w:val="en-GB"/>
        </w:rPr>
        <w:t xml:space="preserve">Table </w:t>
      </w:r>
    </w:p>
    <w:p w:rsidR="00937E7B" w:rsidRPr="00340CBE" w:rsidRDefault="00937E7B" w:rsidP="00937E7B">
      <w:pPr>
        <w:tabs>
          <w:tab w:val="left" w:pos="7213"/>
        </w:tabs>
        <w:spacing w:after="0"/>
        <w:jc w:val="center"/>
        <w:rPr>
          <w:rFonts w:ascii="Arial" w:hAnsi="Arial"/>
          <w:b/>
          <w:vertAlign w:val="superscript"/>
          <w:lang w:val="en-GB"/>
        </w:rPr>
      </w:pPr>
      <w:r>
        <w:rPr>
          <w:rFonts w:ascii="Arial" w:hAnsi="Arial"/>
          <w:b/>
          <w:lang w:val="en-GB"/>
        </w:rPr>
        <w:t xml:space="preserve">   </w:t>
      </w:r>
      <w:r w:rsidRPr="0098112F">
        <w:rPr>
          <w:rFonts w:ascii="Arial" w:hAnsi="Arial"/>
          <w:b/>
          <w:lang w:val="en-GB"/>
        </w:rPr>
        <w:t>A hierarchy of evidence</w:t>
      </w:r>
      <w:r>
        <w:rPr>
          <w:rFonts w:ascii="Arial" w:hAnsi="Arial"/>
          <w:b/>
          <w:vertAlign w:val="superscript"/>
          <w:lang w:val="en-GB"/>
        </w:rPr>
        <w:t>15</w:t>
      </w:r>
    </w:p>
    <w:p w:rsidR="00937E7B" w:rsidRDefault="00937E7B" w:rsidP="00937E7B">
      <w:pPr>
        <w:jc w:val="center"/>
      </w:pPr>
    </w:p>
    <w:tbl>
      <w:tblPr>
        <w:tblStyle w:val="TableGrid"/>
        <w:tblW w:w="10065" w:type="dxa"/>
        <w:tblInd w:w="-743" w:type="dxa"/>
        <w:tblLook w:val="00BF"/>
      </w:tblPr>
      <w:tblGrid>
        <w:gridCol w:w="1135"/>
        <w:gridCol w:w="8930"/>
      </w:tblGrid>
      <w:tr w:rsidR="00937E7B">
        <w:tc>
          <w:tcPr>
            <w:tcW w:w="1135" w:type="dxa"/>
          </w:tcPr>
          <w:p w:rsidR="00937E7B" w:rsidRPr="0098112F" w:rsidRDefault="00937E7B" w:rsidP="00037CC2">
            <w:pPr>
              <w:tabs>
                <w:tab w:val="left" w:pos="7213"/>
              </w:tabs>
              <w:jc w:val="center"/>
              <w:rPr>
                <w:rFonts w:ascii="Arial" w:hAnsi="Arial"/>
                <w:b/>
                <w:lang w:val="en-GB"/>
              </w:rPr>
            </w:pPr>
            <w:r w:rsidRPr="0098112F">
              <w:rPr>
                <w:rFonts w:ascii="Arial" w:hAnsi="Arial"/>
                <w:b/>
                <w:lang w:val="en-GB"/>
              </w:rPr>
              <w:t>Level</w:t>
            </w:r>
          </w:p>
        </w:tc>
        <w:tc>
          <w:tcPr>
            <w:tcW w:w="8930" w:type="dxa"/>
          </w:tcPr>
          <w:p w:rsidR="00937E7B" w:rsidRPr="0098112F" w:rsidRDefault="00937E7B" w:rsidP="00037CC2">
            <w:pPr>
              <w:tabs>
                <w:tab w:val="left" w:pos="7213"/>
              </w:tabs>
              <w:jc w:val="center"/>
              <w:rPr>
                <w:rFonts w:ascii="Arial" w:hAnsi="Arial"/>
                <w:b/>
                <w:lang w:val="en-GB"/>
              </w:rPr>
            </w:pPr>
            <w:r w:rsidRPr="0098112F">
              <w:rPr>
                <w:rFonts w:ascii="Arial" w:hAnsi="Arial"/>
                <w:b/>
                <w:lang w:val="en-GB"/>
              </w:rPr>
              <w:t>Description</w:t>
            </w:r>
          </w:p>
        </w:tc>
      </w:tr>
      <w:tr w:rsidR="00937E7B">
        <w:tc>
          <w:tcPr>
            <w:tcW w:w="1135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vertAlign w:val="superscript"/>
                <w:lang w:val="en-GB"/>
              </w:rPr>
            </w:pPr>
            <w:r w:rsidRPr="00D22522">
              <w:rPr>
                <w:rFonts w:ascii="Arial" w:hAnsi="Arial"/>
                <w:sz w:val="20"/>
                <w:lang w:val="en-GB"/>
              </w:rPr>
              <w:t xml:space="preserve">        1</w:t>
            </w:r>
            <w:r w:rsidRPr="00D22522">
              <w:rPr>
                <w:rFonts w:ascii="Arial" w:hAnsi="Arial"/>
                <w:sz w:val="20"/>
                <w:vertAlign w:val="superscript"/>
                <w:lang w:val="en-GB"/>
              </w:rPr>
              <w:t>++</w:t>
            </w:r>
          </w:p>
        </w:tc>
        <w:tc>
          <w:tcPr>
            <w:tcW w:w="8930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 w:rsidRPr="00D22522">
              <w:rPr>
                <w:rFonts w:ascii="Arial" w:hAnsi="Arial"/>
                <w:sz w:val="20"/>
                <w:lang w:val="en-GB"/>
              </w:rPr>
              <w:t>High quality meta-analyses; systematic reviews of randomised controlled trials; or high quality randomised controlled trials with a very low risk of bias</w:t>
            </w:r>
          </w:p>
        </w:tc>
      </w:tr>
      <w:tr w:rsidR="00937E7B">
        <w:tc>
          <w:tcPr>
            <w:tcW w:w="1135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vertAlign w:val="superscript"/>
                <w:lang w:val="en-GB"/>
              </w:rPr>
            </w:pPr>
            <w:r w:rsidRPr="00D22522">
              <w:rPr>
                <w:rFonts w:ascii="Arial" w:hAnsi="Arial"/>
                <w:sz w:val="20"/>
                <w:lang w:val="en-GB"/>
              </w:rPr>
              <w:t xml:space="preserve">        1</w:t>
            </w:r>
            <w:r w:rsidRPr="00D22522">
              <w:rPr>
                <w:rFonts w:ascii="Arial" w:hAnsi="Arial"/>
                <w:sz w:val="20"/>
                <w:vertAlign w:val="superscript"/>
                <w:lang w:val="en-GB"/>
              </w:rPr>
              <w:t>+</w:t>
            </w:r>
          </w:p>
        </w:tc>
        <w:tc>
          <w:tcPr>
            <w:tcW w:w="8930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Well-conducted</w:t>
            </w:r>
            <w:r w:rsidRPr="00D22522">
              <w:rPr>
                <w:rFonts w:ascii="Arial" w:hAnsi="Arial"/>
                <w:sz w:val="20"/>
                <w:lang w:val="en-GB"/>
              </w:rPr>
              <w:t xml:space="preserve"> meta-analyses; systematic reviews of randomised controlled trials; or high quality randomis</w:t>
            </w:r>
            <w:r>
              <w:rPr>
                <w:rFonts w:ascii="Arial" w:hAnsi="Arial"/>
                <w:sz w:val="20"/>
                <w:lang w:val="en-GB"/>
              </w:rPr>
              <w:t>ed controlled trials with a</w:t>
            </w:r>
            <w:r w:rsidRPr="00D22522">
              <w:rPr>
                <w:rFonts w:ascii="Arial" w:hAnsi="Arial"/>
                <w:sz w:val="20"/>
                <w:lang w:val="en-GB"/>
              </w:rPr>
              <w:t xml:space="preserve"> low risk of bias</w:t>
            </w:r>
          </w:p>
        </w:tc>
      </w:tr>
      <w:tr w:rsidR="00937E7B">
        <w:tc>
          <w:tcPr>
            <w:tcW w:w="1135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 w:rsidRPr="00D22522">
              <w:rPr>
                <w:rFonts w:ascii="Arial" w:hAnsi="Arial"/>
                <w:sz w:val="20"/>
                <w:lang w:val="en-GB"/>
              </w:rPr>
              <w:t xml:space="preserve">        1</w:t>
            </w:r>
          </w:p>
        </w:tc>
        <w:tc>
          <w:tcPr>
            <w:tcW w:w="8930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M</w:t>
            </w:r>
            <w:r w:rsidRPr="00D22522">
              <w:rPr>
                <w:rFonts w:ascii="Arial" w:hAnsi="Arial"/>
                <w:sz w:val="20"/>
                <w:lang w:val="en-GB"/>
              </w:rPr>
              <w:t>eta-analyses; systematic reviews of randomised con</w:t>
            </w:r>
            <w:r>
              <w:rPr>
                <w:rFonts w:ascii="Arial" w:hAnsi="Arial"/>
                <w:sz w:val="20"/>
                <w:lang w:val="en-GB"/>
              </w:rPr>
              <w:t xml:space="preserve">trolled trials; or </w:t>
            </w:r>
            <w:r w:rsidRPr="00D22522">
              <w:rPr>
                <w:rFonts w:ascii="Arial" w:hAnsi="Arial"/>
                <w:sz w:val="20"/>
                <w:lang w:val="en-GB"/>
              </w:rPr>
              <w:t>randomis</w:t>
            </w:r>
            <w:r>
              <w:rPr>
                <w:rFonts w:ascii="Arial" w:hAnsi="Arial"/>
                <w:sz w:val="20"/>
                <w:lang w:val="en-GB"/>
              </w:rPr>
              <w:t>ed controlled trials with a high</w:t>
            </w:r>
            <w:r w:rsidRPr="00D22522">
              <w:rPr>
                <w:rFonts w:ascii="Arial" w:hAnsi="Arial"/>
                <w:sz w:val="20"/>
                <w:lang w:val="en-GB"/>
              </w:rPr>
              <w:t xml:space="preserve"> low risk of bias</w:t>
            </w:r>
          </w:p>
        </w:tc>
      </w:tr>
      <w:tr w:rsidR="00937E7B">
        <w:tc>
          <w:tcPr>
            <w:tcW w:w="1135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vertAlign w:val="superscript"/>
                <w:lang w:val="en-GB"/>
              </w:rPr>
            </w:pPr>
            <w:r w:rsidRPr="00D22522">
              <w:rPr>
                <w:rFonts w:ascii="Arial" w:hAnsi="Arial"/>
                <w:sz w:val="20"/>
                <w:lang w:val="en-GB"/>
              </w:rPr>
              <w:t xml:space="preserve">        2</w:t>
            </w:r>
            <w:r w:rsidRPr="00D22522">
              <w:rPr>
                <w:rFonts w:ascii="Arial" w:hAnsi="Arial"/>
                <w:sz w:val="20"/>
                <w:vertAlign w:val="superscript"/>
                <w:lang w:val="en-GB"/>
              </w:rPr>
              <w:t>++</w:t>
            </w:r>
          </w:p>
        </w:tc>
        <w:tc>
          <w:tcPr>
            <w:tcW w:w="8930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High quality systematic reviews of case-control or cohort studies with a low risk of confounding, bias or chance and a high chance of causality</w:t>
            </w:r>
          </w:p>
        </w:tc>
      </w:tr>
      <w:tr w:rsidR="00937E7B">
        <w:tc>
          <w:tcPr>
            <w:tcW w:w="1135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vertAlign w:val="superscript"/>
                <w:lang w:val="en-GB"/>
              </w:rPr>
            </w:pPr>
            <w:r w:rsidRPr="00D22522">
              <w:rPr>
                <w:rFonts w:ascii="Arial" w:hAnsi="Arial"/>
                <w:sz w:val="20"/>
                <w:lang w:val="en-GB"/>
              </w:rPr>
              <w:t xml:space="preserve">        2</w:t>
            </w:r>
            <w:r w:rsidRPr="00D22522">
              <w:rPr>
                <w:rFonts w:ascii="Arial" w:hAnsi="Arial"/>
                <w:sz w:val="20"/>
                <w:vertAlign w:val="superscript"/>
                <w:lang w:val="en-GB"/>
              </w:rPr>
              <w:t>+</w:t>
            </w:r>
          </w:p>
        </w:tc>
        <w:tc>
          <w:tcPr>
            <w:tcW w:w="8930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Well-conducted case-control or cohort studies with a high risk of confounding, bias or chance and a significant risk that the relationship is not causal</w:t>
            </w:r>
          </w:p>
        </w:tc>
      </w:tr>
      <w:tr w:rsidR="00937E7B">
        <w:tc>
          <w:tcPr>
            <w:tcW w:w="1135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 w:rsidRPr="00D22522">
              <w:rPr>
                <w:rFonts w:ascii="Arial" w:hAnsi="Arial"/>
                <w:sz w:val="20"/>
                <w:lang w:val="en-GB"/>
              </w:rPr>
              <w:t xml:space="preserve">        2</w:t>
            </w:r>
          </w:p>
        </w:tc>
        <w:tc>
          <w:tcPr>
            <w:tcW w:w="8930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Case-control or cohort studies with a high risk of confounding, bias or chance and a significant risk that the relationship is not causal</w:t>
            </w:r>
          </w:p>
        </w:tc>
      </w:tr>
      <w:tr w:rsidR="00937E7B">
        <w:tc>
          <w:tcPr>
            <w:tcW w:w="1135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 w:rsidRPr="00D22522">
              <w:rPr>
                <w:rFonts w:ascii="Arial" w:hAnsi="Arial"/>
                <w:sz w:val="20"/>
                <w:lang w:val="en-GB"/>
              </w:rPr>
              <w:t xml:space="preserve">        3</w:t>
            </w:r>
          </w:p>
        </w:tc>
        <w:tc>
          <w:tcPr>
            <w:tcW w:w="8930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Non-analytical studies (for example case records or case series)</w:t>
            </w:r>
          </w:p>
        </w:tc>
      </w:tr>
      <w:tr w:rsidR="00937E7B">
        <w:tc>
          <w:tcPr>
            <w:tcW w:w="1135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 w:rsidRPr="00D22522">
              <w:rPr>
                <w:rFonts w:ascii="Arial" w:hAnsi="Arial"/>
                <w:sz w:val="20"/>
                <w:lang w:val="en-GB"/>
              </w:rPr>
              <w:t xml:space="preserve">        4</w:t>
            </w:r>
          </w:p>
        </w:tc>
        <w:tc>
          <w:tcPr>
            <w:tcW w:w="8930" w:type="dxa"/>
          </w:tcPr>
          <w:p w:rsidR="00937E7B" w:rsidRPr="00D22522" w:rsidRDefault="00937E7B" w:rsidP="0098112F">
            <w:pPr>
              <w:tabs>
                <w:tab w:val="left" w:pos="7213"/>
              </w:tabs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Expert opinion, formal consensus</w:t>
            </w:r>
          </w:p>
        </w:tc>
      </w:tr>
    </w:tbl>
    <w:p w:rsidR="00BF69C0" w:rsidRDefault="00937E7B" w:rsidP="00937E7B">
      <w:pPr>
        <w:jc w:val="center"/>
      </w:pPr>
    </w:p>
    <w:sectPr w:rsidR="00BF69C0" w:rsidSect="000744D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37E7B"/>
    <w:rsid w:val="00937E7B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7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37E7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National Institute for Clinical Excellence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Rawlins</dc:creator>
  <cp:keywords/>
  <cp:lastModifiedBy>Michael Rawlins</cp:lastModifiedBy>
  <cp:revision>1</cp:revision>
  <dcterms:created xsi:type="dcterms:W3CDTF">2013-12-10T11:43:00Z</dcterms:created>
  <dcterms:modified xsi:type="dcterms:W3CDTF">2013-12-10T11:44:00Z</dcterms:modified>
</cp:coreProperties>
</file>