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15FEA" w14:textId="77777777" w:rsidR="00F134AE" w:rsidRDefault="00F134AE" w:rsidP="00F134AE">
      <w:pPr>
        <w:spacing w:after="0"/>
        <w:jc w:val="center"/>
        <w:rPr>
          <w:rFonts w:ascii="Arial Narrow" w:hAnsi="Arial Narrow"/>
          <w:b/>
          <w:sz w:val="24"/>
          <w:szCs w:val="24"/>
        </w:rPr>
      </w:pPr>
      <w:r>
        <w:rPr>
          <w:rFonts w:ascii="Arial Narrow" w:hAnsi="Arial Narrow"/>
          <w:b/>
          <w:sz w:val="24"/>
          <w:szCs w:val="24"/>
        </w:rPr>
        <w:t>HTAi Policy Forum 2014</w:t>
      </w:r>
    </w:p>
    <w:p w14:paraId="421DB57C" w14:textId="75C97C28" w:rsidR="009F718D" w:rsidRPr="003615AC" w:rsidRDefault="009F718D" w:rsidP="00F134AE">
      <w:pPr>
        <w:spacing w:after="0"/>
        <w:jc w:val="center"/>
        <w:rPr>
          <w:rFonts w:ascii="Arial Narrow" w:hAnsi="Arial Narrow"/>
          <w:b/>
          <w:sz w:val="24"/>
          <w:szCs w:val="24"/>
        </w:rPr>
      </w:pPr>
      <w:r w:rsidRPr="003615AC">
        <w:rPr>
          <w:rFonts w:ascii="Arial Narrow" w:hAnsi="Arial Narrow"/>
          <w:b/>
          <w:sz w:val="24"/>
          <w:szCs w:val="24"/>
        </w:rPr>
        <w:t>Case Studies Exercise: Explanation, Options</w:t>
      </w:r>
      <w:r>
        <w:rPr>
          <w:rFonts w:ascii="Arial Narrow" w:hAnsi="Arial Narrow"/>
          <w:b/>
          <w:sz w:val="24"/>
          <w:szCs w:val="24"/>
        </w:rPr>
        <w:t>, Proposed Process</w:t>
      </w:r>
      <w:r w:rsidRPr="003615AC">
        <w:rPr>
          <w:rFonts w:ascii="Arial Narrow" w:hAnsi="Arial Narrow"/>
          <w:b/>
          <w:sz w:val="24"/>
          <w:szCs w:val="24"/>
        </w:rPr>
        <w:t xml:space="preserve"> and FAQ</w:t>
      </w:r>
    </w:p>
    <w:p w14:paraId="1F983E3C" w14:textId="77777777" w:rsidR="00F134AE" w:rsidRDefault="00F134AE" w:rsidP="00F134AE">
      <w:pPr>
        <w:spacing w:after="0"/>
        <w:rPr>
          <w:rFonts w:ascii="Arial Narrow" w:hAnsi="Arial Narrow"/>
        </w:rPr>
      </w:pPr>
    </w:p>
    <w:p w14:paraId="08C82480" w14:textId="163D2571" w:rsidR="009F718D" w:rsidRDefault="009F718D" w:rsidP="009F718D">
      <w:pPr>
        <w:rPr>
          <w:rFonts w:ascii="Arial Narrow" w:hAnsi="Arial Narrow"/>
        </w:rPr>
      </w:pPr>
      <w:r>
        <w:rPr>
          <w:rFonts w:ascii="Arial Narrow" w:hAnsi="Arial Narrow"/>
        </w:rPr>
        <w:t xml:space="preserve">The </w:t>
      </w:r>
      <w:r w:rsidR="00F134AE">
        <w:rPr>
          <w:rFonts w:ascii="Arial Narrow" w:hAnsi="Arial Narrow"/>
        </w:rPr>
        <w:t xml:space="preserve">2014 </w:t>
      </w:r>
      <w:r>
        <w:rPr>
          <w:rFonts w:ascii="Arial Narrow" w:hAnsi="Arial Narrow"/>
        </w:rPr>
        <w:t xml:space="preserve">HTAi Policy Forum Meeting will focus on “adaptive approaches” to licensing, HTA and the use of technology within health systems. This topic stems from a </w:t>
      </w:r>
      <w:r w:rsidRPr="0044121E">
        <w:rPr>
          <w:rFonts w:ascii="Arial Narrow" w:hAnsi="Arial Narrow"/>
        </w:rPr>
        <w:t xml:space="preserve">continuing theme </w:t>
      </w:r>
      <w:r>
        <w:rPr>
          <w:rFonts w:ascii="Arial Narrow" w:hAnsi="Arial Narrow"/>
        </w:rPr>
        <w:t>in p</w:t>
      </w:r>
      <w:r w:rsidRPr="0044121E">
        <w:rPr>
          <w:rFonts w:ascii="Arial Narrow" w:hAnsi="Arial Narrow"/>
        </w:rPr>
        <w:t xml:space="preserve">ast Policy Forum discussions </w:t>
      </w:r>
      <w:r>
        <w:rPr>
          <w:rFonts w:ascii="Arial Narrow" w:hAnsi="Arial Narrow"/>
        </w:rPr>
        <w:t>on the subject of</w:t>
      </w:r>
      <w:r w:rsidRPr="0044121E">
        <w:rPr>
          <w:rFonts w:ascii="Arial Narrow" w:hAnsi="Arial Narrow"/>
        </w:rPr>
        <w:t xml:space="preserve"> “progressive decision making” where decisions are revisited</w:t>
      </w:r>
      <w:r>
        <w:rPr>
          <w:rFonts w:ascii="Arial Narrow" w:hAnsi="Arial Narrow"/>
        </w:rPr>
        <w:t xml:space="preserve"> after initial adoption decisions. </w:t>
      </w:r>
      <w:r w:rsidRPr="0044121E">
        <w:rPr>
          <w:rFonts w:ascii="Arial Narrow" w:hAnsi="Arial Narrow"/>
        </w:rPr>
        <w:t xml:space="preserve">A similar theme has emerged among regulatory bodies </w:t>
      </w:r>
      <w:r>
        <w:rPr>
          <w:rFonts w:ascii="Arial Narrow" w:hAnsi="Arial Narrow"/>
        </w:rPr>
        <w:t xml:space="preserve">of medical devices and drugs </w:t>
      </w:r>
      <w:r w:rsidRPr="0044121E">
        <w:rPr>
          <w:rFonts w:ascii="Arial Narrow" w:hAnsi="Arial Narrow"/>
        </w:rPr>
        <w:t>resulting in proposals for “adaptive licensing”</w:t>
      </w:r>
      <w:r>
        <w:rPr>
          <w:rFonts w:ascii="Arial Narrow" w:hAnsi="Arial Narrow"/>
        </w:rPr>
        <w:t xml:space="preserve">. </w:t>
      </w:r>
    </w:p>
    <w:p w14:paraId="012CFCCC" w14:textId="3FF2EA14" w:rsidR="009F718D" w:rsidRDefault="009F718D" w:rsidP="009F718D">
      <w:pPr>
        <w:rPr>
          <w:rFonts w:ascii="Arial Narrow" w:hAnsi="Arial Narrow"/>
        </w:rPr>
      </w:pPr>
      <w:r>
        <w:rPr>
          <w:rFonts w:ascii="Arial Narrow" w:hAnsi="Arial Narrow"/>
        </w:rPr>
        <w:t xml:space="preserve">Discussions in the literature and other fora have identified a range of possible advantages, disadvantages and challenges of adaptive approaches.  While it possible to discuss these in theoretical terms, the Policy Forum Committee believes that discussion at the Forum meeting needs to be informed by consideration in some detail of how an adaptive approach might have been applied to some specific drugs and devices that have gone through existing routes for licensing, HTA and coverage, and the possible benefits, problems and challenges that might have been associated with a more adaptive approach. </w:t>
      </w:r>
    </w:p>
    <w:p w14:paraId="35EADDB9" w14:textId="77777777" w:rsidR="009F718D" w:rsidRDefault="009F718D" w:rsidP="009F718D">
      <w:pPr>
        <w:rPr>
          <w:rFonts w:ascii="Arial Narrow" w:hAnsi="Arial Narrow"/>
        </w:rPr>
      </w:pPr>
      <w:r>
        <w:rPr>
          <w:rFonts w:ascii="Arial Narrow" w:hAnsi="Arial Narrow"/>
        </w:rPr>
        <w:t>The agenda for the meeting (attached) therefore includes a session on the Monday morning where break-out groups will work through case studies in this way, so that the discussion that follows in the remainder of the meeting is grounded in that learning. This approach is consistent with others working in this field, in particular the influential work of NEWDIGS.</w:t>
      </w:r>
      <w:r>
        <w:rPr>
          <w:rStyle w:val="FootnoteReference"/>
          <w:rFonts w:ascii="Arial Narrow" w:hAnsi="Arial Narrow"/>
        </w:rPr>
        <w:footnoteReference w:id="1"/>
      </w:r>
      <w:r>
        <w:rPr>
          <w:rFonts w:ascii="Arial Narrow" w:hAnsi="Arial Narrow"/>
        </w:rPr>
        <w:t xml:space="preserve"> It is important for Policy Forum members to keep in mind that the intent of this exercise, therefore, is to evaluate the impact of different decision-making approaches, and not the relative impact of different technologies.</w:t>
      </w:r>
    </w:p>
    <w:p w14:paraId="0E48E438" w14:textId="77777777" w:rsidR="009F718D" w:rsidRDefault="009F718D" w:rsidP="009F718D">
      <w:pPr>
        <w:rPr>
          <w:rFonts w:ascii="Arial Narrow" w:hAnsi="Arial Narrow"/>
        </w:rPr>
      </w:pPr>
      <w:r w:rsidRPr="00CC3728">
        <w:rPr>
          <w:rFonts w:ascii="Arial Narrow" w:hAnsi="Arial Narrow"/>
          <w:b/>
        </w:rPr>
        <w:t>What will a case study look like?</w:t>
      </w:r>
      <w:r>
        <w:rPr>
          <w:rFonts w:ascii="Arial Narrow" w:hAnsi="Arial Narrow"/>
          <w:b/>
        </w:rPr>
        <w:t xml:space="preserve"> -  </w:t>
      </w:r>
      <w:r w:rsidRPr="00CC3728">
        <w:rPr>
          <w:rFonts w:ascii="Arial Narrow" w:hAnsi="Arial Narrow"/>
        </w:rPr>
        <w:t>Individual</w:t>
      </w:r>
      <w:r>
        <w:rPr>
          <w:rFonts w:ascii="Arial Narrow" w:hAnsi="Arial Narrow"/>
          <w:b/>
        </w:rPr>
        <w:t xml:space="preserve"> </w:t>
      </w:r>
      <w:r w:rsidRPr="00CC3728">
        <w:rPr>
          <w:rFonts w:ascii="Arial Narrow" w:hAnsi="Arial Narrow"/>
        </w:rPr>
        <w:t>cases will be presented as a stru</w:t>
      </w:r>
      <w:r>
        <w:rPr>
          <w:rFonts w:ascii="Arial Narrow" w:hAnsi="Arial Narrow"/>
        </w:rPr>
        <w:t xml:space="preserve">ctured abstract of publicly available information. Individual cases will be summarized in 2-3 pages. These will aim to be factual and accurate descriptions of events and will avoid interpretations of or judgements on these. The proposed structure of each descriptive case is </w:t>
      </w:r>
      <w:r w:rsidRPr="00341BCA">
        <w:rPr>
          <w:rFonts w:ascii="Arial Narrow" w:hAnsi="Arial Narrow"/>
          <w:u w:val="single"/>
        </w:rPr>
        <w:t>as follows</w:t>
      </w:r>
      <w:r>
        <w:rPr>
          <w:rFonts w:ascii="Arial Narrow" w:hAnsi="Arial Narrow"/>
        </w:rPr>
        <w:t>:</w:t>
      </w:r>
    </w:p>
    <w:p w14:paraId="1D67E767" w14:textId="77777777" w:rsidR="009F718D" w:rsidRPr="007830DE" w:rsidRDefault="009F718D" w:rsidP="009F718D">
      <w:pPr>
        <w:rPr>
          <w:rFonts w:ascii="Arial Narrow" w:hAnsi="Arial Narrow"/>
          <w:i/>
        </w:rPr>
      </w:pPr>
      <w:r w:rsidRPr="007830DE">
        <w:rPr>
          <w:rFonts w:ascii="Arial Narrow" w:hAnsi="Arial Narrow"/>
          <w:i/>
        </w:rPr>
        <w:t>Case Study Structure</w:t>
      </w:r>
    </w:p>
    <w:p w14:paraId="36251098" w14:textId="77777777" w:rsidR="009F718D" w:rsidRDefault="009F718D" w:rsidP="009F718D">
      <w:pPr>
        <w:pStyle w:val="ListParagraph"/>
        <w:numPr>
          <w:ilvl w:val="0"/>
          <w:numId w:val="26"/>
        </w:numPr>
        <w:rPr>
          <w:rFonts w:ascii="Arial Narrow" w:hAnsi="Arial Narrow"/>
        </w:rPr>
      </w:pPr>
      <w:r>
        <w:rPr>
          <w:rFonts w:ascii="Arial Narrow" w:hAnsi="Arial Narrow"/>
        </w:rPr>
        <w:t>The name and purpose (licensed indication(s)) of the</w:t>
      </w:r>
      <w:r w:rsidRPr="00CC3728">
        <w:rPr>
          <w:rFonts w:ascii="Arial Narrow" w:hAnsi="Arial Narrow"/>
        </w:rPr>
        <w:t xml:space="preserve"> technology</w:t>
      </w:r>
      <w:r>
        <w:rPr>
          <w:rFonts w:ascii="Arial Narrow" w:hAnsi="Arial Narrow"/>
        </w:rPr>
        <w:t>, and its producer/licensee(s))</w:t>
      </w:r>
    </w:p>
    <w:p w14:paraId="46FA5735" w14:textId="77777777" w:rsidR="009F718D" w:rsidRDefault="009F718D" w:rsidP="009F718D">
      <w:pPr>
        <w:pStyle w:val="ListParagraph"/>
        <w:numPr>
          <w:ilvl w:val="0"/>
          <w:numId w:val="26"/>
        </w:numPr>
        <w:rPr>
          <w:rFonts w:ascii="Arial Narrow" w:hAnsi="Arial Narrow"/>
        </w:rPr>
      </w:pPr>
      <w:r>
        <w:rPr>
          <w:rFonts w:ascii="Arial Narrow" w:hAnsi="Arial Narrow"/>
        </w:rPr>
        <w:t>R</w:t>
      </w:r>
      <w:r w:rsidRPr="00CC3728">
        <w:rPr>
          <w:rFonts w:ascii="Arial Narrow" w:hAnsi="Arial Narrow"/>
        </w:rPr>
        <w:t xml:space="preserve">elevant aspects of </w:t>
      </w:r>
      <w:r>
        <w:rPr>
          <w:rFonts w:ascii="Arial Narrow" w:hAnsi="Arial Narrow"/>
        </w:rPr>
        <w:t>the technology’s</w:t>
      </w:r>
      <w:r w:rsidRPr="00CC3728">
        <w:rPr>
          <w:rFonts w:ascii="Arial Narrow" w:hAnsi="Arial Narrow"/>
        </w:rPr>
        <w:t xml:space="preserve"> pre-market development</w:t>
      </w:r>
      <w:r>
        <w:rPr>
          <w:rFonts w:ascii="Arial Narrow" w:hAnsi="Arial Narrow"/>
        </w:rPr>
        <w:t xml:space="preserve"> </w:t>
      </w:r>
    </w:p>
    <w:p w14:paraId="0CF06ABE" w14:textId="77777777" w:rsidR="009F718D" w:rsidRDefault="009F718D" w:rsidP="009F718D">
      <w:pPr>
        <w:pStyle w:val="ListParagraph"/>
        <w:numPr>
          <w:ilvl w:val="1"/>
          <w:numId w:val="26"/>
        </w:numPr>
        <w:rPr>
          <w:rFonts w:ascii="Arial Narrow" w:hAnsi="Arial Narrow"/>
        </w:rPr>
      </w:pPr>
      <w:r>
        <w:rPr>
          <w:rFonts w:ascii="Arial Narrow" w:hAnsi="Arial Narrow"/>
        </w:rPr>
        <w:t>Pre-market studies description</w:t>
      </w:r>
    </w:p>
    <w:p w14:paraId="7E3BB05E" w14:textId="77777777" w:rsidR="009F718D" w:rsidRDefault="009F718D" w:rsidP="009F718D">
      <w:pPr>
        <w:pStyle w:val="ListParagraph"/>
        <w:numPr>
          <w:ilvl w:val="2"/>
          <w:numId w:val="26"/>
        </w:numPr>
        <w:rPr>
          <w:rFonts w:ascii="Arial Narrow" w:hAnsi="Arial Narrow"/>
        </w:rPr>
      </w:pPr>
      <w:r>
        <w:rPr>
          <w:rFonts w:ascii="Arial Narrow" w:hAnsi="Arial Narrow"/>
        </w:rPr>
        <w:t>Population, design, outcomes, comparisons and purpose</w:t>
      </w:r>
    </w:p>
    <w:p w14:paraId="52EA12F0" w14:textId="77777777" w:rsidR="009F718D" w:rsidRDefault="009F718D" w:rsidP="009F718D">
      <w:pPr>
        <w:pStyle w:val="ListParagraph"/>
        <w:numPr>
          <w:ilvl w:val="1"/>
          <w:numId w:val="26"/>
        </w:numPr>
        <w:rPr>
          <w:rFonts w:ascii="Arial Narrow" w:hAnsi="Arial Narrow"/>
        </w:rPr>
      </w:pPr>
      <w:r>
        <w:rPr>
          <w:rFonts w:ascii="Arial Narrow" w:hAnsi="Arial Narrow"/>
        </w:rPr>
        <w:t>Timeframe of pre-market studies</w:t>
      </w:r>
    </w:p>
    <w:p w14:paraId="78E566B6" w14:textId="77777777" w:rsidR="009F718D" w:rsidRDefault="009F718D" w:rsidP="009F718D">
      <w:pPr>
        <w:pStyle w:val="ListParagraph"/>
        <w:numPr>
          <w:ilvl w:val="0"/>
          <w:numId w:val="26"/>
        </w:numPr>
        <w:rPr>
          <w:rFonts w:ascii="Arial Narrow" w:hAnsi="Arial Narrow"/>
        </w:rPr>
      </w:pPr>
      <w:r>
        <w:rPr>
          <w:rFonts w:ascii="Arial Narrow" w:hAnsi="Arial Narrow"/>
        </w:rPr>
        <w:t>Relevant aspects of technology r</w:t>
      </w:r>
      <w:r w:rsidRPr="00CC3728">
        <w:rPr>
          <w:rFonts w:ascii="Arial Narrow" w:hAnsi="Arial Narrow"/>
        </w:rPr>
        <w:t xml:space="preserve">egulatory approval </w:t>
      </w:r>
      <w:r>
        <w:rPr>
          <w:rFonts w:ascii="Arial Narrow" w:hAnsi="Arial Narrow"/>
        </w:rPr>
        <w:t xml:space="preserve">process in US/Europe </w:t>
      </w:r>
    </w:p>
    <w:p w14:paraId="13A2590B" w14:textId="77777777" w:rsidR="009F718D" w:rsidRDefault="009F718D" w:rsidP="009F718D">
      <w:pPr>
        <w:pStyle w:val="ListParagraph"/>
        <w:numPr>
          <w:ilvl w:val="1"/>
          <w:numId w:val="26"/>
        </w:numPr>
        <w:rPr>
          <w:rFonts w:ascii="Arial Narrow" w:hAnsi="Arial Narrow"/>
        </w:rPr>
      </w:pPr>
      <w:r>
        <w:rPr>
          <w:rFonts w:ascii="Arial Narrow" w:hAnsi="Arial Narrow"/>
        </w:rPr>
        <w:t>Timeframe including date(s) of initial application and approval</w:t>
      </w:r>
    </w:p>
    <w:p w14:paraId="563EB776" w14:textId="77777777" w:rsidR="009F718D" w:rsidRDefault="009F718D" w:rsidP="009F718D">
      <w:pPr>
        <w:pStyle w:val="ListParagraph"/>
        <w:numPr>
          <w:ilvl w:val="1"/>
          <w:numId w:val="26"/>
        </w:numPr>
        <w:rPr>
          <w:rFonts w:ascii="Arial Narrow" w:hAnsi="Arial Narrow"/>
        </w:rPr>
      </w:pPr>
      <w:r>
        <w:rPr>
          <w:rFonts w:ascii="Arial Narrow" w:hAnsi="Arial Narrow"/>
        </w:rPr>
        <w:t>Final decisions and recommendations including changes from initial application</w:t>
      </w:r>
    </w:p>
    <w:p w14:paraId="3F111A1C" w14:textId="77777777" w:rsidR="009F718D" w:rsidRDefault="009F718D" w:rsidP="009F718D">
      <w:pPr>
        <w:pStyle w:val="ListParagraph"/>
        <w:numPr>
          <w:ilvl w:val="1"/>
          <w:numId w:val="26"/>
        </w:numPr>
        <w:rPr>
          <w:rFonts w:ascii="Arial Narrow" w:hAnsi="Arial Narrow"/>
        </w:rPr>
      </w:pPr>
      <w:r>
        <w:rPr>
          <w:rFonts w:ascii="Arial Narrow" w:hAnsi="Arial Narrow"/>
        </w:rPr>
        <w:t>Agreed Phase 4 plans at launch</w:t>
      </w:r>
    </w:p>
    <w:p w14:paraId="0E2381C3" w14:textId="77777777" w:rsidR="009F718D" w:rsidRDefault="009F718D" w:rsidP="009F718D">
      <w:pPr>
        <w:pStyle w:val="ListParagraph"/>
        <w:numPr>
          <w:ilvl w:val="1"/>
          <w:numId w:val="26"/>
        </w:numPr>
        <w:rPr>
          <w:rFonts w:ascii="Arial Narrow" w:hAnsi="Arial Narrow"/>
        </w:rPr>
      </w:pPr>
      <w:r>
        <w:rPr>
          <w:rFonts w:ascii="Arial Narrow" w:hAnsi="Arial Narrow"/>
        </w:rPr>
        <w:t>Any concerns raised publicly by regulators or producers, at or after launch</w:t>
      </w:r>
    </w:p>
    <w:p w14:paraId="0335C44D" w14:textId="77777777" w:rsidR="009F718D" w:rsidRDefault="009F718D" w:rsidP="009F718D">
      <w:pPr>
        <w:pStyle w:val="ListParagraph"/>
        <w:numPr>
          <w:ilvl w:val="1"/>
          <w:numId w:val="26"/>
        </w:numPr>
        <w:rPr>
          <w:rFonts w:ascii="Arial Narrow" w:hAnsi="Arial Narrow"/>
        </w:rPr>
      </w:pPr>
      <w:r>
        <w:rPr>
          <w:rFonts w:ascii="Arial Narrow" w:hAnsi="Arial Narrow"/>
        </w:rPr>
        <w:t>Any subsequent revisions to regulatory approval and/or ongoing monitoring</w:t>
      </w:r>
    </w:p>
    <w:p w14:paraId="40B862C3" w14:textId="77777777" w:rsidR="009F718D" w:rsidRDefault="009F718D" w:rsidP="009F718D">
      <w:pPr>
        <w:pStyle w:val="ListParagraph"/>
        <w:numPr>
          <w:ilvl w:val="0"/>
          <w:numId w:val="26"/>
        </w:numPr>
        <w:rPr>
          <w:rFonts w:ascii="Arial Narrow" w:hAnsi="Arial Narrow"/>
        </w:rPr>
      </w:pPr>
      <w:r>
        <w:rPr>
          <w:rFonts w:ascii="Arial Narrow" w:hAnsi="Arial Narrow"/>
        </w:rPr>
        <w:t xml:space="preserve">Relevant aspects of HTA and payer approval processes </w:t>
      </w:r>
    </w:p>
    <w:p w14:paraId="7CB1B3CC" w14:textId="77777777" w:rsidR="009F718D" w:rsidRDefault="009F718D" w:rsidP="009F718D">
      <w:pPr>
        <w:pStyle w:val="ListParagraph"/>
        <w:numPr>
          <w:ilvl w:val="1"/>
          <w:numId w:val="26"/>
        </w:numPr>
        <w:rPr>
          <w:rFonts w:ascii="Arial Narrow" w:hAnsi="Arial Narrow"/>
        </w:rPr>
      </w:pPr>
      <w:r>
        <w:rPr>
          <w:rFonts w:ascii="Arial Narrow" w:hAnsi="Arial Narrow"/>
        </w:rPr>
        <w:t>Timeframe(s) including date(s) of initial submission to some key HTA-based payer/coverage bodies, and dates of  recommendations / decisions (as below)</w:t>
      </w:r>
    </w:p>
    <w:p w14:paraId="484B8B9A" w14:textId="0082637B" w:rsidR="009F718D" w:rsidRDefault="009F718D" w:rsidP="009F718D">
      <w:pPr>
        <w:pStyle w:val="ListParagraph"/>
        <w:numPr>
          <w:ilvl w:val="1"/>
          <w:numId w:val="26"/>
        </w:numPr>
        <w:rPr>
          <w:rFonts w:ascii="Arial Narrow" w:hAnsi="Arial Narrow"/>
        </w:rPr>
      </w:pPr>
      <w:r w:rsidRPr="00383A16">
        <w:rPr>
          <w:rFonts w:ascii="Arial Narrow" w:hAnsi="Arial Narrow"/>
        </w:rPr>
        <w:lastRenderedPageBreak/>
        <w:t>Main characteristics of the HTA process that lead to approval/rejection (e.g</w:t>
      </w:r>
      <w:r w:rsidR="00601BEC" w:rsidRPr="00383A16">
        <w:rPr>
          <w:rFonts w:ascii="Arial Narrow" w:hAnsi="Arial Narrow"/>
        </w:rPr>
        <w:t>.</w:t>
      </w:r>
      <w:r w:rsidRPr="00383A16">
        <w:rPr>
          <w:rFonts w:ascii="Arial Narrow" w:hAnsi="Arial Narrow"/>
        </w:rPr>
        <w:t xml:space="preserve"> level of stakeholder </w:t>
      </w:r>
      <w:r w:rsidRPr="00D06B53">
        <w:rPr>
          <w:rFonts w:ascii="Arial Narrow" w:hAnsi="Arial Narrow"/>
        </w:rPr>
        <w:t>involvement-who, type of assessment done etc</w:t>
      </w:r>
      <w:r w:rsidR="00601BEC" w:rsidRPr="00D06B53">
        <w:rPr>
          <w:rFonts w:ascii="Arial Narrow" w:hAnsi="Arial Narrow"/>
        </w:rPr>
        <w:t>...)</w:t>
      </w:r>
      <w:r w:rsidRPr="00D06B53">
        <w:rPr>
          <w:rFonts w:ascii="Arial Narrow" w:hAnsi="Arial Narrow"/>
        </w:rPr>
        <w:t xml:space="preserve"> </w:t>
      </w:r>
    </w:p>
    <w:p w14:paraId="15375B67" w14:textId="77777777" w:rsidR="009F718D" w:rsidRPr="00383A16" w:rsidRDefault="009F718D" w:rsidP="009F718D">
      <w:pPr>
        <w:pStyle w:val="ListParagraph"/>
        <w:numPr>
          <w:ilvl w:val="1"/>
          <w:numId w:val="26"/>
        </w:numPr>
        <w:rPr>
          <w:rFonts w:ascii="Arial Narrow" w:hAnsi="Arial Narrow"/>
        </w:rPr>
      </w:pPr>
      <w:r w:rsidRPr="00383A16">
        <w:rPr>
          <w:rFonts w:ascii="Arial Narrow" w:hAnsi="Arial Narrow"/>
        </w:rPr>
        <w:t>Recommendations and decisions including price (where applicable) and changes in use from initial application</w:t>
      </w:r>
      <w:r w:rsidRPr="00D06B53">
        <w:rPr>
          <w:rFonts w:ascii="Arial Narrow" w:hAnsi="Arial Narrow"/>
        </w:rPr>
        <w:t>, including any requirements for “managed entry” (ME) or “coverage with evidence development” (CED</w:t>
      </w:r>
      <w:r w:rsidRPr="00383A16">
        <w:rPr>
          <w:rFonts w:ascii="Arial Narrow" w:hAnsi="Arial Narrow"/>
        </w:rPr>
        <w:t>)</w:t>
      </w:r>
    </w:p>
    <w:p w14:paraId="07BA4AB3" w14:textId="77777777" w:rsidR="009F718D" w:rsidRDefault="009F718D" w:rsidP="009F718D">
      <w:pPr>
        <w:pStyle w:val="ListParagraph"/>
        <w:numPr>
          <w:ilvl w:val="1"/>
          <w:numId w:val="26"/>
        </w:numPr>
        <w:rPr>
          <w:rFonts w:ascii="Arial Narrow" w:hAnsi="Arial Narrow"/>
        </w:rPr>
      </w:pPr>
      <w:r>
        <w:rPr>
          <w:rFonts w:ascii="Arial Narrow" w:hAnsi="Arial Narrow"/>
        </w:rPr>
        <w:t>Concerns raised publicly at initial approval/rejection by payers/HTA bodies or producers</w:t>
      </w:r>
    </w:p>
    <w:p w14:paraId="10D0650F" w14:textId="77777777" w:rsidR="009F718D" w:rsidRDefault="009F718D" w:rsidP="009F718D">
      <w:pPr>
        <w:pStyle w:val="ListParagraph"/>
        <w:numPr>
          <w:ilvl w:val="1"/>
          <w:numId w:val="26"/>
        </w:numPr>
        <w:rPr>
          <w:rFonts w:ascii="Arial Narrow" w:hAnsi="Arial Narrow"/>
        </w:rPr>
      </w:pPr>
      <w:r>
        <w:rPr>
          <w:rFonts w:ascii="Arial Narrow" w:hAnsi="Arial Narrow"/>
        </w:rPr>
        <w:t>Any subsequent revisions to approval and/or price (whether ad hoc or as part of an established  ME or CED process)</w:t>
      </w:r>
    </w:p>
    <w:p w14:paraId="25C1B47C" w14:textId="5F9C473F" w:rsidR="009F718D" w:rsidRDefault="009F718D" w:rsidP="009F718D">
      <w:pPr>
        <w:pStyle w:val="ListParagraph"/>
        <w:numPr>
          <w:ilvl w:val="0"/>
          <w:numId w:val="26"/>
        </w:numPr>
        <w:rPr>
          <w:rFonts w:ascii="Arial Narrow" w:hAnsi="Arial Narrow"/>
        </w:rPr>
      </w:pPr>
      <w:r>
        <w:rPr>
          <w:rFonts w:ascii="Arial Narrow" w:hAnsi="Arial Narrow"/>
        </w:rPr>
        <w:t xml:space="preserve">Any publicly available information on positions adopted by patient groups and industry in respect to either licensing or HTA/coverage (e.g., material on patient group websites, public submissions to regulatory/HTA/coverage bodies, newspaper articles </w:t>
      </w:r>
      <w:r w:rsidR="00601BEC">
        <w:rPr>
          <w:rFonts w:ascii="Arial Narrow" w:hAnsi="Arial Narrow"/>
        </w:rPr>
        <w:t>etc.</w:t>
      </w:r>
      <w:r>
        <w:rPr>
          <w:rFonts w:ascii="Arial Narrow" w:hAnsi="Arial Narrow"/>
        </w:rPr>
        <w:t>)</w:t>
      </w:r>
    </w:p>
    <w:p w14:paraId="1335D031" w14:textId="77777777" w:rsidR="009F718D" w:rsidRDefault="009F718D" w:rsidP="009F718D">
      <w:pPr>
        <w:pStyle w:val="ListParagraph"/>
        <w:numPr>
          <w:ilvl w:val="0"/>
          <w:numId w:val="26"/>
        </w:numPr>
        <w:rPr>
          <w:rFonts w:ascii="Arial Narrow" w:hAnsi="Arial Narrow"/>
        </w:rPr>
      </w:pPr>
      <w:r>
        <w:rPr>
          <w:rFonts w:ascii="Arial Narrow" w:hAnsi="Arial Narrow"/>
        </w:rPr>
        <w:t xml:space="preserve">Relevant aspects of its real-world use </w:t>
      </w:r>
    </w:p>
    <w:p w14:paraId="1280A4CC" w14:textId="77777777" w:rsidR="009F718D" w:rsidRDefault="009F718D" w:rsidP="009F718D">
      <w:pPr>
        <w:pStyle w:val="ListParagraph"/>
        <w:numPr>
          <w:ilvl w:val="1"/>
          <w:numId w:val="26"/>
        </w:numPr>
        <w:rPr>
          <w:rFonts w:ascii="Arial Narrow" w:hAnsi="Arial Narrow"/>
        </w:rPr>
      </w:pPr>
      <w:r>
        <w:rPr>
          <w:rFonts w:ascii="Arial Narrow" w:hAnsi="Arial Narrow"/>
        </w:rPr>
        <w:t>Utilization (in approved indication)</w:t>
      </w:r>
    </w:p>
    <w:p w14:paraId="6C3ED40A" w14:textId="77777777" w:rsidR="009F718D" w:rsidRDefault="009F718D" w:rsidP="009F718D">
      <w:pPr>
        <w:pStyle w:val="ListParagraph"/>
        <w:numPr>
          <w:ilvl w:val="1"/>
          <w:numId w:val="26"/>
        </w:numPr>
        <w:rPr>
          <w:rFonts w:ascii="Arial Narrow" w:hAnsi="Arial Narrow"/>
        </w:rPr>
      </w:pPr>
      <w:r>
        <w:rPr>
          <w:rFonts w:ascii="Arial Narrow" w:hAnsi="Arial Narrow"/>
        </w:rPr>
        <w:t>Market share</w:t>
      </w:r>
    </w:p>
    <w:p w14:paraId="41596ABC" w14:textId="77777777" w:rsidR="009F718D" w:rsidRDefault="009F718D" w:rsidP="009F718D">
      <w:pPr>
        <w:pStyle w:val="ListParagraph"/>
        <w:numPr>
          <w:ilvl w:val="1"/>
          <w:numId w:val="26"/>
        </w:numPr>
        <w:rPr>
          <w:rFonts w:ascii="Arial Narrow" w:hAnsi="Arial Narrow"/>
        </w:rPr>
      </w:pPr>
      <w:r>
        <w:rPr>
          <w:rFonts w:ascii="Arial Narrow" w:hAnsi="Arial Narrow"/>
        </w:rPr>
        <w:t>Competitor introduction and timeframe</w:t>
      </w:r>
    </w:p>
    <w:p w14:paraId="1E6085BE" w14:textId="77777777" w:rsidR="009F718D" w:rsidRDefault="009F718D" w:rsidP="009F718D">
      <w:pPr>
        <w:pStyle w:val="ListParagraph"/>
        <w:numPr>
          <w:ilvl w:val="1"/>
          <w:numId w:val="26"/>
        </w:numPr>
        <w:rPr>
          <w:rFonts w:ascii="Arial Narrow" w:hAnsi="Arial Narrow"/>
        </w:rPr>
      </w:pPr>
      <w:r>
        <w:rPr>
          <w:rFonts w:ascii="Arial Narrow" w:hAnsi="Arial Narrow"/>
        </w:rPr>
        <w:t>Label expansion</w:t>
      </w:r>
    </w:p>
    <w:p w14:paraId="77F77C86" w14:textId="77777777" w:rsidR="009F718D" w:rsidRDefault="009F718D" w:rsidP="009F718D">
      <w:pPr>
        <w:pStyle w:val="ListParagraph"/>
        <w:numPr>
          <w:ilvl w:val="1"/>
          <w:numId w:val="26"/>
        </w:numPr>
        <w:rPr>
          <w:rFonts w:ascii="Arial Narrow" w:hAnsi="Arial Narrow"/>
        </w:rPr>
      </w:pPr>
      <w:r>
        <w:rPr>
          <w:rFonts w:ascii="Arial Narrow" w:hAnsi="Arial Narrow"/>
        </w:rPr>
        <w:t>Initial pricing and changes</w:t>
      </w:r>
    </w:p>
    <w:p w14:paraId="6C710ADA" w14:textId="77777777" w:rsidR="009F718D" w:rsidRDefault="009F718D" w:rsidP="009F718D">
      <w:pPr>
        <w:pStyle w:val="ListParagraph"/>
        <w:numPr>
          <w:ilvl w:val="1"/>
          <w:numId w:val="26"/>
        </w:numPr>
        <w:rPr>
          <w:rFonts w:ascii="Arial Narrow" w:hAnsi="Arial Narrow"/>
        </w:rPr>
      </w:pPr>
      <w:r>
        <w:rPr>
          <w:rFonts w:ascii="Arial Narrow" w:hAnsi="Arial Narrow"/>
        </w:rPr>
        <w:t>New information regarding safety or effectiveness</w:t>
      </w:r>
    </w:p>
    <w:p w14:paraId="47BA35DF" w14:textId="77777777" w:rsidR="009F718D" w:rsidRDefault="009F718D" w:rsidP="009F718D">
      <w:pPr>
        <w:pStyle w:val="ListParagraph"/>
        <w:numPr>
          <w:ilvl w:val="0"/>
          <w:numId w:val="26"/>
        </w:numPr>
        <w:rPr>
          <w:rFonts w:ascii="Arial Narrow" w:hAnsi="Arial Narrow"/>
        </w:rPr>
      </w:pPr>
      <w:r>
        <w:rPr>
          <w:rFonts w:ascii="Arial Narrow" w:hAnsi="Arial Narrow"/>
        </w:rPr>
        <w:t>A summary of the issues that the case was seen to present, as shown by information in the public record</w:t>
      </w:r>
    </w:p>
    <w:p w14:paraId="4DB17C69" w14:textId="77777777" w:rsidR="009F718D" w:rsidRDefault="009F718D" w:rsidP="009F718D">
      <w:pPr>
        <w:pStyle w:val="ListParagraph"/>
        <w:numPr>
          <w:ilvl w:val="0"/>
          <w:numId w:val="26"/>
        </w:numPr>
        <w:rPr>
          <w:rFonts w:ascii="Arial Narrow" w:hAnsi="Arial Narrow"/>
        </w:rPr>
      </w:pPr>
      <w:r w:rsidRPr="00D06B53">
        <w:rPr>
          <w:rFonts w:ascii="Arial Narrow" w:hAnsi="Arial Narrow"/>
        </w:rPr>
        <w:t>A suggestion as to which of the goals of adaptive approaches (as</w:t>
      </w:r>
      <w:r>
        <w:rPr>
          <w:rFonts w:ascii="Arial Narrow" w:hAnsi="Arial Narrow"/>
        </w:rPr>
        <w:t xml:space="preserve"> defined by Eichler et al.</w:t>
      </w:r>
      <w:r>
        <w:rPr>
          <w:rStyle w:val="FootnoteReference"/>
          <w:rFonts w:ascii="Arial Narrow" w:hAnsi="Arial Narrow"/>
        </w:rPr>
        <w:footnoteReference w:id="2"/>
      </w:r>
      <w:r w:rsidRPr="00D06B53">
        <w:rPr>
          <w:rFonts w:ascii="Arial Narrow" w:hAnsi="Arial Narrow"/>
        </w:rPr>
        <w:t xml:space="preserve">) might have been most likely to be achieved had a more adaptive approach been applied to this case </w:t>
      </w:r>
    </w:p>
    <w:p w14:paraId="2CFE9E2A" w14:textId="77777777" w:rsidR="009F718D" w:rsidRDefault="009F718D" w:rsidP="009F718D">
      <w:pPr>
        <w:rPr>
          <w:rFonts w:ascii="Arial Narrow" w:hAnsi="Arial Narrow"/>
        </w:rPr>
      </w:pPr>
      <w:r w:rsidRPr="00D06B53">
        <w:rPr>
          <w:b/>
        </w:rPr>
        <w:t>What is the process for discussing case studies?</w:t>
      </w:r>
      <w:r>
        <w:rPr>
          <w:rFonts w:ascii="Arial Narrow" w:hAnsi="Arial Narrow"/>
        </w:rPr>
        <w:t xml:space="preserve"> - </w:t>
      </w:r>
      <w:r w:rsidRPr="007830DE">
        <w:rPr>
          <w:rFonts w:ascii="Arial Narrow" w:hAnsi="Arial Narrow"/>
        </w:rPr>
        <w:t>Case studies</w:t>
      </w:r>
      <w:r>
        <w:rPr>
          <w:rFonts w:ascii="Arial Narrow" w:hAnsi="Arial Narrow"/>
        </w:rPr>
        <w:t xml:space="preserve"> will be discussed by break-out groups, each of which will have a mix of industry and HTA/coverage Forum members, together with regulator and other invited guests. Each break-out group will discuss one case study. It is proposed that there will be 6 break out groups (each with 12 or so members) and three case studies, and that each case study is therefore discussed in parallel by two break out groups. </w:t>
      </w:r>
    </w:p>
    <w:p w14:paraId="3F0678D1" w14:textId="77777777" w:rsidR="009F718D" w:rsidRDefault="009F718D" w:rsidP="009F718D">
      <w:pPr>
        <w:rPr>
          <w:rFonts w:ascii="Arial Narrow" w:hAnsi="Arial Narrow"/>
        </w:rPr>
      </w:pPr>
      <w:r>
        <w:rPr>
          <w:rFonts w:ascii="Arial Narrow" w:hAnsi="Arial Narrow"/>
        </w:rPr>
        <w:t>Each break-out group will be co-chaired by a Forum member from industry and a Forum member from an HTA/coverage body. The co-chairs will introduce the case and summarise the key facts in it, but will not be expected to have any deeper personal knowledge of it. The Forum Scientific Secretary (who prepared the cases) will move between groups and be on hand to answer any key factual questions that may arise – in so far as that is possible and relevant to the task (see below).</w:t>
      </w:r>
    </w:p>
    <w:p w14:paraId="7655AF4E" w14:textId="77777777" w:rsidR="009F718D" w:rsidRDefault="009F718D" w:rsidP="009F718D">
      <w:pPr>
        <w:rPr>
          <w:rFonts w:ascii="Arial Narrow" w:hAnsi="Arial Narrow"/>
        </w:rPr>
      </w:pPr>
      <w:r>
        <w:rPr>
          <w:rFonts w:ascii="Arial Narrow" w:hAnsi="Arial Narrow"/>
        </w:rPr>
        <w:t xml:space="preserve">After their introduction, the co-chairs will invite a </w:t>
      </w:r>
      <w:r>
        <w:rPr>
          <w:rFonts w:ascii="Arial Narrow" w:hAnsi="Arial Narrow"/>
          <w:b/>
        </w:rPr>
        <w:t>brief</w:t>
      </w:r>
      <w:r>
        <w:rPr>
          <w:rFonts w:ascii="Arial Narrow" w:hAnsi="Arial Narrow"/>
        </w:rPr>
        <w:t xml:space="preserve"> discussion of the facts of the case as presented and invite anyone with direct knowledge of the technology to add to these.</w:t>
      </w:r>
    </w:p>
    <w:p w14:paraId="50334B2E" w14:textId="77777777" w:rsidR="009F718D" w:rsidRDefault="009F718D" w:rsidP="009F718D">
      <w:pPr>
        <w:rPr>
          <w:rFonts w:ascii="Arial Narrow" w:hAnsi="Arial Narrow"/>
        </w:rPr>
      </w:pPr>
      <w:r>
        <w:rPr>
          <w:rFonts w:ascii="Arial Narrow" w:hAnsi="Arial Narrow"/>
        </w:rPr>
        <w:t>The co-chairs will then invite discussion of:</w:t>
      </w:r>
    </w:p>
    <w:p w14:paraId="5AD809B0" w14:textId="77777777" w:rsidR="009F718D" w:rsidRDefault="009F718D" w:rsidP="009F718D">
      <w:pPr>
        <w:pStyle w:val="ListParagraph"/>
        <w:numPr>
          <w:ilvl w:val="0"/>
          <w:numId w:val="29"/>
        </w:numPr>
        <w:rPr>
          <w:rFonts w:ascii="Arial Narrow" w:hAnsi="Arial Narrow"/>
        </w:rPr>
      </w:pPr>
      <w:r>
        <w:rPr>
          <w:rFonts w:ascii="Arial Narrow" w:hAnsi="Arial Narrow"/>
        </w:rPr>
        <w:t xml:space="preserve">Which of the various goals proposed for adaptive approaches appear most relevant to the technology in question </w:t>
      </w:r>
      <w:r w:rsidRPr="00647D69">
        <w:rPr>
          <w:rFonts w:ascii="Arial Narrow" w:hAnsi="Arial Narrow"/>
        </w:rPr>
        <w:t>(i.e., reduce uncertainty around an endpoint, broaden treatment-eligible population, reduce statistical uncertainty, enable new-new combination development, reduce uncertainty around study design, ensure “real world” effectiveness, address rare adverse events)</w:t>
      </w:r>
    </w:p>
    <w:p w14:paraId="2CF886F2" w14:textId="77777777" w:rsidR="009F718D" w:rsidRDefault="009F718D" w:rsidP="009F718D">
      <w:pPr>
        <w:pStyle w:val="ListParagraph"/>
        <w:numPr>
          <w:ilvl w:val="0"/>
          <w:numId w:val="29"/>
        </w:numPr>
        <w:rPr>
          <w:rFonts w:ascii="Arial Narrow" w:hAnsi="Arial Narrow"/>
        </w:rPr>
      </w:pPr>
      <w:r>
        <w:rPr>
          <w:rFonts w:ascii="Arial Narrow" w:hAnsi="Arial Narrow"/>
        </w:rPr>
        <w:lastRenderedPageBreak/>
        <w:t>T</w:t>
      </w:r>
      <w:r w:rsidRPr="00647D69">
        <w:rPr>
          <w:rFonts w:ascii="Arial Narrow" w:hAnsi="Arial Narrow"/>
        </w:rPr>
        <w:t xml:space="preserve">he form that a more adaptive approach to licensing and HTA/coverage might </w:t>
      </w:r>
      <w:r>
        <w:rPr>
          <w:rFonts w:ascii="Arial Narrow" w:hAnsi="Arial Narrow"/>
        </w:rPr>
        <w:t>have taken to try to achieve this/these goals</w:t>
      </w:r>
    </w:p>
    <w:p w14:paraId="555DBBDE" w14:textId="77777777" w:rsidR="009F718D" w:rsidRDefault="009F718D" w:rsidP="009F718D">
      <w:pPr>
        <w:pStyle w:val="ListParagraph"/>
        <w:numPr>
          <w:ilvl w:val="0"/>
          <w:numId w:val="29"/>
        </w:numPr>
        <w:rPr>
          <w:rFonts w:ascii="Arial Narrow" w:hAnsi="Arial Narrow"/>
        </w:rPr>
      </w:pPr>
      <w:r>
        <w:rPr>
          <w:rFonts w:ascii="Arial Narrow" w:hAnsi="Arial Narrow"/>
        </w:rPr>
        <w:t>T</w:t>
      </w:r>
      <w:r w:rsidRPr="00647D69">
        <w:rPr>
          <w:rFonts w:ascii="Arial Narrow" w:hAnsi="Arial Narrow"/>
        </w:rPr>
        <w:t xml:space="preserve">he possible benefits </w:t>
      </w:r>
      <w:r>
        <w:rPr>
          <w:rFonts w:ascii="Arial Narrow" w:hAnsi="Arial Narrow"/>
        </w:rPr>
        <w:t xml:space="preserve">for patients, health systems and industry, </w:t>
      </w:r>
      <w:r w:rsidRPr="00647D69">
        <w:rPr>
          <w:rFonts w:ascii="Arial Narrow" w:hAnsi="Arial Narrow"/>
        </w:rPr>
        <w:t>and problems that might have been associated with a more adaptive approach</w:t>
      </w:r>
    </w:p>
    <w:p w14:paraId="07FD1835" w14:textId="77777777" w:rsidR="009F718D" w:rsidRPr="00647D69" w:rsidRDefault="009F718D" w:rsidP="009F718D">
      <w:pPr>
        <w:pStyle w:val="ListParagraph"/>
        <w:numPr>
          <w:ilvl w:val="0"/>
          <w:numId w:val="29"/>
        </w:numPr>
        <w:rPr>
          <w:rFonts w:ascii="Arial Narrow" w:hAnsi="Arial Narrow"/>
        </w:rPr>
      </w:pPr>
      <w:r>
        <w:rPr>
          <w:rFonts w:ascii="Arial Narrow" w:hAnsi="Arial Narrow"/>
        </w:rPr>
        <w:t>T</w:t>
      </w:r>
      <w:r w:rsidRPr="00647D69">
        <w:rPr>
          <w:rFonts w:ascii="Arial Narrow" w:hAnsi="Arial Narrow"/>
        </w:rPr>
        <w:t xml:space="preserve">he barriers and challenges to taking a more adaptive approach and what would be </w:t>
      </w:r>
      <w:r>
        <w:rPr>
          <w:rFonts w:ascii="Arial Narrow" w:hAnsi="Arial Narrow"/>
        </w:rPr>
        <w:t>needed to address these</w:t>
      </w:r>
      <w:r w:rsidRPr="00647D69">
        <w:rPr>
          <w:rFonts w:ascii="Arial Narrow" w:hAnsi="Arial Narrow"/>
        </w:rPr>
        <w:t xml:space="preserve"> </w:t>
      </w:r>
    </w:p>
    <w:p w14:paraId="13965397" w14:textId="77777777" w:rsidR="009F718D" w:rsidRDefault="009F718D" w:rsidP="009F718D">
      <w:pPr>
        <w:rPr>
          <w:rFonts w:ascii="Arial Narrow" w:hAnsi="Arial Narrow"/>
        </w:rPr>
      </w:pPr>
      <w:r w:rsidRPr="00341BCA">
        <w:rPr>
          <w:rFonts w:ascii="Arial Narrow" w:hAnsi="Arial Narrow"/>
          <w:b/>
        </w:rPr>
        <w:t xml:space="preserve">What </w:t>
      </w:r>
      <w:r>
        <w:rPr>
          <w:rFonts w:ascii="Arial Narrow" w:hAnsi="Arial Narrow"/>
          <w:b/>
        </w:rPr>
        <w:t xml:space="preserve">specific outcomes should </w:t>
      </w:r>
      <w:r w:rsidRPr="00341BCA">
        <w:rPr>
          <w:rFonts w:ascii="Arial Narrow" w:hAnsi="Arial Narrow"/>
          <w:b/>
        </w:rPr>
        <w:t>be discussed?</w:t>
      </w:r>
      <w:r>
        <w:rPr>
          <w:rFonts w:ascii="Arial Narrow" w:hAnsi="Arial Narrow"/>
        </w:rPr>
        <w:t xml:space="preserve"> – The groups will compare the hypothetical adaptive process against what happened in the case study with an aim to “bring to light” the possible outcomes of an adaptive process in the following areas:</w:t>
      </w:r>
    </w:p>
    <w:p w14:paraId="09119363" w14:textId="77777777" w:rsidR="009F718D" w:rsidRDefault="009F718D" w:rsidP="009F718D">
      <w:pPr>
        <w:pStyle w:val="ListParagraph"/>
        <w:numPr>
          <w:ilvl w:val="0"/>
          <w:numId w:val="27"/>
        </w:numPr>
        <w:rPr>
          <w:rFonts w:ascii="Arial Narrow" w:hAnsi="Arial Narrow"/>
        </w:rPr>
      </w:pPr>
      <w:r>
        <w:rPr>
          <w:rFonts w:ascii="Arial Narrow" w:hAnsi="Arial Narrow"/>
        </w:rPr>
        <w:t xml:space="preserve">Timeframe – what would be the impact on the timing of pre-market studies, new license applications, and applications to HTA/payers </w:t>
      </w:r>
    </w:p>
    <w:p w14:paraId="024FF40B" w14:textId="77777777" w:rsidR="009F718D" w:rsidRDefault="009F718D" w:rsidP="009F718D">
      <w:pPr>
        <w:pStyle w:val="ListParagraph"/>
        <w:numPr>
          <w:ilvl w:val="0"/>
          <w:numId w:val="27"/>
        </w:numPr>
        <w:rPr>
          <w:rFonts w:ascii="Arial Narrow" w:hAnsi="Arial Narrow"/>
        </w:rPr>
      </w:pPr>
      <w:r>
        <w:rPr>
          <w:rFonts w:ascii="Arial Narrow" w:hAnsi="Arial Narrow"/>
        </w:rPr>
        <w:t>Populations – what would be the impact on access to technology for licensed and expanded license populations</w:t>
      </w:r>
    </w:p>
    <w:p w14:paraId="5051EA84" w14:textId="77777777" w:rsidR="009F718D" w:rsidRDefault="009F718D" w:rsidP="009F718D">
      <w:pPr>
        <w:pStyle w:val="ListParagraph"/>
        <w:numPr>
          <w:ilvl w:val="0"/>
          <w:numId w:val="27"/>
        </w:numPr>
        <w:rPr>
          <w:rFonts w:ascii="Arial Narrow" w:hAnsi="Arial Narrow"/>
        </w:rPr>
      </w:pPr>
      <w:r>
        <w:rPr>
          <w:rFonts w:ascii="Arial Narrow" w:hAnsi="Arial Narrow"/>
        </w:rPr>
        <w:t>Data Requirements – what changes to data requirements / studies / design would be needed?</w:t>
      </w:r>
    </w:p>
    <w:p w14:paraId="719E9D59" w14:textId="77777777" w:rsidR="009F718D" w:rsidRDefault="009F718D" w:rsidP="009F718D">
      <w:pPr>
        <w:pStyle w:val="ListParagraph"/>
        <w:numPr>
          <w:ilvl w:val="1"/>
          <w:numId w:val="27"/>
        </w:numPr>
        <w:rPr>
          <w:rFonts w:ascii="Arial Narrow" w:hAnsi="Arial Narrow"/>
        </w:rPr>
      </w:pPr>
      <w:r>
        <w:rPr>
          <w:rFonts w:ascii="Arial Narrow" w:hAnsi="Arial Narrow"/>
        </w:rPr>
        <w:t>What data is feasible / infeasible to gather?</w:t>
      </w:r>
    </w:p>
    <w:p w14:paraId="6D07568A" w14:textId="77777777" w:rsidR="009F718D" w:rsidRDefault="009F718D" w:rsidP="009F718D">
      <w:pPr>
        <w:pStyle w:val="ListParagraph"/>
        <w:numPr>
          <w:ilvl w:val="0"/>
          <w:numId w:val="27"/>
        </w:numPr>
        <w:rPr>
          <w:rFonts w:ascii="Arial Narrow" w:hAnsi="Arial Narrow"/>
        </w:rPr>
      </w:pPr>
      <w:r>
        <w:rPr>
          <w:rFonts w:ascii="Arial Narrow" w:hAnsi="Arial Narrow"/>
        </w:rPr>
        <w:t xml:space="preserve">Outcomes – </w:t>
      </w:r>
    </w:p>
    <w:p w14:paraId="4D8FEC09" w14:textId="77777777" w:rsidR="009F718D" w:rsidRDefault="009F718D" w:rsidP="009F718D">
      <w:pPr>
        <w:pStyle w:val="ListParagraph"/>
        <w:numPr>
          <w:ilvl w:val="1"/>
          <w:numId w:val="27"/>
        </w:numPr>
        <w:rPr>
          <w:rFonts w:ascii="Arial Narrow" w:hAnsi="Arial Narrow"/>
        </w:rPr>
      </w:pPr>
      <w:r>
        <w:rPr>
          <w:rFonts w:ascii="Arial Narrow" w:hAnsi="Arial Narrow"/>
        </w:rPr>
        <w:t xml:space="preserve">Would an adaptive approach have led to better or worse overall patient outcomes? </w:t>
      </w:r>
    </w:p>
    <w:p w14:paraId="255EF182" w14:textId="4D60FD9B" w:rsidR="009F718D" w:rsidRDefault="009F718D" w:rsidP="009F718D">
      <w:pPr>
        <w:pStyle w:val="ListParagraph"/>
        <w:numPr>
          <w:ilvl w:val="1"/>
          <w:numId w:val="27"/>
        </w:numPr>
        <w:rPr>
          <w:rFonts w:ascii="Arial Narrow" w:hAnsi="Arial Narrow"/>
        </w:rPr>
      </w:pPr>
      <w:r>
        <w:rPr>
          <w:rFonts w:ascii="Arial Narrow" w:hAnsi="Arial Narrow"/>
        </w:rPr>
        <w:t>Has it helped/caused problems for the work of HTA and coverage/pricing decisions?</w:t>
      </w:r>
    </w:p>
    <w:p w14:paraId="4663D2B5" w14:textId="77777777" w:rsidR="009F718D" w:rsidRPr="00F120D4" w:rsidRDefault="009F718D" w:rsidP="009F718D">
      <w:pPr>
        <w:pStyle w:val="ListParagraph"/>
        <w:numPr>
          <w:ilvl w:val="1"/>
          <w:numId w:val="27"/>
        </w:numPr>
        <w:rPr>
          <w:rFonts w:ascii="Arial Narrow" w:hAnsi="Arial Narrow"/>
        </w:rPr>
      </w:pPr>
      <w:r>
        <w:rPr>
          <w:rFonts w:ascii="Arial Narrow" w:hAnsi="Arial Narrow"/>
        </w:rPr>
        <w:t>How might an adaptive approach affect short and long term revenue from sales?</w:t>
      </w:r>
    </w:p>
    <w:p w14:paraId="7E97325B" w14:textId="77777777" w:rsidR="009F718D" w:rsidRDefault="009F718D" w:rsidP="009F718D">
      <w:pPr>
        <w:pStyle w:val="ListParagraph"/>
        <w:numPr>
          <w:ilvl w:val="0"/>
          <w:numId w:val="27"/>
        </w:numPr>
        <w:rPr>
          <w:rFonts w:ascii="Arial Narrow" w:hAnsi="Arial Narrow"/>
        </w:rPr>
      </w:pPr>
      <w:r>
        <w:rPr>
          <w:rFonts w:ascii="Arial Narrow" w:hAnsi="Arial Narrow"/>
        </w:rPr>
        <w:t xml:space="preserve">Processes – </w:t>
      </w:r>
    </w:p>
    <w:p w14:paraId="0973CDA4" w14:textId="77777777" w:rsidR="009F718D" w:rsidRDefault="009F718D" w:rsidP="009F718D">
      <w:pPr>
        <w:pStyle w:val="ListParagraph"/>
        <w:numPr>
          <w:ilvl w:val="1"/>
          <w:numId w:val="27"/>
        </w:numPr>
        <w:rPr>
          <w:rFonts w:ascii="Arial Narrow" w:hAnsi="Arial Narrow"/>
        </w:rPr>
      </w:pPr>
      <w:r>
        <w:rPr>
          <w:rFonts w:ascii="Arial Narrow" w:hAnsi="Arial Narrow"/>
        </w:rPr>
        <w:t>What interaction would be required between regulators, payers and producers to deliver potential benefits and address possible challenges?</w:t>
      </w:r>
    </w:p>
    <w:p w14:paraId="3AA4B45E" w14:textId="77777777" w:rsidR="009F718D" w:rsidRPr="00B6344C" w:rsidRDefault="009F718D" w:rsidP="009F718D">
      <w:pPr>
        <w:pStyle w:val="ListParagraph"/>
        <w:numPr>
          <w:ilvl w:val="1"/>
          <w:numId w:val="27"/>
        </w:numPr>
        <w:rPr>
          <w:rFonts w:ascii="Arial Narrow" w:hAnsi="Arial Narrow"/>
        </w:rPr>
      </w:pPr>
      <w:r>
        <w:rPr>
          <w:rFonts w:ascii="Arial Narrow" w:hAnsi="Arial Narrow"/>
        </w:rPr>
        <w:t xml:space="preserve">Has it helped/caused problems for the organization of health care?  </w:t>
      </w:r>
    </w:p>
    <w:p w14:paraId="5BA83EEE" w14:textId="77777777" w:rsidR="009F718D" w:rsidRPr="00D225EA" w:rsidRDefault="009F718D" w:rsidP="009F718D">
      <w:pPr>
        <w:pStyle w:val="ListParagraph"/>
        <w:numPr>
          <w:ilvl w:val="1"/>
          <w:numId w:val="27"/>
        </w:numPr>
        <w:rPr>
          <w:rFonts w:ascii="Arial Narrow" w:hAnsi="Arial Narrow"/>
        </w:rPr>
      </w:pPr>
      <w:r>
        <w:rPr>
          <w:rFonts w:ascii="Arial Narrow" w:hAnsi="Arial Narrow"/>
        </w:rPr>
        <w:t>Are multi-national arrangements possible?</w:t>
      </w:r>
    </w:p>
    <w:p w14:paraId="608326EC" w14:textId="77777777" w:rsidR="009F718D" w:rsidRPr="00341BCA" w:rsidRDefault="009F718D" w:rsidP="009F718D">
      <w:pPr>
        <w:rPr>
          <w:rFonts w:ascii="Arial Narrow" w:hAnsi="Arial Narrow"/>
          <w:b/>
        </w:rPr>
      </w:pPr>
      <w:r>
        <w:rPr>
          <w:rFonts w:ascii="Arial Narrow" w:hAnsi="Arial Narrow"/>
          <w:b/>
        </w:rPr>
        <w:t xml:space="preserve">What should not be discussed? – </w:t>
      </w:r>
      <w:r>
        <w:rPr>
          <w:rFonts w:ascii="Arial Narrow" w:hAnsi="Arial Narrow"/>
        </w:rPr>
        <w:t xml:space="preserve">The actual merits or drawbacks of the technology and its handling by industry, regulators, HTA/coverage bodies, health systems, clinicians and patients are NOT the focus of discussion. </w:t>
      </w:r>
      <w:r w:rsidRPr="00B6344C">
        <w:rPr>
          <w:rFonts w:ascii="Arial Narrow" w:hAnsi="Arial Narrow"/>
          <w:u w:val="single"/>
        </w:rPr>
        <w:t>Policy Forum members are NOT being asked to judge the various impacts of a technology such as whether it is safe, effective or cost-effective</w:t>
      </w:r>
      <w:r>
        <w:rPr>
          <w:rFonts w:ascii="Arial Narrow" w:hAnsi="Arial Narrow"/>
        </w:rPr>
        <w:t>. They are also NOT being asked to judge whether regulatory, payer or producer decisions regarding its development and use were good ones. Past decisions and impact are taken as given – the break-out groups are asked to consider whether patients and the processes used to manage technology introduction would potentially have been helped or hindered by a different (adaptive) approach, and what would have been needed to ensure that any potential benefits were actually delivered.</w:t>
      </w:r>
    </w:p>
    <w:p w14:paraId="22790C3F" w14:textId="77777777" w:rsidR="009F718D" w:rsidRDefault="009F718D" w:rsidP="009F718D">
      <w:pPr>
        <w:rPr>
          <w:rFonts w:ascii="Arial Narrow" w:hAnsi="Arial Narrow"/>
        </w:rPr>
      </w:pPr>
      <w:r w:rsidRPr="00341BCA">
        <w:rPr>
          <w:rFonts w:ascii="Arial Narrow" w:hAnsi="Arial Narrow"/>
          <w:b/>
        </w:rPr>
        <w:t xml:space="preserve">What are the </w:t>
      </w:r>
      <w:r>
        <w:rPr>
          <w:rFonts w:ascii="Arial Narrow" w:hAnsi="Arial Narrow"/>
          <w:b/>
        </w:rPr>
        <w:t xml:space="preserve">overall </w:t>
      </w:r>
      <w:r w:rsidRPr="00341BCA">
        <w:rPr>
          <w:rFonts w:ascii="Arial Narrow" w:hAnsi="Arial Narrow"/>
          <w:b/>
        </w:rPr>
        <w:t>learning objectives?</w:t>
      </w:r>
      <w:r>
        <w:rPr>
          <w:rFonts w:ascii="Arial Narrow" w:hAnsi="Arial Narrow"/>
          <w:b/>
        </w:rPr>
        <w:t xml:space="preserve"> –</w:t>
      </w:r>
      <w:r w:rsidRPr="00D225EA">
        <w:rPr>
          <w:rFonts w:ascii="Arial Narrow" w:hAnsi="Arial Narrow"/>
        </w:rPr>
        <w:t xml:space="preserve"> </w:t>
      </w:r>
      <w:r>
        <w:rPr>
          <w:rFonts w:ascii="Arial Narrow" w:hAnsi="Arial Narrow"/>
        </w:rPr>
        <w:t>Case studies are intended to facilitate the following learning objectives for the Policy Forum and for Policy Forum members:</w:t>
      </w:r>
    </w:p>
    <w:p w14:paraId="18D77E91" w14:textId="77777777" w:rsidR="009F718D" w:rsidRPr="00DF2BB6" w:rsidRDefault="009F718D" w:rsidP="009F718D">
      <w:pPr>
        <w:pStyle w:val="ListParagraph"/>
        <w:numPr>
          <w:ilvl w:val="0"/>
          <w:numId w:val="28"/>
        </w:numPr>
        <w:rPr>
          <w:rFonts w:ascii="Arial Narrow" w:hAnsi="Arial Narrow"/>
        </w:rPr>
      </w:pPr>
      <w:r w:rsidRPr="00DF2BB6">
        <w:rPr>
          <w:rFonts w:ascii="Arial Narrow" w:hAnsi="Arial Narrow"/>
        </w:rPr>
        <w:t>Identifying overall opportunities and barriers to implementing adaptive approaches for new technology</w:t>
      </w:r>
    </w:p>
    <w:p w14:paraId="1E1F4490" w14:textId="77777777" w:rsidR="009F718D" w:rsidRDefault="009F718D" w:rsidP="009F718D">
      <w:pPr>
        <w:pStyle w:val="ListParagraph"/>
        <w:numPr>
          <w:ilvl w:val="0"/>
          <w:numId w:val="28"/>
        </w:numPr>
        <w:rPr>
          <w:rFonts w:ascii="Arial Narrow" w:hAnsi="Arial Narrow"/>
        </w:rPr>
      </w:pPr>
      <w:r w:rsidRPr="005D1152">
        <w:rPr>
          <w:rFonts w:ascii="Arial Narrow" w:hAnsi="Arial Narrow"/>
        </w:rPr>
        <w:t xml:space="preserve">Identifying specific areas where adaptive approaches could be applied and articulating </w:t>
      </w:r>
      <w:r>
        <w:rPr>
          <w:rFonts w:ascii="Arial Narrow" w:hAnsi="Arial Narrow"/>
        </w:rPr>
        <w:t xml:space="preserve">potential </w:t>
      </w:r>
      <w:r w:rsidRPr="005D1152">
        <w:rPr>
          <w:rFonts w:ascii="Arial Narrow" w:hAnsi="Arial Narrow"/>
        </w:rPr>
        <w:t>shortcomings and strengths to these</w:t>
      </w:r>
      <w:r>
        <w:rPr>
          <w:rFonts w:ascii="Arial Narrow" w:hAnsi="Arial Narrow"/>
        </w:rPr>
        <w:t>.</w:t>
      </w:r>
    </w:p>
    <w:p w14:paraId="30961185" w14:textId="77777777" w:rsidR="009F718D" w:rsidRPr="005D1152" w:rsidRDefault="009F718D" w:rsidP="009F718D">
      <w:pPr>
        <w:pStyle w:val="ListParagraph"/>
        <w:numPr>
          <w:ilvl w:val="0"/>
          <w:numId w:val="28"/>
        </w:numPr>
        <w:rPr>
          <w:rFonts w:ascii="Arial Narrow" w:hAnsi="Arial Narrow"/>
        </w:rPr>
      </w:pPr>
      <w:r w:rsidRPr="005D1152">
        <w:rPr>
          <w:rFonts w:ascii="Arial Narrow" w:hAnsi="Arial Narrow"/>
        </w:rPr>
        <w:t xml:space="preserve">Understanding how regulators, payers/HTA bodies and producers </w:t>
      </w:r>
      <w:r>
        <w:rPr>
          <w:rFonts w:ascii="Arial Narrow" w:hAnsi="Arial Narrow"/>
        </w:rPr>
        <w:t>and health care systems</w:t>
      </w:r>
      <w:r w:rsidRPr="005D1152">
        <w:rPr>
          <w:rFonts w:ascii="Arial Narrow" w:hAnsi="Arial Narrow"/>
        </w:rPr>
        <w:t xml:space="preserve"> </w:t>
      </w:r>
      <w:r>
        <w:rPr>
          <w:rFonts w:ascii="Arial Narrow" w:hAnsi="Arial Narrow"/>
        </w:rPr>
        <w:t xml:space="preserve"> might be</w:t>
      </w:r>
      <w:r w:rsidRPr="005D1152">
        <w:rPr>
          <w:rFonts w:ascii="Arial Narrow" w:hAnsi="Arial Narrow"/>
        </w:rPr>
        <w:t xml:space="preserve"> impacted by </w:t>
      </w:r>
      <w:r>
        <w:rPr>
          <w:rFonts w:ascii="Arial Narrow" w:hAnsi="Arial Narrow"/>
        </w:rPr>
        <w:t>adaptive</w:t>
      </w:r>
      <w:r w:rsidRPr="005D1152">
        <w:rPr>
          <w:rFonts w:ascii="Arial Narrow" w:hAnsi="Arial Narrow"/>
        </w:rPr>
        <w:t xml:space="preserve"> approaches and where there will be a need for enhanced interaction and common requirements</w:t>
      </w:r>
      <w:r>
        <w:rPr>
          <w:rFonts w:ascii="Arial Narrow" w:hAnsi="Arial Narrow"/>
        </w:rPr>
        <w:t xml:space="preserve"> across these groups</w:t>
      </w:r>
    </w:p>
    <w:p w14:paraId="082AE08E" w14:textId="77777777" w:rsidR="009F718D" w:rsidRDefault="009F718D" w:rsidP="009F718D">
      <w:pPr>
        <w:pStyle w:val="ListParagraph"/>
        <w:numPr>
          <w:ilvl w:val="0"/>
          <w:numId w:val="28"/>
        </w:numPr>
        <w:rPr>
          <w:rFonts w:ascii="Arial Narrow" w:hAnsi="Arial Narrow"/>
        </w:rPr>
      </w:pPr>
      <w:r>
        <w:rPr>
          <w:rFonts w:ascii="Arial Narrow" w:hAnsi="Arial Narrow"/>
        </w:rPr>
        <w:lastRenderedPageBreak/>
        <w:t>Developing a preliminary understanding of possible principles and standards required before considering implementing these approaches</w:t>
      </w:r>
    </w:p>
    <w:p w14:paraId="6FF554C4" w14:textId="77777777" w:rsidR="009F718D" w:rsidRDefault="009F718D" w:rsidP="009F718D">
      <w:pPr>
        <w:pStyle w:val="ListParagraph"/>
        <w:numPr>
          <w:ilvl w:val="0"/>
          <w:numId w:val="28"/>
        </w:numPr>
        <w:rPr>
          <w:rFonts w:ascii="Arial Narrow" w:hAnsi="Arial Narrow"/>
        </w:rPr>
      </w:pPr>
      <w:r>
        <w:rPr>
          <w:rFonts w:ascii="Arial Narrow" w:hAnsi="Arial Narrow"/>
        </w:rPr>
        <w:t>Understanding whether there are other revealed goals for adaptive approaches beyond those proposed</w:t>
      </w:r>
    </w:p>
    <w:p w14:paraId="31C1D159" w14:textId="77777777" w:rsidR="009F718D" w:rsidRDefault="009F718D" w:rsidP="009F718D">
      <w:pPr>
        <w:rPr>
          <w:rFonts w:ascii="Arial Narrow" w:hAnsi="Arial Narrow"/>
        </w:rPr>
      </w:pPr>
      <w:r w:rsidRPr="00147FC2">
        <w:rPr>
          <w:rFonts w:ascii="Arial Narrow" w:hAnsi="Arial Narrow"/>
          <w:b/>
        </w:rPr>
        <w:t>What cases are being proposed?</w:t>
      </w:r>
      <w:r>
        <w:rPr>
          <w:rFonts w:ascii="Arial Narrow" w:hAnsi="Arial Narrow"/>
          <w:b/>
        </w:rPr>
        <w:t xml:space="preserve"> - </w:t>
      </w:r>
      <w:r w:rsidRPr="00DF2BB6">
        <w:rPr>
          <w:rFonts w:ascii="Arial Narrow" w:hAnsi="Arial Narrow"/>
        </w:rPr>
        <w:t xml:space="preserve">Some </w:t>
      </w:r>
      <w:r>
        <w:rPr>
          <w:rFonts w:ascii="Arial Narrow" w:hAnsi="Arial Narrow"/>
        </w:rPr>
        <w:t xml:space="preserve">of the </w:t>
      </w:r>
      <w:r w:rsidRPr="00DF2BB6">
        <w:rPr>
          <w:rFonts w:ascii="Arial Narrow" w:hAnsi="Arial Narrow"/>
        </w:rPr>
        <w:t xml:space="preserve">goals </w:t>
      </w:r>
      <w:r>
        <w:rPr>
          <w:rFonts w:ascii="Arial Narrow" w:hAnsi="Arial Narrow"/>
        </w:rPr>
        <w:t>proposed for</w:t>
      </w:r>
      <w:r w:rsidRPr="00DF2BB6">
        <w:rPr>
          <w:rFonts w:ascii="Arial Narrow" w:hAnsi="Arial Narrow"/>
        </w:rPr>
        <w:t xml:space="preserve"> using an adaptive approach </w:t>
      </w:r>
      <w:r>
        <w:rPr>
          <w:rFonts w:ascii="Arial Narrow" w:hAnsi="Arial Narrow"/>
        </w:rPr>
        <w:t xml:space="preserve">(Eichler et al.- see above) </w:t>
      </w:r>
      <w:r w:rsidRPr="00DF2BB6">
        <w:rPr>
          <w:rFonts w:ascii="Arial Narrow" w:hAnsi="Arial Narrow"/>
        </w:rPr>
        <w:t xml:space="preserve">will </w:t>
      </w:r>
      <w:r>
        <w:rPr>
          <w:rFonts w:ascii="Arial Narrow" w:hAnsi="Arial Narrow"/>
        </w:rPr>
        <w:t>align more directly with the goals of</w:t>
      </w:r>
      <w:r w:rsidRPr="00DF2BB6">
        <w:rPr>
          <w:rFonts w:ascii="Arial Narrow" w:hAnsi="Arial Narrow"/>
        </w:rPr>
        <w:t xml:space="preserve"> some stakeholders</w:t>
      </w:r>
      <w:r>
        <w:rPr>
          <w:rFonts w:ascii="Arial Narrow" w:hAnsi="Arial Narrow"/>
        </w:rPr>
        <w:t xml:space="preserve"> than others</w:t>
      </w:r>
      <w:r w:rsidRPr="00DF2BB6">
        <w:rPr>
          <w:rFonts w:ascii="Arial Narrow" w:hAnsi="Arial Narrow"/>
        </w:rPr>
        <w:t xml:space="preserve">. For example signals re: rare adverse events may be more </w:t>
      </w:r>
      <w:r>
        <w:rPr>
          <w:rFonts w:ascii="Arial Narrow" w:hAnsi="Arial Narrow"/>
        </w:rPr>
        <w:t>relevant to</w:t>
      </w:r>
      <w:r w:rsidRPr="00DF2BB6">
        <w:rPr>
          <w:rFonts w:ascii="Arial Narrow" w:hAnsi="Arial Narrow"/>
        </w:rPr>
        <w:t xml:space="preserve"> </w:t>
      </w:r>
      <w:r>
        <w:rPr>
          <w:rFonts w:ascii="Arial Narrow" w:hAnsi="Arial Narrow"/>
        </w:rPr>
        <w:t>the role</w:t>
      </w:r>
      <w:r w:rsidRPr="00DF2BB6">
        <w:rPr>
          <w:rFonts w:ascii="Arial Narrow" w:hAnsi="Arial Narrow"/>
        </w:rPr>
        <w:t xml:space="preserve"> </w:t>
      </w:r>
      <w:r>
        <w:rPr>
          <w:rFonts w:ascii="Arial Narrow" w:hAnsi="Arial Narrow"/>
        </w:rPr>
        <w:t xml:space="preserve">of </w:t>
      </w:r>
      <w:r w:rsidRPr="00DF2BB6">
        <w:rPr>
          <w:rFonts w:ascii="Arial Narrow" w:hAnsi="Arial Narrow"/>
        </w:rPr>
        <w:t xml:space="preserve">regulators; reducing uncertainty </w:t>
      </w:r>
      <w:r>
        <w:rPr>
          <w:rFonts w:ascii="Arial Narrow" w:hAnsi="Arial Narrow"/>
        </w:rPr>
        <w:t xml:space="preserve">about real world outcomes </w:t>
      </w:r>
      <w:r w:rsidRPr="00DF2BB6">
        <w:rPr>
          <w:rFonts w:ascii="Arial Narrow" w:hAnsi="Arial Narrow"/>
        </w:rPr>
        <w:t xml:space="preserve">may be more </w:t>
      </w:r>
      <w:r>
        <w:rPr>
          <w:rFonts w:ascii="Arial Narrow" w:hAnsi="Arial Narrow"/>
        </w:rPr>
        <w:t>relevant</w:t>
      </w:r>
      <w:r w:rsidRPr="00DF2BB6">
        <w:rPr>
          <w:rFonts w:ascii="Arial Narrow" w:hAnsi="Arial Narrow"/>
        </w:rPr>
        <w:t xml:space="preserve"> for payers; and more immediate access with intent to broaden populations may be most </w:t>
      </w:r>
      <w:r>
        <w:rPr>
          <w:rFonts w:ascii="Arial Narrow" w:hAnsi="Arial Narrow"/>
        </w:rPr>
        <w:t>relevant to patients and manufacturers</w:t>
      </w:r>
      <w:r w:rsidRPr="00DF2BB6">
        <w:rPr>
          <w:rFonts w:ascii="Arial Narrow" w:hAnsi="Arial Narrow"/>
        </w:rPr>
        <w:t>.</w:t>
      </w:r>
      <w:r>
        <w:rPr>
          <w:rFonts w:ascii="Arial Narrow" w:hAnsi="Arial Narrow"/>
        </w:rPr>
        <w:t xml:space="preserve"> The goal of the Forum is to promote the exchange of views and discussion between industry and HTA/coverage bodies. Case studies should therefore be selected that cover goals or relevance to both industry and HTA/coverage bodies.</w:t>
      </w:r>
    </w:p>
    <w:p w14:paraId="73891DC5" w14:textId="77777777" w:rsidR="009F718D" w:rsidRDefault="009F718D" w:rsidP="009F718D">
      <w:pPr>
        <w:rPr>
          <w:rFonts w:ascii="Arial Narrow" w:hAnsi="Arial Narrow"/>
        </w:rPr>
      </w:pPr>
      <w:r>
        <w:rPr>
          <w:rFonts w:ascii="Arial Narrow" w:hAnsi="Arial Narrow"/>
        </w:rPr>
        <w:t>Some technologies would not be appropriate for case studies at the Forum meeting because of the relationship they have to the remit of Forum members and/or invited experts. It would be inappropriate for the Forum to discuss drugs currently under regulatory or HTA/coverage consideration in Policy Forum member jurisdictions, for example. It may also prove difficult within the timelines available to develop case descriptions of technologies that are proprietary products of Policy Forum Member companies. For such technologies, the Forum member would naturally wish to be involved in the development of the case study. While this would potentially be helpful, it could also present challenges around what is presented, and how, timing of preparation of cases, and who is ultimately responsible for deciding the content of the case study. Policy Forum Members may also not feel completely free to explore issues surrounding these technologies.</w:t>
      </w:r>
    </w:p>
    <w:p w14:paraId="6E47F19E" w14:textId="77777777" w:rsidR="009F718D" w:rsidRDefault="009F718D" w:rsidP="009F718D">
      <w:pPr>
        <w:rPr>
          <w:rFonts w:ascii="Arial Narrow" w:hAnsi="Arial Narrow"/>
        </w:rPr>
      </w:pPr>
      <w:r>
        <w:rPr>
          <w:rFonts w:ascii="Arial Narrow" w:hAnsi="Arial Narrow"/>
        </w:rPr>
        <w:t xml:space="preserve">For these reasons, the Policy Forum Committee recommends that the two drug case studies focus on drugs that are not products of Forum member companies and using only descriptive public information.  As noted above, the cases have been selected to reflect diverging goals as a means of highlighting different stakeholder interests and issues.  Two key goals have been selected:  providing access and to generate data to consider access for potentially broadening populations; and, reducing uncertainty re: effectiveness outcomes.  </w:t>
      </w:r>
    </w:p>
    <w:p w14:paraId="590D3FB2" w14:textId="421096EA" w:rsidR="009F718D" w:rsidRPr="00F120D4" w:rsidRDefault="009F718D" w:rsidP="00EF2873">
      <w:pPr>
        <w:spacing w:after="120"/>
        <w:rPr>
          <w:rFonts w:ascii="Arial Narrow" w:hAnsi="Arial Narrow"/>
          <w:sz w:val="20"/>
          <w:szCs w:val="20"/>
        </w:rPr>
      </w:pPr>
      <w:r w:rsidRPr="00F120D4">
        <w:rPr>
          <w:rFonts w:ascii="Arial Narrow" w:hAnsi="Arial Narrow"/>
          <w:b/>
          <w:sz w:val="20"/>
          <w:szCs w:val="20"/>
        </w:rPr>
        <w:t xml:space="preserve">Brentuximab </w:t>
      </w:r>
      <w:r w:rsidRPr="00F120D4">
        <w:rPr>
          <w:rFonts w:ascii="Arial Narrow" w:hAnsi="Arial Narrow"/>
          <w:sz w:val="20"/>
          <w:szCs w:val="20"/>
        </w:rPr>
        <w:t>(</w:t>
      </w:r>
      <w:r w:rsidR="00601BEC" w:rsidRPr="00FF0207">
        <w:rPr>
          <w:rFonts w:ascii="Arial Narrow" w:hAnsi="Arial Narrow"/>
          <w:sz w:val="20"/>
          <w:szCs w:val="20"/>
        </w:rPr>
        <w:t>Adcetris;</w:t>
      </w:r>
      <w:r w:rsidR="00FF0207" w:rsidRPr="00FF0207">
        <w:rPr>
          <w:rFonts w:ascii="Arial Narrow" w:hAnsi="Arial Narrow"/>
          <w:sz w:val="20"/>
          <w:szCs w:val="20"/>
        </w:rPr>
        <w:t xml:space="preserve"> Takeda/Millenium Pharma (EUR) - Seattle Genetics, Inc (US))</w:t>
      </w:r>
    </w:p>
    <w:p w14:paraId="6C516EE5" w14:textId="77777777" w:rsidR="009F718D" w:rsidRDefault="009F718D" w:rsidP="009F718D">
      <w:pPr>
        <w:pStyle w:val="ListParagraph"/>
        <w:numPr>
          <w:ilvl w:val="0"/>
          <w:numId w:val="23"/>
        </w:numPr>
        <w:rPr>
          <w:rFonts w:ascii="Arial Narrow" w:hAnsi="Arial Narrow"/>
          <w:sz w:val="20"/>
          <w:szCs w:val="20"/>
        </w:rPr>
      </w:pPr>
      <w:r w:rsidRPr="00F120D4">
        <w:rPr>
          <w:rFonts w:ascii="Arial Narrow" w:hAnsi="Arial Narrow"/>
          <w:sz w:val="20"/>
          <w:szCs w:val="20"/>
        </w:rPr>
        <w:t>For HL patients after failure of ASCT or after failure of at least two prior therapies in patients who are not ASCT candidates</w:t>
      </w:r>
    </w:p>
    <w:p w14:paraId="0B18423A" w14:textId="77777777" w:rsidR="009F718D" w:rsidRDefault="009F718D" w:rsidP="009F718D">
      <w:pPr>
        <w:pStyle w:val="ListParagraph"/>
        <w:numPr>
          <w:ilvl w:val="0"/>
          <w:numId w:val="23"/>
        </w:numPr>
        <w:rPr>
          <w:rFonts w:ascii="Arial Narrow" w:hAnsi="Arial Narrow"/>
          <w:sz w:val="20"/>
          <w:szCs w:val="20"/>
        </w:rPr>
      </w:pPr>
      <w:r w:rsidRPr="00B6344C">
        <w:rPr>
          <w:rFonts w:ascii="Arial Narrow" w:hAnsi="Arial Narrow"/>
          <w:sz w:val="20"/>
          <w:szCs w:val="20"/>
        </w:rPr>
        <w:t>Approval based on non-randomized, non-comparative phase II study in very high need population</w:t>
      </w:r>
    </w:p>
    <w:p w14:paraId="3CB16870" w14:textId="77777777" w:rsidR="009F718D" w:rsidRDefault="009F718D" w:rsidP="009F718D">
      <w:pPr>
        <w:pStyle w:val="ListParagraph"/>
        <w:numPr>
          <w:ilvl w:val="0"/>
          <w:numId w:val="23"/>
        </w:numPr>
        <w:rPr>
          <w:rFonts w:ascii="Arial Narrow" w:hAnsi="Arial Narrow"/>
          <w:sz w:val="20"/>
          <w:szCs w:val="20"/>
        </w:rPr>
      </w:pPr>
      <w:r>
        <w:rPr>
          <w:rFonts w:ascii="Arial Narrow" w:hAnsi="Arial Narrow"/>
          <w:sz w:val="20"/>
          <w:szCs w:val="20"/>
        </w:rPr>
        <w:t>Potential goal of providing early access and broadening populations</w:t>
      </w:r>
    </w:p>
    <w:p w14:paraId="7D006175" w14:textId="262F24FB" w:rsidR="009F718D" w:rsidRPr="00F3048B" w:rsidRDefault="009F718D" w:rsidP="00EF2873">
      <w:pPr>
        <w:spacing w:after="120"/>
        <w:rPr>
          <w:rFonts w:ascii="Arial Narrow" w:hAnsi="Arial Narrow"/>
          <w:sz w:val="20"/>
          <w:szCs w:val="20"/>
        </w:rPr>
      </w:pPr>
      <w:r w:rsidRPr="00F3048B">
        <w:rPr>
          <w:rFonts w:ascii="Arial Narrow" w:hAnsi="Arial Narrow"/>
          <w:b/>
          <w:sz w:val="20"/>
          <w:szCs w:val="20"/>
        </w:rPr>
        <w:t xml:space="preserve">Lanthanum Carbonate Hydrate </w:t>
      </w:r>
      <w:r w:rsidR="00DC129E">
        <w:rPr>
          <w:rFonts w:ascii="Arial Narrow" w:hAnsi="Arial Narrow"/>
          <w:sz w:val="20"/>
          <w:szCs w:val="20"/>
        </w:rPr>
        <w:t>(Fosrenol – Shire</w:t>
      </w:r>
      <w:r w:rsidRPr="00F3048B">
        <w:rPr>
          <w:rFonts w:ascii="Arial Narrow" w:hAnsi="Arial Narrow"/>
          <w:sz w:val="20"/>
          <w:szCs w:val="20"/>
        </w:rPr>
        <w:t>)</w:t>
      </w:r>
    </w:p>
    <w:p w14:paraId="12A7BE5E" w14:textId="77777777" w:rsidR="009F718D" w:rsidRPr="00F120D4" w:rsidRDefault="009F718D" w:rsidP="009F718D">
      <w:pPr>
        <w:pStyle w:val="ListParagraph"/>
        <w:numPr>
          <w:ilvl w:val="0"/>
          <w:numId w:val="24"/>
        </w:numPr>
        <w:rPr>
          <w:rFonts w:ascii="Arial Narrow" w:hAnsi="Arial Narrow"/>
          <w:sz w:val="20"/>
          <w:szCs w:val="20"/>
        </w:rPr>
      </w:pPr>
      <w:r w:rsidRPr="00F120D4">
        <w:rPr>
          <w:rFonts w:ascii="Arial Narrow" w:hAnsi="Arial Narrow"/>
          <w:sz w:val="20"/>
          <w:szCs w:val="20"/>
        </w:rPr>
        <w:t>In adult patients with chronic renal failure on dialysis with high serum calcium levels</w:t>
      </w:r>
    </w:p>
    <w:p w14:paraId="483ECF2D" w14:textId="77777777" w:rsidR="009F718D" w:rsidRDefault="009F718D" w:rsidP="009F718D">
      <w:pPr>
        <w:pStyle w:val="ListParagraph"/>
        <w:numPr>
          <w:ilvl w:val="0"/>
          <w:numId w:val="24"/>
        </w:numPr>
        <w:rPr>
          <w:rFonts w:ascii="Arial Narrow" w:hAnsi="Arial Narrow"/>
          <w:sz w:val="20"/>
          <w:szCs w:val="20"/>
        </w:rPr>
      </w:pPr>
      <w:r w:rsidRPr="00F120D4">
        <w:rPr>
          <w:rFonts w:ascii="Arial Narrow" w:hAnsi="Arial Narrow"/>
          <w:sz w:val="20"/>
          <w:szCs w:val="20"/>
        </w:rPr>
        <w:t>High degree of clinical and cost-effectiveness uncertainty</w:t>
      </w:r>
      <w:r>
        <w:rPr>
          <w:rFonts w:ascii="Arial Narrow" w:hAnsi="Arial Narrow"/>
          <w:sz w:val="20"/>
          <w:szCs w:val="20"/>
        </w:rPr>
        <w:t xml:space="preserve">, despite potential unmet need </w:t>
      </w:r>
    </w:p>
    <w:p w14:paraId="2C9EBF93" w14:textId="77777777" w:rsidR="009F718D" w:rsidRPr="00F120D4" w:rsidRDefault="009F718D" w:rsidP="009F718D">
      <w:pPr>
        <w:pStyle w:val="ListParagraph"/>
        <w:numPr>
          <w:ilvl w:val="0"/>
          <w:numId w:val="24"/>
        </w:numPr>
        <w:rPr>
          <w:rFonts w:ascii="Arial Narrow" w:hAnsi="Arial Narrow"/>
          <w:sz w:val="20"/>
          <w:szCs w:val="20"/>
        </w:rPr>
      </w:pPr>
      <w:r>
        <w:rPr>
          <w:rFonts w:ascii="Arial Narrow" w:hAnsi="Arial Narrow"/>
          <w:sz w:val="20"/>
          <w:szCs w:val="20"/>
        </w:rPr>
        <w:t>Potential goal of reducing payer uncertainty or identifying key subgroups</w:t>
      </w:r>
    </w:p>
    <w:p w14:paraId="61283627" w14:textId="77777777" w:rsidR="009F718D" w:rsidRPr="00FE7406" w:rsidRDefault="009F718D" w:rsidP="00EF2873">
      <w:pPr>
        <w:spacing w:after="120"/>
        <w:rPr>
          <w:rFonts w:ascii="Arial Narrow" w:hAnsi="Arial Narrow"/>
          <w:b/>
          <w:sz w:val="20"/>
          <w:szCs w:val="20"/>
        </w:rPr>
      </w:pPr>
      <w:r w:rsidRPr="00FE7406">
        <w:rPr>
          <w:rFonts w:ascii="Arial Narrow" w:hAnsi="Arial Narrow"/>
          <w:b/>
          <w:sz w:val="20"/>
          <w:szCs w:val="20"/>
        </w:rPr>
        <w:t>Transcatheter aortic valve implantation (TAVI)</w:t>
      </w:r>
      <w:r>
        <w:rPr>
          <w:rFonts w:ascii="Arial Narrow" w:hAnsi="Arial Narrow"/>
          <w:b/>
          <w:sz w:val="20"/>
          <w:szCs w:val="20"/>
        </w:rPr>
        <w:t xml:space="preserve"> </w:t>
      </w:r>
      <w:r w:rsidRPr="00FE7406">
        <w:rPr>
          <w:rFonts w:ascii="Arial Narrow" w:hAnsi="Arial Narrow"/>
          <w:sz w:val="20"/>
          <w:szCs w:val="20"/>
        </w:rPr>
        <w:t>(Various producers)</w:t>
      </w:r>
    </w:p>
    <w:p w14:paraId="5EB26882" w14:textId="77777777" w:rsidR="009F718D" w:rsidRPr="00FE7406" w:rsidRDefault="009F718D" w:rsidP="009F718D">
      <w:pPr>
        <w:pStyle w:val="ListParagraph"/>
        <w:numPr>
          <w:ilvl w:val="0"/>
          <w:numId w:val="24"/>
        </w:numPr>
        <w:rPr>
          <w:rFonts w:ascii="Arial Narrow" w:hAnsi="Arial Narrow"/>
          <w:sz w:val="20"/>
          <w:szCs w:val="20"/>
        </w:rPr>
      </w:pPr>
      <w:r w:rsidRPr="00FE7406">
        <w:rPr>
          <w:rFonts w:ascii="Arial Narrow" w:hAnsi="Arial Narrow"/>
          <w:sz w:val="20"/>
          <w:szCs w:val="20"/>
        </w:rPr>
        <w:t>Clinical and cost-effectiveness uncertainty</w:t>
      </w:r>
    </w:p>
    <w:p w14:paraId="7D60241B" w14:textId="77777777" w:rsidR="009F718D" w:rsidRDefault="009F718D" w:rsidP="009F718D">
      <w:pPr>
        <w:pStyle w:val="ListParagraph"/>
        <w:numPr>
          <w:ilvl w:val="0"/>
          <w:numId w:val="24"/>
        </w:numPr>
        <w:rPr>
          <w:rFonts w:ascii="Arial Narrow" w:hAnsi="Arial Narrow"/>
          <w:sz w:val="20"/>
          <w:szCs w:val="20"/>
        </w:rPr>
      </w:pPr>
      <w:r>
        <w:rPr>
          <w:rFonts w:ascii="Arial Narrow" w:hAnsi="Arial Narrow"/>
          <w:sz w:val="20"/>
          <w:szCs w:val="20"/>
        </w:rPr>
        <w:t>Obvious potential benefits but r</w:t>
      </w:r>
      <w:r w:rsidRPr="00FE7406">
        <w:rPr>
          <w:rFonts w:ascii="Arial Narrow" w:hAnsi="Arial Narrow"/>
          <w:sz w:val="20"/>
          <w:szCs w:val="20"/>
        </w:rPr>
        <w:t xml:space="preserve">equires </w:t>
      </w:r>
      <w:r>
        <w:rPr>
          <w:rFonts w:ascii="Arial Narrow" w:hAnsi="Arial Narrow"/>
          <w:sz w:val="20"/>
          <w:szCs w:val="20"/>
        </w:rPr>
        <w:t xml:space="preserve">additional resources and </w:t>
      </w:r>
      <w:r w:rsidRPr="00FE7406">
        <w:rPr>
          <w:rFonts w:ascii="Arial Narrow" w:hAnsi="Arial Narrow"/>
          <w:sz w:val="20"/>
          <w:szCs w:val="20"/>
        </w:rPr>
        <w:t xml:space="preserve">specific </w:t>
      </w:r>
      <w:r>
        <w:rPr>
          <w:rFonts w:ascii="Arial Narrow" w:hAnsi="Arial Narrow"/>
          <w:sz w:val="20"/>
          <w:szCs w:val="20"/>
        </w:rPr>
        <w:t>training and regulated access</w:t>
      </w:r>
    </w:p>
    <w:p w14:paraId="2ED90170" w14:textId="707E4A17" w:rsidR="008064D3" w:rsidRPr="00EF2873" w:rsidRDefault="009F718D" w:rsidP="009F718D">
      <w:pPr>
        <w:pStyle w:val="ListParagraph"/>
        <w:numPr>
          <w:ilvl w:val="0"/>
          <w:numId w:val="24"/>
        </w:numPr>
        <w:rPr>
          <w:rFonts w:ascii="Arial Narrow" w:hAnsi="Arial Narrow"/>
          <w:sz w:val="20"/>
          <w:szCs w:val="20"/>
        </w:rPr>
      </w:pPr>
      <w:r w:rsidRPr="009F718D">
        <w:rPr>
          <w:rFonts w:ascii="Arial Narrow" w:hAnsi="Arial Narrow"/>
          <w:sz w:val="20"/>
          <w:szCs w:val="20"/>
        </w:rPr>
        <w:t>Potential goal of reducing payer uncertainty or identifying key subgroups</w:t>
      </w:r>
    </w:p>
    <w:sectPr w:rsidR="008064D3" w:rsidRPr="00EF2873" w:rsidSect="005E58C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B33CF" w14:textId="77777777" w:rsidR="00F82329" w:rsidRDefault="00F82329" w:rsidP="00F8095A">
      <w:pPr>
        <w:spacing w:after="0" w:line="240" w:lineRule="auto"/>
      </w:pPr>
      <w:r>
        <w:separator/>
      </w:r>
    </w:p>
  </w:endnote>
  <w:endnote w:type="continuationSeparator" w:id="0">
    <w:p w14:paraId="0476552B" w14:textId="77777777" w:rsidR="00F82329" w:rsidRDefault="00F82329" w:rsidP="00F80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7078D" w14:textId="77777777" w:rsidR="00F82329" w:rsidRDefault="00F82329" w:rsidP="00F8095A">
      <w:pPr>
        <w:spacing w:after="0" w:line="240" w:lineRule="auto"/>
      </w:pPr>
      <w:r>
        <w:separator/>
      </w:r>
    </w:p>
  </w:footnote>
  <w:footnote w:type="continuationSeparator" w:id="0">
    <w:p w14:paraId="23AF9395" w14:textId="77777777" w:rsidR="00F82329" w:rsidRDefault="00F82329" w:rsidP="00F8095A">
      <w:pPr>
        <w:spacing w:after="0" w:line="240" w:lineRule="auto"/>
      </w:pPr>
      <w:r>
        <w:continuationSeparator/>
      </w:r>
    </w:p>
  </w:footnote>
  <w:footnote w:id="1">
    <w:p w14:paraId="56CB8811" w14:textId="77777777" w:rsidR="009F718D" w:rsidRPr="00975B0A" w:rsidRDefault="009F718D" w:rsidP="009F718D">
      <w:pPr>
        <w:pStyle w:val="FootnoteText"/>
        <w:rPr>
          <w:lang w:val="en-US"/>
        </w:rPr>
      </w:pPr>
      <w:r w:rsidRPr="00975B0A">
        <w:rPr>
          <w:rStyle w:val="FootnoteReference"/>
        </w:rPr>
        <w:footnoteRef/>
      </w:r>
      <w:r w:rsidRPr="00975B0A">
        <w:t xml:space="preserve"> </w:t>
      </w:r>
      <w:r w:rsidRPr="008F0E7C">
        <w:rPr>
          <w:rFonts w:ascii="Arial Narrow" w:hAnsi="Arial Narrow"/>
        </w:rPr>
        <w:t xml:space="preserve">See, for example, </w:t>
      </w:r>
      <w:r w:rsidRPr="008F0E7C">
        <w:rPr>
          <w:rFonts w:ascii="Arial Narrow" w:hAnsi="Arial Narrow"/>
          <w:lang w:val="en-US"/>
        </w:rPr>
        <w:t>Baird LG et al. Comparison of Stakeholder Metrics for Traditional and Adaptive Development and Licensing Approaches to Drug Development. Ther Innov Reg Sci 2013;47(4):474-483</w:t>
      </w:r>
      <w:bookmarkStart w:id="0" w:name="_GoBack"/>
      <w:bookmarkEnd w:id="0"/>
    </w:p>
  </w:footnote>
  <w:footnote w:id="2">
    <w:p w14:paraId="592FD522" w14:textId="77777777" w:rsidR="009F718D" w:rsidRPr="00FE7406" w:rsidRDefault="009F718D" w:rsidP="009F718D">
      <w:pPr>
        <w:pStyle w:val="FootnoteText"/>
        <w:rPr>
          <w:lang w:val="en-US"/>
        </w:rPr>
      </w:pPr>
      <w:r>
        <w:rPr>
          <w:rStyle w:val="FootnoteReference"/>
        </w:rPr>
        <w:footnoteRef/>
      </w:r>
      <w:r>
        <w:t xml:space="preserve"> </w:t>
      </w:r>
      <w:r w:rsidRPr="00F3048B">
        <w:rPr>
          <w:rFonts w:ascii="Calibri"/>
          <w:sz w:val="16"/>
          <w:szCs w:val="16"/>
        </w:rPr>
        <w:t xml:space="preserve">H-G Eichler et al., “Adaptive Licensing: Taking the next Step in the Evolution of Drug Approval,” </w:t>
      </w:r>
      <w:r w:rsidRPr="00F3048B">
        <w:rPr>
          <w:rFonts w:ascii="Calibri"/>
          <w:i/>
          <w:iCs/>
          <w:sz w:val="16"/>
          <w:szCs w:val="16"/>
        </w:rPr>
        <w:t>Clinical Pharmacology and Therapeutics</w:t>
      </w:r>
      <w:r w:rsidRPr="00F3048B">
        <w:rPr>
          <w:rFonts w:ascii="Calibri"/>
          <w:sz w:val="16"/>
          <w:szCs w:val="16"/>
        </w:rPr>
        <w:t xml:space="preserve"> 91, no. 3 (March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054D7" w14:textId="77777777" w:rsidR="00CC12BF" w:rsidRPr="00CC12BF" w:rsidRDefault="00721775" w:rsidP="00CC12BF">
    <w:pPr>
      <w:spacing w:after="0"/>
      <w:rPr>
        <w:rFonts w:ascii="Arial Narrow" w:hAnsi="Arial Narrow" w:cstheme="minorHAnsi"/>
        <w:b/>
        <w:sz w:val="24"/>
        <w:szCs w:val="24"/>
      </w:rPr>
    </w:pPr>
    <w:r w:rsidRPr="006143F4">
      <w:rPr>
        <w:noProof/>
      </w:rPr>
      <w:drawing>
        <wp:inline distT="0" distB="0" distL="0" distR="0" wp14:anchorId="23AD24F1" wp14:editId="446F0805">
          <wp:extent cx="444500" cy="443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ai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974" cy="44355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3636E"/>
    <w:multiLevelType w:val="hybridMultilevel"/>
    <w:tmpl w:val="06A43AE0"/>
    <w:lvl w:ilvl="0" w:tplc="9DF69566">
      <w:start w:val="4"/>
      <w:numFmt w:val="bullet"/>
      <w:lvlText w:val="-"/>
      <w:lvlJc w:val="left"/>
      <w:pPr>
        <w:ind w:left="720" w:hanging="360"/>
      </w:pPr>
      <w:rPr>
        <w:rFonts w:ascii="Calibri" w:eastAsiaTheme="minorEastAsia"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2B51248"/>
    <w:multiLevelType w:val="hybridMultilevel"/>
    <w:tmpl w:val="0FA694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99D7142"/>
    <w:multiLevelType w:val="hybridMultilevel"/>
    <w:tmpl w:val="9CC01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6737B4C"/>
    <w:multiLevelType w:val="hybridMultilevel"/>
    <w:tmpl w:val="4156F054"/>
    <w:lvl w:ilvl="0" w:tplc="BD9A69CE">
      <w:start w:val="1"/>
      <w:numFmt w:val="bullet"/>
      <w:lvlText w:val=""/>
      <w:lvlJc w:val="left"/>
      <w:pPr>
        <w:ind w:left="720" w:hanging="360"/>
      </w:pPr>
      <w:rPr>
        <w:rFonts w:ascii="Symbol" w:hAnsi="Symbol" w:hint="default"/>
        <w:color w:val="auto"/>
        <w:sz w:val="18"/>
      </w:rPr>
    </w:lvl>
    <w:lvl w:ilvl="1" w:tplc="8D58FA50">
      <w:start w:val="1"/>
      <w:numFmt w:val="bullet"/>
      <w:lvlText w:val=""/>
      <w:lvlJc w:val="left"/>
      <w:pPr>
        <w:ind w:left="1440" w:hanging="360"/>
      </w:pPr>
      <w:rPr>
        <w:rFonts w:ascii="Wingdings" w:hAnsi="Wingdings" w:hint="default"/>
        <w:color w:val="808080" w:themeColor="background1" w:themeShade="80"/>
      </w:rPr>
    </w:lvl>
    <w:lvl w:ilvl="2" w:tplc="0B5E7A32">
      <w:numFmt w:val="bullet"/>
      <w:lvlText w:val="-"/>
      <w:lvlJc w:val="left"/>
      <w:pPr>
        <w:ind w:left="2160" w:hanging="360"/>
      </w:pPr>
      <w:rPr>
        <w:rFonts w:ascii="Calibri" w:eastAsiaTheme="minorHAnsi" w:hAnsi="Calibri" w:cstheme="minorBid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78B60C5"/>
    <w:multiLevelType w:val="hybridMultilevel"/>
    <w:tmpl w:val="535C66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B4020D2"/>
    <w:multiLevelType w:val="hybridMultilevel"/>
    <w:tmpl w:val="FF9A7A9C"/>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07135BD"/>
    <w:multiLevelType w:val="hybridMultilevel"/>
    <w:tmpl w:val="539014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19B5E36"/>
    <w:multiLevelType w:val="hybridMultilevel"/>
    <w:tmpl w:val="5F084D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1E805D0"/>
    <w:multiLevelType w:val="hybridMultilevel"/>
    <w:tmpl w:val="5BA2B3D0"/>
    <w:lvl w:ilvl="0" w:tplc="BD9A69CE">
      <w:start w:val="1"/>
      <w:numFmt w:val="bullet"/>
      <w:lvlText w:val=""/>
      <w:lvlJc w:val="left"/>
      <w:pPr>
        <w:ind w:left="720" w:hanging="360"/>
      </w:pPr>
      <w:rPr>
        <w:rFonts w:ascii="Symbol" w:hAnsi="Symbol" w:hint="default"/>
        <w:color w:val="auto"/>
        <w:sz w:val="18"/>
      </w:rPr>
    </w:lvl>
    <w:lvl w:ilvl="1" w:tplc="1009000F">
      <w:start w:val="1"/>
      <w:numFmt w:val="decimal"/>
      <w:lvlText w:val="%2."/>
      <w:lvlJc w:val="left"/>
      <w:pPr>
        <w:ind w:left="1440" w:hanging="360"/>
      </w:pPr>
      <w:rPr>
        <w:rFonts w:hint="default"/>
        <w:color w:val="808080" w:themeColor="background1" w:themeShade="80"/>
      </w:rPr>
    </w:lvl>
    <w:lvl w:ilvl="2" w:tplc="0B5E7A32">
      <w:numFmt w:val="bullet"/>
      <w:lvlText w:val="-"/>
      <w:lvlJc w:val="left"/>
      <w:pPr>
        <w:ind w:left="2160" w:hanging="360"/>
      </w:pPr>
      <w:rPr>
        <w:rFonts w:ascii="Calibri" w:eastAsiaTheme="minorHAnsi" w:hAnsi="Calibri" w:cstheme="minorBid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4E47965"/>
    <w:multiLevelType w:val="hybridMultilevel"/>
    <w:tmpl w:val="BF7C851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6BA7528"/>
    <w:multiLevelType w:val="hybridMultilevel"/>
    <w:tmpl w:val="767E3900"/>
    <w:lvl w:ilvl="0" w:tplc="99BC3E3C">
      <w:start w:val="1"/>
      <w:numFmt w:val="bullet"/>
      <w:lvlText w:val=""/>
      <w:lvlJc w:val="left"/>
      <w:pPr>
        <w:ind w:left="720" w:hanging="360"/>
      </w:pPr>
      <w:rPr>
        <w:rFonts w:ascii="Wingdings" w:hAnsi="Wingdings" w:hint="default"/>
        <w:color w:val="808080" w:themeColor="background1" w:themeShade="80"/>
        <w:sz w:val="18"/>
      </w:rPr>
    </w:lvl>
    <w:lvl w:ilvl="1" w:tplc="1009000B">
      <w:start w:val="1"/>
      <w:numFmt w:val="bullet"/>
      <w:lvlText w:val=""/>
      <w:lvlJc w:val="left"/>
      <w:pPr>
        <w:ind w:left="1440" w:hanging="360"/>
      </w:pPr>
      <w:rPr>
        <w:rFonts w:ascii="Wingdings" w:hAnsi="Wingdings" w:hint="default"/>
        <w:color w:val="808080" w:themeColor="background1" w:themeShade="80"/>
        <w:sz w:val="18"/>
      </w:rPr>
    </w:lvl>
    <w:lvl w:ilvl="2" w:tplc="0FBC082E">
      <w:numFmt w:val="bullet"/>
      <w:lvlText w:val="•"/>
      <w:lvlJc w:val="left"/>
      <w:pPr>
        <w:ind w:left="2160" w:hanging="360"/>
      </w:pPr>
      <w:rPr>
        <w:rFonts w:ascii="Calibri" w:eastAsiaTheme="minorEastAsia" w:hAnsi="Calibri" w:cstheme="minorHAns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B62019E"/>
    <w:multiLevelType w:val="hybridMultilevel"/>
    <w:tmpl w:val="6994DAAC"/>
    <w:lvl w:ilvl="0" w:tplc="10090001">
      <w:start w:val="1"/>
      <w:numFmt w:val="bullet"/>
      <w:lvlText w:val=""/>
      <w:lvlJc w:val="left"/>
      <w:pPr>
        <w:ind w:left="758" w:hanging="360"/>
      </w:pPr>
      <w:rPr>
        <w:rFonts w:ascii="Symbol" w:hAnsi="Symbol" w:hint="default"/>
      </w:rPr>
    </w:lvl>
    <w:lvl w:ilvl="1" w:tplc="10090003">
      <w:start w:val="1"/>
      <w:numFmt w:val="bullet"/>
      <w:lvlText w:val="o"/>
      <w:lvlJc w:val="left"/>
      <w:pPr>
        <w:ind w:left="1478" w:hanging="360"/>
      </w:pPr>
      <w:rPr>
        <w:rFonts w:ascii="Courier New" w:hAnsi="Courier New" w:cs="Courier New" w:hint="default"/>
      </w:rPr>
    </w:lvl>
    <w:lvl w:ilvl="2" w:tplc="10090005">
      <w:start w:val="1"/>
      <w:numFmt w:val="bullet"/>
      <w:lvlText w:val=""/>
      <w:lvlJc w:val="left"/>
      <w:pPr>
        <w:ind w:left="2198" w:hanging="360"/>
      </w:pPr>
      <w:rPr>
        <w:rFonts w:ascii="Wingdings" w:hAnsi="Wingdings" w:hint="default"/>
      </w:rPr>
    </w:lvl>
    <w:lvl w:ilvl="3" w:tplc="10090001" w:tentative="1">
      <w:start w:val="1"/>
      <w:numFmt w:val="bullet"/>
      <w:lvlText w:val=""/>
      <w:lvlJc w:val="left"/>
      <w:pPr>
        <w:ind w:left="2918" w:hanging="360"/>
      </w:pPr>
      <w:rPr>
        <w:rFonts w:ascii="Symbol" w:hAnsi="Symbol" w:hint="default"/>
      </w:rPr>
    </w:lvl>
    <w:lvl w:ilvl="4" w:tplc="10090003" w:tentative="1">
      <w:start w:val="1"/>
      <w:numFmt w:val="bullet"/>
      <w:lvlText w:val="o"/>
      <w:lvlJc w:val="left"/>
      <w:pPr>
        <w:ind w:left="3638" w:hanging="360"/>
      </w:pPr>
      <w:rPr>
        <w:rFonts w:ascii="Courier New" w:hAnsi="Courier New" w:cs="Courier New" w:hint="default"/>
      </w:rPr>
    </w:lvl>
    <w:lvl w:ilvl="5" w:tplc="10090005" w:tentative="1">
      <w:start w:val="1"/>
      <w:numFmt w:val="bullet"/>
      <w:lvlText w:val=""/>
      <w:lvlJc w:val="left"/>
      <w:pPr>
        <w:ind w:left="4358" w:hanging="360"/>
      </w:pPr>
      <w:rPr>
        <w:rFonts w:ascii="Wingdings" w:hAnsi="Wingdings" w:hint="default"/>
      </w:rPr>
    </w:lvl>
    <w:lvl w:ilvl="6" w:tplc="10090001" w:tentative="1">
      <w:start w:val="1"/>
      <w:numFmt w:val="bullet"/>
      <w:lvlText w:val=""/>
      <w:lvlJc w:val="left"/>
      <w:pPr>
        <w:ind w:left="5078" w:hanging="360"/>
      </w:pPr>
      <w:rPr>
        <w:rFonts w:ascii="Symbol" w:hAnsi="Symbol" w:hint="default"/>
      </w:rPr>
    </w:lvl>
    <w:lvl w:ilvl="7" w:tplc="10090003" w:tentative="1">
      <w:start w:val="1"/>
      <w:numFmt w:val="bullet"/>
      <w:lvlText w:val="o"/>
      <w:lvlJc w:val="left"/>
      <w:pPr>
        <w:ind w:left="5798" w:hanging="360"/>
      </w:pPr>
      <w:rPr>
        <w:rFonts w:ascii="Courier New" w:hAnsi="Courier New" w:cs="Courier New" w:hint="default"/>
      </w:rPr>
    </w:lvl>
    <w:lvl w:ilvl="8" w:tplc="10090005" w:tentative="1">
      <w:start w:val="1"/>
      <w:numFmt w:val="bullet"/>
      <w:lvlText w:val=""/>
      <w:lvlJc w:val="left"/>
      <w:pPr>
        <w:ind w:left="6518" w:hanging="360"/>
      </w:pPr>
      <w:rPr>
        <w:rFonts w:ascii="Wingdings" w:hAnsi="Wingdings" w:hint="default"/>
      </w:rPr>
    </w:lvl>
  </w:abstractNum>
  <w:abstractNum w:abstractNumId="12">
    <w:nsid w:val="33045B7C"/>
    <w:multiLevelType w:val="hybridMultilevel"/>
    <w:tmpl w:val="D07CA130"/>
    <w:lvl w:ilvl="0" w:tplc="E70C6BDC">
      <w:start w:val="1"/>
      <w:numFmt w:val="bullet"/>
      <w:lvlText w:val=""/>
      <w:lvlJc w:val="left"/>
      <w:pPr>
        <w:ind w:left="720" w:hanging="360"/>
      </w:pPr>
      <w:rPr>
        <w:rFonts w:ascii="Wingdings" w:hAnsi="Wingdings" w:hint="default"/>
        <w:color w:val="808080" w:themeColor="background1" w:themeShade="8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61036E8"/>
    <w:multiLevelType w:val="hybridMultilevel"/>
    <w:tmpl w:val="A04293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8FE148C"/>
    <w:multiLevelType w:val="hybridMultilevel"/>
    <w:tmpl w:val="030AECC0"/>
    <w:lvl w:ilvl="0" w:tplc="E70C6BDC">
      <w:start w:val="1"/>
      <w:numFmt w:val="bullet"/>
      <w:lvlText w:val=""/>
      <w:lvlJc w:val="left"/>
      <w:pPr>
        <w:ind w:left="720" w:hanging="360"/>
      </w:pPr>
      <w:rPr>
        <w:rFonts w:ascii="Wingdings" w:hAnsi="Wingdings" w:hint="default"/>
        <w:color w:val="808080" w:themeColor="background1" w:themeShade="8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A6D23A7"/>
    <w:multiLevelType w:val="hybridMultilevel"/>
    <w:tmpl w:val="EB4EB8A2"/>
    <w:lvl w:ilvl="0" w:tplc="E70C6BDC">
      <w:start w:val="1"/>
      <w:numFmt w:val="bullet"/>
      <w:lvlText w:val=""/>
      <w:lvlJc w:val="left"/>
      <w:pPr>
        <w:ind w:left="720" w:hanging="360"/>
      </w:pPr>
      <w:rPr>
        <w:rFonts w:ascii="Wingdings" w:hAnsi="Wingdings" w:hint="default"/>
        <w:color w:val="808080" w:themeColor="background1" w:themeShade="8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EC0688B"/>
    <w:multiLevelType w:val="hybridMultilevel"/>
    <w:tmpl w:val="CACC750C"/>
    <w:lvl w:ilvl="0" w:tplc="1009000B">
      <w:start w:val="1"/>
      <w:numFmt w:val="bullet"/>
      <w:lvlText w:val=""/>
      <w:lvlJc w:val="left"/>
      <w:pPr>
        <w:ind w:left="720" w:hanging="360"/>
      </w:pPr>
      <w:rPr>
        <w:rFonts w:ascii="Wingdings" w:hAnsi="Wingdings" w:hint="default"/>
        <w:color w:val="808080" w:themeColor="background1" w:themeShade="80"/>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0C55A45"/>
    <w:multiLevelType w:val="hybridMultilevel"/>
    <w:tmpl w:val="8624B70A"/>
    <w:lvl w:ilvl="0" w:tplc="BD9A69CE">
      <w:start w:val="1"/>
      <w:numFmt w:val="bullet"/>
      <w:lvlText w:val=""/>
      <w:lvlJc w:val="left"/>
      <w:pPr>
        <w:ind w:left="720" w:hanging="360"/>
      </w:pPr>
      <w:rPr>
        <w:rFonts w:ascii="Symbol" w:hAnsi="Symbol" w:hint="default"/>
        <w:color w:val="auto"/>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0DC5B63"/>
    <w:multiLevelType w:val="hybridMultilevel"/>
    <w:tmpl w:val="4E9C44AC"/>
    <w:lvl w:ilvl="0" w:tplc="99BC3E3C">
      <w:start w:val="1"/>
      <w:numFmt w:val="bullet"/>
      <w:lvlText w:val=""/>
      <w:lvlJc w:val="left"/>
      <w:pPr>
        <w:ind w:left="720" w:hanging="360"/>
      </w:pPr>
      <w:rPr>
        <w:rFonts w:ascii="Wingdings" w:hAnsi="Wingdings" w:hint="default"/>
        <w:color w:val="808080" w:themeColor="background1" w:themeShade="80"/>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5433797"/>
    <w:multiLevelType w:val="hybridMultilevel"/>
    <w:tmpl w:val="C5AE5EA8"/>
    <w:lvl w:ilvl="0" w:tplc="99BC3E3C">
      <w:start w:val="1"/>
      <w:numFmt w:val="bullet"/>
      <w:lvlText w:val=""/>
      <w:lvlJc w:val="left"/>
      <w:pPr>
        <w:ind w:left="720" w:hanging="360"/>
      </w:pPr>
      <w:rPr>
        <w:rFonts w:ascii="Wingdings" w:hAnsi="Wingdings" w:hint="default"/>
        <w:color w:val="808080" w:themeColor="background1" w:themeShade="80"/>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6DB6944"/>
    <w:multiLevelType w:val="hybridMultilevel"/>
    <w:tmpl w:val="23CCBB2E"/>
    <w:lvl w:ilvl="0" w:tplc="99BC3E3C">
      <w:start w:val="1"/>
      <w:numFmt w:val="bullet"/>
      <w:lvlText w:val=""/>
      <w:lvlJc w:val="left"/>
      <w:pPr>
        <w:ind w:left="1080" w:hanging="360"/>
      </w:pPr>
      <w:rPr>
        <w:rFonts w:ascii="Wingdings" w:hAnsi="Wingdings" w:hint="default"/>
        <w:color w:val="808080" w:themeColor="background1" w:themeShade="80"/>
        <w:sz w:val="18"/>
      </w:rPr>
    </w:lvl>
    <w:lvl w:ilvl="1" w:tplc="0B5E7A32">
      <w:numFmt w:val="bullet"/>
      <w:lvlText w:val="-"/>
      <w:lvlJc w:val="left"/>
      <w:pPr>
        <w:ind w:left="1800" w:hanging="360"/>
      </w:pPr>
      <w:rPr>
        <w:rFonts w:ascii="Calibri" w:eastAsiaTheme="minorHAnsi" w:hAnsi="Calibri" w:cstheme="minorBidi"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59060A34"/>
    <w:multiLevelType w:val="hybridMultilevel"/>
    <w:tmpl w:val="18E209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4B247A4"/>
    <w:multiLevelType w:val="hybridMultilevel"/>
    <w:tmpl w:val="37D4430E"/>
    <w:lvl w:ilvl="0" w:tplc="99BC3E3C">
      <w:start w:val="1"/>
      <w:numFmt w:val="bullet"/>
      <w:lvlText w:val=""/>
      <w:lvlJc w:val="left"/>
      <w:pPr>
        <w:ind w:left="1080" w:hanging="360"/>
      </w:pPr>
      <w:rPr>
        <w:rFonts w:ascii="Wingdings" w:hAnsi="Wingdings" w:hint="default"/>
        <w:color w:val="808080" w:themeColor="background1" w:themeShade="80"/>
        <w:sz w:val="18"/>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65216927"/>
    <w:multiLevelType w:val="hybridMultilevel"/>
    <w:tmpl w:val="904418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68247E78"/>
    <w:multiLevelType w:val="hybridMultilevel"/>
    <w:tmpl w:val="CA606722"/>
    <w:lvl w:ilvl="0" w:tplc="ECFE4E7E">
      <w:start w:val="4"/>
      <w:numFmt w:val="bullet"/>
      <w:lvlText w:val="-"/>
      <w:lvlJc w:val="left"/>
      <w:pPr>
        <w:ind w:left="720" w:hanging="360"/>
      </w:pPr>
      <w:rPr>
        <w:rFonts w:ascii="Calibri" w:eastAsia="Times New Roman"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98847C3"/>
    <w:multiLevelType w:val="hybridMultilevel"/>
    <w:tmpl w:val="CA1AF00E"/>
    <w:lvl w:ilvl="0" w:tplc="10090001">
      <w:start w:val="1"/>
      <w:numFmt w:val="bullet"/>
      <w:lvlText w:val=""/>
      <w:lvlJc w:val="left"/>
      <w:pPr>
        <w:ind w:left="720" w:hanging="360"/>
      </w:pPr>
      <w:rPr>
        <w:rFonts w:ascii="Symbol" w:hAnsi="Symbol" w:hint="default"/>
      </w:rPr>
    </w:lvl>
    <w:lvl w:ilvl="1" w:tplc="99BC3E3C">
      <w:start w:val="1"/>
      <w:numFmt w:val="bullet"/>
      <w:lvlText w:val=""/>
      <w:lvlJc w:val="left"/>
      <w:pPr>
        <w:ind w:left="1440" w:hanging="360"/>
      </w:pPr>
      <w:rPr>
        <w:rFonts w:ascii="Wingdings" w:hAnsi="Wingdings" w:hint="default"/>
        <w:color w:val="808080" w:themeColor="background1" w:themeShade="80"/>
        <w:sz w:val="18"/>
      </w:rPr>
    </w:lvl>
    <w:lvl w:ilvl="2" w:tplc="2B3CE600">
      <w:start w:val="1"/>
      <w:numFmt w:val="bullet"/>
      <w:lvlText w:val=""/>
      <w:lvlJc w:val="left"/>
      <w:pPr>
        <w:ind w:left="2160" w:hanging="360"/>
      </w:pPr>
      <w:rPr>
        <w:rFonts w:ascii="Wingdings" w:hAnsi="Wingdings" w:hint="default"/>
        <w:color w:val="auto"/>
        <w:sz w:val="22"/>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1162282"/>
    <w:multiLevelType w:val="hybridMultilevel"/>
    <w:tmpl w:val="0D5E10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9D12B29"/>
    <w:multiLevelType w:val="hybridMultilevel"/>
    <w:tmpl w:val="FA68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6C2066"/>
    <w:multiLevelType w:val="hybridMultilevel"/>
    <w:tmpl w:val="6380A20E"/>
    <w:lvl w:ilvl="0" w:tplc="BD9A69CE">
      <w:start w:val="1"/>
      <w:numFmt w:val="bullet"/>
      <w:lvlText w:val=""/>
      <w:lvlJc w:val="left"/>
      <w:pPr>
        <w:ind w:left="720" w:hanging="360"/>
      </w:pPr>
      <w:rPr>
        <w:rFonts w:ascii="Symbol" w:hAnsi="Symbol" w:hint="default"/>
        <w:color w:val="auto"/>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10"/>
  </w:num>
  <w:num w:numId="4">
    <w:abstractNumId w:val="16"/>
  </w:num>
  <w:num w:numId="5">
    <w:abstractNumId w:val="25"/>
  </w:num>
  <w:num w:numId="6">
    <w:abstractNumId w:val="5"/>
  </w:num>
  <w:num w:numId="7">
    <w:abstractNumId w:val="13"/>
  </w:num>
  <w:num w:numId="8">
    <w:abstractNumId w:val="22"/>
  </w:num>
  <w:num w:numId="9">
    <w:abstractNumId w:val="20"/>
  </w:num>
  <w:num w:numId="10">
    <w:abstractNumId w:val="7"/>
  </w:num>
  <w:num w:numId="11">
    <w:abstractNumId w:val="21"/>
  </w:num>
  <w:num w:numId="12">
    <w:abstractNumId w:val="0"/>
  </w:num>
  <w:num w:numId="13">
    <w:abstractNumId w:val="24"/>
  </w:num>
  <w:num w:numId="14">
    <w:abstractNumId w:val="8"/>
  </w:num>
  <w:num w:numId="15">
    <w:abstractNumId w:val="26"/>
  </w:num>
  <w:num w:numId="16">
    <w:abstractNumId w:val="18"/>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8"/>
  </w:num>
  <w:num w:numId="20">
    <w:abstractNumId w:val="17"/>
  </w:num>
  <w:num w:numId="21">
    <w:abstractNumId w:val="15"/>
  </w:num>
  <w:num w:numId="22">
    <w:abstractNumId w:val="14"/>
  </w:num>
  <w:num w:numId="23">
    <w:abstractNumId w:val="23"/>
  </w:num>
  <w:num w:numId="24">
    <w:abstractNumId w:val="1"/>
  </w:num>
  <w:num w:numId="25">
    <w:abstractNumId w:val="2"/>
  </w:num>
  <w:num w:numId="26">
    <w:abstractNumId w:val="11"/>
  </w:num>
  <w:num w:numId="27">
    <w:abstractNumId w:val="9"/>
  </w:num>
  <w:num w:numId="28">
    <w:abstractNumId w:val="6"/>
  </w:num>
  <w:num w:numId="29">
    <w:abstractNumId w:val="27"/>
  </w:num>
  <w:num w:numId="30">
    <w:abstractNumId w:val="4"/>
  </w:num>
  <w:num w:numId="31">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95A"/>
    <w:rsid w:val="0001019D"/>
    <w:rsid w:val="00017B8A"/>
    <w:rsid w:val="00017F4A"/>
    <w:rsid w:val="00021156"/>
    <w:rsid w:val="000350C0"/>
    <w:rsid w:val="00035F2F"/>
    <w:rsid w:val="00035F76"/>
    <w:rsid w:val="00037B39"/>
    <w:rsid w:val="00044372"/>
    <w:rsid w:val="0004545C"/>
    <w:rsid w:val="0005311B"/>
    <w:rsid w:val="0005678E"/>
    <w:rsid w:val="00065632"/>
    <w:rsid w:val="00065A8F"/>
    <w:rsid w:val="0006696C"/>
    <w:rsid w:val="000715F0"/>
    <w:rsid w:val="00072D79"/>
    <w:rsid w:val="00073F95"/>
    <w:rsid w:val="0007543A"/>
    <w:rsid w:val="00077581"/>
    <w:rsid w:val="00082B1F"/>
    <w:rsid w:val="000833E8"/>
    <w:rsid w:val="0008505D"/>
    <w:rsid w:val="00090D27"/>
    <w:rsid w:val="00093F54"/>
    <w:rsid w:val="00094039"/>
    <w:rsid w:val="000A0EE2"/>
    <w:rsid w:val="000A65A8"/>
    <w:rsid w:val="000A78B9"/>
    <w:rsid w:val="000B5F59"/>
    <w:rsid w:val="000B6EE9"/>
    <w:rsid w:val="000B7A7F"/>
    <w:rsid w:val="000C1B7F"/>
    <w:rsid w:val="000C6AB8"/>
    <w:rsid w:val="000C7B07"/>
    <w:rsid w:val="000E1AC4"/>
    <w:rsid w:val="000F0449"/>
    <w:rsid w:val="00100036"/>
    <w:rsid w:val="00101BA5"/>
    <w:rsid w:val="00102EB4"/>
    <w:rsid w:val="00112967"/>
    <w:rsid w:val="00113139"/>
    <w:rsid w:val="00113BF6"/>
    <w:rsid w:val="0011438A"/>
    <w:rsid w:val="001153B9"/>
    <w:rsid w:val="00117136"/>
    <w:rsid w:val="00125067"/>
    <w:rsid w:val="00135725"/>
    <w:rsid w:val="00136EEC"/>
    <w:rsid w:val="0014279D"/>
    <w:rsid w:val="001453B4"/>
    <w:rsid w:val="001513E8"/>
    <w:rsid w:val="00152760"/>
    <w:rsid w:val="0016317E"/>
    <w:rsid w:val="00180D56"/>
    <w:rsid w:val="0018388C"/>
    <w:rsid w:val="00183ABF"/>
    <w:rsid w:val="00185D64"/>
    <w:rsid w:val="00186C0B"/>
    <w:rsid w:val="001873A7"/>
    <w:rsid w:val="00190F0E"/>
    <w:rsid w:val="0019520A"/>
    <w:rsid w:val="0019584F"/>
    <w:rsid w:val="001A0C30"/>
    <w:rsid w:val="001A2115"/>
    <w:rsid w:val="001A5598"/>
    <w:rsid w:val="001A69F5"/>
    <w:rsid w:val="001B1849"/>
    <w:rsid w:val="001B1C28"/>
    <w:rsid w:val="001B2DEA"/>
    <w:rsid w:val="001B5125"/>
    <w:rsid w:val="001C14C2"/>
    <w:rsid w:val="001C3BFE"/>
    <w:rsid w:val="001C57CC"/>
    <w:rsid w:val="001D332E"/>
    <w:rsid w:val="001D57DF"/>
    <w:rsid w:val="001D7E68"/>
    <w:rsid w:val="001E011B"/>
    <w:rsid w:val="001E44AF"/>
    <w:rsid w:val="001E6FF3"/>
    <w:rsid w:val="001F3F26"/>
    <w:rsid w:val="00203DB9"/>
    <w:rsid w:val="00205E29"/>
    <w:rsid w:val="00210721"/>
    <w:rsid w:val="00210D99"/>
    <w:rsid w:val="00211B33"/>
    <w:rsid w:val="00224A66"/>
    <w:rsid w:val="00225262"/>
    <w:rsid w:val="00230CD7"/>
    <w:rsid w:val="00232A45"/>
    <w:rsid w:val="002505FA"/>
    <w:rsid w:val="0025162B"/>
    <w:rsid w:val="002522E8"/>
    <w:rsid w:val="00255D50"/>
    <w:rsid w:val="002618B3"/>
    <w:rsid w:val="00264D6B"/>
    <w:rsid w:val="00267F11"/>
    <w:rsid w:val="00272285"/>
    <w:rsid w:val="0028224B"/>
    <w:rsid w:val="00284D99"/>
    <w:rsid w:val="002864E1"/>
    <w:rsid w:val="00287598"/>
    <w:rsid w:val="00287B1D"/>
    <w:rsid w:val="002945F7"/>
    <w:rsid w:val="002A085E"/>
    <w:rsid w:val="002A7658"/>
    <w:rsid w:val="002B016B"/>
    <w:rsid w:val="002B1B84"/>
    <w:rsid w:val="002C2CEC"/>
    <w:rsid w:val="002D4102"/>
    <w:rsid w:val="002D5921"/>
    <w:rsid w:val="002D7D50"/>
    <w:rsid w:val="002F56E6"/>
    <w:rsid w:val="002F721E"/>
    <w:rsid w:val="00301A7E"/>
    <w:rsid w:val="00307496"/>
    <w:rsid w:val="00310F33"/>
    <w:rsid w:val="0031368F"/>
    <w:rsid w:val="0031539E"/>
    <w:rsid w:val="003153EC"/>
    <w:rsid w:val="00322B5A"/>
    <w:rsid w:val="0032635B"/>
    <w:rsid w:val="003269DA"/>
    <w:rsid w:val="00333B8F"/>
    <w:rsid w:val="003443E8"/>
    <w:rsid w:val="003526EF"/>
    <w:rsid w:val="00355261"/>
    <w:rsid w:val="00355728"/>
    <w:rsid w:val="0035590F"/>
    <w:rsid w:val="00355B8B"/>
    <w:rsid w:val="00355E53"/>
    <w:rsid w:val="00360735"/>
    <w:rsid w:val="00360BC8"/>
    <w:rsid w:val="00360E65"/>
    <w:rsid w:val="00364807"/>
    <w:rsid w:val="00364ECC"/>
    <w:rsid w:val="00372F5B"/>
    <w:rsid w:val="00373555"/>
    <w:rsid w:val="00374575"/>
    <w:rsid w:val="0037616C"/>
    <w:rsid w:val="00381692"/>
    <w:rsid w:val="00383AE8"/>
    <w:rsid w:val="0039059B"/>
    <w:rsid w:val="003A7D98"/>
    <w:rsid w:val="003B1D60"/>
    <w:rsid w:val="003B7317"/>
    <w:rsid w:val="003C09F0"/>
    <w:rsid w:val="003C0F2E"/>
    <w:rsid w:val="003C4A8B"/>
    <w:rsid w:val="003C777F"/>
    <w:rsid w:val="003E11B9"/>
    <w:rsid w:val="003F1B1E"/>
    <w:rsid w:val="003F4CC5"/>
    <w:rsid w:val="003F678E"/>
    <w:rsid w:val="0040408B"/>
    <w:rsid w:val="00407245"/>
    <w:rsid w:val="00413DCE"/>
    <w:rsid w:val="00413F15"/>
    <w:rsid w:val="00420A85"/>
    <w:rsid w:val="00424815"/>
    <w:rsid w:val="004272A0"/>
    <w:rsid w:val="0043464A"/>
    <w:rsid w:val="004439F4"/>
    <w:rsid w:val="0044485D"/>
    <w:rsid w:val="00464F3B"/>
    <w:rsid w:val="00465548"/>
    <w:rsid w:val="004666E7"/>
    <w:rsid w:val="00466ADA"/>
    <w:rsid w:val="00471F63"/>
    <w:rsid w:val="00473F37"/>
    <w:rsid w:val="00476BFE"/>
    <w:rsid w:val="00485251"/>
    <w:rsid w:val="0048777B"/>
    <w:rsid w:val="004908FF"/>
    <w:rsid w:val="00490BBE"/>
    <w:rsid w:val="004925C5"/>
    <w:rsid w:val="00497466"/>
    <w:rsid w:val="004A306B"/>
    <w:rsid w:val="004B201A"/>
    <w:rsid w:val="004C201E"/>
    <w:rsid w:val="004C4815"/>
    <w:rsid w:val="004C67BC"/>
    <w:rsid w:val="004D07B7"/>
    <w:rsid w:val="004D179F"/>
    <w:rsid w:val="004D39DB"/>
    <w:rsid w:val="004D4B19"/>
    <w:rsid w:val="004D4E34"/>
    <w:rsid w:val="004D5E53"/>
    <w:rsid w:val="004E0D25"/>
    <w:rsid w:val="004E3BB8"/>
    <w:rsid w:val="004E71DA"/>
    <w:rsid w:val="004F3025"/>
    <w:rsid w:val="004F34CA"/>
    <w:rsid w:val="00501B61"/>
    <w:rsid w:val="00505B50"/>
    <w:rsid w:val="00512EA3"/>
    <w:rsid w:val="005136D2"/>
    <w:rsid w:val="005141CF"/>
    <w:rsid w:val="00526727"/>
    <w:rsid w:val="00527DF0"/>
    <w:rsid w:val="005344A1"/>
    <w:rsid w:val="00537E90"/>
    <w:rsid w:val="00540611"/>
    <w:rsid w:val="005468AB"/>
    <w:rsid w:val="00547C92"/>
    <w:rsid w:val="00551FC0"/>
    <w:rsid w:val="005522F0"/>
    <w:rsid w:val="00554141"/>
    <w:rsid w:val="00556E00"/>
    <w:rsid w:val="005575E3"/>
    <w:rsid w:val="00564ABC"/>
    <w:rsid w:val="0057265F"/>
    <w:rsid w:val="005768DF"/>
    <w:rsid w:val="0058027D"/>
    <w:rsid w:val="005814A9"/>
    <w:rsid w:val="005920E8"/>
    <w:rsid w:val="00592309"/>
    <w:rsid w:val="00597518"/>
    <w:rsid w:val="005A050D"/>
    <w:rsid w:val="005A098D"/>
    <w:rsid w:val="005A2B48"/>
    <w:rsid w:val="005A5277"/>
    <w:rsid w:val="005B33CD"/>
    <w:rsid w:val="005B5AA6"/>
    <w:rsid w:val="005C4E32"/>
    <w:rsid w:val="005C50DD"/>
    <w:rsid w:val="005C7B70"/>
    <w:rsid w:val="005D29F7"/>
    <w:rsid w:val="005E10D4"/>
    <w:rsid w:val="005E1684"/>
    <w:rsid w:val="005F0896"/>
    <w:rsid w:val="005F682B"/>
    <w:rsid w:val="005F7FD9"/>
    <w:rsid w:val="00601BEC"/>
    <w:rsid w:val="00602A98"/>
    <w:rsid w:val="00603C51"/>
    <w:rsid w:val="006074AF"/>
    <w:rsid w:val="00614914"/>
    <w:rsid w:val="00614E02"/>
    <w:rsid w:val="006174FB"/>
    <w:rsid w:val="006203B9"/>
    <w:rsid w:val="00627D63"/>
    <w:rsid w:val="006411B6"/>
    <w:rsid w:val="00641EF3"/>
    <w:rsid w:val="00646740"/>
    <w:rsid w:val="00650BD5"/>
    <w:rsid w:val="00651914"/>
    <w:rsid w:val="00667E41"/>
    <w:rsid w:val="0068318C"/>
    <w:rsid w:val="00692BF8"/>
    <w:rsid w:val="006935CF"/>
    <w:rsid w:val="00693732"/>
    <w:rsid w:val="006960B2"/>
    <w:rsid w:val="00696268"/>
    <w:rsid w:val="006969E1"/>
    <w:rsid w:val="006A378B"/>
    <w:rsid w:val="006A45C8"/>
    <w:rsid w:val="006B3080"/>
    <w:rsid w:val="006B3DA4"/>
    <w:rsid w:val="006C1443"/>
    <w:rsid w:val="006C4821"/>
    <w:rsid w:val="006C6C2A"/>
    <w:rsid w:val="006D05DC"/>
    <w:rsid w:val="006D1760"/>
    <w:rsid w:val="006D2BCF"/>
    <w:rsid w:val="006E4348"/>
    <w:rsid w:val="006F0C5B"/>
    <w:rsid w:val="006F10D7"/>
    <w:rsid w:val="006F441E"/>
    <w:rsid w:val="00703769"/>
    <w:rsid w:val="007055C6"/>
    <w:rsid w:val="00707F1A"/>
    <w:rsid w:val="00717391"/>
    <w:rsid w:val="00721775"/>
    <w:rsid w:val="00730359"/>
    <w:rsid w:val="007341F9"/>
    <w:rsid w:val="00736056"/>
    <w:rsid w:val="00736F55"/>
    <w:rsid w:val="00737D26"/>
    <w:rsid w:val="00746288"/>
    <w:rsid w:val="00751D8C"/>
    <w:rsid w:val="00757296"/>
    <w:rsid w:val="007579EF"/>
    <w:rsid w:val="00763B6B"/>
    <w:rsid w:val="00766E3E"/>
    <w:rsid w:val="00770F84"/>
    <w:rsid w:val="00773E9D"/>
    <w:rsid w:val="007768F0"/>
    <w:rsid w:val="00786687"/>
    <w:rsid w:val="007916F4"/>
    <w:rsid w:val="00795186"/>
    <w:rsid w:val="00796C49"/>
    <w:rsid w:val="007A3F71"/>
    <w:rsid w:val="007A513E"/>
    <w:rsid w:val="007A533C"/>
    <w:rsid w:val="007A640B"/>
    <w:rsid w:val="007A7F95"/>
    <w:rsid w:val="007B194C"/>
    <w:rsid w:val="007B5026"/>
    <w:rsid w:val="007C0B83"/>
    <w:rsid w:val="007C1369"/>
    <w:rsid w:val="007C28CC"/>
    <w:rsid w:val="007C51FE"/>
    <w:rsid w:val="007C657B"/>
    <w:rsid w:val="007D1EF0"/>
    <w:rsid w:val="007E3D5C"/>
    <w:rsid w:val="007E46D0"/>
    <w:rsid w:val="008064D3"/>
    <w:rsid w:val="00812A51"/>
    <w:rsid w:val="0081306B"/>
    <w:rsid w:val="00814026"/>
    <w:rsid w:val="00817180"/>
    <w:rsid w:val="00821384"/>
    <w:rsid w:val="00831FEF"/>
    <w:rsid w:val="00836718"/>
    <w:rsid w:val="008400E6"/>
    <w:rsid w:val="0084146B"/>
    <w:rsid w:val="00843D49"/>
    <w:rsid w:val="008521F1"/>
    <w:rsid w:val="00852BF5"/>
    <w:rsid w:val="008537BC"/>
    <w:rsid w:val="00864CCB"/>
    <w:rsid w:val="00870F8E"/>
    <w:rsid w:val="008761D5"/>
    <w:rsid w:val="00876334"/>
    <w:rsid w:val="00880EFA"/>
    <w:rsid w:val="00883887"/>
    <w:rsid w:val="008927FB"/>
    <w:rsid w:val="00896B02"/>
    <w:rsid w:val="008A7233"/>
    <w:rsid w:val="008B6EF3"/>
    <w:rsid w:val="008B76B5"/>
    <w:rsid w:val="008C0722"/>
    <w:rsid w:val="008C0B10"/>
    <w:rsid w:val="008C1AED"/>
    <w:rsid w:val="008C3166"/>
    <w:rsid w:val="008C571C"/>
    <w:rsid w:val="008D4A39"/>
    <w:rsid w:val="008D7CD2"/>
    <w:rsid w:val="008E6F50"/>
    <w:rsid w:val="008F0C4F"/>
    <w:rsid w:val="00901C62"/>
    <w:rsid w:val="0090317C"/>
    <w:rsid w:val="00904AD1"/>
    <w:rsid w:val="00910860"/>
    <w:rsid w:val="00910FEA"/>
    <w:rsid w:val="0091770D"/>
    <w:rsid w:val="00917D32"/>
    <w:rsid w:val="0092059C"/>
    <w:rsid w:val="009210B7"/>
    <w:rsid w:val="00924665"/>
    <w:rsid w:val="00941327"/>
    <w:rsid w:val="00941461"/>
    <w:rsid w:val="0094737D"/>
    <w:rsid w:val="0095326F"/>
    <w:rsid w:val="00964856"/>
    <w:rsid w:val="00977B2E"/>
    <w:rsid w:val="00997169"/>
    <w:rsid w:val="009A3ACF"/>
    <w:rsid w:val="009A7932"/>
    <w:rsid w:val="009B3625"/>
    <w:rsid w:val="009B36DE"/>
    <w:rsid w:val="009C4EC3"/>
    <w:rsid w:val="009C684C"/>
    <w:rsid w:val="009D1344"/>
    <w:rsid w:val="009D3F91"/>
    <w:rsid w:val="009D79A8"/>
    <w:rsid w:val="009E5B18"/>
    <w:rsid w:val="009E5FDA"/>
    <w:rsid w:val="009F038C"/>
    <w:rsid w:val="009F16E6"/>
    <w:rsid w:val="009F427C"/>
    <w:rsid w:val="009F5ACA"/>
    <w:rsid w:val="009F718D"/>
    <w:rsid w:val="009F7673"/>
    <w:rsid w:val="00A002AE"/>
    <w:rsid w:val="00A1280A"/>
    <w:rsid w:val="00A13252"/>
    <w:rsid w:val="00A24D30"/>
    <w:rsid w:val="00A31104"/>
    <w:rsid w:val="00A31EE3"/>
    <w:rsid w:val="00A32027"/>
    <w:rsid w:val="00A3356C"/>
    <w:rsid w:val="00A3798F"/>
    <w:rsid w:val="00A37DAC"/>
    <w:rsid w:val="00A40346"/>
    <w:rsid w:val="00A46B1A"/>
    <w:rsid w:val="00A46EE0"/>
    <w:rsid w:val="00A531D6"/>
    <w:rsid w:val="00A55790"/>
    <w:rsid w:val="00A60031"/>
    <w:rsid w:val="00A62C7F"/>
    <w:rsid w:val="00A639C0"/>
    <w:rsid w:val="00A67696"/>
    <w:rsid w:val="00A73AD4"/>
    <w:rsid w:val="00A81056"/>
    <w:rsid w:val="00A8592E"/>
    <w:rsid w:val="00A8658E"/>
    <w:rsid w:val="00A916A6"/>
    <w:rsid w:val="00A951F6"/>
    <w:rsid w:val="00AA5BBF"/>
    <w:rsid w:val="00AA679A"/>
    <w:rsid w:val="00AA6CF6"/>
    <w:rsid w:val="00AB27B0"/>
    <w:rsid w:val="00AB3569"/>
    <w:rsid w:val="00AB6846"/>
    <w:rsid w:val="00AC1244"/>
    <w:rsid w:val="00AC7A3B"/>
    <w:rsid w:val="00AE5B81"/>
    <w:rsid w:val="00AF09EE"/>
    <w:rsid w:val="00AF0C12"/>
    <w:rsid w:val="00AF3A04"/>
    <w:rsid w:val="00AF5FCA"/>
    <w:rsid w:val="00B040A9"/>
    <w:rsid w:val="00B1309E"/>
    <w:rsid w:val="00B14D30"/>
    <w:rsid w:val="00B22099"/>
    <w:rsid w:val="00B221E5"/>
    <w:rsid w:val="00B267C7"/>
    <w:rsid w:val="00B312AE"/>
    <w:rsid w:val="00B3519A"/>
    <w:rsid w:val="00B418B9"/>
    <w:rsid w:val="00B45391"/>
    <w:rsid w:val="00B475CE"/>
    <w:rsid w:val="00B519B6"/>
    <w:rsid w:val="00B5246E"/>
    <w:rsid w:val="00B54B99"/>
    <w:rsid w:val="00B62472"/>
    <w:rsid w:val="00B70DD5"/>
    <w:rsid w:val="00B71EBF"/>
    <w:rsid w:val="00B71EDF"/>
    <w:rsid w:val="00B720B9"/>
    <w:rsid w:val="00B80BBB"/>
    <w:rsid w:val="00B85ABE"/>
    <w:rsid w:val="00B86929"/>
    <w:rsid w:val="00B902BA"/>
    <w:rsid w:val="00BA0328"/>
    <w:rsid w:val="00BA25E4"/>
    <w:rsid w:val="00BA3990"/>
    <w:rsid w:val="00BA50B1"/>
    <w:rsid w:val="00BB24E4"/>
    <w:rsid w:val="00BB50CB"/>
    <w:rsid w:val="00BC5005"/>
    <w:rsid w:val="00BD79E2"/>
    <w:rsid w:val="00BE15FF"/>
    <w:rsid w:val="00BE23DB"/>
    <w:rsid w:val="00BE45F4"/>
    <w:rsid w:val="00BE5EFE"/>
    <w:rsid w:val="00BE7B93"/>
    <w:rsid w:val="00BF0E69"/>
    <w:rsid w:val="00BF24FE"/>
    <w:rsid w:val="00BF2B6D"/>
    <w:rsid w:val="00C15DD5"/>
    <w:rsid w:val="00C1601E"/>
    <w:rsid w:val="00C1668A"/>
    <w:rsid w:val="00C17080"/>
    <w:rsid w:val="00C1792E"/>
    <w:rsid w:val="00C2355A"/>
    <w:rsid w:val="00C235B0"/>
    <w:rsid w:val="00C3099F"/>
    <w:rsid w:val="00C312A1"/>
    <w:rsid w:val="00C33893"/>
    <w:rsid w:val="00C56603"/>
    <w:rsid w:val="00C57C2E"/>
    <w:rsid w:val="00C70669"/>
    <w:rsid w:val="00C7177F"/>
    <w:rsid w:val="00C72CD4"/>
    <w:rsid w:val="00C812A1"/>
    <w:rsid w:val="00C82B3E"/>
    <w:rsid w:val="00C86791"/>
    <w:rsid w:val="00CB1829"/>
    <w:rsid w:val="00CB3404"/>
    <w:rsid w:val="00CB7AF7"/>
    <w:rsid w:val="00CC5D70"/>
    <w:rsid w:val="00CC6E83"/>
    <w:rsid w:val="00CD0BD2"/>
    <w:rsid w:val="00CD3B5C"/>
    <w:rsid w:val="00CE0EE8"/>
    <w:rsid w:val="00CE42E5"/>
    <w:rsid w:val="00CE5090"/>
    <w:rsid w:val="00CE5F02"/>
    <w:rsid w:val="00CE607D"/>
    <w:rsid w:val="00CE7FBA"/>
    <w:rsid w:val="00CF20CB"/>
    <w:rsid w:val="00CF4168"/>
    <w:rsid w:val="00D11516"/>
    <w:rsid w:val="00D11639"/>
    <w:rsid w:val="00D118F4"/>
    <w:rsid w:val="00D1367B"/>
    <w:rsid w:val="00D22B4F"/>
    <w:rsid w:val="00D24184"/>
    <w:rsid w:val="00D25A4B"/>
    <w:rsid w:val="00D263FA"/>
    <w:rsid w:val="00D31DFC"/>
    <w:rsid w:val="00D345C4"/>
    <w:rsid w:val="00D37980"/>
    <w:rsid w:val="00D51C04"/>
    <w:rsid w:val="00D57CFC"/>
    <w:rsid w:val="00D60350"/>
    <w:rsid w:val="00D6049D"/>
    <w:rsid w:val="00D64094"/>
    <w:rsid w:val="00D712D2"/>
    <w:rsid w:val="00D743D1"/>
    <w:rsid w:val="00D87CBD"/>
    <w:rsid w:val="00D92D7E"/>
    <w:rsid w:val="00D954F3"/>
    <w:rsid w:val="00DA0143"/>
    <w:rsid w:val="00DA37F1"/>
    <w:rsid w:val="00DA4716"/>
    <w:rsid w:val="00DA6C0C"/>
    <w:rsid w:val="00DB1B46"/>
    <w:rsid w:val="00DB43F4"/>
    <w:rsid w:val="00DB6356"/>
    <w:rsid w:val="00DB65C9"/>
    <w:rsid w:val="00DB6CE5"/>
    <w:rsid w:val="00DC129E"/>
    <w:rsid w:val="00DD58C5"/>
    <w:rsid w:val="00DD5CAA"/>
    <w:rsid w:val="00DE11D0"/>
    <w:rsid w:val="00DE212B"/>
    <w:rsid w:val="00DE545A"/>
    <w:rsid w:val="00DE5742"/>
    <w:rsid w:val="00DE6AA9"/>
    <w:rsid w:val="00DF0BA1"/>
    <w:rsid w:val="00E01358"/>
    <w:rsid w:val="00E15D34"/>
    <w:rsid w:val="00E214B3"/>
    <w:rsid w:val="00E37149"/>
    <w:rsid w:val="00E37F4A"/>
    <w:rsid w:val="00E43D73"/>
    <w:rsid w:val="00E453FC"/>
    <w:rsid w:val="00E53D04"/>
    <w:rsid w:val="00E72867"/>
    <w:rsid w:val="00E76E1E"/>
    <w:rsid w:val="00E90848"/>
    <w:rsid w:val="00E95115"/>
    <w:rsid w:val="00E95B7F"/>
    <w:rsid w:val="00EA0C8C"/>
    <w:rsid w:val="00EA4FA3"/>
    <w:rsid w:val="00EA5AE8"/>
    <w:rsid w:val="00EA709C"/>
    <w:rsid w:val="00EA74F3"/>
    <w:rsid w:val="00EC3655"/>
    <w:rsid w:val="00EC47CC"/>
    <w:rsid w:val="00ED2192"/>
    <w:rsid w:val="00ED21D9"/>
    <w:rsid w:val="00ED3EA9"/>
    <w:rsid w:val="00EE611E"/>
    <w:rsid w:val="00EF2873"/>
    <w:rsid w:val="00EF5039"/>
    <w:rsid w:val="00EF5A45"/>
    <w:rsid w:val="00EF6242"/>
    <w:rsid w:val="00EF6CAB"/>
    <w:rsid w:val="00F0146B"/>
    <w:rsid w:val="00F0536E"/>
    <w:rsid w:val="00F131D3"/>
    <w:rsid w:val="00F134AE"/>
    <w:rsid w:val="00F1490D"/>
    <w:rsid w:val="00F2403E"/>
    <w:rsid w:val="00F34024"/>
    <w:rsid w:val="00F51239"/>
    <w:rsid w:val="00F56602"/>
    <w:rsid w:val="00F56CA2"/>
    <w:rsid w:val="00F56E52"/>
    <w:rsid w:val="00F614A9"/>
    <w:rsid w:val="00F635E5"/>
    <w:rsid w:val="00F669C1"/>
    <w:rsid w:val="00F70D22"/>
    <w:rsid w:val="00F713B8"/>
    <w:rsid w:val="00F77F48"/>
    <w:rsid w:val="00F8095A"/>
    <w:rsid w:val="00F82329"/>
    <w:rsid w:val="00F84115"/>
    <w:rsid w:val="00F914AA"/>
    <w:rsid w:val="00FA0928"/>
    <w:rsid w:val="00FA0A02"/>
    <w:rsid w:val="00FA0AE0"/>
    <w:rsid w:val="00FA4B45"/>
    <w:rsid w:val="00FA578C"/>
    <w:rsid w:val="00FA59EB"/>
    <w:rsid w:val="00FA5B62"/>
    <w:rsid w:val="00FB2C8A"/>
    <w:rsid w:val="00FB3B47"/>
    <w:rsid w:val="00FB4173"/>
    <w:rsid w:val="00FB51A1"/>
    <w:rsid w:val="00FB690E"/>
    <w:rsid w:val="00FC39DF"/>
    <w:rsid w:val="00FC61F5"/>
    <w:rsid w:val="00FD1E38"/>
    <w:rsid w:val="00FD349F"/>
    <w:rsid w:val="00FD3C8E"/>
    <w:rsid w:val="00FE1004"/>
    <w:rsid w:val="00FF0207"/>
    <w:rsid w:val="00FF195D"/>
    <w:rsid w:val="00FF2FB2"/>
    <w:rsid w:val="00FF4DF6"/>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E65A38"/>
  <w15:docId w15:val="{9547AD4A-0DAB-4F18-8B5D-18819514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F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809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F613B8"/>
    <w:rPr>
      <w:rFonts w:ascii="Lucida Grande" w:hAnsi="Lucida Grande"/>
      <w:sz w:val="18"/>
      <w:szCs w:val="18"/>
    </w:rPr>
  </w:style>
  <w:style w:type="paragraph" w:styleId="Header">
    <w:name w:val="header"/>
    <w:basedOn w:val="Normal"/>
    <w:link w:val="HeaderChar"/>
    <w:uiPriority w:val="99"/>
    <w:unhideWhenUsed/>
    <w:rsid w:val="00F80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95A"/>
  </w:style>
  <w:style w:type="paragraph" w:styleId="Footer">
    <w:name w:val="footer"/>
    <w:basedOn w:val="Normal"/>
    <w:link w:val="FooterChar"/>
    <w:uiPriority w:val="99"/>
    <w:unhideWhenUsed/>
    <w:rsid w:val="00F80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95A"/>
  </w:style>
  <w:style w:type="character" w:customStyle="1" w:styleId="BalloonTextChar1">
    <w:name w:val="Balloon Text Char1"/>
    <w:basedOn w:val="DefaultParagraphFont"/>
    <w:link w:val="BalloonText"/>
    <w:uiPriority w:val="99"/>
    <w:semiHidden/>
    <w:rsid w:val="00F8095A"/>
    <w:rPr>
      <w:rFonts w:ascii="Tahoma" w:hAnsi="Tahoma" w:cs="Tahoma"/>
      <w:sz w:val="16"/>
      <w:szCs w:val="16"/>
    </w:rPr>
  </w:style>
  <w:style w:type="paragraph" w:styleId="ListParagraph">
    <w:name w:val="List Paragraph"/>
    <w:basedOn w:val="Normal"/>
    <w:uiPriority w:val="34"/>
    <w:qFormat/>
    <w:rsid w:val="00F8095A"/>
    <w:pPr>
      <w:ind w:left="720"/>
      <w:contextualSpacing/>
    </w:pPr>
  </w:style>
  <w:style w:type="character" w:styleId="Hyperlink">
    <w:name w:val="Hyperlink"/>
    <w:basedOn w:val="DefaultParagraphFont"/>
    <w:uiPriority w:val="99"/>
    <w:unhideWhenUsed/>
    <w:rsid w:val="00F8095A"/>
    <w:rPr>
      <w:color w:val="0000FF" w:themeColor="hyperlink"/>
      <w:u w:val="single"/>
    </w:rPr>
  </w:style>
  <w:style w:type="paragraph" w:styleId="FootnoteText">
    <w:name w:val="footnote text"/>
    <w:basedOn w:val="Normal"/>
    <w:link w:val="FootnoteTextChar"/>
    <w:uiPriority w:val="99"/>
    <w:unhideWhenUsed/>
    <w:rsid w:val="00F8095A"/>
    <w:pPr>
      <w:spacing w:after="0" w:line="240" w:lineRule="auto"/>
    </w:pPr>
    <w:rPr>
      <w:sz w:val="20"/>
      <w:szCs w:val="20"/>
    </w:rPr>
  </w:style>
  <w:style w:type="character" w:customStyle="1" w:styleId="FootnoteTextChar">
    <w:name w:val="Footnote Text Char"/>
    <w:basedOn w:val="DefaultParagraphFont"/>
    <w:link w:val="FootnoteText"/>
    <w:uiPriority w:val="99"/>
    <w:rsid w:val="00F8095A"/>
    <w:rPr>
      <w:sz w:val="20"/>
      <w:szCs w:val="20"/>
    </w:rPr>
  </w:style>
  <w:style w:type="character" w:styleId="FootnoteReference">
    <w:name w:val="footnote reference"/>
    <w:basedOn w:val="DefaultParagraphFont"/>
    <w:uiPriority w:val="99"/>
    <w:unhideWhenUsed/>
    <w:rsid w:val="00F8095A"/>
    <w:rPr>
      <w:vertAlign w:val="superscript"/>
    </w:rPr>
  </w:style>
  <w:style w:type="character" w:styleId="CommentReference">
    <w:name w:val="annotation reference"/>
    <w:basedOn w:val="DefaultParagraphFont"/>
    <w:uiPriority w:val="99"/>
    <w:semiHidden/>
    <w:unhideWhenUsed/>
    <w:rsid w:val="00136EEC"/>
    <w:rPr>
      <w:sz w:val="16"/>
      <w:szCs w:val="16"/>
    </w:rPr>
  </w:style>
  <w:style w:type="paragraph" w:styleId="CommentText">
    <w:name w:val="annotation text"/>
    <w:basedOn w:val="Normal"/>
    <w:link w:val="CommentTextChar"/>
    <w:uiPriority w:val="99"/>
    <w:unhideWhenUsed/>
    <w:rsid w:val="00136EEC"/>
    <w:pPr>
      <w:spacing w:after="0" w:line="240" w:lineRule="auto"/>
    </w:pPr>
    <w:rPr>
      <w:sz w:val="20"/>
      <w:szCs w:val="20"/>
    </w:rPr>
  </w:style>
  <w:style w:type="character" w:customStyle="1" w:styleId="CommentTextChar">
    <w:name w:val="Comment Text Char"/>
    <w:basedOn w:val="DefaultParagraphFont"/>
    <w:link w:val="CommentText"/>
    <w:uiPriority w:val="99"/>
    <w:rsid w:val="00136EEC"/>
    <w:rPr>
      <w:sz w:val="20"/>
      <w:szCs w:val="20"/>
    </w:rPr>
  </w:style>
  <w:style w:type="paragraph" w:styleId="CommentSubject">
    <w:name w:val="annotation subject"/>
    <w:basedOn w:val="CommentText"/>
    <w:next w:val="CommentText"/>
    <w:link w:val="CommentSubjectChar"/>
    <w:rsid w:val="00333B8F"/>
    <w:pPr>
      <w:spacing w:after="200"/>
    </w:pPr>
    <w:rPr>
      <w:b/>
      <w:bCs/>
    </w:rPr>
  </w:style>
  <w:style w:type="character" w:customStyle="1" w:styleId="CommentSubjectChar">
    <w:name w:val="Comment Subject Char"/>
    <w:basedOn w:val="CommentTextChar"/>
    <w:link w:val="CommentSubject"/>
    <w:rsid w:val="00333B8F"/>
    <w:rPr>
      <w:b/>
      <w:bCs/>
      <w:sz w:val="20"/>
      <w:szCs w:val="20"/>
    </w:rPr>
  </w:style>
  <w:style w:type="table" w:styleId="TableGrid">
    <w:name w:val="Table Grid"/>
    <w:basedOn w:val="TableNormal"/>
    <w:uiPriority w:val="59"/>
    <w:rsid w:val="00FA09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945F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C82B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142921">
      <w:bodyDiv w:val="1"/>
      <w:marLeft w:val="0"/>
      <w:marRight w:val="0"/>
      <w:marTop w:val="0"/>
      <w:marBottom w:val="0"/>
      <w:divBdr>
        <w:top w:val="none" w:sz="0" w:space="0" w:color="auto"/>
        <w:left w:val="none" w:sz="0" w:space="0" w:color="auto"/>
        <w:bottom w:val="none" w:sz="0" w:space="0" w:color="auto"/>
        <w:right w:val="none" w:sz="0" w:space="0" w:color="auto"/>
      </w:divBdr>
    </w:div>
    <w:div w:id="1125386493">
      <w:bodyDiv w:val="1"/>
      <w:marLeft w:val="0"/>
      <w:marRight w:val="0"/>
      <w:marTop w:val="0"/>
      <w:marBottom w:val="0"/>
      <w:divBdr>
        <w:top w:val="none" w:sz="0" w:space="0" w:color="auto"/>
        <w:left w:val="none" w:sz="0" w:space="0" w:color="auto"/>
        <w:bottom w:val="none" w:sz="0" w:space="0" w:color="auto"/>
        <w:right w:val="none" w:sz="0" w:space="0" w:color="auto"/>
      </w:divBdr>
    </w:div>
    <w:div w:id="1506244274">
      <w:bodyDiv w:val="1"/>
      <w:marLeft w:val="0"/>
      <w:marRight w:val="0"/>
      <w:marTop w:val="0"/>
      <w:marBottom w:val="0"/>
      <w:divBdr>
        <w:top w:val="none" w:sz="0" w:space="0" w:color="auto"/>
        <w:left w:val="none" w:sz="0" w:space="0" w:color="auto"/>
        <w:bottom w:val="none" w:sz="0" w:space="0" w:color="auto"/>
        <w:right w:val="none" w:sz="0" w:space="0" w:color="auto"/>
      </w:divBdr>
      <w:divsChild>
        <w:div w:id="1780955379">
          <w:marLeft w:val="0"/>
          <w:marRight w:val="0"/>
          <w:marTop w:val="0"/>
          <w:marBottom w:val="0"/>
          <w:divBdr>
            <w:top w:val="none" w:sz="0" w:space="0" w:color="auto"/>
            <w:left w:val="none" w:sz="0" w:space="0" w:color="auto"/>
            <w:bottom w:val="none" w:sz="0" w:space="0" w:color="auto"/>
            <w:right w:val="none" w:sz="0" w:space="0" w:color="auto"/>
          </w:divBdr>
          <w:divsChild>
            <w:div w:id="1357535237">
              <w:marLeft w:val="0"/>
              <w:marRight w:val="0"/>
              <w:marTop w:val="0"/>
              <w:marBottom w:val="0"/>
              <w:divBdr>
                <w:top w:val="none" w:sz="0" w:space="0" w:color="auto"/>
                <w:left w:val="none" w:sz="0" w:space="0" w:color="auto"/>
                <w:bottom w:val="none" w:sz="0" w:space="0" w:color="auto"/>
                <w:right w:val="none" w:sz="0" w:space="0" w:color="auto"/>
              </w:divBdr>
              <w:divsChild>
                <w:div w:id="1179387156">
                  <w:marLeft w:val="0"/>
                  <w:marRight w:val="0"/>
                  <w:marTop w:val="0"/>
                  <w:marBottom w:val="0"/>
                  <w:divBdr>
                    <w:top w:val="none" w:sz="0" w:space="0" w:color="auto"/>
                    <w:left w:val="none" w:sz="0" w:space="0" w:color="auto"/>
                    <w:bottom w:val="none" w:sz="0" w:space="0" w:color="auto"/>
                    <w:right w:val="none" w:sz="0" w:space="0" w:color="auto"/>
                  </w:divBdr>
                  <w:divsChild>
                    <w:div w:id="2118524185">
                      <w:marLeft w:val="0"/>
                      <w:marRight w:val="0"/>
                      <w:marTop w:val="0"/>
                      <w:marBottom w:val="0"/>
                      <w:divBdr>
                        <w:top w:val="none" w:sz="0" w:space="0" w:color="auto"/>
                        <w:left w:val="none" w:sz="0" w:space="0" w:color="auto"/>
                        <w:bottom w:val="none" w:sz="0" w:space="0" w:color="auto"/>
                        <w:right w:val="none" w:sz="0" w:space="0" w:color="auto"/>
                      </w:divBdr>
                      <w:divsChild>
                        <w:div w:id="943849542">
                          <w:marLeft w:val="0"/>
                          <w:marRight w:val="0"/>
                          <w:marTop w:val="0"/>
                          <w:marBottom w:val="0"/>
                          <w:divBdr>
                            <w:top w:val="none" w:sz="0" w:space="0" w:color="auto"/>
                            <w:left w:val="none" w:sz="0" w:space="0" w:color="auto"/>
                            <w:bottom w:val="none" w:sz="0" w:space="0" w:color="auto"/>
                            <w:right w:val="none" w:sz="0" w:space="0" w:color="auto"/>
                          </w:divBdr>
                          <w:divsChild>
                            <w:div w:id="663895990">
                              <w:marLeft w:val="0"/>
                              <w:marRight w:val="0"/>
                              <w:marTop w:val="0"/>
                              <w:marBottom w:val="0"/>
                              <w:divBdr>
                                <w:top w:val="none" w:sz="0" w:space="0" w:color="auto"/>
                                <w:left w:val="none" w:sz="0" w:space="0" w:color="auto"/>
                                <w:bottom w:val="none" w:sz="0" w:space="0" w:color="auto"/>
                                <w:right w:val="none" w:sz="0" w:space="0" w:color="auto"/>
                              </w:divBdr>
                              <w:divsChild>
                                <w:div w:id="653723543">
                                  <w:marLeft w:val="0"/>
                                  <w:marRight w:val="0"/>
                                  <w:marTop w:val="0"/>
                                  <w:marBottom w:val="0"/>
                                  <w:divBdr>
                                    <w:top w:val="none" w:sz="0" w:space="0" w:color="auto"/>
                                    <w:left w:val="none" w:sz="0" w:space="0" w:color="auto"/>
                                    <w:bottom w:val="none" w:sz="0" w:space="0" w:color="auto"/>
                                    <w:right w:val="none" w:sz="0" w:space="0" w:color="auto"/>
                                  </w:divBdr>
                                  <w:divsChild>
                                    <w:div w:id="1797482261">
                                      <w:marLeft w:val="0"/>
                                      <w:marRight w:val="0"/>
                                      <w:marTop w:val="0"/>
                                      <w:marBottom w:val="0"/>
                                      <w:divBdr>
                                        <w:top w:val="none" w:sz="0" w:space="0" w:color="auto"/>
                                        <w:left w:val="none" w:sz="0" w:space="0" w:color="auto"/>
                                        <w:bottom w:val="none" w:sz="0" w:space="0" w:color="auto"/>
                                        <w:right w:val="none" w:sz="0" w:space="0" w:color="auto"/>
                                      </w:divBdr>
                                      <w:divsChild>
                                        <w:div w:id="480002756">
                                          <w:marLeft w:val="0"/>
                                          <w:marRight w:val="0"/>
                                          <w:marTop w:val="0"/>
                                          <w:marBottom w:val="0"/>
                                          <w:divBdr>
                                            <w:top w:val="none" w:sz="0" w:space="0" w:color="auto"/>
                                            <w:left w:val="none" w:sz="0" w:space="0" w:color="auto"/>
                                            <w:bottom w:val="none" w:sz="0" w:space="0" w:color="auto"/>
                                            <w:right w:val="none" w:sz="0" w:space="0" w:color="auto"/>
                                          </w:divBdr>
                                          <w:divsChild>
                                            <w:div w:id="355156287">
                                              <w:marLeft w:val="0"/>
                                              <w:marRight w:val="0"/>
                                              <w:marTop w:val="0"/>
                                              <w:marBottom w:val="0"/>
                                              <w:divBdr>
                                                <w:top w:val="none" w:sz="0" w:space="0" w:color="auto"/>
                                                <w:left w:val="none" w:sz="0" w:space="0" w:color="auto"/>
                                                <w:bottom w:val="none" w:sz="0" w:space="0" w:color="auto"/>
                                                <w:right w:val="none" w:sz="0" w:space="0" w:color="auto"/>
                                              </w:divBdr>
                                              <w:divsChild>
                                                <w:div w:id="28920297">
                                                  <w:marLeft w:val="0"/>
                                                  <w:marRight w:val="0"/>
                                                  <w:marTop w:val="0"/>
                                                  <w:marBottom w:val="0"/>
                                                  <w:divBdr>
                                                    <w:top w:val="none" w:sz="0" w:space="0" w:color="auto"/>
                                                    <w:left w:val="none" w:sz="0" w:space="0" w:color="auto"/>
                                                    <w:bottom w:val="none" w:sz="0" w:space="0" w:color="auto"/>
                                                    <w:right w:val="none" w:sz="0" w:space="0" w:color="auto"/>
                                                  </w:divBdr>
                                                  <w:divsChild>
                                                    <w:div w:id="329066615">
                                                      <w:marLeft w:val="0"/>
                                                      <w:marRight w:val="0"/>
                                                      <w:marTop w:val="0"/>
                                                      <w:marBottom w:val="0"/>
                                                      <w:divBdr>
                                                        <w:top w:val="none" w:sz="0" w:space="0" w:color="auto"/>
                                                        <w:left w:val="none" w:sz="0" w:space="0" w:color="auto"/>
                                                        <w:bottom w:val="none" w:sz="0" w:space="0" w:color="auto"/>
                                                        <w:right w:val="none" w:sz="0" w:space="0" w:color="auto"/>
                                                      </w:divBdr>
                                                      <w:divsChild>
                                                        <w:div w:id="264919307">
                                                          <w:marLeft w:val="0"/>
                                                          <w:marRight w:val="0"/>
                                                          <w:marTop w:val="0"/>
                                                          <w:marBottom w:val="0"/>
                                                          <w:divBdr>
                                                            <w:top w:val="none" w:sz="0" w:space="0" w:color="auto"/>
                                                            <w:left w:val="none" w:sz="0" w:space="0" w:color="auto"/>
                                                            <w:bottom w:val="none" w:sz="0" w:space="0" w:color="auto"/>
                                                            <w:right w:val="none" w:sz="0" w:space="0" w:color="auto"/>
                                                          </w:divBdr>
                                                          <w:divsChild>
                                                            <w:div w:id="253830043">
                                                              <w:marLeft w:val="0"/>
                                                              <w:marRight w:val="0"/>
                                                              <w:marTop w:val="0"/>
                                                              <w:marBottom w:val="0"/>
                                                              <w:divBdr>
                                                                <w:top w:val="none" w:sz="0" w:space="0" w:color="auto"/>
                                                                <w:left w:val="none" w:sz="0" w:space="0" w:color="auto"/>
                                                                <w:bottom w:val="none" w:sz="0" w:space="0" w:color="auto"/>
                                                                <w:right w:val="none" w:sz="0" w:space="0" w:color="auto"/>
                                                              </w:divBdr>
                                                              <w:divsChild>
                                                                <w:div w:id="488792882">
                                                                  <w:marLeft w:val="0"/>
                                                                  <w:marRight w:val="0"/>
                                                                  <w:marTop w:val="0"/>
                                                                  <w:marBottom w:val="0"/>
                                                                  <w:divBdr>
                                                                    <w:top w:val="none" w:sz="0" w:space="0" w:color="auto"/>
                                                                    <w:left w:val="none" w:sz="0" w:space="0" w:color="auto"/>
                                                                    <w:bottom w:val="none" w:sz="0" w:space="0" w:color="auto"/>
                                                                    <w:right w:val="none" w:sz="0" w:space="0" w:color="auto"/>
                                                                  </w:divBdr>
                                                                  <w:divsChild>
                                                                    <w:div w:id="1250500928">
                                                                      <w:marLeft w:val="0"/>
                                                                      <w:marRight w:val="0"/>
                                                                      <w:marTop w:val="0"/>
                                                                      <w:marBottom w:val="0"/>
                                                                      <w:divBdr>
                                                                        <w:top w:val="none" w:sz="0" w:space="0" w:color="auto"/>
                                                                        <w:left w:val="none" w:sz="0" w:space="0" w:color="auto"/>
                                                                        <w:bottom w:val="none" w:sz="0" w:space="0" w:color="auto"/>
                                                                        <w:right w:val="none" w:sz="0" w:space="0" w:color="auto"/>
                                                                      </w:divBdr>
                                                                      <w:divsChild>
                                                                        <w:div w:id="961619787">
                                                                          <w:marLeft w:val="0"/>
                                                                          <w:marRight w:val="0"/>
                                                                          <w:marTop w:val="0"/>
                                                                          <w:marBottom w:val="0"/>
                                                                          <w:divBdr>
                                                                            <w:top w:val="none" w:sz="0" w:space="0" w:color="auto"/>
                                                                            <w:left w:val="none" w:sz="0" w:space="0" w:color="auto"/>
                                                                            <w:bottom w:val="none" w:sz="0" w:space="0" w:color="auto"/>
                                                                            <w:right w:val="none" w:sz="0" w:space="0" w:color="auto"/>
                                                                          </w:divBdr>
                                                                          <w:divsChild>
                                                                            <w:div w:id="1254127105">
                                                                              <w:marLeft w:val="0"/>
                                                                              <w:marRight w:val="0"/>
                                                                              <w:marTop w:val="0"/>
                                                                              <w:marBottom w:val="0"/>
                                                                              <w:divBdr>
                                                                                <w:top w:val="none" w:sz="0" w:space="0" w:color="auto"/>
                                                                                <w:left w:val="none" w:sz="0" w:space="0" w:color="auto"/>
                                                                                <w:bottom w:val="none" w:sz="0" w:space="0" w:color="auto"/>
                                                                                <w:right w:val="none" w:sz="0" w:space="0" w:color="auto"/>
                                                                              </w:divBdr>
                                                                              <w:divsChild>
                                                                                <w:div w:id="750812594">
                                                                                  <w:marLeft w:val="0"/>
                                                                                  <w:marRight w:val="0"/>
                                                                                  <w:marTop w:val="0"/>
                                                                                  <w:marBottom w:val="0"/>
                                                                                  <w:divBdr>
                                                                                    <w:top w:val="none" w:sz="0" w:space="0" w:color="auto"/>
                                                                                    <w:left w:val="none" w:sz="0" w:space="0" w:color="auto"/>
                                                                                    <w:bottom w:val="none" w:sz="0" w:space="0" w:color="auto"/>
                                                                                    <w:right w:val="none" w:sz="0" w:space="0" w:color="auto"/>
                                                                                  </w:divBdr>
                                                                                  <w:divsChild>
                                                                                    <w:div w:id="331644134">
                                                                                      <w:marLeft w:val="0"/>
                                                                                      <w:marRight w:val="0"/>
                                                                                      <w:marTop w:val="0"/>
                                                                                      <w:marBottom w:val="0"/>
                                                                                      <w:divBdr>
                                                                                        <w:top w:val="none" w:sz="0" w:space="0" w:color="auto"/>
                                                                                        <w:left w:val="none" w:sz="0" w:space="0" w:color="auto"/>
                                                                                        <w:bottom w:val="none" w:sz="0" w:space="0" w:color="auto"/>
                                                                                        <w:right w:val="none" w:sz="0" w:space="0" w:color="auto"/>
                                                                                      </w:divBdr>
                                                                                      <w:divsChild>
                                                                                        <w:div w:id="250743679">
                                                                                          <w:marLeft w:val="0"/>
                                                                                          <w:marRight w:val="0"/>
                                                                                          <w:marTop w:val="0"/>
                                                                                          <w:marBottom w:val="0"/>
                                                                                          <w:divBdr>
                                                                                            <w:top w:val="none" w:sz="0" w:space="0" w:color="auto"/>
                                                                                            <w:left w:val="none" w:sz="0" w:space="0" w:color="auto"/>
                                                                                            <w:bottom w:val="none" w:sz="0" w:space="0" w:color="auto"/>
                                                                                            <w:right w:val="none" w:sz="0" w:space="0" w:color="auto"/>
                                                                                          </w:divBdr>
                                                                                          <w:divsChild>
                                                                                            <w:div w:id="785656899">
                                                                                              <w:marLeft w:val="0"/>
                                                                                              <w:marRight w:val="0"/>
                                                                                              <w:marTop w:val="0"/>
                                                                                              <w:marBottom w:val="0"/>
                                                                                              <w:divBdr>
                                                                                                <w:top w:val="none" w:sz="0" w:space="0" w:color="auto"/>
                                                                                                <w:left w:val="none" w:sz="0" w:space="0" w:color="auto"/>
                                                                                                <w:bottom w:val="none" w:sz="0" w:space="0" w:color="auto"/>
                                                                                                <w:right w:val="none" w:sz="0" w:space="0" w:color="auto"/>
                                                                                              </w:divBdr>
                                                                                              <w:divsChild>
                                                                                                <w:div w:id="1181042250">
                                                                                                  <w:marLeft w:val="0"/>
                                                                                                  <w:marRight w:val="0"/>
                                                                                                  <w:marTop w:val="0"/>
                                                                                                  <w:marBottom w:val="0"/>
                                                                                                  <w:divBdr>
                                                                                                    <w:top w:val="none" w:sz="0" w:space="0" w:color="auto"/>
                                                                                                    <w:left w:val="none" w:sz="0" w:space="0" w:color="auto"/>
                                                                                                    <w:bottom w:val="none" w:sz="0" w:space="0" w:color="auto"/>
                                                                                                    <w:right w:val="none" w:sz="0" w:space="0" w:color="auto"/>
                                                                                                  </w:divBdr>
                                                                                                  <w:divsChild>
                                                                                                    <w:div w:id="1335911323">
                                                                                                      <w:marLeft w:val="0"/>
                                                                                                      <w:marRight w:val="0"/>
                                                                                                      <w:marTop w:val="0"/>
                                                                                                      <w:marBottom w:val="0"/>
                                                                                                      <w:divBdr>
                                                                                                        <w:top w:val="none" w:sz="0" w:space="0" w:color="auto"/>
                                                                                                        <w:left w:val="none" w:sz="0" w:space="0" w:color="auto"/>
                                                                                                        <w:bottom w:val="none" w:sz="0" w:space="0" w:color="auto"/>
                                                                                                        <w:right w:val="none" w:sz="0" w:space="0" w:color="auto"/>
                                                                                                      </w:divBdr>
                                                                                                      <w:divsChild>
                                                                                                        <w:div w:id="1049182551">
                                                                                                          <w:marLeft w:val="0"/>
                                                                                                          <w:marRight w:val="0"/>
                                                                                                          <w:marTop w:val="0"/>
                                                                                                          <w:marBottom w:val="0"/>
                                                                                                          <w:divBdr>
                                                                                                            <w:top w:val="none" w:sz="0" w:space="0" w:color="auto"/>
                                                                                                            <w:left w:val="none" w:sz="0" w:space="0" w:color="auto"/>
                                                                                                            <w:bottom w:val="none" w:sz="0" w:space="0" w:color="auto"/>
                                                                                                            <w:right w:val="none" w:sz="0" w:space="0" w:color="auto"/>
                                                                                                          </w:divBdr>
                                                                                                          <w:divsChild>
                                                                                                            <w:div w:id="1565720584">
                                                                                                              <w:marLeft w:val="0"/>
                                                                                                              <w:marRight w:val="0"/>
                                                                                                              <w:marTop w:val="0"/>
                                                                                                              <w:marBottom w:val="0"/>
                                                                                                              <w:divBdr>
                                                                                                                <w:top w:val="none" w:sz="0" w:space="0" w:color="auto"/>
                                                                                                                <w:left w:val="none" w:sz="0" w:space="0" w:color="auto"/>
                                                                                                                <w:bottom w:val="none" w:sz="0" w:space="0" w:color="auto"/>
                                                                                                                <w:right w:val="none" w:sz="0" w:space="0" w:color="auto"/>
                                                                                                              </w:divBdr>
                                                                                                              <w:divsChild>
                                                                                                                <w:div w:id="1541700963">
                                                                                                                  <w:marLeft w:val="0"/>
                                                                                                                  <w:marRight w:val="0"/>
                                                                                                                  <w:marTop w:val="0"/>
                                                                                                                  <w:marBottom w:val="0"/>
                                                                                                                  <w:divBdr>
                                                                                                                    <w:top w:val="none" w:sz="0" w:space="0" w:color="auto"/>
                                                                                                                    <w:left w:val="none" w:sz="0" w:space="0" w:color="auto"/>
                                                                                                                    <w:bottom w:val="none" w:sz="0" w:space="0" w:color="auto"/>
                                                                                                                    <w:right w:val="none" w:sz="0" w:space="0" w:color="auto"/>
                                                                                                                  </w:divBdr>
                                                                                                                  <w:divsChild>
                                                                                                                    <w:div w:id="1230770823">
                                                                                                                      <w:marLeft w:val="0"/>
                                                                                                                      <w:marRight w:val="0"/>
                                                                                                                      <w:marTop w:val="0"/>
                                                                                                                      <w:marBottom w:val="0"/>
                                                                                                                      <w:divBdr>
                                                                                                                        <w:top w:val="none" w:sz="0" w:space="0" w:color="auto"/>
                                                                                                                        <w:left w:val="none" w:sz="0" w:space="0" w:color="auto"/>
                                                                                                                        <w:bottom w:val="none" w:sz="0" w:space="0" w:color="auto"/>
                                                                                                                        <w:right w:val="none" w:sz="0" w:space="0" w:color="auto"/>
                                                                                                                      </w:divBdr>
                                                                                                                      <w:divsChild>
                                                                                                                        <w:div w:id="261030614">
                                                                                                                          <w:marLeft w:val="0"/>
                                                                                                                          <w:marRight w:val="0"/>
                                                                                                                          <w:marTop w:val="0"/>
                                                                                                                          <w:marBottom w:val="0"/>
                                                                                                                          <w:divBdr>
                                                                                                                            <w:top w:val="none" w:sz="0" w:space="0" w:color="auto"/>
                                                                                                                            <w:left w:val="none" w:sz="0" w:space="0" w:color="auto"/>
                                                                                                                            <w:bottom w:val="none" w:sz="0" w:space="0" w:color="auto"/>
                                                                                                                            <w:right w:val="none" w:sz="0" w:space="0" w:color="auto"/>
                                                                                                                          </w:divBdr>
                                                                                                                          <w:divsChild>
                                                                                                                            <w:div w:id="1352293343">
                                                                                                                              <w:marLeft w:val="0"/>
                                                                                                                              <w:marRight w:val="0"/>
                                                                                                                              <w:marTop w:val="0"/>
                                                                                                                              <w:marBottom w:val="0"/>
                                                                                                                              <w:divBdr>
                                                                                                                                <w:top w:val="none" w:sz="0" w:space="0" w:color="auto"/>
                                                                                                                                <w:left w:val="none" w:sz="0" w:space="0" w:color="auto"/>
                                                                                                                                <w:bottom w:val="none" w:sz="0" w:space="0" w:color="auto"/>
                                                                                                                                <w:right w:val="none" w:sz="0" w:space="0" w:color="auto"/>
                                                                                                                              </w:divBdr>
                                                                                                                              <w:divsChild>
                                                                                                                                <w:div w:id="81487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8394612">
      <w:bodyDiv w:val="1"/>
      <w:marLeft w:val="0"/>
      <w:marRight w:val="0"/>
      <w:marTop w:val="0"/>
      <w:marBottom w:val="0"/>
      <w:divBdr>
        <w:top w:val="none" w:sz="0" w:space="0" w:color="auto"/>
        <w:left w:val="none" w:sz="0" w:space="0" w:color="auto"/>
        <w:bottom w:val="none" w:sz="0" w:space="0" w:color="auto"/>
        <w:right w:val="none" w:sz="0" w:space="0" w:color="auto"/>
      </w:divBdr>
    </w:div>
    <w:div w:id="1723284958">
      <w:bodyDiv w:val="1"/>
      <w:marLeft w:val="0"/>
      <w:marRight w:val="0"/>
      <w:marTop w:val="0"/>
      <w:marBottom w:val="0"/>
      <w:divBdr>
        <w:top w:val="none" w:sz="0" w:space="0" w:color="auto"/>
        <w:left w:val="none" w:sz="0" w:space="0" w:color="auto"/>
        <w:bottom w:val="none" w:sz="0" w:space="0" w:color="auto"/>
        <w:right w:val="none" w:sz="0" w:space="0" w:color="auto"/>
      </w:divBdr>
    </w:div>
    <w:div w:id="188941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6BB62-B457-4B14-9AEC-256C4260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1827</Words>
  <Characters>10416</Characters>
  <Application>Microsoft Office Word</Application>
  <DocSecurity>0</DocSecurity>
  <Lines>86</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12219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Schuller</dc:creator>
  <cp:lastModifiedBy>Jamil Jivraj</cp:lastModifiedBy>
  <cp:revision>5</cp:revision>
  <cp:lastPrinted>2013-09-19T16:17:00Z</cp:lastPrinted>
  <dcterms:created xsi:type="dcterms:W3CDTF">2013-12-17T18:47:00Z</dcterms:created>
  <dcterms:modified xsi:type="dcterms:W3CDTF">2014-01-24T00:44:00Z</dcterms:modified>
</cp:coreProperties>
</file>