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87" w:rsidRDefault="00154287" w:rsidP="00154287">
      <w:r>
        <w:t>Supplementary Table 2: Percentage of conference abstracts retrieved by each information source</w:t>
      </w:r>
    </w:p>
    <w:tbl>
      <w:tblPr>
        <w:tblStyle w:val="TableGrid"/>
        <w:tblW w:w="3893" w:type="pct"/>
        <w:tblLook w:val="04A0" w:firstRow="1" w:lastRow="0" w:firstColumn="1" w:lastColumn="0" w:noHBand="0" w:noVBand="1"/>
      </w:tblPr>
      <w:tblGrid>
        <w:gridCol w:w="2913"/>
        <w:gridCol w:w="4283"/>
      </w:tblGrid>
      <w:tr w:rsidR="00154287" w:rsidTr="002F7EE4">
        <w:tc>
          <w:tcPr>
            <w:tcW w:w="2024" w:type="pct"/>
            <w:shd w:val="clear" w:color="auto" w:fill="EEECE1" w:themeFill="background2"/>
          </w:tcPr>
          <w:p w:rsidR="00154287" w:rsidRDefault="00154287" w:rsidP="002F7EE4">
            <w:pPr>
              <w:spacing w:line="240" w:lineRule="auto"/>
            </w:pPr>
            <w:r>
              <w:t xml:space="preserve">Source </w:t>
            </w:r>
          </w:p>
        </w:tc>
        <w:tc>
          <w:tcPr>
            <w:tcW w:w="2976" w:type="pct"/>
            <w:shd w:val="clear" w:color="auto" w:fill="EEECE1" w:themeFill="background2"/>
          </w:tcPr>
          <w:p w:rsidR="00154287" w:rsidRDefault="00154287" w:rsidP="002F7EE4">
            <w:pPr>
              <w:spacing w:line="240" w:lineRule="auto"/>
            </w:pPr>
            <w:r>
              <w:t>Conference abstracts as a percentage of relevant records retrieved</w:t>
            </w:r>
          </w:p>
        </w:tc>
      </w:tr>
      <w:tr w:rsidR="00154287" w:rsidTr="002F7EE4">
        <w:tc>
          <w:tcPr>
            <w:tcW w:w="2024" w:type="pct"/>
          </w:tcPr>
          <w:p w:rsidR="00154287" w:rsidRPr="006D7168" w:rsidRDefault="00154287" w:rsidP="002F7EE4">
            <w:pPr>
              <w:spacing w:line="240" w:lineRule="auto"/>
              <w:rPr>
                <w:lang w:val="fr-FR"/>
              </w:rPr>
            </w:pPr>
            <w:r w:rsidRPr="006D7168">
              <w:rPr>
                <w:lang w:val="fr-FR"/>
              </w:rPr>
              <w:t xml:space="preserve">Science Citation Index (SCI) </w:t>
            </w:r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22% (11/51)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r>
              <w:t>EMBASE</w:t>
            </w:r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20% (10/51)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r>
              <w:t>MEDLINE</w:t>
            </w:r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4% (2/46)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proofErr w:type="spellStart"/>
            <w:r>
              <w:t>PubMED</w:t>
            </w:r>
            <w:proofErr w:type="spellEnd"/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4% (2/46)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r>
              <w:t>CENTRAL</w:t>
            </w:r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19% (4/21)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18% (3/17)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r>
              <w:t>Reference checking</w:t>
            </w:r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60% (11/15)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r>
              <w:t>Contacting authors</w:t>
            </w:r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0% (0/1)</w:t>
            </w:r>
          </w:p>
        </w:tc>
      </w:tr>
      <w:tr w:rsidR="00154287" w:rsidTr="002F7EE4">
        <w:tc>
          <w:tcPr>
            <w:tcW w:w="2024" w:type="pct"/>
          </w:tcPr>
          <w:p w:rsidR="00154287" w:rsidRDefault="00154287" w:rsidP="002F7EE4">
            <w:pPr>
              <w:spacing w:line="240" w:lineRule="auto"/>
            </w:pPr>
            <w:r>
              <w:t xml:space="preserve">Current awareness service </w:t>
            </w:r>
          </w:p>
        </w:tc>
        <w:tc>
          <w:tcPr>
            <w:tcW w:w="2976" w:type="pct"/>
          </w:tcPr>
          <w:p w:rsidR="00154287" w:rsidRDefault="00154287" w:rsidP="002F7EE4">
            <w:pPr>
              <w:spacing w:line="240" w:lineRule="auto"/>
            </w:pPr>
            <w:r>
              <w:t>0% (0/1)</w:t>
            </w:r>
          </w:p>
        </w:tc>
      </w:tr>
    </w:tbl>
    <w:p w:rsidR="00154287" w:rsidRDefault="00154287" w:rsidP="00154287"/>
    <w:p w:rsidR="009D0A4C" w:rsidRDefault="009D0A4C">
      <w:bookmarkStart w:id="0" w:name="_GoBack"/>
      <w:bookmarkEnd w:id="0"/>
    </w:p>
    <w:sectPr w:rsidR="009D0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87"/>
    <w:rsid w:val="00154287"/>
    <w:rsid w:val="009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87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87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A7D951AF.dotm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Golder</dc:creator>
  <cp:lastModifiedBy>Su Golder</cp:lastModifiedBy>
  <cp:revision>1</cp:revision>
  <dcterms:created xsi:type="dcterms:W3CDTF">2014-06-20T11:15:00Z</dcterms:created>
  <dcterms:modified xsi:type="dcterms:W3CDTF">2014-06-20T11:15:00Z</dcterms:modified>
</cp:coreProperties>
</file>