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52" w:rsidRPr="00E660FE" w:rsidRDefault="00BF6F52" w:rsidP="00BF6F52">
      <w:pPr>
        <w:jc w:val="both"/>
        <w:rPr>
          <w:rFonts w:cstheme="minorHAnsi"/>
          <w:b/>
          <w:sz w:val="22"/>
          <w:szCs w:val="22"/>
          <w:lang w:val="en-US"/>
        </w:rPr>
      </w:pP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Supplementary Figure 1: </w:t>
      </w:r>
      <w:r w:rsidRPr="00E660FE">
        <w:rPr>
          <w:rFonts w:cstheme="minorHAnsi"/>
          <w:b/>
          <w:sz w:val="22"/>
          <w:szCs w:val="22"/>
          <w:lang w:val="en-US"/>
        </w:rPr>
        <w:t xml:space="preserve">One way sensitivity analysis. </w:t>
      </w:r>
      <w:proofErr w:type="gramStart"/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>Tornado diagram.</w:t>
      </w:r>
      <w:proofErr w:type="gramEnd"/>
      <w:r w:rsidRPr="00E660FE">
        <w:rPr>
          <w:rFonts w:cstheme="minorHAnsi"/>
          <w:b/>
          <w:sz w:val="22"/>
          <w:szCs w:val="22"/>
          <w:lang w:val="en-US"/>
        </w:rPr>
        <w:t xml:space="preserve"> Averages, maximums and minimums of all countries’ variations with respect to their base case ICERs.</w:t>
      </w:r>
      <w:r w:rsidRPr="00E660FE">
        <w:rPr>
          <w:rFonts w:cstheme="minorHAnsi"/>
          <w:b/>
          <w:noProof/>
          <w:sz w:val="22"/>
          <w:szCs w:val="22"/>
          <w:lang w:val="es-AR" w:eastAsia="es-AR"/>
        </w:rPr>
        <w:drawing>
          <wp:inline distT="0" distB="0" distL="0" distR="0">
            <wp:extent cx="5400040" cy="3468776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6F52" w:rsidRPr="00E660FE" w:rsidRDefault="00BF6F52" w:rsidP="00BF6F52">
      <w:pPr>
        <w:jc w:val="both"/>
        <w:rPr>
          <w:rFonts w:cstheme="minorHAnsi"/>
          <w:b/>
          <w:sz w:val="22"/>
          <w:szCs w:val="22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BF6F52" w:rsidRPr="00EC757B" w:rsidTr="0088183A">
        <w:trPr>
          <w:jc w:val="center"/>
        </w:trPr>
        <w:tc>
          <w:tcPr>
            <w:tcW w:w="8720" w:type="dxa"/>
          </w:tcPr>
          <w:p w:rsidR="00BF6F52" w:rsidRPr="00E660FE" w:rsidRDefault="00BF6F52" w:rsidP="0088183A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BF6F52" w:rsidRPr="00EC757B" w:rsidTr="0088183A">
        <w:trPr>
          <w:jc w:val="center"/>
        </w:trPr>
        <w:tc>
          <w:tcPr>
            <w:tcW w:w="8720" w:type="dxa"/>
          </w:tcPr>
          <w:p w:rsidR="00BF6F52" w:rsidRPr="00E660FE" w:rsidRDefault="00BF6F52" w:rsidP="0088183A">
            <w:pPr>
              <w:jc w:val="both"/>
              <w:rPr>
                <w:rFonts w:ascii="Calibri" w:hAnsi="Calibri" w:cs="Calibri"/>
                <w:i/>
                <w:color w:val="000000"/>
                <w:sz w:val="16"/>
                <w:szCs w:val="16"/>
                <w:lang w:val="en-US" w:eastAsia="es-AR"/>
              </w:rPr>
            </w:pPr>
            <w:r w:rsidRPr="00E660FE">
              <w:rPr>
                <w:rFonts w:ascii="Calibri" w:hAnsi="Calibri" w:cs="Calibri"/>
                <w:i/>
                <w:color w:val="000000"/>
                <w:sz w:val="16"/>
                <w:szCs w:val="16"/>
                <w:lang w:val="en-US" w:eastAsia="es-AR"/>
              </w:rPr>
              <w:t>NOTES</w:t>
            </w:r>
            <w:r w:rsidRPr="00E660FE">
              <w:rPr>
                <w:rFonts w:ascii="Calibri" w:hAnsi="Calibri" w:cs="Calibri"/>
                <w:i/>
                <w:color w:val="000000"/>
                <w:sz w:val="16"/>
                <w:szCs w:val="16"/>
                <w:lang w:val="en-US" w:eastAsia="es-AR"/>
              </w:rPr>
              <w:br/>
              <w:t>R: Remission; LR: Loco</w:t>
            </w:r>
            <w:r>
              <w:rPr>
                <w:rFonts w:ascii="Calibri" w:hAnsi="Calibri" w:cs="Calibri"/>
                <w:i/>
                <w:color w:val="000000"/>
                <w:sz w:val="16"/>
                <w:szCs w:val="16"/>
                <w:lang w:val="en-US" w:eastAsia="es-AR"/>
              </w:rPr>
              <w:t xml:space="preserve"> </w:t>
            </w:r>
            <w:r w:rsidRPr="00E660FE">
              <w:rPr>
                <w:rFonts w:ascii="Calibri" w:hAnsi="Calibri" w:cs="Calibri"/>
                <w:i/>
                <w:color w:val="000000"/>
                <w:sz w:val="16"/>
                <w:szCs w:val="16"/>
                <w:lang w:val="en-US" w:eastAsia="es-AR"/>
              </w:rPr>
              <w:t>regional Recurrence; M: Metastasis; BCD: Breast Cancer Death; Adjustment rate: Percentage of adjustment of the transition probabilities from the base case; Her2+: Percentage of population that have positive Her2 tests; HF: Heart failure.</w:t>
            </w:r>
          </w:p>
          <w:p w:rsidR="00BF6F52" w:rsidRPr="00E660FE" w:rsidRDefault="00BF6F52" w:rsidP="0088183A">
            <w:pPr>
              <w:jc w:val="both"/>
              <w:rPr>
                <w:rFonts w:ascii="Calibri" w:hAnsi="Calibri" w:cs="Calibri"/>
                <w:i/>
                <w:color w:val="000000"/>
                <w:sz w:val="16"/>
                <w:szCs w:val="16"/>
                <w:lang w:val="en-US" w:eastAsia="es-AR"/>
              </w:rPr>
            </w:pPr>
            <w:r w:rsidRPr="00E660FE">
              <w:rPr>
                <w:rFonts w:ascii="Calibri" w:hAnsi="Calibri" w:cs="Calibri"/>
                <w:i/>
                <w:color w:val="000000"/>
                <w:sz w:val="16"/>
                <w:szCs w:val="16"/>
                <w:lang w:val="en-US" w:eastAsia="es-AR"/>
              </w:rPr>
              <w:t>Values are expressed in % from the base case ICER</w:t>
            </w:r>
          </w:p>
          <w:p w:rsidR="00BF6F52" w:rsidRPr="00E660FE" w:rsidRDefault="00BF6F52" w:rsidP="0088183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</w:tr>
    </w:tbl>
    <w:p w:rsidR="0020191D" w:rsidRPr="00BF6F52" w:rsidRDefault="0020191D">
      <w:pPr>
        <w:rPr>
          <w:lang w:val="en-US"/>
        </w:rPr>
      </w:pPr>
    </w:p>
    <w:sectPr w:rsidR="0020191D" w:rsidRPr="00BF6F52" w:rsidSect="002019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F6F52"/>
    <w:rsid w:val="0020191D"/>
    <w:rsid w:val="00B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52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F6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6F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F5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garay\Documents\IECS\Trastuzumab\Modelo\Modelo%2046.0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plotArea>
      <c:layout>
        <c:manualLayout>
          <c:layoutTarget val="inner"/>
          <c:xMode val="edge"/>
          <c:yMode val="edge"/>
          <c:x val="0.37636574074074625"/>
          <c:y val="5.4054054054054092E-2"/>
          <c:w val="0.50784813356663761"/>
          <c:h val="0.80367255444420804"/>
        </c:manualLayout>
      </c:layout>
      <c:barChart>
        <c:barDir val="bar"/>
        <c:grouping val="clustered"/>
        <c:ser>
          <c:idx val="0"/>
          <c:order val="0"/>
          <c:tx>
            <c:v>Lower value of the range (Average of countries)</c:v>
          </c:tx>
          <c:spPr>
            <a:solidFill>
              <a:schemeClr val="bg1">
                <a:lumMod val="75000"/>
              </a:schemeClr>
            </a:solidFill>
          </c:spPr>
          <c:cat>
            <c:strRef>
              <c:f>'Tornados por país - GDP'!$B$46:$B$60</c:f>
              <c:strCache>
                <c:ptCount val="15"/>
                <c:pt idx="0">
                  <c:v>Remission costs</c:v>
                </c:pt>
                <c:pt idx="1">
                  <c:v>Transition probabilities: RL&gt;M</c:v>
                </c:pt>
                <c:pt idx="2">
                  <c:v>Utilities: RL</c:v>
                </c:pt>
                <c:pt idx="3">
                  <c:v>Transition probabilities: R&gt;LR</c:v>
                </c:pt>
                <c:pt idx="4">
                  <c:v>Utilities: M</c:v>
                </c:pt>
                <c:pt idx="5">
                  <c:v>Mortality</c:v>
                </c:pt>
                <c:pt idx="6">
                  <c:v>Utilities: R</c:v>
                </c:pt>
                <c:pt idx="7">
                  <c:v>Heart failure adjustment</c:v>
                </c:pt>
                <c:pt idx="8">
                  <c:v>Duration of HF </c:v>
                </c:pt>
                <c:pt idx="9">
                  <c:v>Transition probabilities: M&gt;BCD</c:v>
                </c:pt>
                <c:pt idx="10">
                  <c:v>Utilities: HF</c:v>
                </c:pt>
                <c:pt idx="11">
                  <c:v>Transition probabilities: R&gt;M</c:v>
                </c:pt>
                <c:pt idx="12">
                  <c:v>Trastuzumab treatment costs</c:v>
                </c:pt>
                <c:pt idx="13">
                  <c:v>Hazard ratio Trastuzumab</c:v>
                </c:pt>
                <c:pt idx="14">
                  <c:v>Discount rate</c:v>
                </c:pt>
              </c:strCache>
            </c:strRef>
          </c:cat>
          <c:val>
            <c:numRef>
              <c:f>'Tornados por país - GDP'!$H$66:$H$80</c:f>
              <c:numCache>
                <c:formatCode>0.00%</c:formatCode>
                <c:ptCount val="15"/>
                <c:pt idx="0">
                  <c:v>5.2923895553965324E-3</c:v>
                </c:pt>
                <c:pt idx="1">
                  <c:v>8.8292503654795046E-3</c:v>
                </c:pt>
                <c:pt idx="2">
                  <c:v>1.1817076331310395E-2</c:v>
                </c:pt>
                <c:pt idx="3">
                  <c:v>-1.7660173078601963E-2</c:v>
                </c:pt>
                <c:pt idx="4">
                  <c:v>-2.0924844189523856E-2</c:v>
                </c:pt>
                <c:pt idx="5">
                  <c:v>-3.6459847066331104E-2</c:v>
                </c:pt>
                <c:pt idx="6">
                  <c:v>5.762210512822092E-2</c:v>
                </c:pt>
                <c:pt idx="7">
                  <c:v>-3.3961888717455542E-2</c:v>
                </c:pt>
                <c:pt idx="8">
                  <c:v>-5.7822618738671533E-2</c:v>
                </c:pt>
                <c:pt idx="9">
                  <c:v>8.4559835976351957E-2</c:v>
                </c:pt>
                <c:pt idx="10">
                  <c:v>0.13837638909554439</c:v>
                </c:pt>
                <c:pt idx="11">
                  <c:v>0.20220626652161341</c:v>
                </c:pt>
                <c:pt idx="12">
                  <c:v>-0.26137087176262419</c:v>
                </c:pt>
                <c:pt idx="13">
                  <c:v>-0.24519930746654586</c:v>
                </c:pt>
                <c:pt idx="14">
                  <c:v>-0.55454377600286353</c:v>
                </c:pt>
              </c:numCache>
            </c:numRef>
          </c:val>
        </c:ser>
        <c:ser>
          <c:idx val="1"/>
          <c:order val="1"/>
          <c:tx>
            <c:v>Upper value of the range (average of countries)</c:v>
          </c:tx>
          <c:spPr>
            <a:solidFill>
              <a:schemeClr val="bg1">
                <a:lumMod val="50000"/>
              </a:schemeClr>
            </a:solidFill>
          </c:spPr>
          <c:cat>
            <c:strRef>
              <c:f>'Tornados por país - GDP'!$B$46:$B$60</c:f>
              <c:strCache>
                <c:ptCount val="15"/>
                <c:pt idx="0">
                  <c:v>Remission costs</c:v>
                </c:pt>
                <c:pt idx="1">
                  <c:v>Transition probabilities: RL&gt;M</c:v>
                </c:pt>
                <c:pt idx="2">
                  <c:v>Utilities: RL</c:v>
                </c:pt>
                <c:pt idx="3">
                  <c:v>Transition probabilities: R&gt;LR</c:v>
                </c:pt>
                <c:pt idx="4">
                  <c:v>Utilities: M</c:v>
                </c:pt>
                <c:pt idx="5">
                  <c:v>Mortality</c:v>
                </c:pt>
                <c:pt idx="6">
                  <c:v>Utilities: R</c:v>
                </c:pt>
                <c:pt idx="7">
                  <c:v>Heart failure adjustment</c:v>
                </c:pt>
                <c:pt idx="8">
                  <c:v>Duration of HF </c:v>
                </c:pt>
                <c:pt idx="9">
                  <c:v>Transition probabilities: M&gt;BCD</c:v>
                </c:pt>
                <c:pt idx="10">
                  <c:v>Utilities: HF</c:v>
                </c:pt>
                <c:pt idx="11">
                  <c:v>Transition probabilities: R&gt;M</c:v>
                </c:pt>
                <c:pt idx="12">
                  <c:v>Trastuzumab treatment costs</c:v>
                </c:pt>
                <c:pt idx="13">
                  <c:v>Hazard ratio Trastuzumab</c:v>
                </c:pt>
                <c:pt idx="14">
                  <c:v>Discount rate</c:v>
                </c:pt>
              </c:strCache>
            </c:strRef>
          </c:cat>
          <c:val>
            <c:numRef>
              <c:f>'Tornados por país - GDP'!$I$66:$I$80</c:f>
              <c:numCache>
                <c:formatCode>0.00%</c:formatCode>
                <c:ptCount val="15"/>
                <c:pt idx="0">
                  <c:v>-3.3480572203573558E-3</c:v>
                </c:pt>
                <c:pt idx="1">
                  <c:v>-7.1772332737098914E-3</c:v>
                </c:pt>
                <c:pt idx="2">
                  <c:v>-8.1563981431932286E-3</c:v>
                </c:pt>
                <c:pt idx="3">
                  <c:v>1.7193644391626104E-2</c:v>
                </c:pt>
                <c:pt idx="4">
                  <c:v>1.9699018811594988E-2</c:v>
                </c:pt>
                <c:pt idx="5">
                  <c:v>3.4360080417264918E-2</c:v>
                </c:pt>
                <c:pt idx="6">
                  <c:v>-4.5481083736918324E-2</c:v>
                </c:pt>
                <c:pt idx="7">
                  <c:v>4.3754641547204813E-2</c:v>
                </c:pt>
                <c:pt idx="8">
                  <c:v>6.593362479575092E-2</c:v>
                </c:pt>
                <c:pt idx="9">
                  <c:v>-3.213308652562586E-2</c:v>
                </c:pt>
                <c:pt idx="10">
                  <c:v>-0.10837085464785004</c:v>
                </c:pt>
                <c:pt idx="11">
                  <c:v>-0.12638487514909519</c:v>
                </c:pt>
                <c:pt idx="12">
                  <c:v>0.26137087176262447</c:v>
                </c:pt>
                <c:pt idx="13">
                  <c:v>0.45696209430238438</c:v>
                </c:pt>
                <c:pt idx="14">
                  <c:v>0.87133832876223727</c:v>
                </c:pt>
              </c:numCache>
            </c:numRef>
          </c:val>
        </c:ser>
        <c:ser>
          <c:idx val="2"/>
          <c:order val="2"/>
          <c:spPr>
            <a:noFill/>
            <a:ln>
              <a:solidFill>
                <a:schemeClr val="tx1"/>
              </a:solidFill>
              <a:prstDash val="sysDash"/>
            </a:ln>
          </c:spPr>
          <c:val>
            <c:numRef>
              <c:f>'Tornados por país - GDP'!$J$66:$J$80</c:f>
              <c:numCache>
                <c:formatCode>0.00%</c:formatCode>
                <c:ptCount val="15"/>
                <c:pt idx="0">
                  <c:v>1.162446472143498E-2</c:v>
                </c:pt>
                <c:pt idx="1">
                  <c:v>1.129572130721802E-2</c:v>
                </c:pt>
                <c:pt idx="2">
                  <c:v>2.2759906496334012E-2</c:v>
                </c:pt>
                <c:pt idx="3">
                  <c:v>-2.1086673107097671E-2</c:v>
                </c:pt>
                <c:pt idx="4">
                  <c:v>-2.3506785957030367E-2</c:v>
                </c:pt>
                <c:pt idx="5">
                  <c:v>-4.8007449455744984E-2</c:v>
                </c:pt>
                <c:pt idx="6">
                  <c:v>6.0655698661251652E-2</c:v>
                </c:pt>
                <c:pt idx="7">
                  <c:v>-5.1432051445027119E-2</c:v>
                </c:pt>
                <c:pt idx="8">
                  <c:v>-6.1371273886166484E-2</c:v>
                </c:pt>
                <c:pt idx="9">
                  <c:v>0.11698921594075615</c:v>
                </c:pt>
                <c:pt idx="10">
                  <c:v>0.14527087838773145</c:v>
                </c:pt>
                <c:pt idx="11">
                  <c:v>0.21453677936030821</c:v>
                </c:pt>
                <c:pt idx="12">
                  <c:v>-0.29262401872491256</c:v>
                </c:pt>
                <c:pt idx="13">
                  <c:v>-0.2670572041486845</c:v>
                </c:pt>
                <c:pt idx="14">
                  <c:v>-0.57570624725344965</c:v>
                </c:pt>
              </c:numCache>
            </c:numRef>
          </c:val>
        </c:ser>
        <c:ser>
          <c:idx val="3"/>
          <c:order val="3"/>
          <c:tx>
            <c:v>Maximum</c:v>
          </c:tx>
          <c:spPr>
            <a:noFill/>
            <a:ln>
              <a:solidFill>
                <a:schemeClr val="tx1"/>
              </a:solidFill>
              <a:prstDash val="sysDash"/>
            </a:ln>
          </c:spPr>
          <c:val>
            <c:numRef>
              <c:f>'Tornados por país - GDP'!$K$66:$K$80</c:f>
              <c:numCache>
                <c:formatCode>0.00%</c:formatCode>
                <c:ptCount val="15"/>
                <c:pt idx="0">
                  <c:v>-7.820401138028954E-3</c:v>
                </c:pt>
                <c:pt idx="1">
                  <c:v>-9.4409741423839844E-3</c:v>
                </c:pt>
                <c:pt idx="2">
                  <c:v>-1.1671982170693858E-2</c:v>
                </c:pt>
                <c:pt idx="3">
                  <c:v>2.0011307976478532E-2</c:v>
                </c:pt>
                <c:pt idx="4">
                  <c:v>2.3106739539628267E-2</c:v>
                </c:pt>
                <c:pt idx="5">
                  <c:v>4.5662702573603393E-2</c:v>
                </c:pt>
                <c:pt idx="6">
                  <c:v>-4.6155564118774375E-2</c:v>
                </c:pt>
                <c:pt idx="7">
                  <c:v>6.1134723371581774E-2</c:v>
                </c:pt>
                <c:pt idx="8">
                  <c:v>6.9958110621157518E-2</c:v>
                </c:pt>
                <c:pt idx="9">
                  <c:v>-5.2324957336139913E-2</c:v>
                </c:pt>
                <c:pt idx="10">
                  <c:v>-0.11256581015301316</c:v>
                </c:pt>
                <c:pt idx="11">
                  <c:v>-0.13337744529612044</c:v>
                </c:pt>
                <c:pt idx="12">
                  <c:v>0.29262401872491223</c:v>
                </c:pt>
                <c:pt idx="13">
                  <c:v>0.49683757429300196</c:v>
                </c:pt>
                <c:pt idx="14">
                  <c:v>0.90661409634803136</c:v>
                </c:pt>
              </c:numCache>
            </c:numRef>
          </c:val>
        </c:ser>
        <c:gapWidth val="40"/>
        <c:overlap val="100"/>
        <c:axId val="134686592"/>
        <c:axId val="134688128"/>
      </c:barChart>
      <c:catAx>
        <c:axId val="134686592"/>
        <c:scaling>
          <c:orientation val="minMax"/>
        </c:scaling>
        <c:axPos val="l"/>
        <c:numFmt formatCode="General" sourceLinked="1"/>
        <c:majorTickMark val="none"/>
        <c:tickLblPos val="low"/>
        <c:txPr>
          <a:bodyPr/>
          <a:lstStyle/>
          <a:p>
            <a:pPr>
              <a:defRPr sz="900"/>
            </a:pPr>
            <a:endParaRPr lang="es-AR"/>
          </a:p>
        </c:txPr>
        <c:crossAx val="134688128"/>
        <c:crossesAt val="0"/>
        <c:auto val="1"/>
        <c:lblAlgn val="ctr"/>
        <c:lblOffset val="100"/>
      </c:catAx>
      <c:valAx>
        <c:axId val="1346881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AR"/>
                  <a:t>% variation from the base case ICER</a:t>
                </a:r>
              </a:p>
            </c:rich>
          </c:tx>
          <c:layout>
            <c:manualLayout>
              <c:xMode val="edge"/>
              <c:yMode val="edge"/>
              <c:x val="0.80412656751239431"/>
              <c:y val="0.93079265091863561"/>
            </c:manualLayout>
          </c:layout>
        </c:title>
        <c:numFmt formatCode="0%" sourceLinked="0"/>
        <c:tickLblPos val="nextTo"/>
        <c:txPr>
          <a:bodyPr/>
          <a:lstStyle/>
          <a:p>
            <a:pPr>
              <a:defRPr sz="900"/>
            </a:pPr>
            <a:endParaRPr lang="es-AR"/>
          </a:p>
        </c:txPr>
        <c:crossAx val="134686592"/>
        <c:crosses val="autoZero"/>
        <c:crossBetween val="between"/>
        <c:majorUnit val="0.25"/>
      </c:valAx>
      <c:spPr>
        <a:noFill/>
        <a:ln w="2540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6470164406532517"/>
          <c:y val="0.47447598779882766"/>
          <c:w val="0.32720946340041196"/>
          <c:h val="0.32611704618003828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PR</dc:creator>
  <cp:lastModifiedBy>Andres PR</cp:lastModifiedBy>
  <cp:revision>1</cp:revision>
  <dcterms:created xsi:type="dcterms:W3CDTF">2014-10-23T20:24:00Z</dcterms:created>
  <dcterms:modified xsi:type="dcterms:W3CDTF">2014-10-23T20:24:00Z</dcterms:modified>
</cp:coreProperties>
</file>