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A1" w:rsidRPr="00402B23" w:rsidRDefault="00773CA1" w:rsidP="00773CA1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Supplementary Table 1: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Results per country and scenario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: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Life years, Quality Adjusted Life Ye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>ars, Costs and Incremental Cost-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effectiveness Ratios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 (d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iscount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 xml:space="preserve"> 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 xml:space="preserve">rate 5%, 2012 </w:t>
      </w:r>
      <w:r>
        <w:rPr>
          <w:rFonts w:eastAsiaTheme="majorEastAsia" w:cstheme="minorHAnsi"/>
          <w:b/>
          <w:bCs/>
          <w:sz w:val="22"/>
          <w:szCs w:val="22"/>
          <w:lang w:val="en-US"/>
        </w:rPr>
        <w:t>USD)</w:t>
      </w:r>
      <w:r w:rsidRPr="00E660FE">
        <w:rPr>
          <w:rFonts w:eastAsiaTheme="majorEastAsia" w:cstheme="minorHAnsi"/>
          <w:b/>
          <w:bCs/>
          <w:sz w:val="22"/>
          <w:szCs w:val="22"/>
          <w:lang w:val="en-US"/>
        </w:rPr>
        <w:t>.</w:t>
      </w:r>
    </w:p>
    <w:p w:rsidR="00773CA1" w:rsidRPr="00402B23" w:rsidRDefault="00773CA1" w:rsidP="00773CA1">
      <w:pPr>
        <w:jc w:val="both"/>
        <w:rPr>
          <w:rFonts w:eastAsiaTheme="majorEastAsia" w:cstheme="minorHAnsi"/>
          <w:b/>
          <w:bCs/>
          <w:sz w:val="22"/>
          <w:szCs w:val="22"/>
          <w:lang w:val="en-US"/>
        </w:rPr>
      </w:pPr>
    </w:p>
    <w:tbl>
      <w:tblPr>
        <w:tblW w:w="1331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96"/>
        <w:gridCol w:w="551"/>
        <w:gridCol w:w="551"/>
        <w:gridCol w:w="551"/>
        <w:gridCol w:w="551"/>
        <w:gridCol w:w="551"/>
        <w:gridCol w:w="551"/>
        <w:gridCol w:w="481"/>
        <w:gridCol w:w="618"/>
        <w:gridCol w:w="618"/>
        <w:gridCol w:w="551"/>
        <w:gridCol w:w="551"/>
        <w:gridCol w:w="551"/>
        <w:gridCol w:w="564"/>
        <w:gridCol w:w="689"/>
        <w:gridCol w:w="564"/>
        <w:gridCol w:w="551"/>
        <w:gridCol w:w="551"/>
        <w:gridCol w:w="551"/>
        <w:gridCol w:w="551"/>
        <w:gridCol w:w="551"/>
        <w:gridCol w:w="551"/>
      </w:tblGrid>
      <w:tr w:rsidR="00773CA1" w:rsidRPr="0098675A" w:rsidTr="0088183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 w:eastAsia="es-AR"/>
              </w:rPr>
            </w:pPr>
            <w:r w:rsidRPr="0098675A">
              <w:rPr>
                <w:rFonts w:ascii="Calibri" w:hAnsi="Calibri" w:cs="Calibri"/>
                <w:color w:val="000000"/>
                <w:sz w:val="22"/>
                <w:szCs w:val="22"/>
                <w:lang w:val="en-US" w:eastAsia="es-AR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Argentina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Bolivia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Brazil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Chile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Colombia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Peru</w:t>
            </w:r>
            <w:proofErr w:type="spellEnd"/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Uruguay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NT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Tzb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Diff</w:t>
            </w:r>
            <w:proofErr w:type="spellEnd"/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Base case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  <w:t> 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97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QALYs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59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Costs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68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 xml:space="preserve">ICER x USD (x </w:t>
            </w: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GDPpc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77,273 (8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47)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70,202 (35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47)</w:t>
            </w:r>
          </w:p>
        </w:tc>
        <w:tc>
          <w:tcPr>
            <w:tcW w:w="17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110,283 (10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30)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55,928 (4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50)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78,946 (12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65)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55,821 (10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34)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42,104 (3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62)</w:t>
            </w:r>
          </w:p>
        </w:tc>
      </w:tr>
      <w:tr w:rsidR="00773CA1" w:rsidRPr="0098675A" w:rsidTr="0088183A">
        <w:trPr>
          <w:trHeight w:val="1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Scenario</w:t>
            </w:r>
            <w:proofErr w:type="spellEnd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QALYs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Costs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 xml:space="preserve">ICER x USD (x </w:t>
            </w: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GDPpc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66,032 (7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24)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53,845 (27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21)</w:t>
            </w:r>
          </w:p>
        </w:tc>
        <w:tc>
          <w:tcPr>
            <w:tcW w:w="17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87,200 (8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14)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45,099 (3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63)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58,283 (9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34)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47,379 (8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77)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30,610 (2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63)</w:t>
            </w:r>
          </w:p>
        </w:tc>
      </w:tr>
      <w:tr w:rsidR="00773CA1" w:rsidRPr="0098675A" w:rsidTr="0088183A">
        <w:trPr>
          <w:trHeight w:val="1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>Scenario</w:t>
            </w:r>
            <w:proofErr w:type="spellEnd"/>
            <w:r w:rsidRPr="0098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 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QALYs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</w:tr>
      <w:tr w:rsidR="00773CA1" w:rsidRPr="0098675A" w:rsidTr="0088183A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Costs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*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51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25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</w:tr>
      <w:tr w:rsidR="00773CA1" w:rsidRPr="0098675A" w:rsidTr="0088183A">
        <w:trPr>
          <w:trHeight w:val="3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 xml:space="preserve">ICER x USD (x </w:t>
            </w:r>
            <w:proofErr w:type="spellStart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GDPpc</w:t>
            </w:r>
            <w:proofErr w:type="spellEnd"/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n-US" w:eastAsia="es-AR"/>
              </w:rPr>
              <w:t>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86,233 (9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45)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86,684 (43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80)</w:t>
            </w:r>
          </w:p>
        </w:tc>
        <w:tc>
          <w:tcPr>
            <w:tcW w:w="17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129,584 (12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10)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68,226 (5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49)</w:t>
            </w:r>
          </w:p>
        </w:tc>
        <w:tc>
          <w:tcPr>
            <w:tcW w:w="18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138,872 (22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26)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63,803 (11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81)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64,159 (5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∙</w:t>
            </w: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52)</w:t>
            </w:r>
          </w:p>
        </w:tc>
      </w:tr>
      <w:tr w:rsidR="00773CA1" w:rsidRPr="0098675A" w:rsidTr="0088183A">
        <w:trPr>
          <w:trHeight w:val="1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73CA1" w:rsidRPr="0098675A" w:rsidRDefault="00773CA1" w:rsidP="0088183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98675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773CA1" w:rsidRPr="00EC757B" w:rsidTr="0088183A">
        <w:trPr>
          <w:trHeight w:val="1680"/>
        </w:trPr>
        <w:tc>
          <w:tcPr>
            <w:tcW w:w="133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CA1" w:rsidRDefault="00773CA1" w:rsidP="0088183A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</w:pP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Notes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br/>
              <w:t xml:space="preserve">NT=No Trastuzumab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arm;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TZB=Trastuzumab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arm;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Diff=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difference between the trastuzumab and the non-trastuzumab arms;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LY= Life Years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;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QALYs= Quality Adjusted Life Years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; </w:t>
            </w:r>
            <w:r w:rsidRPr="00EE702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ICER USD (x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GDPPC</w:t>
            </w:r>
            <w:r w:rsidRPr="00EE702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)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= incremental cost-effectiveness ratios expressed in United States dollars per QALY and in parenthesis expressed as gross domestic products per capita(GDPPC) per QALY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br/>
              <w:t xml:space="preserve">Base case= absolute and relative risks from clinical trials; Scenario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1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=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alternative scenario one with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country level absolute risks and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trastuzumab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relative risk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from clinical trials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; Scenario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2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=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alternative scenario two with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country level absolute risks and adjusted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trastuzumab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relative risks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Gross domestic products 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Argentina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9124, Bolivia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197, Brazil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10710, Chile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12431, Colombia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6240, Peru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5401, Uruguay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USD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11633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(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World Bank 2010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>)</w:t>
            </w:r>
            <w:r w:rsidRPr="00E660F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br/>
              <w:t>*Costs are expressed in thousand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US" w:eastAsia="es-AR"/>
              </w:rPr>
              <w:t xml:space="preserve"> dollars</w:t>
            </w:r>
          </w:p>
        </w:tc>
      </w:tr>
    </w:tbl>
    <w:p w:rsidR="0020191D" w:rsidRPr="00773CA1" w:rsidRDefault="0020191D">
      <w:pPr>
        <w:rPr>
          <w:lang w:val="en-US"/>
        </w:rPr>
      </w:pPr>
    </w:p>
    <w:sectPr w:rsidR="0020191D" w:rsidRPr="00773CA1" w:rsidSect="00773CA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73CA1"/>
    <w:rsid w:val="0020191D"/>
    <w:rsid w:val="0077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A1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PR</dc:creator>
  <cp:lastModifiedBy>Andres PR</cp:lastModifiedBy>
  <cp:revision>1</cp:revision>
  <dcterms:created xsi:type="dcterms:W3CDTF">2014-10-23T20:23:00Z</dcterms:created>
  <dcterms:modified xsi:type="dcterms:W3CDTF">2014-10-23T20:23:00Z</dcterms:modified>
</cp:coreProperties>
</file>