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1B" w:rsidRPr="00A64CFB" w:rsidRDefault="00796A1B" w:rsidP="00796A1B">
      <w:pPr>
        <w:autoSpaceDE w:val="0"/>
        <w:autoSpaceDN w:val="0"/>
        <w:adjustRightInd w:val="0"/>
        <w:spacing w:line="276" w:lineRule="auto"/>
        <w:rPr>
          <w:rFonts w:ascii="Arial" w:hAnsi="Arial" w:cs="Arial"/>
          <w:b/>
        </w:rPr>
      </w:pPr>
      <w:r w:rsidRPr="00A64CFB">
        <w:rPr>
          <w:rFonts w:ascii="Arial" w:hAnsi="Arial" w:cs="Arial"/>
          <w:b/>
        </w:rPr>
        <w:t>Table 1: Evidence requirements received and analysed*</w:t>
      </w:r>
      <w:bookmarkStart w:id="0" w:name="_GoBack"/>
      <w:bookmarkEnd w:id="0"/>
    </w:p>
    <w:p w:rsidR="00796A1B" w:rsidRPr="00D60DC5" w:rsidRDefault="00796A1B" w:rsidP="00796A1B">
      <w:pPr>
        <w:autoSpaceDE w:val="0"/>
        <w:autoSpaceDN w:val="0"/>
        <w:adjustRightInd w:val="0"/>
        <w:spacing w:line="276"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778"/>
        <w:gridCol w:w="7373"/>
        <w:gridCol w:w="1293"/>
        <w:gridCol w:w="1290"/>
      </w:tblGrid>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b/>
                <w:sz w:val="22"/>
                <w:szCs w:val="22"/>
              </w:rPr>
            </w:pPr>
            <w:r w:rsidRPr="001B32E5">
              <w:rPr>
                <w:rFonts w:ascii="Arial" w:hAnsi="Arial" w:cs="Arial"/>
                <w:b/>
                <w:sz w:val="22"/>
                <w:szCs w:val="22"/>
              </w:rPr>
              <w:t>Country</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b/>
                <w:sz w:val="22"/>
                <w:szCs w:val="22"/>
              </w:rPr>
            </w:pPr>
            <w:r w:rsidRPr="001B32E5">
              <w:rPr>
                <w:rFonts w:ascii="Arial" w:hAnsi="Arial" w:cs="Arial"/>
                <w:b/>
                <w:sz w:val="22"/>
                <w:szCs w:val="22"/>
              </w:rPr>
              <w:t>Agency</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b/>
                <w:sz w:val="22"/>
                <w:szCs w:val="22"/>
              </w:rPr>
            </w:pPr>
            <w:r w:rsidRPr="001B32E5">
              <w:rPr>
                <w:rFonts w:ascii="Arial" w:hAnsi="Arial" w:cs="Arial"/>
                <w:b/>
                <w:sz w:val="22"/>
                <w:szCs w:val="22"/>
              </w:rPr>
              <w:t>Submission template used for data extraction</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b/>
                <w:sz w:val="22"/>
                <w:szCs w:val="22"/>
              </w:rPr>
            </w:pPr>
            <w:r w:rsidRPr="001B32E5">
              <w:rPr>
                <w:rFonts w:ascii="Arial" w:hAnsi="Arial" w:cs="Arial"/>
                <w:b/>
                <w:sz w:val="22"/>
                <w:szCs w:val="22"/>
              </w:rPr>
              <w:t>English version</w:t>
            </w:r>
          </w:p>
        </w:tc>
        <w:tc>
          <w:tcPr>
            <w:tcW w:w="455" w:type="pct"/>
          </w:tcPr>
          <w:p w:rsidR="00796A1B" w:rsidRPr="001B32E5" w:rsidRDefault="00796A1B" w:rsidP="00796A1B">
            <w:pPr>
              <w:autoSpaceDE w:val="0"/>
              <w:autoSpaceDN w:val="0"/>
              <w:adjustRightInd w:val="0"/>
              <w:contextualSpacing/>
              <w:rPr>
                <w:rFonts w:ascii="Arial" w:hAnsi="Arial" w:cs="Arial"/>
                <w:b/>
                <w:sz w:val="22"/>
                <w:szCs w:val="22"/>
              </w:rPr>
            </w:pPr>
            <w:r w:rsidRPr="001B32E5">
              <w:rPr>
                <w:rFonts w:ascii="Arial" w:hAnsi="Arial" w:cs="Arial"/>
                <w:b/>
                <w:sz w:val="22"/>
                <w:szCs w:val="22"/>
              </w:rPr>
              <w:t>Page Numbers</w:t>
            </w:r>
          </w:p>
        </w:tc>
      </w:tr>
      <w:tr w:rsidR="003122DE" w:rsidRPr="00CC091F" w:rsidTr="003122DE">
        <w:trPr>
          <w:trHeight w:val="398"/>
        </w:trPr>
        <w:tc>
          <w:tcPr>
            <w:tcW w:w="508" w:type="pct"/>
            <w:vMerge w:val="restart"/>
            <w:shd w:val="clear" w:color="auto" w:fill="auto"/>
          </w:tcPr>
          <w:p w:rsidR="003122DE" w:rsidRPr="001B32E5" w:rsidRDefault="003122DE" w:rsidP="00796A1B">
            <w:pPr>
              <w:autoSpaceDE w:val="0"/>
              <w:autoSpaceDN w:val="0"/>
              <w:adjustRightInd w:val="0"/>
              <w:contextualSpacing/>
              <w:rPr>
                <w:rFonts w:ascii="Arial" w:hAnsi="Arial" w:cs="Arial"/>
                <w:sz w:val="22"/>
                <w:szCs w:val="22"/>
              </w:rPr>
            </w:pPr>
            <w:r>
              <w:rPr>
                <w:rFonts w:ascii="Arial" w:hAnsi="Arial" w:cs="Arial"/>
                <w:sz w:val="22"/>
                <w:szCs w:val="22"/>
              </w:rPr>
              <w:t>Austria</w:t>
            </w:r>
          </w:p>
        </w:tc>
        <w:tc>
          <w:tcPr>
            <w:tcW w:w="980" w:type="pct"/>
            <w:vMerge w:val="restart"/>
            <w:shd w:val="clear" w:color="auto" w:fill="auto"/>
          </w:tcPr>
          <w:p w:rsidR="003122DE" w:rsidRPr="00C42755" w:rsidRDefault="003122DE" w:rsidP="00796A1B">
            <w:pPr>
              <w:autoSpaceDE w:val="0"/>
              <w:autoSpaceDN w:val="0"/>
              <w:adjustRightInd w:val="0"/>
              <w:contextualSpacing/>
              <w:rPr>
                <w:rFonts w:ascii="Arial" w:hAnsi="Arial" w:cs="Arial"/>
                <w:sz w:val="22"/>
                <w:szCs w:val="22"/>
                <w:lang w:val="nl-NL"/>
              </w:rPr>
            </w:pPr>
            <w:r w:rsidRPr="00C42755">
              <w:rPr>
                <w:rFonts w:ascii="Arial" w:hAnsi="Arial" w:cs="Arial"/>
                <w:sz w:val="22"/>
                <w:szCs w:val="22"/>
                <w:lang w:val="nl-NL"/>
              </w:rPr>
              <w:t>Hauptverband der</w:t>
            </w:r>
          </w:p>
          <w:p w:rsidR="003122DE" w:rsidRPr="00C42755" w:rsidRDefault="003122DE" w:rsidP="00796A1B">
            <w:pPr>
              <w:autoSpaceDE w:val="0"/>
              <w:autoSpaceDN w:val="0"/>
              <w:adjustRightInd w:val="0"/>
              <w:contextualSpacing/>
              <w:rPr>
                <w:rFonts w:ascii="Arial" w:hAnsi="Arial" w:cs="Arial"/>
                <w:sz w:val="22"/>
                <w:szCs w:val="22"/>
                <w:lang w:val="nl-NL"/>
              </w:rPr>
            </w:pPr>
            <w:r w:rsidRPr="00C42755">
              <w:rPr>
                <w:rFonts w:ascii="Arial" w:hAnsi="Arial" w:cs="Arial"/>
                <w:sz w:val="22"/>
                <w:szCs w:val="22"/>
                <w:lang w:val="nl-NL"/>
              </w:rPr>
              <w:t>österreichischen</w:t>
            </w:r>
          </w:p>
          <w:p w:rsidR="003122DE" w:rsidRPr="001B32E5" w:rsidRDefault="003122DE" w:rsidP="00796A1B">
            <w:pPr>
              <w:autoSpaceDE w:val="0"/>
              <w:autoSpaceDN w:val="0"/>
              <w:adjustRightInd w:val="0"/>
              <w:contextualSpacing/>
              <w:rPr>
                <w:rFonts w:ascii="Arial" w:hAnsi="Arial" w:cs="Arial"/>
                <w:sz w:val="22"/>
                <w:szCs w:val="22"/>
                <w:lang w:val="nl-NL"/>
              </w:rPr>
            </w:pPr>
            <w:r w:rsidRPr="00C42755">
              <w:rPr>
                <w:rFonts w:ascii="Arial" w:hAnsi="Arial" w:cs="Arial"/>
                <w:sz w:val="22"/>
                <w:szCs w:val="22"/>
                <w:lang w:val="nl-NL"/>
              </w:rPr>
              <w:t>Sozialversicherungsträger</w:t>
            </w:r>
          </w:p>
        </w:tc>
        <w:tc>
          <w:tcPr>
            <w:tcW w:w="2600" w:type="pct"/>
            <w:shd w:val="clear" w:color="auto" w:fill="auto"/>
          </w:tcPr>
          <w:p w:rsidR="003122DE" w:rsidRPr="00796A1B" w:rsidRDefault="003122DE" w:rsidP="00796A1B">
            <w:pPr>
              <w:rPr>
                <w:rFonts w:ascii="Arial" w:hAnsi="Arial" w:cs="Arial"/>
                <w:sz w:val="22"/>
                <w:szCs w:val="22"/>
              </w:rPr>
            </w:pPr>
            <w:proofErr w:type="spellStart"/>
            <w:r w:rsidRPr="00796A1B">
              <w:rPr>
                <w:rFonts w:ascii="Arial" w:hAnsi="Arial" w:cs="Arial"/>
                <w:sz w:val="22"/>
                <w:szCs w:val="22"/>
              </w:rPr>
              <w:t>Verfahrensordnung</w:t>
            </w:r>
            <w:proofErr w:type="spellEnd"/>
            <w:r w:rsidRPr="00796A1B">
              <w:rPr>
                <w:rFonts w:ascii="Arial" w:hAnsi="Arial" w:cs="Arial"/>
                <w:sz w:val="22"/>
                <w:szCs w:val="22"/>
              </w:rPr>
              <w:t xml:space="preserve"> </w:t>
            </w:r>
            <w:proofErr w:type="spellStart"/>
            <w:r w:rsidRPr="00796A1B">
              <w:rPr>
                <w:rFonts w:ascii="Arial" w:hAnsi="Arial" w:cs="Arial"/>
                <w:sz w:val="22"/>
                <w:szCs w:val="22"/>
              </w:rPr>
              <w:t>zur</w:t>
            </w:r>
            <w:proofErr w:type="spellEnd"/>
            <w:r w:rsidRPr="00796A1B">
              <w:rPr>
                <w:rFonts w:ascii="Arial" w:hAnsi="Arial" w:cs="Arial"/>
                <w:sz w:val="22"/>
                <w:szCs w:val="22"/>
              </w:rPr>
              <w:t xml:space="preserve"> </w:t>
            </w:r>
            <w:proofErr w:type="spellStart"/>
            <w:r w:rsidRPr="00796A1B">
              <w:rPr>
                <w:rFonts w:ascii="Arial" w:hAnsi="Arial" w:cs="Arial"/>
                <w:sz w:val="22"/>
                <w:szCs w:val="22"/>
              </w:rPr>
              <w:t>Herausgabe</w:t>
            </w:r>
            <w:proofErr w:type="spellEnd"/>
            <w:r w:rsidRPr="00796A1B">
              <w:rPr>
                <w:rFonts w:ascii="Arial" w:hAnsi="Arial" w:cs="Arial"/>
                <w:sz w:val="22"/>
                <w:szCs w:val="22"/>
              </w:rPr>
              <w:t xml:space="preserve"> des </w:t>
            </w:r>
            <w:proofErr w:type="spellStart"/>
            <w:r w:rsidRPr="00796A1B">
              <w:rPr>
                <w:rFonts w:ascii="Arial" w:hAnsi="Arial" w:cs="Arial"/>
                <w:sz w:val="22"/>
                <w:szCs w:val="22"/>
              </w:rPr>
              <w:t>Erstattungskodex</w:t>
            </w:r>
            <w:proofErr w:type="spellEnd"/>
            <w:r w:rsidRPr="00796A1B">
              <w:rPr>
                <w:rFonts w:ascii="Arial" w:hAnsi="Arial" w:cs="Arial"/>
                <w:sz w:val="22"/>
                <w:szCs w:val="22"/>
              </w:rPr>
              <w:t xml:space="preserve"> </w:t>
            </w:r>
            <w:proofErr w:type="spellStart"/>
            <w:r w:rsidRPr="00796A1B">
              <w:rPr>
                <w:rFonts w:ascii="Arial" w:hAnsi="Arial" w:cs="Arial"/>
                <w:sz w:val="22"/>
                <w:szCs w:val="22"/>
              </w:rPr>
              <w:t>nach</w:t>
            </w:r>
            <w:proofErr w:type="spellEnd"/>
            <w:r w:rsidRPr="00796A1B">
              <w:rPr>
                <w:rFonts w:ascii="Arial" w:hAnsi="Arial" w:cs="Arial"/>
                <w:sz w:val="22"/>
                <w:szCs w:val="22"/>
              </w:rPr>
              <w:t xml:space="preserve"> § 351g ASVG - VO-EKO</w:t>
            </w:r>
          </w:p>
          <w:p w:rsidR="003122DE" w:rsidRPr="001B32E5" w:rsidRDefault="003122DE" w:rsidP="00796A1B">
            <w:pPr>
              <w:autoSpaceDE w:val="0"/>
              <w:autoSpaceDN w:val="0"/>
              <w:adjustRightInd w:val="0"/>
              <w:contextualSpacing/>
              <w:rPr>
                <w:rFonts w:ascii="Arial" w:hAnsi="Arial" w:cs="Arial"/>
                <w:sz w:val="22"/>
                <w:szCs w:val="22"/>
                <w:lang w:val="fr-FR"/>
              </w:rPr>
            </w:pPr>
            <w:r w:rsidRPr="00796A1B">
              <w:rPr>
                <w:rFonts w:ascii="Arial" w:hAnsi="Arial" w:cs="Arial"/>
                <w:i/>
                <w:sz w:val="22"/>
                <w:szCs w:val="22"/>
              </w:rPr>
              <w:t>Procedural rules for publication of the reimbursement code</w:t>
            </w:r>
          </w:p>
        </w:tc>
        <w:tc>
          <w:tcPr>
            <w:tcW w:w="456" w:type="pct"/>
            <w:vMerge w:val="restart"/>
            <w:shd w:val="clear" w:color="auto" w:fill="auto"/>
          </w:tcPr>
          <w:p w:rsidR="003122DE" w:rsidRPr="001B32E5" w:rsidRDefault="003122DE" w:rsidP="00796A1B">
            <w:pPr>
              <w:autoSpaceDE w:val="0"/>
              <w:autoSpaceDN w:val="0"/>
              <w:adjustRightInd w:val="0"/>
              <w:contextualSpacing/>
              <w:rPr>
                <w:rFonts w:ascii="Arial" w:hAnsi="Arial" w:cs="Arial"/>
                <w:sz w:val="22"/>
                <w:szCs w:val="22"/>
              </w:rPr>
            </w:pPr>
            <w:r>
              <w:rPr>
                <w:rFonts w:ascii="Arial" w:hAnsi="Arial" w:cs="Arial"/>
                <w:sz w:val="22"/>
                <w:szCs w:val="22"/>
              </w:rPr>
              <w:t>Provided</w:t>
            </w:r>
          </w:p>
        </w:tc>
        <w:tc>
          <w:tcPr>
            <w:tcW w:w="455" w:type="pct"/>
            <w:vMerge w:val="restart"/>
          </w:tcPr>
          <w:p w:rsidR="003122DE" w:rsidRPr="001B32E5" w:rsidRDefault="003122DE" w:rsidP="00796A1B">
            <w:pPr>
              <w:autoSpaceDE w:val="0"/>
              <w:autoSpaceDN w:val="0"/>
              <w:adjustRightInd w:val="0"/>
              <w:contextualSpacing/>
              <w:rPr>
                <w:rFonts w:ascii="Arial" w:hAnsi="Arial" w:cs="Arial"/>
                <w:sz w:val="22"/>
                <w:szCs w:val="22"/>
              </w:rPr>
            </w:pPr>
            <w:r>
              <w:rPr>
                <w:rFonts w:ascii="Arial" w:hAnsi="Arial" w:cs="Arial"/>
                <w:sz w:val="22"/>
                <w:szCs w:val="22"/>
              </w:rPr>
              <w:t>174</w:t>
            </w:r>
          </w:p>
        </w:tc>
      </w:tr>
      <w:tr w:rsidR="003122DE" w:rsidRPr="00CC091F" w:rsidTr="003122DE">
        <w:trPr>
          <w:trHeight w:val="397"/>
        </w:trPr>
        <w:tc>
          <w:tcPr>
            <w:tcW w:w="508" w:type="pct"/>
            <w:vMerge/>
            <w:shd w:val="clear" w:color="auto" w:fill="auto"/>
          </w:tcPr>
          <w:p w:rsidR="003122DE" w:rsidRDefault="003122DE" w:rsidP="00796A1B">
            <w:pPr>
              <w:autoSpaceDE w:val="0"/>
              <w:autoSpaceDN w:val="0"/>
              <w:adjustRightInd w:val="0"/>
              <w:contextualSpacing/>
              <w:rPr>
                <w:rFonts w:ascii="Arial" w:hAnsi="Arial" w:cs="Arial"/>
                <w:sz w:val="22"/>
                <w:szCs w:val="22"/>
              </w:rPr>
            </w:pPr>
          </w:p>
        </w:tc>
        <w:tc>
          <w:tcPr>
            <w:tcW w:w="980" w:type="pct"/>
            <w:vMerge/>
            <w:shd w:val="clear" w:color="auto" w:fill="auto"/>
          </w:tcPr>
          <w:p w:rsidR="003122DE" w:rsidRPr="00C42755" w:rsidRDefault="003122DE" w:rsidP="00796A1B">
            <w:pPr>
              <w:autoSpaceDE w:val="0"/>
              <w:autoSpaceDN w:val="0"/>
              <w:adjustRightInd w:val="0"/>
              <w:contextualSpacing/>
              <w:rPr>
                <w:rFonts w:ascii="Arial" w:hAnsi="Arial" w:cs="Arial"/>
                <w:sz w:val="22"/>
                <w:szCs w:val="22"/>
                <w:lang w:val="nl-NL"/>
              </w:rPr>
            </w:pPr>
          </w:p>
        </w:tc>
        <w:tc>
          <w:tcPr>
            <w:tcW w:w="2600" w:type="pct"/>
            <w:shd w:val="clear" w:color="auto" w:fill="auto"/>
          </w:tcPr>
          <w:p w:rsidR="003122DE" w:rsidRPr="00830F19" w:rsidRDefault="003122DE" w:rsidP="003122DE">
            <w:pPr>
              <w:rPr>
                <w:rFonts w:ascii="Arial" w:hAnsi="Arial" w:cs="Arial"/>
                <w:sz w:val="22"/>
                <w:szCs w:val="22"/>
              </w:rPr>
            </w:pPr>
            <w:proofErr w:type="spellStart"/>
            <w:r w:rsidRPr="00830F19">
              <w:rPr>
                <w:rFonts w:ascii="Arial" w:hAnsi="Arial" w:cs="Arial"/>
                <w:sz w:val="22"/>
                <w:szCs w:val="22"/>
              </w:rPr>
              <w:t>Arbeitbehelf</w:t>
            </w:r>
            <w:proofErr w:type="spellEnd"/>
            <w:r w:rsidRPr="00830F19">
              <w:rPr>
                <w:rFonts w:ascii="Arial" w:hAnsi="Arial" w:cs="Arial"/>
                <w:sz w:val="22"/>
                <w:szCs w:val="22"/>
              </w:rPr>
              <w:t xml:space="preserve"> </w:t>
            </w:r>
            <w:proofErr w:type="spellStart"/>
            <w:r w:rsidRPr="00830F19">
              <w:rPr>
                <w:rFonts w:ascii="Arial" w:hAnsi="Arial" w:cs="Arial"/>
                <w:sz w:val="22"/>
                <w:szCs w:val="22"/>
              </w:rPr>
              <w:t>Erstattungskodex</w:t>
            </w:r>
            <w:proofErr w:type="spellEnd"/>
          </w:p>
          <w:p w:rsidR="003122DE" w:rsidRPr="00796A1B" w:rsidRDefault="003122DE" w:rsidP="003122DE">
            <w:pPr>
              <w:rPr>
                <w:rFonts w:ascii="Arial" w:hAnsi="Arial" w:cs="Arial"/>
                <w:sz w:val="22"/>
                <w:szCs w:val="22"/>
              </w:rPr>
            </w:pPr>
            <w:r>
              <w:rPr>
                <w:rFonts w:ascii="Arial" w:hAnsi="Arial" w:cs="Arial"/>
                <w:i/>
                <w:sz w:val="22"/>
                <w:szCs w:val="22"/>
              </w:rPr>
              <w:t>Reimbursement code</w:t>
            </w:r>
          </w:p>
        </w:tc>
        <w:tc>
          <w:tcPr>
            <w:tcW w:w="456" w:type="pct"/>
            <w:vMerge/>
            <w:shd w:val="clear" w:color="auto" w:fill="auto"/>
          </w:tcPr>
          <w:p w:rsidR="003122DE" w:rsidRDefault="003122DE" w:rsidP="00796A1B">
            <w:pPr>
              <w:autoSpaceDE w:val="0"/>
              <w:autoSpaceDN w:val="0"/>
              <w:adjustRightInd w:val="0"/>
              <w:contextualSpacing/>
              <w:rPr>
                <w:rFonts w:ascii="Arial" w:hAnsi="Arial" w:cs="Arial"/>
                <w:sz w:val="22"/>
                <w:szCs w:val="22"/>
              </w:rPr>
            </w:pPr>
          </w:p>
        </w:tc>
        <w:tc>
          <w:tcPr>
            <w:tcW w:w="455" w:type="pct"/>
            <w:vMerge/>
          </w:tcPr>
          <w:p w:rsidR="003122DE" w:rsidRDefault="003122DE" w:rsidP="00796A1B">
            <w:pPr>
              <w:autoSpaceDE w:val="0"/>
              <w:autoSpaceDN w:val="0"/>
              <w:adjustRightInd w:val="0"/>
              <w:contextualSpacing/>
              <w:rPr>
                <w:rFonts w:ascii="Arial" w:hAnsi="Arial" w:cs="Arial"/>
                <w:sz w:val="22"/>
                <w:szCs w:val="22"/>
              </w:rPr>
            </w:pPr>
          </w:p>
        </w:tc>
      </w:tr>
      <w:tr w:rsidR="00796A1B" w:rsidRPr="00CC091F" w:rsidTr="003122DE">
        <w:trPr>
          <w:trHeight w:val="795"/>
        </w:trPr>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Belgium </w:t>
            </w:r>
          </w:p>
        </w:tc>
        <w:tc>
          <w:tcPr>
            <w:tcW w:w="980"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lang w:val="nl-NL"/>
              </w:rPr>
            </w:pPr>
            <w:r w:rsidRPr="001B32E5">
              <w:rPr>
                <w:rFonts w:ascii="Arial" w:hAnsi="Arial" w:cs="Arial"/>
                <w:sz w:val="22"/>
                <w:szCs w:val="22"/>
                <w:lang w:val="nl-NL"/>
              </w:rPr>
              <w:t>Rijksinstituut voor ziekte- en invaliditeitsverzekering</w:t>
            </w:r>
          </w:p>
          <w:p w:rsidR="00796A1B" w:rsidRPr="001B32E5" w:rsidRDefault="00796A1B" w:rsidP="00796A1B">
            <w:pPr>
              <w:autoSpaceDE w:val="0"/>
              <w:autoSpaceDN w:val="0"/>
              <w:adjustRightInd w:val="0"/>
              <w:contextualSpacing/>
              <w:rPr>
                <w:rFonts w:ascii="Arial" w:hAnsi="Arial" w:cs="Arial"/>
                <w:sz w:val="22"/>
                <w:szCs w:val="22"/>
                <w:lang w:val="nl-NL"/>
              </w:rPr>
            </w:pPr>
            <w:r w:rsidRPr="001B32E5">
              <w:rPr>
                <w:rFonts w:ascii="Arial" w:hAnsi="Arial" w:cs="Arial"/>
                <w:sz w:val="22"/>
                <w:szCs w:val="22"/>
                <w:lang w:val="nl-NL"/>
              </w:rPr>
              <w:t>Institut National Assurance Maladie-Invalidité</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lang w:val="fr-FR"/>
              </w:rPr>
            </w:pPr>
            <w:r w:rsidRPr="001B32E5">
              <w:rPr>
                <w:rFonts w:ascii="Arial" w:hAnsi="Arial" w:cs="Arial"/>
                <w:sz w:val="22"/>
                <w:szCs w:val="22"/>
                <w:lang w:val="fr-FR"/>
              </w:rPr>
              <w:t xml:space="preserve">Demande d’admission au remboursement d’une </w:t>
            </w:r>
            <w:proofErr w:type="spellStart"/>
            <w:r w:rsidRPr="001B32E5">
              <w:rPr>
                <w:rFonts w:ascii="Arial" w:hAnsi="Arial" w:cs="Arial"/>
                <w:sz w:val="22"/>
                <w:szCs w:val="22"/>
                <w:lang w:val="fr-FR"/>
              </w:rPr>
              <w:t>specialite</w:t>
            </w:r>
            <w:proofErr w:type="spellEnd"/>
            <w:r w:rsidRPr="001B32E5">
              <w:rPr>
                <w:rFonts w:ascii="Arial" w:hAnsi="Arial" w:cs="Arial"/>
                <w:sz w:val="22"/>
                <w:szCs w:val="22"/>
                <w:lang w:val="fr-FR"/>
              </w:rPr>
              <w:t xml:space="preserve"> en classe 1 (2009)</w:t>
            </w:r>
          </w:p>
          <w:p w:rsidR="00796A1B" w:rsidRPr="001B32E5" w:rsidRDefault="00796A1B" w:rsidP="00796A1B">
            <w:pPr>
              <w:autoSpaceDE w:val="0"/>
              <w:autoSpaceDN w:val="0"/>
              <w:adjustRightInd w:val="0"/>
              <w:contextualSpacing/>
              <w:rPr>
                <w:rFonts w:ascii="Arial" w:hAnsi="Arial" w:cs="Arial"/>
                <w:i/>
                <w:sz w:val="22"/>
                <w:szCs w:val="22"/>
              </w:rPr>
            </w:pPr>
            <w:r w:rsidRPr="001B32E5">
              <w:rPr>
                <w:rFonts w:ascii="Arial" w:hAnsi="Arial" w:cs="Arial"/>
                <w:i/>
                <w:sz w:val="22"/>
                <w:szCs w:val="22"/>
              </w:rPr>
              <w:t>Request for a reimbursement admission of a specialty in category 1 (2009)</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7</w:t>
            </w:r>
          </w:p>
        </w:tc>
      </w:tr>
      <w:tr w:rsidR="00796A1B" w:rsidRPr="00CC091F" w:rsidTr="003122DE">
        <w:trPr>
          <w:trHeight w:val="370"/>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796A1B" w:rsidRDefault="00796A1B" w:rsidP="00796A1B">
            <w:pPr>
              <w:autoSpaceDE w:val="0"/>
              <w:autoSpaceDN w:val="0"/>
              <w:adjustRightInd w:val="0"/>
              <w:contextualSpacing/>
              <w:rPr>
                <w:rFonts w:ascii="Arial" w:hAnsi="Arial" w:cs="Arial"/>
                <w:sz w:val="22"/>
                <w:szCs w:val="22"/>
              </w:rPr>
            </w:pPr>
            <w:r w:rsidRPr="00796A1B">
              <w:rPr>
                <w:rFonts w:ascii="Arial" w:hAnsi="Arial" w:cs="Arial"/>
                <w:sz w:val="22"/>
                <w:szCs w:val="22"/>
              </w:rPr>
              <w:t>Belgian guidelines for economic evaluations and budget impact analyses: second edition</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94</w:t>
            </w:r>
          </w:p>
        </w:tc>
      </w:tr>
      <w:tr w:rsidR="00796A1B" w:rsidRPr="00CC091F" w:rsidTr="003122DE">
        <w:trPr>
          <w:trHeight w:val="795"/>
        </w:trPr>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Pr>
                <w:rFonts w:ascii="Arial" w:hAnsi="Arial" w:cs="Arial"/>
                <w:sz w:val="22"/>
                <w:szCs w:val="22"/>
              </w:rPr>
              <w:t>Bulgaria</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CE14D9">
              <w:rPr>
                <w:rFonts w:ascii="Arial" w:hAnsi="Arial" w:cs="Arial"/>
                <w:sz w:val="22"/>
                <w:szCs w:val="22"/>
              </w:rPr>
              <w:t>National Council for Pricing and Reimbursement of the Medicinal Products</w:t>
            </w:r>
          </w:p>
        </w:tc>
        <w:tc>
          <w:tcPr>
            <w:tcW w:w="2600" w:type="pct"/>
            <w:shd w:val="clear" w:color="auto" w:fill="auto"/>
          </w:tcPr>
          <w:p w:rsidR="00796A1B" w:rsidRPr="00796A1B" w:rsidRDefault="00796A1B" w:rsidP="00796A1B">
            <w:pPr>
              <w:autoSpaceDE w:val="0"/>
              <w:autoSpaceDN w:val="0"/>
              <w:adjustRightInd w:val="0"/>
              <w:contextualSpacing/>
              <w:rPr>
                <w:rFonts w:ascii="Arial" w:hAnsi="Arial" w:cs="Arial"/>
                <w:sz w:val="22"/>
                <w:szCs w:val="22"/>
              </w:rPr>
            </w:pPr>
            <w:r w:rsidRPr="00796A1B">
              <w:rPr>
                <w:rFonts w:ascii="Arial" w:hAnsi="Arial" w:cs="Arial"/>
                <w:sz w:val="22"/>
                <w:szCs w:val="22"/>
              </w:rPr>
              <w:t xml:space="preserve">ДО НАЦИОНАЛНИЯ СЪВЕТ ПО ЦЕНИ И РЕИМБУРСИРАНЕ НА </w:t>
            </w:r>
          </w:p>
          <w:p w:rsidR="00796A1B" w:rsidRPr="00796A1B" w:rsidRDefault="00796A1B" w:rsidP="00796A1B">
            <w:pPr>
              <w:autoSpaceDE w:val="0"/>
              <w:autoSpaceDN w:val="0"/>
              <w:adjustRightInd w:val="0"/>
              <w:contextualSpacing/>
              <w:rPr>
                <w:rFonts w:ascii="Arial" w:hAnsi="Arial" w:cs="Arial"/>
                <w:sz w:val="22"/>
                <w:szCs w:val="22"/>
              </w:rPr>
            </w:pPr>
            <w:r w:rsidRPr="00796A1B">
              <w:rPr>
                <w:rFonts w:ascii="Arial" w:hAnsi="Arial" w:cs="Arial"/>
                <w:sz w:val="22"/>
                <w:szCs w:val="22"/>
              </w:rPr>
              <w:t>ЛЕКАРСТВЕНИТЕ ПРОДУКТИ  З А Я В Л Е Н И Е</w:t>
            </w:r>
          </w:p>
          <w:p w:rsidR="00796A1B" w:rsidRPr="003122DE" w:rsidRDefault="00796A1B" w:rsidP="00796A1B">
            <w:pPr>
              <w:autoSpaceDE w:val="0"/>
              <w:autoSpaceDN w:val="0"/>
              <w:adjustRightInd w:val="0"/>
              <w:contextualSpacing/>
              <w:rPr>
                <w:rFonts w:ascii="Arial" w:hAnsi="Arial" w:cs="Arial"/>
                <w:sz w:val="22"/>
                <w:szCs w:val="22"/>
              </w:rPr>
            </w:pPr>
            <w:r w:rsidRPr="00796A1B">
              <w:rPr>
                <w:rFonts w:ascii="Arial" w:hAnsi="Arial" w:cs="Arial"/>
                <w:i/>
                <w:sz w:val="22"/>
                <w:szCs w:val="22"/>
              </w:rPr>
              <w:t>TO NATIONAL COUNCIL ON PRICES And reimbursement of  MEDICINES: Application</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Pr>
                <w:rFonts w:ascii="Arial" w:hAnsi="Arial" w:cs="Arial"/>
                <w:sz w:val="22"/>
                <w:szCs w:val="22"/>
              </w:rPr>
              <w:t>Summary provided</w:t>
            </w:r>
          </w:p>
        </w:tc>
        <w:tc>
          <w:tcPr>
            <w:tcW w:w="455" w:type="pct"/>
          </w:tcPr>
          <w:p w:rsidR="00796A1B" w:rsidRPr="001B32E5" w:rsidRDefault="003122DE" w:rsidP="00796A1B">
            <w:pPr>
              <w:autoSpaceDE w:val="0"/>
              <w:autoSpaceDN w:val="0"/>
              <w:adjustRightInd w:val="0"/>
              <w:contextualSpacing/>
              <w:rPr>
                <w:rFonts w:ascii="Arial" w:hAnsi="Arial" w:cs="Arial"/>
                <w:sz w:val="22"/>
                <w:szCs w:val="22"/>
              </w:rPr>
            </w:pPr>
            <w:r>
              <w:rPr>
                <w:rFonts w:ascii="Arial" w:hAnsi="Arial" w:cs="Arial"/>
                <w:sz w:val="22"/>
                <w:szCs w:val="22"/>
              </w:rPr>
              <w:t>13</w:t>
            </w:r>
          </w:p>
        </w:tc>
      </w:tr>
      <w:tr w:rsidR="00796A1B" w:rsidRPr="00CC091F" w:rsidTr="003122DE">
        <w:trPr>
          <w:trHeight w:val="795"/>
        </w:trPr>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Croatia</w:t>
            </w:r>
          </w:p>
        </w:tc>
        <w:tc>
          <w:tcPr>
            <w:tcW w:w="980"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F11D68">
              <w:rPr>
                <w:rFonts w:ascii="Arial" w:hAnsi="Arial" w:cs="Arial"/>
                <w:sz w:val="22"/>
                <w:szCs w:val="22"/>
              </w:rPr>
              <w:t xml:space="preserve">Agency for Quality and </w:t>
            </w:r>
            <w:proofErr w:type="spellStart"/>
            <w:r w:rsidRPr="00F11D68">
              <w:rPr>
                <w:rFonts w:ascii="Arial" w:hAnsi="Arial" w:cs="Arial"/>
                <w:sz w:val="22"/>
                <w:szCs w:val="22"/>
              </w:rPr>
              <w:t>Accrediation</w:t>
            </w:r>
            <w:proofErr w:type="spellEnd"/>
            <w:r w:rsidRPr="00F11D68">
              <w:rPr>
                <w:rFonts w:ascii="Arial" w:hAnsi="Arial" w:cs="Arial"/>
                <w:sz w:val="22"/>
                <w:szCs w:val="22"/>
              </w:rPr>
              <w:t xml:space="preserve"> in Health Care and Social Welfare AAZ</w:t>
            </w:r>
            <w:r>
              <w:rPr>
                <w:rFonts w:ascii="Arial" w:hAnsi="Arial" w:cs="Arial"/>
                <w:sz w:val="22"/>
                <w:szCs w:val="22"/>
              </w:rPr>
              <w:t xml:space="preserve"> provided documents on behalf of </w:t>
            </w:r>
            <w:r w:rsidRPr="001B32E5">
              <w:rPr>
                <w:rFonts w:ascii="Arial" w:hAnsi="Arial" w:cs="Arial"/>
                <w:sz w:val="22"/>
                <w:szCs w:val="22"/>
              </w:rPr>
              <w:t>Croatian Institute for Health Insurance</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roofErr w:type="spellStart"/>
            <w:r w:rsidRPr="001B32E5">
              <w:rPr>
                <w:rFonts w:ascii="Arial" w:hAnsi="Arial" w:cs="Arial"/>
                <w:sz w:val="22"/>
                <w:szCs w:val="22"/>
              </w:rPr>
              <w:t>Pravilnik</w:t>
            </w:r>
            <w:proofErr w:type="spellEnd"/>
            <w:r w:rsidRPr="001B32E5">
              <w:rPr>
                <w:rFonts w:ascii="Arial" w:hAnsi="Arial" w:cs="Arial"/>
                <w:sz w:val="22"/>
                <w:szCs w:val="22"/>
              </w:rPr>
              <w:t xml:space="preserve">: O </w:t>
            </w:r>
            <w:proofErr w:type="spellStart"/>
            <w:r w:rsidRPr="001B32E5">
              <w:rPr>
                <w:rFonts w:ascii="Arial" w:hAnsi="Arial" w:cs="Arial"/>
                <w:sz w:val="22"/>
                <w:szCs w:val="22"/>
              </w:rPr>
              <w:t>mjerilima</w:t>
            </w:r>
            <w:proofErr w:type="spellEnd"/>
            <w:r w:rsidRPr="001B32E5">
              <w:rPr>
                <w:rFonts w:ascii="Arial" w:hAnsi="Arial" w:cs="Arial"/>
                <w:sz w:val="22"/>
                <w:szCs w:val="22"/>
              </w:rPr>
              <w:t xml:space="preserve"> </w:t>
            </w:r>
            <w:proofErr w:type="spellStart"/>
            <w:r w:rsidRPr="001B32E5">
              <w:rPr>
                <w:rFonts w:ascii="Arial" w:hAnsi="Arial" w:cs="Arial"/>
                <w:sz w:val="22"/>
                <w:szCs w:val="22"/>
              </w:rPr>
              <w:t>za</w:t>
            </w:r>
            <w:proofErr w:type="spellEnd"/>
            <w:r w:rsidRPr="001B32E5">
              <w:rPr>
                <w:rFonts w:ascii="Arial" w:hAnsi="Arial" w:cs="Arial"/>
                <w:sz w:val="22"/>
                <w:szCs w:val="22"/>
              </w:rPr>
              <w:t xml:space="preserve"> </w:t>
            </w:r>
            <w:proofErr w:type="spellStart"/>
            <w:r w:rsidRPr="001B32E5">
              <w:rPr>
                <w:rFonts w:ascii="Arial" w:hAnsi="Arial" w:cs="Arial"/>
                <w:sz w:val="22"/>
                <w:szCs w:val="22"/>
              </w:rPr>
              <w:t>stavljanje</w:t>
            </w:r>
            <w:proofErr w:type="spellEnd"/>
            <w:r w:rsidRPr="001B32E5">
              <w:rPr>
                <w:rFonts w:ascii="Arial" w:hAnsi="Arial" w:cs="Arial"/>
                <w:sz w:val="22"/>
                <w:szCs w:val="22"/>
              </w:rPr>
              <w:t xml:space="preserve"> </w:t>
            </w:r>
            <w:proofErr w:type="spellStart"/>
            <w:r w:rsidRPr="001B32E5">
              <w:rPr>
                <w:rFonts w:ascii="Arial" w:hAnsi="Arial" w:cs="Arial"/>
                <w:sz w:val="22"/>
                <w:szCs w:val="22"/>
              </w:rPr>
              <w:t>lijekova</w:t>
            </w:r>
            <w:proofErr w:type="spellEnd"/>
            <w:r w:rsidRPr="001B32E5">
              <w:rPr>
                <w:rFonts w:ascii="Arial" w:hAnsi="Arial" w:cs="Arial"/>
                <w:sz w:val="22"/>
                <w:szCs w:val="22"/>
              </w:rPr>
              <w:t xml:space="preserve"> </w:t>
            </w:r>
            <w:proofErr w:type="spellStart"/>
            <w:r w:rsidRPr="001B32E5">
              <w:rPr>
                <w:rFonts w:ascii="Arial" w:hAnsi="Arial" w:cs="Arial"/>
                <w:sz w:val="22"/>
                <w:szCs w:val="22"/>
              </w:rPr>
              <w:t>na</w:t>
            </w:r>
            <w:proofErr w:type="spellEnd"/>
            <w:r w:rsidRPr="001B32E5">
              <w:rPr>
                <w:rFonts w:ascii="Arial" w:hAnsi="Arial" w:cs="Arial"/>
                <w:sz w:val="22"/>
                <w:szCs w:val="22"/>
              </w:rPr>
              <w:t xml:space="preserve"> </w:t>
            </w:r>
            <w:proofErr w:type="spellStart"/>
            <w:r w:rsidRPr="001B32E5">
              <w:rPr>
                <w:rFonts w:ascii="Arial" w:hAnsi="Arial" w:cs="Arial"/>
                <w:sz w:val="22"/>
                <w:szCs w:val="22"/>
              </w:rPr>
              <w:t>osnovnu</w:t>
            </w:r>
            <w:proofErr w:type="spellEnd"/>
            <w:r w:rsidRPr="001B32E5">
              <w:rPr>
                <w:rFonts w:ascii="Arial" w:hAnsi="Arial" w:cs="Arial"/>
                <w:sz w:val="22"/>
                <w:szCs w:val="22"/>
              </w:rPr>
              <w:t xml:space="preserve"> </w:t>
            </w:r>
            <w:proofErr w:type="spellStart"/>
            <w:r w:rsidRPr="001B32E5">
              <w:rPr>
                <w:rFonts w:ascii="Arial" w:hAnsi="Arial" w:cs="Arial"/>
                <w:sz w:val="22"/>
                <w:szCs w:val="22"/>
              </w:rPr>
              <w:t>i</w:t>
            </w:r>
            <w:proofErr w:type="spellEnd"/>
            <w:r w:rsidRPr="001B32E5">
              <w:rPr>
                <w:rFonts w:ascii="Arial" w:hAnsi="Arial" w:cs="Arial"/>
                <w:sz w:val="22"/>
                <w:szCs w:val="22"/>
              </w:rPr>
              <w:t xml:space="preserve"> </w:t>
            </w:r>
            <w:proofErr w:type="spellStart"/>
            <w:r w:rsidRPr="001B32E5">
              <w:rPr>
                <w:rFonts w:ascii="Arial" w:hAnsi="Arial" w:cs="Arial"/>
                <w:sz w:val="22"/>
                <w:szCs w:val="22"/>
              </w:rPr>
              <w:t>dopunsku</w:t>
            </w:r>
            <w:proofErr w:type="spellEnd"/>
            <w:r w:rsidRPr="001B32E5">
              <w:rPr>
                <w:rFonts w:ascii="Arial" w:hAnsi="Arial" w:cs="Arial"/>
                <w:sz w:val="22"/>
                <w:szCs w:val="22"/>
              </w:rPr>
              <w:t xml:space="preserve"> </w:t>
            </w:r>
            <w:proofErr w:type="spellStart"/>
            <w:r w:rsidRPr="001B32E5">
              <w:rPr>
                <w:rFonts w:ascii="Arial" w:hAnsi="Arial" w:cs="Arial"/>
                <w:sz w:val="22"/>
                <w:szCs w:val="22"/>
              </w:rPr>
              <w:t>listu</w:t>
            </w:r>
            <w:proofErr w:type="spellEnd"/>
            <w:r w:rsidRPr="001B32E5">
              <w:rPr>
                <w:rFonts w:ascii="Arial" w:hAnsi="Arial" w:cs="Arial"/>
                <w:sz w:val="22"/>
                <w:szCs w:val="22"/>
              </w:rPr>
              <w:t xml:space="preserve"> </w:t>
            </w:r>
            <w:proofErr w:type="spellStart"/>
            <w:r w:rsidRPr="001B32E5">
              <w:rPr>
                <w:rFonts w:ascii="Arial" w:hAnsi="Arial" w:cs="Arial"/>
                <w:sz w:val="22"/>
                <w:szCs w:val="22"/>
              </w:rPr>
              <w:t>lijekova</w:t>
            </w:r>
            <w:proofErr w:type="spellEnd"/>
            <w:r w:rsidRPr="001B32E5">
              <w:rPr>
                <w:rFonts w:ascii="Arial" w:hAnsi="Arial" w:cs="Arial"/>
                <w:sz w:val="22"/>
                <w:szCs w:val="22"/>
              </w:rPr>
              <w:t xml:space="preserve"> </w:t>
            </w:r>
            <w:proofErr w:type="spellStart"/>
            <w:r w:rsidRPr="001B32E5">
              <w:rPr>
                <w:rFonts w:ascii="Arial" w:hAnsi="Arial" w:cs="Arial"/>
                <w:sz w:val="22"/>
                <w:szCs w:val="22"/>
              </w:rPr>
              <w:t>hravatskog</w:t>
            </w:r>
            <w:proofErr w:type="spellEnd"/>
            <w:r w:rsidRPr="001B32E5">
              <w:rPr>
                <w:rFonts w:ascii="Arial" w:hAnsi="Arial" w:cs="Arial"/>
                <w:sz w:val="22"/>
                <w:szCs w:val="22"/>
              </w:rPr>
              <w:t xml:space="preserve"> </w:t>
            </w:r>
            <w:proofErr w:type="spellStart"/>
            <w:r w:rsidRPr="001B32E5">
              <w:rPr>
                <w:rFonts w:ascii="Arial" w:hAnsi="Arial" w:cs="Arial"/>
                <w:sz w:val="22"/>
                <w:szCs w:val="22"/>
              </w:rPr>
              <w:t>zavoda</w:t>
            </w:r>
            <w:proofErr w:type="spellEnd"/>
            <w:r w:rsidRPr="001B32E5">
              <w:rPr>
                <w:rFonts w:ascii="Arial" w:hAnsi="Arial" w:cs="Arial"/>
                <w:sz w:val="22"/>
                <w:szCs w:val="22"/>
              </w:rPr>
              <w:t xml:space="preserve"> </w:t>
            </w:r>
            <w:proofErr w:type="spellStart"/>
            <w:r w:rsidRPr="001B32E5">
              <w:rPr>
                <w:rFonts w:ascii="Arial" w:hAnsi="Arial" w:cs="Arial"/>
                <w:sz w:val="22"/>
                <w:szCs w:val="22"/>
              </w:rPr>
              <w:t>za</w:t>
            </w:r>
            <w:proofErr w:type="spellEnd"/>
            <w:r w:rsidRPr="001B32E5">
              <w:rPr>
                <w:rFonts w:ascii="Arial" w:hAnsi="Arial" w:cs="Arial"/>
                <w:sz w:val="22"/>
                <w:szCs w:val="22"/>
              </w:rPr>
              <w:t xml:space="preserve"> </w:t>
            </w:r>
            <w:proofErr w:type="spellStart"/>
            <w:r w:rsidRPr="001B32E5">
              <w:rPr>
                <w:rFonts w:ascii="Arial" w:hAnsi="Arial" w:cs="Arial"/>
                <w:sz w:val="22"/>
                <w:szCs w:val="22"/>
              </w:rPr>
              <w:t>zdravstveno</w:t>
            </w:r>
            <w:proofErr w:type="spellEnd"/>
            <w:r w:rsidRPr="001B32E5">
              <w:rPr>
                <w:rFonts w:ascii="Arial" w:hAnsi="Arial" w:cs="Arial"/>
                <w:sz w:val="22"/>
                <w:szCs w:val="22"/>
              </w:rPr>
              <w:t xml:space="preserve"> </w:t>
            </w:r>
            <w:proofErr w:type="spellStart"/>
            <w:r w:rsidRPr="001B32E5">
              <w:rPr>
                <w:rFonts w:ascii="Arial" w:hAnsi="Arial" w:cs="Arial"/>
                <w:sz w:val="22"/>
                <w:szCs w:val="22"/>
              </w:rPr>
              <w:t>osiguranje</w:t>
            </w:r>
            <w:proofErr w:type="spellEnd"/>
            <w:r w:rsidRPr="001B32E5">
              <w:rPr>
                <w:rFonts w:ascii="Arial" w:hAnsi="Arial" w:cs="Arial"/>
                <w:sz w:val="22"/>
                <w:szCs w:val="22"/>
              </w:rPr>
              <w:t xml:space="preserve"> (2010) </w:t>
            </w:r>
          </w:p>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i/>
                <w:sz w:val="22"/>
                <w:szCs w:val="22"/>
              </w:rPr>
              <w:t>Ordinance: Establishing the criteria for inclusion of medicinal products in the basic and the supplementary reimbursement list of the Croatian institute for health insurance (2010)</w:t>
            </w:r>
            <w:r w:rsidRPr="001B32E5">
              <w:rPr>
                <w:rFonts w:ascii="Arial" w:hAnsi="Arial" w:cs="Arial"/>
                <w:sz w:val="22"/>
                <w:szCs w:val="22"/>
              </w:rPr>
              <w:t xml:space="preserve"> </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19</w:t>
            </w:r>
          </w:p>
        </w:tc>
      </w:tr>
      <w:tr w:rsidR="00796A1B" w:rsidRPr="00CC091F" w:rsidTr="003122DE">
        <w:trPr>
          <w:trHeight w:val="174"/>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The Croatian Guideline for Health Technology Assessment</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41</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Pr>
                <w:rFonts w:ascii="Arial" w:hAnsi="Arial" w:cs="Arial"/>
                <w:sz w:val="22"/>
                <w:szCs w:val="22"/>
              </w:rPr>
              <w:t>Cyprus</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9D1B7F">
              <w:rPr>
                <w:rFonts w:ascii="Arial" w:hAnsi="Arial" w:cs="Arial"/>
                <w:sz w:val="22"/>
                <w:szCs w:val="22"/>
              </w:rPr>
              <w:t>Ministry of Health, Department of Pharmaceutical Services</w:t>
            </w:r>
          </w:p>
        </w:tc>
        <w:tc>
          <w:tcPr>
            <w:tcW w:w="2600" w:type="pct"/>
            <w:shd w:val="clear" w:color="auto" w:fill="auto"/>
          </w:tcPr>
          <w:p w:rsidR="00796A1B" w:rsidRPr="001B32E5" w:rsidRDefault="00EC42A1" w:rsidP="00796A1B">
            <w:pPr>
              <w:pStyle w:val="Paragraphnonumbers"/>
              <w:spacing w:after="0" w:line="240" w:lineRule="auto"/>
              <w:contextualSpacing/>
              <w:rPr>
                <w:sz w:val="22"/>
                <w:szCs w:val="22"/>
                <w:lang w:val="cs-CZ"/>
              </w:rPr>
            </w:pPr>
            <w:r>
              <w:rPr>
                <w:sz w:val="22"/>
                <w:szCs w:val="22"/>
                <w:lang w:val="cs-CZ"/>
              </w:rPr>
              <w:t>Did not respond to requests for evidence requirements</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Czech </w:t>
            </w:r>
            <w:smartTag w:uri="urn:schemas-microsoft-com:office:smarttags" w:element="PlaceType">
              <w:r w:rsidRPr="001B32E5">
                <w:rPr>
                  <w:rFonts w:ascii="Arial" w:hAnsi="Arial" w:cs="Arial"/>
                  <w:sz w:val="22"/>
                  <w:szCs w:val="22"/>
                </w:rPr>
                <w:t>Republic</w:t>
              </w:r>
            </w:smartTag>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Ministry of Health</w:t>
            </w:r>
          </w:p>
        </w:tc>
        <w:tc>
          <w:tcPr>
            <w:tcW w:w="2600" w:type="pct"/>
            <w:shd w:val="clear" w:color="auto" w:fill="auto"/>
          </w:tcPr>
          <w:p w:rsidR="00796A1B" w:rsidRPr="001B32E5" w:rsidRDefault="00796A1B" w:rsidP="00796A1B">
            <w:pPr>
              <w:pStyle w:val="Paragraphnonumbers"/>
              <w:spacing w:after="0" w:line="240" w:lineRule="auto"/>
              <w:contextualSpacing/>
              <w:rPr>
                <w:sz w:val="22"/>
                <w:szCs w:val="22"/>
                <w:lang w:val="cs-CZ"/>
              </w:rPr>
            </w:pPr>
            <w:r w:rsidRPr="001B32E5">
              <w:rPr>
                <w:sz w:val="22"/>
                <w:szCs w:val="22"/>
                <w:lang w:val="cs-CZ"/>
              </w:rPr>
              <w:t>Žádost o stanovení maximální ceny výrobce a výše a podmínek úhrady léčivého přípravku / potraviny pro zvláštní lékařské účely (2013)</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Summary 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3</w:t>
            </w:r>
          </w:p>
        </w:tc>
      </w:tr>
      <w:tr w:rsidR="00796A1B" w:rsidRPr="00CC091F" w:rsidTr="003122DE">
        <w:trPr>
          <w:trHeight w:val="410"/>
        </w:trPr>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smartTag w:uri="urn:schemas-microsoft-com:office:smarttags" w:element="country-region">
              <w:smartTag w:uri="urn:schemas-microsoft-com:office:smarttags" w:element="place">
                <w:r w:rsidRPr="001B32E5">
                  <w:rPr>
                    <w:rFonts w:ascii="Arial" w:hAnsi="Arial" w:cs="Arial"/>
                    <w:sz w:val="22"/>
                    <w:szCs w:val="22"/>
                  </w:rPr>
                  <w:t>Denmark</w:t>
                </w:r>
              </w:smartTag>
            </w:smartTag>
            <w:r w:rsidRPr="001B32E5">
              <w:rPr>
                <w:rFonts w:ascii="Arial" w:hAnsi="Arial" w:cs="Arial"/>
                <w:sz w:val="22"/>
                <w:szCs w:val="22"/>
              </w:rPr>
              <w:t xml:space="preserve"> </w:t>
            </w:r>
          </w:p>
        </w:tc>
        <w:tc>
          <w:tcPr>
            <w:tcW w:w="980"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roofErr w:type="spellStart"/>
            <w:r w:rsidRPr="001B32E5">
              <w:rPr>
                <w:rFonts w:ascii="Arial" w:hAnsi="Arial" w:cs="Arial"/>
                <w:sz w:val="22"/>
                <w:szCs w:val="22"/>
              </w:rPr>
              <w:t>Sundhedsstyrelsen</w:t>
            </w:r>
            <w:proofErr w:type="spellEnd"/>
          </w:p>
          <w:p w:rsidR="00796A1B" w:rsidRPr="001B32E5" w:rsidRDefault="00796A1B" w:rsidP="00796A1B">
            <w:pPr>
              <w:autoSpaceDE w:val="0"/>
              <w:autoSpaceDN w:val="0"/>
              <w:adjustRightInd w:val="0"/>
              <w:contextualSpacing/>
              <w:rPr>
                <w:rFonts w:ascii="Arial" w:hAnsi="Arial" w:cs="Arial"/>
                <w:i/>
                <w:sz w:val="22"/>
                <w:szCs w:val="22"/>
              </w:rPr>
            </w:pPr>
            <w:r w:rsidRPr="001B32E5">
              <w:rPr>
                <w:rFonts w:ascii="Arial" w:hAnsi="Arial" w:cs="Arial"/>
                <w:i/>
                <w:sz w:val="22"/>
                <w:szCs w:val="22"/>
              </w:rPr>
              <w:t>Danish Health and Medicines Authority</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lang w:val="da-DK"/>
              </w:rPr>
            </w:pPr>
            <w:r w:rsidRPr="001B32E5">
              <w:rPr>
                <w:rFonts w:ascii="Arial" w:hAnsi="Arial" w:cs="Arial"/>
                <w:sz w:val="22"/>
                <w:szCs w:val="22"/>
                <w:lang w:val="da-DK"/>
              </w:rPr>
              <w:t xml:space="preserve">Ansøgning om generelt tilskud eller generelt klausuleret tilskud til et lægemiddel </w:t>
            </w:r>
          </w:p>
          <w:p w:rsidR="00796A1B" w:rsidRPr="001B32E5" w:rsidRDefault="00796A1B" w:rsidP="00796A1B">
            <w:pPr>
              <w:autoSpaceDE w:val="0"/>
              <w:autoSpaceDN w:val="0"/>
              <w:adjustRightInd w:val="0"/>
              <w:contextualSpacing/>
              <w:rPr>
                <w:rFonts w:ascii="Arial" w:hAnsi="Arial" w:cs="Arial"/>
                <w:i/>
                <w:sz w:val="22"/>
                <w:szCs w:val="22"/>
              </w:rPr>
            </w:pPr>
            <w:r w:rsidRPr="001B32E5">
              <w:rPr>
                <w:rFonts w:ascii="Arial" w:hAnsi="Arial" w:cs="Arial"/>
                <w:i/>
                <w:sz w:val="22"/>
                <w:szCs w:val="22"/>
              </w:rPr>
              <w:t xml:space="preserve">Application for general reimbursement or conditional reimbursement of a </w:t>
            </w:r>
            <w:r w:rsidRPr="001B32E5">
              <w:rPr>
                <w:rFonts w:ascii="Arial" w:hAnsi="Arial" w:cs="Arial"/>
                <w:i/>
                <w:sz w:val="22"/>
                <w:szCs w:val="22"/>
              </w:rPr>
              <w:lastRenderedPageBreak/>
              <w:t>pharmaceutical product</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lastRenderedPageBreak/>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w:t>
            </w:r>
          </w:p>
        </w:tc>
      </w:tr>
      <w:tr w:rsidR="00796A1B" w:rsidRPr="00CC091F" w:rsidTr="003122DE">
        <w:trPr>
          <w:trHeight w:val="799"/>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pStyle w:val="Paragraphnonumbers"/>
              <w:spacing w:after="0" w:line="240" w:lineRule="auto"/>
              <w:contextualSpacing/>
              <w:rPr>
                <w:rFonts w:cs="Arial"/>
                <w:sz w:val="22"/>
                <w:szCs w:val="22"/>
                <w:lang w:val="da-DK"/>
              </w:rPr>
            </w:pPr>
            <w:r w:rsidRPr="001B32E5">
              <w:rPr>
                <w:sz w:val="22"/>
                <w:szCs w:val="22"/>
                <w:lang w:val="da-DK"/>
              </w:rPr>
              <w:t>Vejledning til ansøgning om generelt tilskud.</w:t>
            </w:r>
          </w:p>
          <w:p w:rsidR="00796A1B" w:rsidRPr="001B32E5" w:rsidRDefault="00796A1B" w:rsidP="00796A1B">
            <w:pPr>
              <w:pStyle w:val="Paragraphnonumbers"/>
              <w:spacing w:after="0" w:line="240" w:lineRule="auto"/>
              <w:contextualSpacing/>
              <w:rPr>
                <w:rFonts w:cs="Arial"/>
                <w:sz w:val="22"/>
                <w:szCs w:val="22"/>
              </w:rPr>
            </w:pPr>
            <w:r w:rsidRPr="001B32E5">
              <w:rPr>
                <w:rFonts w:cs="Arial"/>
                <w:i/>
                <w:sz w:val="22"/>
                <w:szCs w:val="22"/>
              </w:rPr>
              <w:t>Guidelines for application for general reimbursement of medicinal products</w:t>
            </w:r>
            <w:r w:rsidRPr="001B32E5">
              <w:rPr>
                <w:rFonts w:cs="Arial"/>
                <w:sz w:val="22"/>
                <w:szCs w:val="22"/>
              </w:rPr>
              <w:t>.</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8</w:t>
            </w:r>
          </w:p>
        </w:tc>
      </w:tr>
      <w:tr w:rsidR="00796A1B" w:rsidRPr="00CC091F" w:rsidTr="003122DE">
        <w:trPr>
          <w:trHeight w:val="296"/>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pStyle w:val="Paragraphnonumbers"/>
              <w:spacing w:after="0" w:line="240" w:lineRule="auto"/>
              <w:contextualSpacing/>
              <w:rPr>
                <w:rFonts w:cs="Arial"/>
                <w:color w:val="000000"/>
                <w:kern w:val="36"/>
                <w:sz w:val="22"/>
                <w:szCs w:val="22"/>
              </w:rPr>
            </w:pPr>
            <w:proofErr w:type="spellStart"/>
            <w:r w:rsidRPr="001B32E5">
              <w:rPr>
                <w:rFonts w:cs="Arial"/>
                <w:color w:val="000000"/>
                <w:kern w:val="36"/>
                <w:sz w:val="22"/>
                <w:szCs w:val="22"/>
              </w:rPr>
              <w:t>Vejledning</w:t>
            </w:r>
            <w:proofErr w:type="spellEnd"/>
            <w:r w:rsidRPr="001B32E5">
              <w:rPr>
                <w:rFonts w:cs="Arial"/>
                <w:color w:val="000000"/>
                <w:kern w:val="36"/>
                <w:sz w:val="22"/>
                <w:szCs w:val="22"/>
              </w:rPr>
              <w:t xml:space="preserve"> om procedure for </w:t>
            </w:r>
            <w:proofErr w:type="spellStart"/>
            <w:r w:rsidRPr="001B32E5">
              <w:rPr>
                <w:rFonts w:cs="Arial"/>
                <w:color w:val="000000"/>
                <w:kern w:val="36"/>
                <w:sz w:val="22"/>
                <w:szCs w:val="22"/>
              </w:rPr>
              <w:t>revurderinger</w:t>
            </w:r>
            <w:proofErr w:type="spellEnd"/>
          </w:p>
          <w:p w:rsidR="00796A1B" w:rsidRPr="001B32E5" w:rsidRDefault="00796A1B" w:rsidP="00796A1B">
            <w:pPr>
              <w:pStyle w:val="Paragraphnonumbers"/>
              <w:spacing w:after="0" w:line="240" w:lineRule="auto"/>
              <w:contextualSpacing/>
              <w:rPr>
                <w:i/>
                <w:sz w:val="22"/>
                <w:szCs w:val="22"/>
              </w:rPr>
            </w:pPr>
            <w:r w:rsidRPr="001B32E5">
              <w:rPr>
                <w:rFonts w:cs="Arial"/>
                <w:i/>
                <w:sz w:val="22"/>
                <w:szCs w:val="22"/>
              </w:rPr>
              <w:t>Guidelines on procedure for reassessment of reimbursement status</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7</w:t>
            </w:r>
          </w:p>
        </w:tc>
      </w:tr>
      <w:tr w:rsidR="00796A1B" w:rsidRPr="00CC091F" w:rsidTr="003122DE">
        <w:trPr>
          <w:trHeight w:val="428"/>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pStyle w:val="Paragraphnonumbers"/>
              <w:spacing w:after="0" w:line="240" w:lineRule="auto"/>
              <w:contextualSpacing/>
              <w:rPr>
                <w:sz w:val="22"/>
                <w:szCs w:val="22"/>
              </w:rPr>
            </w:pPr>
            <w:r w:rsidRPr="001B32E5">
              <w:rPr>
                <w:sz w:val="22"/>
                <w:szCs w:val="22"/>
              </w:rPr>
              <w:t>Standardised reporting structure for health economic analyses in applications for general reimbursement</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5</w:t>
            </w:r>
          </w:p>
        </w:tc>
      </w:tr>
      <w:tr w:rsidR="00796A1B" w:rsidRPr="00CC091F" w:rsidTr="003122DE">
        <w:tc>
          <w:tcPr>
            <w:tcW w:w="508" w:type="pct"/>
            <w:shd w:val="clear" w:color="auto" w:fill="auto"/>
          </w:tcPr>
          <w:p w:rsidR="00796A1B" w:rsidRPr="001B32E5" w:rsidRDefault="00796A1B" w:rsidP="001E1CC7">
            <w:pPr>
              <w:autoSpaceDE w:val="0"/>
              <w:autoSpaceDN w:val="0"/>
              <w:adjustRightInd w:val="0"/>
              <w:contextualSpacing/>
              <w:rPr>
                <w:rFonts w:ascii="Arial" w:hAnsi="Arial" w:cs="Arial"/>
                <w:sz w:val="22"/>
                <w:szCs w:val="22"/>
              </w:rPr>
            </w:pPr>
            <w:r w:rsidRPr="001B32E5">
              <w:rPr>
                <w:rFonts w:ascii="Arial" w:hAnsi="Arial" w:cs="Arial"/>
                <w:sz w:val="22"/>
                <w:szCs w:val="22"/>
              </w:rPr>
              <w:t>England</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National </w:t>
            </w:r>
            <w:smartTag w:uri="urn:schemas-microsoft-com:office:smarttags" w:element="place">
              <w:smartTag w:uri="urn:schemas-microsoft-com:office:smarttags" w:element="PlaceType">
                <w:r w:rsidRPr="001B32E5">
                  <w:rPr>
                    <w:rFonts w:ascii="Arial" w:hAnsi="Arial" w:cs="Arial"/>
                    <w:sz w:val="22"/>
                    <w:szCs w:val="22"/>
                  </w:rPr>
                  <w:t>Institute</w:t>
                </w:r>
              </w:smartTag>
              <w:r w:rsidRPr="001B32E5">
                <w:rPr>
                  <w:rFonts w:ascii="Arial" w:hAnsi="Arial" w:cs="Arial"/>
                  <w:sz w:val="22"/>
                  <w:szCs w:val="22"/>
                </w:rPr>
                <w:t xml:space="preserve"> of </w:t>
              </w:r>
              <w:smartTag w:uri="urn:schemas-microsoft-com:office:smarttags" w:element="PlaceName">
                <w:r w:rsidRPr="001B32E5">
                  <w:rPr>
                    <w:rFonts w:ascii="Arial" w:hAnsi="Arial" w:cs="Arial"/>
                    <w:sz w:val="22"/>
                    <w:szCs w:val="22"/>
                  </w:rPr>
                  <w:t>Health</w:t>
                </w:r>
              </w:smartTag>
            </w:smartTag>
            <w:r w:rsidRPr="001B32E5">
              <w:rPr>
                <w:rFonts w:ascii="Arial" w:hAnsi="Arial" w:cs="Arial"/>
                <w:sz w:val="22"/>
                <w:szCs w:val="22"/>
              </w:rPr>
              <w:t xml:space="preserve"> and Care Excellence</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Specification for manufacturer/sponsor submission of evidence (June 2012)</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76</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Estonia </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Tartu University Department for Public Health</w:t>
            </w:r>
            <w:r>
              <w:rPr>
                <w:rFonts w:ascii="Arial" w:hAnsi="Arial" w:cs="Arial"/>
                <w:sz w:val="22"/>
                <w:szCs w:val="22"/>
              </w:rPr>
              <w:t xml:space="preserve"> provided documents on behalf of </w:t>
            </w:r>
            <w:r w:rsidR="003122DE">
              <w:rPr>
                <w:rFonts w:ascii="Arial" w:hAnsi="Arial" w:cs="Arial"/>
                <w:sz w:val="22"/>
                <w:szCs w:val="22"/>
              </w:rPr>
              <w:t xml:space="preserve">the </w:t>
            </w:r>
            <w:r>
              <w:rPr>
                <w:rFonts w:ascii="Arial" w:hAnsi="Arial" w:cs="Arial"/>
                <w:sz w:val="22"/>
                <w:szCs w:val="22"/>
              </w:rPr>
              <w:t xml:space="preserve">Estonia </w:t>
            </w:r>
            <w:r w:rsidRPr="009D1B7F">
              <w:rPr>
                <w:rFonts w:ascii="Arial" w:hAnsi="Arial" w:cs="Arial"/>
                <w:sz w:val="22"/>
                <w:szCs w:val="22"/>
              </w:rPr>
              <w:t>Health Insurance Fund</w:t>
            </w:r>
          </w:p>
        </w:tc>
        <w:tc>
          <w:tcPr>
            <w:tcW w:w="2600" w:type="pct"/>
            <w:shd w:val="clear" w:color="auto" w:fill="auto"/>
          </w:tcPr>
          <w:p w:rsidR="00796A1B" w:rsidRPr="001B32E5" w:rsidRDefault="00796A1B" w:rsidP="00796A1B">
            <w:pPr>
              <w:contextualSpacing/>
              <w:jc w:val="both"/>
              <w:rPr>
                <w:rFonts w:ascii="Arial" w:hAnsi="Arial"/>
                <w:color w:val="000000"/>
                <w:sz w:val="22"/>
                <w:szCs w:val="22"/>
                <w:lang w:val="fi-FI"/>
              </w:rPr>
            </w:pPr>
            <w:r w:rsidRPr="001B32E5">
              <w:rPr>
                <w:rFonts w:ascii="Arial" w:hAnsi="Arial"/>
                <w:color w:val="000000"/>
                <w:sz w:val="22"/>
                <w:szCs w:val="22"/>
                <w:lang w:val="fi-FI"/>
              </w:rPr>
              <w:t>Eesti haigekassa tervishoiuteenuste loetelu muutmise taotlus</w:t>
            </w:r>
          </w:p>
          <w:p w:rsidR="00796A1B" w:rsidRPr="001B32E5" w:rsidRDefault="00796A1B" w:rsidP="00796A1B">
            <w:pPr>
              <w:autoSpaceDE w:val="0"/>
              <w:autoSpaceDN w:val="0"/>
              <w:adjustRightInd w:val="0"/>
              <w:contextualSpacing/>
              <w:rPr>
                <w:rFonts w:ascii="Arial" w:hAnsi="Arial" w:cs="Arial"/>
                <w:i/>
                <w:sz w:val="22"/>
                <w:szCs w:val="22"/>
              </w:rPr>
            </w:pPr>
            <w:r w:rsidRPr="001B32E5">
              <w:rPr>
                <w:rFonts w:ascii="Arial" w:hAnsi="Arial" w:cs="Arial"/>
                <w:i/>
                <w:sz w:val="22"/>
                <w:szCs w:val="22"/>
              </w:rPr>
              <w:t>Application form to add new health care service or to modify the health insurance service list</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5</w:t>
            </w:r>
          </w:p>
        </w:tc>
      </w:tr>
      <w:tr w:rsidR="00796A1B" w:rsidRPr="00CC091F" w:rsidTr="003122DE">
        <w:trPr>
          <w:trHeight w:val="139"/>
        </w:trPr>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Finland</w:t>
            </w:r>
          </w:p>
        </w:tc>
        <w:tc>
          <w:tcPr>
            <w:tcW w:w="980" w:type="pct"/>
            <w:vMerge w:val="restart"/>
            <w:shd w:val="clear" w:color="auto" w:fill="auto"/>
          </w:tcPr>
          <w:p w:rsidR="00796A1B" w:rsidRPr="009D1B7F" w:rsidRDefault="00796A1B" w:rsidP="00796A1B">
            <w:pPr>
              <w:rPr>
                <w:rFonts w:ascii="Arial" w:hAnsi="Arial" w:cs="Arial"/>
                <w:sz w:val="22"/>
                <w:szCs w:val="22"/>
              </w:rPr>
            </w:pPr>
            <w:r w:rsidRPr="009D1B7F">
              <w:rPr>
                <w:rFonts w:ascii="Arial" w:hAnsi="Arial" w:cs="Arial"/>
                <w:sz w:val="22"/>
                <w:szCs w:val="22"/>
              </w:rPr>
              <w:t>Finnish Medicines Agency</w:t>
            </w:r>
          </w:p>
          <w:p w:rsidR="00796A1B" w:rsidRPr="009D1B7F" w:rsidRDefault="00796A1B" w:rsidP="00796A1B">
            <w:pPr>
              <w:rPr>
                <w:rFonts w:ascii="Arial" w:hAnsi="Arial" w:cs="Arial"/>
                <w:sz w:val="22"/>
                <w:szCs w:val="22"/>
              </w:rPr>
            </w:pPr>
            <w:r w:rsidRPr="009D1B7F">
              <w:rPr>
                <w:rFonts w:ascii="Arial" w:hAnsi="Arial" w:cs="Arial"/>
                <w:sz w:val="22"/>
                <w:szCs w:val="22"/>
              </w:rPr>
              <w:t>Assessment of Pharmacotherapies Process</w:t>
            </w:r>
          </w:p>
          <w:p w:rsidR="00796A1B" w:rsidRPr="001B32E5" w:rsidRDefault="00796A1B" w:rsidP="00796A1B">
            <w:pPr>
              <w:autoSpaceDE w:val="0"/>
              <w:autoSpaceDN w:val="0"/>
              <w:adjustRightInd w:val="0"/>
              <w:contextualSpacing/>
              <w:rPr>
                <w:rFonts w:ascii="Arial" w:hAnsi="Arial" w:cs="Arial"/>
                <w:sz w:val="22"/>
                <w:szCs w:val="22"/>
              </w:rPr>
            </w:pPr>
            <w:r w:rsidRPr="009D1B7F">
              <w:rPr>
                <w:rFonts w:ascii="Arial" w:hAnsi="Arial" w:cs="Arial"/>
                <w:sz w:val="22"/>
                <w:szCs w:val="22"/>
              </w:rPr>
              <w:t>FIMEA</w:t>
            </w:r>
            <w:r>
              <w:rPr>
                <w:rFonts w:ascii="Arial" w:hAnsi="Arial" w:cs="Arial"/>
                <w:sz w:val="22"/>
                <w:szCs w:val="22"/>
              </w:rPr>
              <w:t xml:space="preserve"> provided documents on behalf of </w:t>
            </w:r>
            <w:r w:rsidRPr="001B32E5">
              <w:rPr>
                <w:rFonts w:ascii="Arial" w:hAnsi="Arial" w:cs="Arial"/>
                <w:sz w:val="22"/>
                <w:szCs w:val="22"/>
              </w:rPr>
              <w:t>The Pharmaceutical Pricing Board</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Application for reimbursement status and wholesale price for a medicinal product subject to marketing authorization.</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4</w:t>
            </w:r>
          </w:p>
        </w:tc>
      </w:tr>
      <w:tr w:rsidR="00796A1B" w:rsidRPr="00CC091F" w:rsidTr="003122DE">
        <w:trPr>
          <w:trHeight w:val="825"/>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Application instructions: Reimbursement status and whole-sale price for a medicinal product subject to marketing authorization.</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11</w:t>
            </w:r>
          </w:p>
        </w:tc>
      </w:tr>
      <w:tr w:rsidR="00796A1B" w:rsidRPr="00CC091F" w:rsidTr="003122DE">
        <w:trPr>
          <w:trHeight w:val="278"/>
        </w:trPr>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France</w:t>
            </w:r>
          </w:p>
        </w:tc>
        <w:tc>
          <w:tcPr>
            <w:tcW w:w="980"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lang w:val="fr-FR"/>
              </w:rPr>
            </w:pPr>
            <w:r w:rsidRPr="001B32E5">
              <w:rPr>
                <w:rFonts w:ascii="Arial" w:hAnsi="Arial" w:cs="Arial"/>
                <w:sz w:val="22"/>
                <w:szCs w:val="22"/>
                <w:lang w:val="fr-FR"/>
              </w:rPr>
              <w:t xml:space="preserve">Haute </w:t>
            </w:r>
            <w:proofErr w:type="spellStart"/>
            <w:r w:rsidRPr="001B32E5">
              <w:rPr>
                <w:rFonts w:ascii="Arial" w:hAnsi="Arial" w:cs="Arial"/>
                <w:sz w:val="22"/>
                <w:szCs w:val="22"/>
                <w:lang w:val="fr-FR"/>
              </w:rPr>
              <w:t>Autorite</w:t>
            </w:r>
            <w:proofErr w:type="spellEnd"/>
            <w:r w:rsidRPr="001B32E5">
              <w:rPr>
                <w:rFonts w:ascii="Arial" w:hAnsi="Arial" w:cs="Arial"/>
                <w:sz w:val="22"/>
                <w:szCs w:val="22"/>
                <w:lang w:val="fr-FR"/>
              </w:rPr>
              <w:t xml:space="preserve"> de </w:t>
            </w:r>
            <w:proofErr w:type="spellStart"/>
            <w:r w:rsidRPr="001B32E5">
              <w:rPr>
                <w:rFonts w:ascii="Arial" w:hAnsi="Arial" w:cs="Arial"/>
                <w:sz w:val="22"/>
                <w:szCs w:val="22"/>
                <w:lang w:val="fr-FR"/>
              </w:rPr>
              <w:t>Sante</w:t>
            </w:r>
            <w:proofErr w:type="spellEnd"/>
            <w:r w:rsidRPr="001B32E5">
              <w:rPr>
                <w:rFonts w:ascii="Arial" w:hAnsi="Arial" w:cs="Arial"/>
                <w:sz w:val="22"/>
                <w:szCs w:val="22"/>
                <w:lang w:val="fr-FR"/>
              </w:rPr>
              <w:t xml:space="preserve"> (HAS)</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lang w:val="fr-FR"/>
              </w:rPr>
            </w:pPr>
            <w:r w:rsidRPr="001B32E5">
              <w:rPr>
                <w:rFonts w:ascii="Arial" w:hAnsi="Arial" w:cs="Arial"/>
                <w:sz w:val="22"/>
                <w:szCs w:val="22"/>
                <w:lang w:val="fr-FR"/>
              </w:rPr>
              <w:t xml:space="preserve">Dossier Type: </w:t>
            </w:r>
            <w:proofErr w:type="spellStart"/>
            <w:r w:rsidRPr="001B32E5">
              <w:rPr>
                <w:rFonts w:ascii="Arial" w:hAnsi="Arial" w:cs="Arial"/>
                <w:sz w:val="22"/>
                <w:szCs w:val="22"/>
                <w:lang w:val="fr-FR"/>
              </w:rPr>
              <w:t>Premiere</w:t>
            </w:r>
            <w:proofErr w:type="spellEnd"/>
            <w:r w:rsidRPr="001B32E5">
              <w:rPr>
                <w:rFonts w:ascii="Arial" w:hAnsi="Arial" w:cs="Arial"/>
                <w:sz w:val="22"/>
                <w:szCs w:val="22"/>
                <w:lang w:val="fr-FR"/>
              </w:rPr>
              <w:t xml:space="preserve"> inscription ou extension des indications d’un </w:t>
            </w:r>
            <w:proofErr w:type="spellStart"/>
            <w:r w:rsidRPr="001B32E5">
              <w:rPr>
                <w:rFonts w:ascii="Arial" w:hAnsi="Arial" w:cs="Arial"/>
                <w:sz w:val="22"/>
                <w:szCs w:val="22"/>
                <w:lang w:val="fr-FR"/>
              </w:rPr>
              <w:t>medicament</w:t>
            </w:r>
            <w:proofErr w:type="spellEnd"/>
          </w:p>
          <w:p w:rsidR="00796A1B" w:rsidRPr="001B32E5" w:rsidRDefault="00796A1B" w:rsidP="00796A1B">
            <w:pPr>
              <w:autoSpaceDE w:val="0"/>
              <w:autoSpaceDN w:val="0"/>
              <w:adjustRightInd w:val="0"/>
              <w:contextualSpacing/>
              <w:rPr>
                <w:rFonts w:ascii="Arial" w:hAnsi="Arial" w:cs="Arial"/>
                <w:i/>
                <w:sz w:val="22"/>
                <w:szCs w:val="22"/>
              </w:rPr>
            </w:pPr>
            <w:r w:rsidRPr="001B32E5">
              <w:rPr>
                <w:rFonts w:ascii="Arial" w:hAnsi="Arial" w:cs="Arial"/>
                <w:i/>
                <w:sz w:val="22"/>
                <w:szCs w:val="22"/>
              </w:rPr>
              <w:t>Standard Dossier: First assessment of extension of indication(s) of a medicine</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18</w:t>
            </w:r>
          </w:p>
        </w:tc>
      </w:tr>
      <w:tr w:rsidR="00796A1B" w:rsidRPr="00CC091F" w:rsidTr="003122DE">
        <w:trPr>
          <w:trHeight w:val="277"/>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lang w:val="fr-FR"/>
              </w:rPr>
            </w:pPr>
            <w:r w:rsidRPr="001B32E5">
              <w:rPr>
                <w:rFonts w:ascii="Arial" w:hAnsi="Arial" w:cs="Arial"/>
                <w:sz w:val="22"/>
                <w:szCs w:val="22"/>
                <w:lang w:val="fr-FR"/>
              </w:rPr>
              <w:t xml:space="preserve">Notice de </w:t>
            </w:r>
            <w:proofErr w:type="spellStart"/>
            <w:r w:rsidRPr="001B32E5">
              <w:rPr>
                <w:rFonts w:ascii="Arial" w:hAnsi="Arial" w:cs="Arial"/>
                <w:sz w:val="22"/>
                <w:szCs w:val="22"/>
                <w:lang w:val="fr-FR"/>
              </w:rPr>
              <w:t>depot</w:t>
            </w:r>
            <w:proofErr w:type="spellEnd"/>
            <w:r w:rsidRPr="001B32E5">
              <w:rPr>
                <w:rFonts w:ascii="Arial" w:hAnsi="Arial" w:cs="Arial"/>
                <w:sz w:val="22"/>
                <w:szCs w:val="22"/>
                <w:lang w:val="fr-FR"/>
              </w:rPr>
              <w:t xml:space="preserve">: </w:t>
            </w:r>
            <w:proofErr w:type="spellStart"/>
            <w:r w:rsidRPr="001B32E5">
              <w:rPr>
                <w:rFonts w:ascii="Arial" w:hAnsi="Arial" w:cs="Arial"/>
                <w:sz w:val="22"/>
                <w:szCs w:val="22"/>
                <w:lang w:val="fr-FR"/>
              </w:rPr>
              <w:t>Modalites</w:t>
            </w:r>
            <w:proofErr w:type="spellEnd"/>
            <w:r w:rsidRPr="001B32E5">
              <w:rPr>
                <w:rFonts w:ascii="Arial" w:hAnsi="Arial" w:cs="Arial"/>
                <w:sz w:val="22"/>
                <w:szCs w:val="22"/>
                <w:lang w:val="fr-FR"/>
              </w:rPr>
              <w:t xml:space="preserve"> de </w:t>
            </w:r>
            <w:proofErr w:type="spellStart"/>
            <w:r w:rsidRPr="001B32E5">
              <w:rPr>
                <w:rFonts w:ascii="Arial" w:hAnsi="Arial" w:cs="Arial"/>
                <w:sz w:val="22"/>
                <w:szCs w:val="22"/>
                <w:lang w:val="fr-FR"/>
              </w:rPr>
              <w:t>depot</w:t>
            </w:r>
            <w:proofErr w:type="spellEnd"/>
            <w:r w:rsidRPr="001B32E5">
              <w:rPr>
                <w:rFonts w:ascii="Arial" w:hAnsi="Arial" w:cs="Arial"/>
                <w:sz w:val="22"/>
                <w:szCs w:val="22"/>
                <w:lang w:val="fr-FR"/>
              </w:rPr>
              <w:t xml:space="preserve"> d’un dossier de demande </w:t>
            </w:r>
            <w:proofErr w:type="spellStart"/>
            <w:r w:rsidRPr="001B32E5">
              <w:rPr>
                <w:rFonts w:ascii="Arial" w:hAnsi="Arial" w:cs="Arial"/>
                <w:sz w:val="22"/>
                <w:szCs w:val="22"/>
                <w:lang w:val="fr-FR"/>
              </w:rPr>
              <w:t>aupres</w:t>
            </w:r>
            <w:proofErr w:type="spellEnd"/>
            <w:r w:rsidRPr="001B32E5">
              <w:rPr>
                <w:rFonts w:ascii="Arial" w:hAnsi="Arial" w:cs="Arial"/>
                <w:sz w:val="22"/>
                <w:szCs w:val="22"/>
                <w:lang w:val="fr-FR"/>
              </w:rPr>
              <w:t xml:space="preserve"> de </w:t>
            </w:r>
            <w:smartTag w:uri="urn:schemas-microsoft-com:office:smarttags" w:element="PersonName">
              <w:smartTagPr>
                <w:attr w:name="ProductID" w:val="la Commission"/>
              </w:smartTagPr>
              <w:r w:rsidRPr="001B32E5">
                <w:rPr>
                  <w:rFonts w:ascii="Arial" w:hAnsi="Arial" w:cs="Arial"/>
                  <w:sz w:val="22"/>
                  <w:szCs w:val="22"/>
                  <w:lang w:val="fr-FR"/>
                </w:rPr>
                <w:t>la Commission</w:t>
              </w:r>
            </w:smartTag>
            <w:r w:rsidRPr="001B32E5">
              <w:rPr>
                <w:rFonts w:ascii="Arial" w:hAnsi="Arial" w:cs="Arial"/>
                <w:sz w:val="22"/>
                <w:szCs w:val="22"/>
                <w:lang w:val="fr-FR"/>
              </w:rPr>
              <w:t xml:space="preserve"> de </w:t>
            </w:r>
            <w:smartTag w:uri="urn:schemas-microsoft-com:office:smarttags" w:element="PersonName">
              <w:smartTagPr>
                <w:attr w:name="ProductID" w:val="la Transparence"/>
              </w:smartTagPr>
              <w:r w:rsidRPr="001B32E5">
                <w:rPr>
                  <w:rFonts w:ascii="Arial" w:hAnsi="Arial" w:cs="Arial"/>
                  <w:sz w:val="22"/>
                  <w:szCs w:val="22"/>
                  <w:lang w:val="fr-FR"/>
                </w:rPr>
                <w:t>la Transparence</w:t>
              </w:r>
            </w:smartTag>
          </w:p>
          <w:p w:rsidR="00796A1B" w:rsidRPr="001B32E5" w:rsidRDefault="00796A1B" w:rsidP="00796A1B">
            <w:pPr>
              <w:autoSpaceDE w:val="0"/>
              <w:autoSpaceDN w:val="0"/>
              <w:adjustRightInd w:val="0"/>
              <w:contextualSpacing/>
              <w:rPr>
                <w:rFonts w:ascii="Arial" w:hAnsi="Arial" w:cs="Arial"/>
                <w:i/>
                <w:sz w:val="22"/>
                <w:szCs w:val="22"/>
              </w:rPr>
            </w:pPr>
            <w:r w:rsidRPr="001B32E5">
              <w:rPr>
                <w:rFonts w:ascii="Arial" w:hAnsi="Arial" w:cs="Arial"/>
                <w:i/>
                <w:sz w:val="22"/>
                <w:szCs w:val="22"/>
              </w:rPr>
              <w:t>Submission instructions: Procedure for submitting an application dossier to the Transparency Committee</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7</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Germany</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Institute for Quality and </w:t>
            </w:r>
            <w:r w:rsidRPr="001B32E5">
              <w:rPr>
                <w:rFonts w:ascii="Arial" w:hAnsi="Arial" w:cs="Arial"/>
                <w:sz w:val="22"/>
                <w:szCs w:val="22"/>
              </w:rPr>
              <w:lastRenderedPageBreak/>
              <w:t>Efficiency in Health Care (IQWIG)</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lang w:val="de-DE"/>
              </w:rPr>
            </w:pPr>
            <w:r w:rsidRPr="001B32E5">
              <w:rPr>
                <w:rFonts w:ascii="Arial" w:hAnsi="Arial" w:cs="Arial"/>
                <w:sz w:val="22"/>
                <w:szCs w:val="22"/>
                <w:lang w:val="de-DE"/>
              </w:rPr>
              <w:lastRenderedPageBreak/>
              <w:t>Dossier zur Nutzenbewertung gemäß § 35a SGB V</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Generated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115</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Pr>
                <w:rFonts w:ascii="Arial" w:hAnsi="Arial" w:cs="Arial"/>
                <w:sz w:val="22"/>
                <w:szCs w:val="22"/>
              </w:rPr>
              <w:lastRenderedPageBreak/>
              <w:t>Greece</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9D1B7F">
              <w:rPr>
                <w:rFonts w:ascii="Arial" w:hAnsi="Arial" w:cs="Arial"/>
                <w:sz w:val="22"/>
                <w:szCs w:val="22"/>
              </w:rPr>
              <w:t>National School of Public Health</w:t>
            </w:r>
          </w:p>
        </w:tc>
        <w:tc>
          <w:tcPr>
            <w:tcW w:w="2600" w:type="pct"/>
            <w:shd w:val="clear" w:color="auto" w:fill="auto"/>
          </w:tcPr>
          <w:p w:rsidR="00796A1B" w:rsidRPr="001B32E5" w:rsidRDefault="00EC42A1" w:rsidP="00796A1B">
            <w:pPr>
              <w:autoSpaceDE w:val="0"/>
              <w:autoSpaceDN w:val="0"/>
              <w:adjustRightInd w:val="0"/>
              <w:contextualSpacing/>
              <w:rPr>
                <w:rFonts w:ascii="Arial" w:hAnsi="Arial" w:cs="Arial"/>
                <w:sz w:val="22"/>
                <w:szCs w:val="22"/>
                <w:lang w:val="de-DE"/>
              </w:rPr>
            </w:pPr>
            <w:r>
              <w:rPr>
                <w:rFonts w:ascii="Arial" w:hAnsi="Arial" w:cs="Arial"/>
                <w:sz w:val="22"/>
                <w:szCs w:val="22"/>
                <w:lang w:val="de-DE"/>
              </w:rPr>
              <w:t>Did not respond to requests for evidence requirements</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p>
        </w:tc>
      </w:tr>
      <w:tr w:rsidR="00796A1B" w:rsidRPr="00CC091F" w:rsidTr="003122DE">
        <w:trPr>
          <w:trHeight w:val="690"/>
        </w:trPr>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Hungary</w:t>
            </w:r>
          </w:p>
        </w:tc>
        <w:tc>
          <w:tcPr>
            <w:tcW w:w="980"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National Institute for Quality and Organisational Development in Healthcare and Medicines (GYEMSZI)</w:t>
            </w:r>
            <w:r>
              <w:rPr>
                <w:rFonts w:ascii="Arial" w:hAnsi="Arial" w:cs="Arial"/>
                <w:sz w:val="22"/>
                <w:szCs w:val="22"/>
              </w:rPr>
              <w:t xml:space="preserve"> provided documents on behalf of </w:t>
            </w:r>
            <w:r w:rsidR="003122DE">
              <w:rPr>
                <w:rFonts w:ascii="Arial" w:hAnsi="Arial" w:cs="Arial"/>
                <w:sz w:val="22"/>
                <w:szCs w:val="22"/>
              </w:rPr>
              <w:t xml:space="preserve">the </w:t>
            </w:r>
            <w:r>
              <w:rPr>
                <w:rFonts w:ascii="Arial" w:hAnsi="Arial" w:cs="Arial"/>
                <w:sz w:val="22"/>
                <w:szCs w:val="22"/>
              </w:rPr>
              <w:t>National h</w:t>
            </w:r>
            <w:r w:rsidRPr="009D1B7F">
              <w:rPr>
                <w:rFonts w:ascii="Arial" w:hAnsi="Arial" w:cs="Arial"/>
                <w:sz w:val="22"/>
                <w:szCs w:val="22"/>
              </w:rPr>
              <w:t xml:space="preserve">ealth insurance fund </w:t>
            </w:r>
            <w:r>
              <w:rPr>
                <w:rFonts w:ascii="Arial" w:hAnsi="Arial" w:cs="Arial"/>
                <w:sz w:val="22"/>
                <w:szCs w:val="22"/>
              </w:rPr>
              <w:t>(OEP)</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OEP evidence requirements (National Health Insurance Fund)</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Summary provided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w:t>
            </w:r>
          </w:p>
        </w:tc>
      </w:tr>
      <w:tr w:rsidR="00796A1B" w:rsidRPr="00CC091F" w:rsidTr="003122DE">
        <w:trPr>
          <w:trHeight w:val="690"/>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Attempt to increase the transparency of fourth hurdle implementation in Central-Eastern European middle income countries: publication of the critical appraisal methodology BMC Health Services Research 2012, 12:332 http://www.biomedcentral.com/1472-6963/12/332</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10</w:t>
            </w:r>
          </w:p>
        </w:tc>
      </w:tr>
      <w:tr w:rsidR="00796A1B" w:rsidRPr="00CC091F" w:rsidTr="003122DE">
        <w:trPr>
          <w:trHeight w:val="690"/>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Supplementary file from: Attempt to increase the transparency of fourth hurdle implementation in Central-Eastern European middle income countries: publication of the critical appraisal methodology BMC Health Services Research 2012, 12:332</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7</w:t>
            </w:r>
          </w:p>
        </w:tc>
      </w:tr>
      <w:tr w:rsidR="00796A1B" w:rsidRPr="00CC091F" w:rsidTr="003122DE">
        <w:trPr>
          <w:trHeight w:val="278"/>
        </w:trPr>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Ireland</w:t>
            </w:r>
          </w:p>
        </w:tc>
        <w:tc>
          <w:tcPr>
            <w:tcW w:w="980"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Health Information and Quality Authority (HIQA)</w:t>
            </w:r>
          </w:p>
          <w:p w:rsidR="00796A1B" w:rsidRPr="001B32E5" w:rsidRDefault="00796A1B" w:rsidP="00796A1B">
            <w:pPr>
              <w:autoSpaceDE w:val="0"/>
              <w:autoSpaceDN w:val="0"/>
              <w:adjustRightInd w:val="0"/>
              <w:contextualSpacing/>
              <w:rPr>
                <w:rFonts w:ascii="Arial" w:hAnsi="Arial" w:cs="Arial"/>
                <w:sz w:val="22"/>
                <w:szCs w:val="22"/>
              </w:rPr>
            </w:pPr>
          </w:p>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National Centre for </w:t>
            </w:r>
            <w:proofErr w:type="spellStart"/>
            <w:r w:rsidRPr="001B32E5">
              <w:rPr>
                <w:rFonts w:ascii="Arial" w:hAnsi="Arial" w:cs="Arial"/>
                <w:sz w:val="22"/>
                <w:szCs w:val="22"/>
              </w:rPr>
              <w:t>Pharmacoeconomics</w:t>
            </w:r>
            <w:proofErr w:type="spellEnd"/>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Guidance on the Reporting Format and Layout of </w:t>
            </w:r>
            <w:proofErr w:type="spellStart"/>
            <w:r w:rsidRPr="001B32E5">
              <w:rPr>
                <w:rFonts w:ascii="Arial" w:hAnsi="Arial" w:cs="Arial"/>
                <w:sz w:val="22"/>
                <w:szCs w:val="22"/>
              </w:rPr>
              <w:t>Pharmacoeconomic</w:t>
            </w:r>
            <w:proofErr w:type="spellEnd"/>
            <w:r w:rsidRPr="001B32E5">
              <w:rPr>
                <w:rFonts w:ascii="Arial" w:hAnsi="Arial" w:cs="Arial"/>
                <w:sz w:val="22"/>
                <w:szCs w:val="22"/>
              </w:rPr>
              <w:t xml:space="preserve"> Submission to the National Centre for </w:t>
            </w:r>
            <w:proofErr w:type="spellStart"/>
            <w:r w:rsidRPr="001B32E5">
              <w:rPr>
                <w:rFonts w:ascii="Arial" w:hAnsi="Arial" w:cs="Arial"/>
                <w:sz w:val="22"/>
                <w:szCs w:val="22"/>
              </w:rPr>
              <w:t>Pharmacoeconomics</w:t>
            </w:r>
            <w:proofErr w:type="spellEnd"/>
            <w:r w:rsidRPr="001B32E5">
              <w:rPr>
                <w:rFonts w:ascii="Arial" w:hAnsi="Arial" w:cs="Arial"/>
                <w:sz w:val="22"/>
                <w:szCs w:val="22"/>
              </w:rPr>
              <w:t xml:space="preserve"> (</w:t>
            </w:r>
            <w:proofErr w:type="spellStart"/>
            <w:r w:rsidRPr="001B32E5">
              <w:rPr>
                <w:rFonts w:ascii="Arial" w:hAnsi="Arial" w:cs="Arial"/>
                <w:sz w:val="22"/>
                <w:szCs w:val="22"/>
              </w:rPr>
              <w:t>Feburary</w:t>
            </w:r>
            <w:proofErr w:type="spellEnd"/>
            <w:r w:rsidRPr="001B32E5">
              <w:rPr>
                <w:rFonts w:ascii="Arial" w:hAnsi="Arial" w:cs="Arial"/>
                <w:sz w:val="22"/>
                <w:szCs w:val="22"/>
              </w:rPr>
              <w:t xml:space="preserve"> 2013)</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25</w:t>
            </w:r>
          </w:p>
        </w:tc>
      </w:tr>
      <w:tr w:rsidR="00796A1B" w:rsidRPr="00CC091F" w:rsidTr="003122DE">
        <w:trPr>
          <w:trHeight w:val="277"/>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Guidelines for Evaluating the Clinical Effectiveness of Health Technologies in </w:t>
            </w:r>
            <w:smartTag w:uri="urn:schemas-microsoft-com:office:smarttags" w:element="country-region">
              <w:smartTag w:uri="urn:schemas-microsoft-com:office:smarttags" w:element="place">
                <w:r w:rsidRPr="001B32E5">
                  <w:rPr>
                    <w:rFonts w:ascii="Arial" w:hAnsi="Arial" w:cs="Arial"/>
                    <w:sz w:val="22"/>
                    <w:szCs w:val="22"/>
                  </w:rPr>
                  <w:t>Ireland</w:t>
                </w:r>
              </w:smartTag>
            </w:smartTag>
            <w:r w:rsidRPr="001B32E5">
              <w:rPr>
                <w:rFonts w:ascii="Arial" w:hAnsi="Arial" w:cs="Arial"/>
                <w:sz w:val="22"/>
                <w:szCs w:val="22"/>
              </w:rPr>
              <w:t xml:space="preserve"> (23</w:t>
            </w:r>
            <w:r w:rsidRPr="001B32E5">
              <w:rPr>
                <w:rFonts w:ascii="Arial" w:hAnsi="Arial" w:cs="Arial"/>
                <w:sz w:val="22"/>
                <w:szCs w:val="22"/>
                <w:vertAlign w:val="superscript"/>
              </w:rPr>
              <w:t>rd</w:t>
            </w:r>
            <w:r w:rsidRPr="001B32E5">
              <w:rPr>
                <w:rFonts w:ascii="Arial" w:hAnsi="Arial" w:cs="Arial"/>
                <w:sz w:val="22"/>
                <w:szCs w:val="22"/>
              </w:rPr>
              <w:t xml:space="preserve"> November 2011)</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75</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Italy</w:t>
            </w:r>
          </w:p>
        </w:tc>
        <w:tc>
          <w:tcPr>
            <w:tcW w:w="980" w:type="pct"/>
            <w:shd w:val="clear" w:color="auto" w:fill="auto"/>
          </w:tcPr>
          <w:p w:rsidR="00796A1B" w:rsidRPr="001B32E5" w:rsidRDefault="00796A1B" w:rsidP="00796A1B">
            <w:pPr>
              <w:autoSpaceDE w:val="0"/>
              <w:autoSpaceDN w:val="0"/>
              <w:adjustRightInd w:val="0"/>
              <w:contextualSpacing/>
              <w:rPr>
                <w:rFonts w:ascii="Arial" w:hAnsi="Arial"/>
                <w:sz w:val="22"/>
                <w:szCs w:val="22"/>
                <w:lang w:val="it-IT"/>
              </w:rPr>
            </w:pPr>
            <w:r w:rsidRPr="001B32E5">
              <w:rPr>
                <w:rFonts w:ascii="Arial" w:hAnsi="Arial"/>
                <w:sz w:val="22"/>
                <w:szCs w:val="22"/>
                <w:lang w:val="it-IT"/>
              </w:rPr>
              <w:t>Agenzia Italiana Del Farmaco (AIFA)</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sz w:val="22"/>
                <w:szCs w:val="22"/>
                <w:lang w:val="it-IT"/>
              </w:rPr>
            </w:pPr>
            <w:r w:rsidRPr="001B32E5">
              <w:rPr>
                <w:rFonts w:ascii="Arial" w:hAnsi="Arial"/>
                <w:sz w:val="22"/>
                <w:szCs w:val="22"/>
                <w:lang w:val="it-IT"/>
              </w:rPr>
              <w:t>Schema del dossier a supporto della domanda di rimborsabilita e prezzo</w:t>
            </w:r>
          </w:p>
          <w:p w:rsidR="00796A1B" w:rsidRPr="001B32E5" w:rsidRDefault="00796A1B" w:rsidP="00796A1B">
            <w:pPr>
              <w:autoSpaceDE w:val="0"/>
              <w:autoSpaceDN w:val="0"/>
              <w:adjustRightInd w:val="0"/>
              <w:contextualSpacing/>
              <w:rPr>
                <w:rFonts w:ascii="Arial" w:hAnsi="Arial" w:cs="Arial"/>
                <w:i/>
                <w:sz w:val="22"/>
                <w:szCs w:val="22"/>
              </w:rPr>
            </w:pPr>
            <w:r w:rsidRPr="001B32E5">
              <w:rPr>
                <w:rFonts w:ascii="Arial" w:hAnsi="Arial" w:cs="Arial"/>
                <w:i/>
                <w:sz w:val="22"/>
                <w:szCs w:val="22"/>
              </w:rPr>
              <w:t>Template for the file supporting the coverage and price application</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8</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Latvia</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National Health Service, Centre of Health Economi</w:t>
            </w:r>
            <w:r w:rsidR="003122DE">
              <w:rPr>
                <w:rFonts w:ascii="Arial" w:hAnsi="Arial" w:cs="Arial"/>
                <w:sz w:val="22"/>
                <w:szCs w:val="22"/>
              </w:rPr>
              <w:t>c</w:t>
            </w:r>
            <w:r w:rsidRPr="001B32E5">
              <w:rPr>
                <w:rFonts w:ascii="Arial" w:hAnsi="Arial" w:cs="Arial"/>
                <w:sz w:val="22"/>
                <w:szCs w:val="22"/>
              </w:rPr>
              <w:t>s (VECS)</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Evidence requirement in accordance with </w:t>
            </w:r>
            <w:proofErr w:type="spellStart"/>
            <w:r w:rsidRPr="001B32E5">
              <w:rPr>
                <w:rFonts w:ascii="Arial" w:hAnsi="Arial" w:cs="Arial"/>
                <w:sz w:val="22"/>
                <w:szCs w:val="22"/>
              </w:rPr>
              <w:t>Davinet</w:t>
            </w:r>
            <w:proofErr w:type="spellEnd"/>
            <w:r w:rsidRPr="001B32E5">
              <w:rPr>
                <w:rFonts w:ascii="Arial" w:hAnsi="Arial" w:cs="Arial"/>
                <w:sz w:val="22"/>
                <w:szCs w:val="22"/>
              </w:rPr>
              <w:t xml:space="preserve"> Regulation No. 899, adopted 31 October 2006 “Procedures for the Reimbursement of Expenditure for the Acquisition of Medicinal Products and Medicinal Devices Intended for Out-patient Medical Treatment”</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3</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Lithuania</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Ministry of Health</w:t>
            </w:r>
          </w:p>
        </w:tc>
        <w:tc>
          <w:tcPr>
            <w:tcW w:w="2600" w:type="pct"/>
            <w:shd w:val="clear" w:color="auto" w:fill="auto"/>
          </w:tcPr>
          <w:p w:rsidR="00796A1B" w:rsidRPr="00934819" w:rsidRDefault="00796A1B" w:rsidP="00796A1B">
            <w:pPr>
              <w:pStyle w:val="HTMLPreformatted"/>
              <w:outlineLvl w:val="0"/>
              <w:rPr>
                <w:rFonts w:ascii="Times New Roman" w:hAnsi="Times New Roman"/>
                <w:bCs/>
                <w:sz w:val="24"/>
                <w:szCs w:val="24"/>
              </w:rPr>
            </w:pPr>
            <w:r w:rsidRPr="00934819">
              <w:rPr>
                <w:rFonts w:ascii="Times New Roman" w:hAnsi="Times New Roman"/>
                <w:bCs/>
                <w:sz w:val="24"/>
                <w:szCs w:val="24"/>
              </w:rPr>
              <w:t xml:space="preserve">PARAIŠKA: ĮRAŠYTI VAISTINĮ PREPARATĄ Į LIGŲ IR KOMPENSUOJAMŲJŲ VAISTINIŲ PREPARATŲ JOMS GYDYTI SĄRAŠĄ (A SĄRAŠĄ) </w:t>
            </w:r>
          </w:p>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Application for including of medicinal product into the reimbursement system</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11</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Luxembourg</w:t>
            </w:r>
          </w:p>
        </w:tc>
        <w:tc>
          <w:tcPr>
            <w:tcW w:w="980" w:type="pct"/>
            <w:shd w:val="clear" w:color="auto" w:fill="auto"/>
          </w:tcPr>
          <w:p w:rsidR="00796A1B" w:rsidRPr="001B32E5" w:rsidRDefault="00796A1B" w:rsidP="00796A1B">
            <w:pPr>
              <w:autoSpaceDE w:val="0"/>
              <w:autoSpaceDN w:val="0"/>
              <w:adjustRightInd w:val="0"/>
              <w:contextualSpacing/>
              <w:rPr>
                <w:rFonts w:ascii="Arial" w:hAnsi="Arial"/>
                <w:sz w:val="22"/>
                <w:szCs w:val="22"/>
                <w:lang w:val="fr-FR"/>
              </w:rPr>
            </w:pPr>
            <w:r w:rsidRPr="001B32E5">
              <w:rPr>
                <w:rFonts w:ascii="Arial" w:hAnsi="Arial"/>
                <w:sz w:val="22"/>
                <w:szCs w:val="22"/>
                <w:lang w:val="fr-FR"/>
              </w:rPr>
              <w:t>Union de Caisses de Maladie</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sz w:val="22"/>
                <w:szCs w:val="22"/>
                <w:lang w:val="fr-FR"/>
              </w:rPr>
            </w:pPr>
            <w:r w:rsidRPr="001B32E5">
              <w:rPr>
                <w:rFonts w:ascii="Arial" w:hAnsi="Arial"/>
                <w:sz w:val="22"/>
                <w:szCs w:val="22"/>
                <w:lang w:val="fr-FR"/>
              </w:rPr>
              <w:t xml:space="preserve">Demande d'inscription d'un </w:t>
            </w:r>
            <w:proofErr w:type="spellStart"/>
            <w:r w:rsidRPr="001B32E5">
              <w:rPr>
                <w:rFonts w:ascii="Arial" w:hAnsi="Arial"/>
                <w:sz w:val="22"/>
                <w:szCs w:val="22"/>
                <w:lang w:val="fr-FR"/>
              </w:rPr>
              <w:t>medicament</w:t>
            </w:r>
            <w:proofErr w:type="spellEnd"/>
            <w:r w:rsidRPr="001B32E5">
              <w:rPr>
                <w:rFonts w:ascii="Arial" w:hAnsi="Arial"/>
                <w:sz w:val="22"/>
                <w:szCs w:val="22"/>
                <w:lang w:val="fr-FR"/>
              </w:rPr>
              <w:t xml:space="preserve"> sur la liste positive des </w:t>
            </w:r>
            <w:proofErr w:type="spellStart"/>
            <w:r w:rsidRPr="001B32E5">
              <w:rPr>
                <w:rFonts w:ascii="Arial" w:hAnsi="Arial"/>
                <w:sz w:val="22"/>
                <w:szCs w:val="22"/>
                <w:lang w:val="fr-FR"/>
              </w:rPr>
              <w:t>medicaments</w:t>
            </w:r>
            <w:proofErr w:type="spellEnd"/>
            <w:r w:rsidRPr="001B32E5">
              <w:rPr>
                <w:rFonts w:ascii="Arial" w:hAnsi="Arial"/>
                <w:sz w:val="22"/>
                <w:szCs w:val="22"/>
                <w:lang w:val="fr-FR"/>
              </w:rPr>
              <w:t xml:space="preserve"> pris en charge par l'assurance maladie au </w:t>
            </w:r>
            <w:proofErr w:type="spellStart"/>
            <w:r w:rsidRPr="001B32E5">
              <w:rPr>
                <w:rFonts w:ascii="Arial" w:hAnsi="Arial"/>
                <w:sz w:val="22"/>
                <w:szCs w:val="22"/>
                <w:lang w:val="fr-FR"/>
              </w:rPr>
              <w:t>Grance</w:t>
            </w:r>
            <w:proofErr w:type="spellEnd"/>
            <w:r w:rsidRPr="001B32E5">
              <w:rPr>
                <w:rFonts w:ascii="Arial" w:hAnsi="Arial"/>
                <w:sz w:val="22"/>
                <w:szCs w:val="22"/>
                <w:lang w:val="fr-FR"/>
              </w:rPr>
              <w:t xml:space="preserve"> </w:t>
            </w:r>
            <w:proofErr w:type="spellStart"/>
            <w:r w:rsidRPr="001B32E5">
              <w:rPr>
                <w:rFonts w:ascii="Arial" w:hAnsi="Arial"/>
                <w:sz w:val="22"/>
                <w:szCs w:val="22"/>
                <w:lang w:val="fr-FR"/>
              </w:rPr>
              <w:t>Duche</w:t>
            </w:r>
            <w:proofErr w:type="spellEnd"/>
            <w:r w:rsidRPr="001B32E5">
              <w:rPr>
                <w:rFonts w:ascii="Arial" w:hAnsi="Arial"/>
                <w:sz w:val="22"/>
                <w:szCs w:val="22"/>
                <w:lang w:val="fr-FR"/>
              </w:rPr>
              <w:t xml:space="preserve"> de Luxembourg</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Generated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11</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Malta</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Directorate for </w:t>
            </w:r>
            <w:r w:rsidRPr="001B32E5">
              <w:rPr>
                <w:rFonts w:ascii="Arial" w:hAnsi="Arial" w:cs="Arial"/>
                <w:sz w:val="22"/>
                <w:szCs w:val="22"/>
              </w:rPr>
              <w:lastRenderedPageBreak/>
              <w:t>Pharmaceutical Affairs (DPA)</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lastRenderedPageBreak/>
              <w:t xml:space="preserve">Application to the Superintendent of Public Health for the consideration of </w:t>
            </w:r>
            <w:r w:rsidRPr="001B32E5">
              <w:rPr>
                <w:rFonts w:ascii="Arial" w:hAnsi="Arial" w:cs="Arial"/>
                <w:sz w:val="22"/>
                <w:szCs w:val="22"/>
              </w:rPr>
              <w:lastRenderedPageBreak/>
              <w:t>a medicinal product to be covered by the Government Formulary List as per the Government Health Services (Medicinal Products) Regulations, 2007.</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lastRenderedPageBreak/>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7</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lastRenderedPageBreak/>
              <w:t xml:space="preserve">The </w:t>
            </w:r>
            <w:smartTag w:uri="urn:schemas-microsoft-com:office:smarttags" w:element="country-region">
              <w:smartTag w:uri="urn:schemas-microsoft-com:office:smarttags" w:element="place">
                <w:r w:rsidRPr="001B32E5">
                  <w:rPr>
                    <w:rFonts w:ascii="Arial" w:hAnsi="Arial" w:cs="Arial"/>
                    <w:sz w:val="22"/>
                    <w:szCs w:val="22"/>
                  </w:rPr>
                  <w:t>Netherlands</w:t>
                </w:r>
              </w:smartTag>
            </w:smartTag>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College </w:t>
            </w:r>
            <w:proofErr w:type="spellStart"/>
            <w:r w:rsidRPr="001B32E5">
              <w:rPr>
                <w:rFonts w:ascii="Arial" w:hAnsi="Arial" w:cs="Arial"/>
                <w:sz w:val="22"/>
                <w:szCs w:val="22"/>
              </w:rPr>
              <w:t>voor</w:t>
            </w:r>
            <w:proofErr w:type="spellEnd"/>
            <w:r w:rsidRPr="001B32E5">
              <w:rPr>
                <w:rFonts w:ascii="Arial" w:hAnsi="Arial" w:cs="Arial"/>
                <w:sz w:val="22"/>
                <w:szCs w:val="22"/>
              </w:rPr>
              <w:t xml:space="preserve"> </w:t>
            </w:r>
            <w:proofErr w:type="spellStart"/>
            <w:r w:rsidRPr="001B32E5">
              <w:rPr>
                <w:rFonts w:ascii="Arial" w:hAnsi="Arial" w:cs="Arial"/>
                <w:sz w:val="22"/>
                <w:szCs w:val="22"/>
              </w:rPr>
              <w:t>zorgverzekeringen</w:t>
            </w:r>
            <w:proofErr w:type="spellEnd"/>
            <w:r w:rsidRPr="001B32E5">
              <w:rPr>
                <w:rFonts w:ascii="Arial" w:hAnsi="Arial" w:cs="Arial"/>
                <w:sz w:val="22"/>
                <w:szCs w:val="22"/>
              </w:rPr>
              <w:t xml:space="preserve"> (CVZ)</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Template </w:t>
            </w:r>
            <w:proofErr w:type="spellStart"/>
            <w:r w:rsidRPr="001B32E5">
              <w:rPr>
                <w:rFonts w:ascii="Arial" w:hAnsi="Arial" w:cs="Arial"/>
                <w:sz w:val="22"/>
                <w:szCs w:val="22"/>
              </w:rPr>
              <w:t>pharmacotherapeutic</w:t>
            </w:r>
            <w:proofErr w:type="spellEnd"/>
            <w:r w:rsidRPr="001B32E5">
              <w:rPr>
                <w:rFonts w:ascii="Arial" w:hAnsi="Arial" w:cs="Arial"/>
                <w:sz w:val="22"/>
                <w:szCs w:val="22"/>
              </w:rPr>
              <w:t xml:space="preserve"> dossier for outpatient medicines (GVS)</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16</w:t>
            </w:r>
          </w:p>
        </w:tc>
      </w:tr>
      <w:tr w:rsidR="00796A1B" w:rsidRPr="00CC091F" w:rsidTr="003122DE">
        <w:trPr>
          <w:trHeight w:val="413"/>
        </w:trPr>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Norway</w:t>
            </w:r>
          </w:p>
        </w:tc>
        <w:tc>
          <w:tcPr>
            <w:tcW w:w="980"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9D1B7F">
              <w:rPr>
                <w:rFonts w:ascii="Arial" w:hAnsi="Arial" w:cs="Arial"/>
                <w:sz w:val="22"/>
                <w:szCs w:val="22"/>
              </w:rPr>
              <w:t>Norwegian Knowledge Centre for the Health Services, NOKC</w:t>
            </w:r>
            <w:r>
              <w:rPr>
                <w:rFonts w:ascii="Arial" w:hAnsi="Arial" w:cs="Arial"/>
                <w:sz w:val="22"/>
                <w:szCs w:val="22"/>
              </w:rPr>
              <w:t xml:space="preserve"> </w:t>
            </w:r>
            <w:r w:rsidR="003122DE">
              <w:rPr>
                <w:rFonts w:ascii="Arial" w:hAnsi="Arial" w:cs="Arial"/>
                <w:sz w:val="22"/>
                <w:szCs w:val="22"/>
              </w:rPr>
              <w:t xml:space="preserve">provided documents on behalf of the </w:t>
            </w:r>
            <w:r w:rsidRPr="001B32E5">
              <w:rPr>
                <w:rFonts w:ascii="Arial" w:hAnsi="Arial" w:cs="Arial"/>
                <w:sz w:val="22"/>
                <w:szCs w:val="22"/>
              </w:rPr>
              <w:t xml:space="preserve">Norwegian Medicines Agency </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Application standard for acceptance to the drug reimbursement scheme</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3</w:t>
            </w:r>
          </w:p>
        </w:tc>
      </w:tr>
      <w:tr w:rsidR="00796A1B" w:rsidRPr="00CC091F" w:rsidTr="003122DE">
        <w:trPr>
          <w:trHeight w:val="412"/>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Guidelines on how to conduct </w:t>
            </w:r>
            <w:proofErr w:type="spellStart"/>
            <w:r w:rsidRPr="001B32E5">
              <w:rPr>
                <w:rFonts w:ascii="Arial" w:hAnsi="Arial" w:cs="Arial"/>
                <w:sz w:val="22"/>
                <w:szCs w:val="22"/>
              </w:rPr>
              <w:t>pharmacoeconomic</w:t>
            </w:r>
            <w:proofErr w:type="spellEnd"/>
            <w:r w:rsidRPr="001B32E5">
              <w:rPr>
                <w:rFonts w:ascii="Arial" w:hAnsi="Arial" w:cs="Arial"/>
                <w:sz w:val="22"/>
                <w:szCs w:val="22"/>
              </w:rPr>
              <w:t xml:space="preserve"> analyses (1</w:t>
            </w:r>
            <w:r w:rsidRPr="001B32E5">
              <w:rPr>
                <w:rFonts w:ascii="Arial" w:hAnsi="Arial" w:cs="Arial"/>
                <w:sz w:val="22"/>
                <w:szCs w:val="22"/>
                <w:vertAlign w:val="superscript"/>
              </w:rPr>
              <w:t>st</w:t>
            </w:r>
            <w:r w:rsidRPr="001B32E5">
              <w:rPr>
                <w:rFonts w:ascii="Arial" w:hAnsi="Arial" w:cs="Arial"/>
                <w:sz w:val="22"/>
                <w:szCs w:val="22"/>
              </w:rPr>
              <w:t xml:space="preserve"> March 2012)</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27</w:t>
            </w:r>
          </w:p>
        </w:tc>
      </w:tr>
      <w:tr w:rsidR="00796A1B" w:rsidRPr="00CC091F" w:rsidTr="003122DE">
        <w:trPr>
          <w:trHeight w:val="278"/>
        </w:trPr>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Poland</w:t>
            </w:r>
          </w:p>
        </w:tc>
        <w:tc>
          <w:tcPr>
            <w:tcW w:w="980"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Agency for HTA in Poland (</w:t>
            </w:r>
            <w:proofErr w:type="spellStart"/>
            <w:r w:rsidRPr="001B32E5">
              <w:rPr>
                <w:rFonts w:ascii="Arial" w:hAnsi="Arial" w:cs="Arial"/>
                <w:sz w:val="22"/>
                <w:szCs w:val="22"/>
              </w:rPr>
              <w:t>AHTAPol</w:t>
            </w:r>
            <w:proofErr w:type="spellEnd"/>
            <w:r w:rsidRPr="001B32E5">
              <w:rPr>
                <w:rFonts w:ascii="Arial" w:hAnsi="Arial" w:cs="Arial"/>
                <w:sz w:val="22"/>
                <w:szCs w:val="22"/>
              </w:rPr>
              <w:t>)</w:t>
            </w:r>
            <w:r>
              <w:rPr>
                <w:rFonts w:ascii="Arial" w:hAnsi="Arial" w:cs="Arial"/>
                <w:sz w:val="22"/>
                <w:szCs w:val="22"/>
              </w:rPr>
              <w:t xml:space="preserve"> provided documents on behalf of </w:t>
            </w:r>
            <w:r w:rsidR="003122DE">
              <w:rPr>
                <w:rFonts w:ascii="Arial" w:hAnsi="Arial" w:cs="Arial"/>
                <w:sz w:val="22"/>
                <w:szCs w:val="22"/>
              </w:rPr>
              <w:t xml:space="preserve">the </w:t>
            </w:r>
            <w:r w:rsidRPr="009D1B7F">
              <w:rPr>
                <w:rFonts w:ascii="Arial" w:hAnsi="Arial" w:cs="Arial"/>
                <w:sz w:val="22"/>
                <w:szCs w:val="22"/>
              </w:rPr>
              <w:t>Polish Ministry of Health</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Regulation of the minister of health of 2</w:t>
            </w:r>
            <w:r w:rsidRPr="001B32E5">
              <w:rPr>
                <w:rFonts w:ascii="Arial" w:hAnsi="Arial" w:cs="Arial"/>
                <w:sz w:val="22"/>
                <w:szCs w:val="22"/>
                <w:vertAlign w:val="superscript"/>
              </w:rPr>
              <w:t>nd</w:t>
            </w:r>
            <w:r w:rsidRPr="001B32E5">
              <w:rPr>
                <w:rFonts w:ascii="Arial" w:hAnsi="Arial" w:cs="Arial"/>
                <w:sz w:val="22"/>
                <w:szCs w:val="22"/>
              </w:rPr>
              <w:t xml:space="preserve"> April 2012 on the minimum requirements to be satisfied by the analyses accounted for in the applications for reimbursement and setting the official sales price and for increasing the official sales price of a drug, a special purpose dietary supplement, a medical device, which do not have a reimbursed counterpart in a given indication.</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5</w:t>
            </w:r>
          </w:p>
        </w:tc>
      </w:tr>
      <w:tr w:rsidR="00796A1B" w:rsidRPr="00CC091F" w:rsidTr="003122DE">
        <w:trPr>
          <w:trHeight w:val="277"/>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Guidelines for conducting Health Technology Assessment (HTA)</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44</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Portugal</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National Authority of Medicines and Health Products (INFARMED)</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Requests for prior assessment of medicinal products for human use in hospital setting</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6</w:t>
            </w:r>
          </w:p>
        </w:tc>
      </w:tr>
      <w:tr w:rsidR="00796A1B" w:rsidRPr="00CC091F" w:rsidTr="003122DE">
        <w:trPr>
          <w:trHeight w:val="278"/>
        </w:trPr>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Pr>
                <w:rFonts w:ascii="Arial" w:hAnsi="Arial" w:cs="Arial"/>
                <w:sz w:val="22"/>
                <w:szCs w:val="22"/>
              </w:rPr>
              <w:t>Romania</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9D1B7F">
              <w:rPr>
                <w:rFonts w:ascii="Arial" w:hAnsi="Arial" w:cs="Arial"/>
                <w:sz w:val="22"/>
                <w:szCs w:val="22"/>
              </w:rPr>
              <w:t>National School of Public Health, Management and Professional Development NSPH MPD</w:t>
            </w:r>
          </w:p>
        </w:tc>
        <w:tc>
          <w:tcPr>
            <w:tcW w:w="2600" w:type="pct"/>
            <w:shd w:val="clear" w:color="auto" w:fill="auto"/>
          </w:tcPr>
          <w:p w:rsidR="00796A1B" w:rsidRPr="001B32E5" w:rsidRDefault="00EC42A1" w:rsidP="00796A1B">
            <w:pPr>
              <w:autoSpaceDE w:val="0"/>
              <w:autoSpaceDN w:val="0"/>
              <w:adjustRightInd w:val="0"/>
              <w:contextualSpacing/>
              <w:rPr>
                <w:rFonts w:ascii="Arial" w:hAnsi="Arial" w:cs="Arial"/>
                <w:sz w:val="22"/>
                <w:szCs w:val="22"/>
              </w:rPr>
            </w:pPr>
            <w:r>
              <w:rPr>
                <w:rFonts w:ascii="Arial" w:hAnsi="Arial" w:cs="Arial"/>
                <w:sz w:val="22"/>
                <w:szCs w:val="22"/>
              </w:rPr>
              <w:t>Replied to say there were no templates available</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r>
      <w:tr w:rsidR="00796A1B" w:rsidRPr="00CC091F" w:rsidTr="003122DE">
        <w:trPr>
          <w:trHeight w:val="278"/>
        </w:trPr>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Russia</w:t>
            </w:r>
          </w:p>
        </w:tc>
        <w:tc>
          <w:tcPr>
            <w:tcW w:w="980"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National </w:t>
            </w:r>
            <w:proofErr w:type="spellStart"/>
            <w:r w:rsidRPr="001B32E5">
              <w:rPr>
                <w:rFonts w:ascii="Arial" w:hAnsi="Arial" w:cs="Arial"/>
                <w:sz w:val="22"/>
                <w:szCs w:val="22"/>
              </w:rPr>
              <w:t>Center</w:t>
            </w:r>
            <w:proofErr w:type="spellEnd"/>
            <w:r w:rsidRPr="001B32E5">
              <w:rPr>
                <w:rFonts w:ascii="Arial" w:hAnsi="Arial" w:cs="Arial"/>
                <w:sz w:val="22"/>
                <w:szCs w:val="22"/>
              </w:rPr>
              <w:t xml:space="preserve"> for Health Technology Assessment</w:t>
            </w:r>
            <w:r>
              <w:rPr>
                <w:rFonts w:ascii="Arial" w:hAnsi="Arial" w:cs="Arial"/>
                <w:sz w:val="22"/>
                <w:szCs w:val="22"/>
              </w:rPr>
              <w:t xml:space="preserve"> provided documents on behalf of </w:t>
            </w:r>
            <w:r w:rsidR="003122DE">
              <w:rPr>
                <w:rFonts w:ascii="Arial" w:hAnsi="Arial" w:cs="Arial"/>
                <w:sz w:val="22"/>
                <w:szCs w:val="22"/>
              </w:rPr>
              <w:t xml:space="preserve">the </w:t>
            </w:r>
            <w:r>
              <w:rPr>
                <w:rFonts w:ascii="Arial" w:hAnsi="Arial" w:cs="Arial"/>
                <w:sz w:val="22"/>
                <w:szCs w:val="22"/>
              </w:rPr>
              <w:t>Ministry of Health</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Submission template</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w:t>
            </w:r>
          </w:p>
        </w:tc>
      </w:tr>
      <w:tr w:rsidR="00796A1B" w:rsidRPr="00CC091F" w:rsidTr="003122DE">
        <w:trPr>
          <w:trHeight w:val="135"/>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Form for reporting the results of scientific evaluation of the proposal on including a pharmaceutical in the Essential Drug List</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2</w:t>
            </w:r>
          </w:p>
        </w:tc>
      </w:tr>
      <w:tr w:rsidR="00796A1B" w:rsidRPr="00CC091F" w:rsidTr="003122DE">
        <w:trPr>
          <w:trHeight w:val="135"/>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Regulation of the ministry of health on the procedure of compiling draft essential drug list</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6</w:t>
            </w:r>
          </w:p>
        </w:tc>
      </w:tr>
      <w:tr w:rsidR="00796A1B" w:rsidRPr="00CC091F" w:rsidTr="003122DE">
        <w:trPr>
          <w:trHeight w:val="278"/>
        </w:trPr>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Scotland </w:t>
            </w:r>
          </w:p>
        </w:tc>
        <w:tc>
          <w:tcPr>
            <w:tcW w:w="980"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Scottish Medicines Consortium (SMC)</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New Product Assessment Form (March 2012)</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14</w:t>
            </w:r>
          </w:p>
        </w:tc>
      </w:tr>
      <w:tr w:rsidR="00796A1B" w:rsidRPr="00CC091F" w:rsidTr="003122DE">
        <w:trPr>
          <w:trHeight w:val="277"/>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Guidance to Manufacturers for Completion of New product Assessment Form (March 2012)</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51</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Slovakia </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Ministry of Health of </w:t>
            </w:r>
            <w:smartTag w:uri="urn:schemas-microsoft-com:office:smarttags" w:element="place">
              <w:smartTag w:uri="urn:schemas-microsoft-com:office:smarttags" w:element="PlaceName">
                <w:r w:rsidRPr="001B32E5">
                  <w:rPr>
                    <w:rFonts w:ascii="Arial" w:hAnsi="Arial" w:cs="Arial"/>
                    <w:sz w:val="22"/>
                    <w:szCs w:val="22"/>
                  </w:rPr>
                  <w:lastRenderedPageBreak/>
                  <w:t>Slovak</w:t>
                </w:r>
              </w:smartTag>
              <w:r w:rsidRPr="001B32E5">
                <w:rPr>
                  <w:rFonts w:ascii="Arial" w:hAnsi="Arial" w:cs="Arial"/>
                  <w:sz w:val="22"/>
                  <w:szCs w:val="22"/>
                </w:rPr>
                <w:t xml:space="preserve"> </w:t>
              </w:r>
              <w:smartTag w:uri="urn:schemas-microsoft-com:office:smarttags" w:element="PlaceType">
                <w:r w:rsidRPr="001B32E5">
                  <w:rPr>
                    <w:rFonts w:ascii="Arial" w:hAnsi="Arial" w:cs="Arial"/>
                    <w:sz w:val="22"/>
                    <w:szCs w:val="22"/>
                  </w:rPr>
                  <w:t>Republic</w:t>
                </w:r>
              </w:smartTag>
            </w:smartTag>
            <w:r w:rsidRPr="001B32E5">
              <w:rPr>
                <w:rFonts w:ascii="Arial" w:hAnsi="Arial" w:cs="Arial"/>
                <w:sz w:val="22"/>
                <w:szCs w:val="22"/>
              </w:rPr>
              <w:t xml:space="preserve">, </w:t>
            </w:r>
          </w:p>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Section of Pharmacy and Medicines Policy,</w:t>
            </w:r>
          </w:p>
        </w:tc>
        <w:tc>
          <w:tcPr>
            <w:tcW w:w="2600" w:type="pct"/>
            <w:shd w:val="clear" w:color="auto" w:fill="auto"/>
          </w:tcPr>
          <w:p w:rsidR="00796A1B" w:rsidRPr="001B32E5" w:rsidRDefault="00796A1B" w:rsidP="00796A1B">
            <w:pPr>
              <w:pStyle w:val="BodyText"/>
              <w:rPr>
                <w:rFonts w:ascii="Arial" w:hAnsi="Arial" w:cs="Arial"/>
                <w:sz w:val="22"/>
                <w:szCs w:val="24"/>
              </w:rPr>
            </w:pPr>
            <w:r w:rsidRPr="001B32E5">
              <w:rPr>
                <w:rFonts w:ascii="Arial" w:hAnsi="Arial" w:cs="Arial"/>
                <w:color w:val="auto"/>
                <w:sz w:val="22"/>
                <w:szCs w:val="24"/>
                <w:lang w:val="sk-SK"/>
              </w:rPr>
              <w:lastRenderedPageBreak/>
              <w:t xml:space="preserve">Farmako-ekonomický rozbor lieku </w:t>
            </w:r>
            <w:r w:rsidRPr="001B32E5">
              <w:rPr>
                <w:rFonts w:ascii="Arial" w:hAnsi="Arial" w:cs="Arial"/>
                <w:sz w:val="22"/>
                <w:szCs w:val="24"/>
              </w:rPr>
              <w:t>(na účely kategorizácie liekov)</w:t>
            </w:r>
          </w:p>
          <w:p w:rsidR="00796A1B" w:rsidRPr="001B32E5" w:rsidRDefault="00796A1B" w:rsidP="00796A1B">
            <w:pPr>
              <w:pStyle w:val="BodyText"/>
              <w:rPr>
                <w:rFonts w:ascii="Arial" w:hAnsi="Arial" w:cs="Arial"/>
                <w:i/>
                <w:color w:val="auto"/>
                <w:sz w:val="22"/>
                <w:szCs w:val="24"/>
                <w:lang w:val="sk-SK"/>
              </w:rPr>
            </w:pPr>
            <w:r w:rsidRPr="001B32E5">
              <w:rPr>
                <w:rFonts w:ascii="Arial" w:hAnsi="Arial" w:cs="Arial"/>
                <w:i/>
                <w:color w:val="auto"/>
                <w:sz w:val="22"/>
                <w:szCs w:val="24"/>
                <w:lang w:val="sk-SK"/>
              </w:rPr>
              <w:lastRenderedPageBreak/>
              <w:t>Pharmacoeconomic analysis of a drug (for the reimbursement process concerning to a drug)</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lastRenderedPageBreak/>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2</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lastRenderedPageBreak/>
              <w:t xml:space="preserve">Slovenia </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National Institute of Public Health (NIPH)</w:t>
            </w:r>
            <w:r>
              <w:rPr>
                <w:rFonts w:ascii="Arial" w:hAnsi="Arial" w:cs="Arial"/>
                <w:sz w:val="22"/>
                <w:szCs w:val="22"/>
              </w:rPr>
              <w:t xml:space="preserve"> provided documents on behalf of </w:t>
            </w:r>
            <w:r w:rsidR="003122DE">
              <w:rPr>
                <w:rFonts w:ascii="Arial" w:hAnsi="Arial" w:cs="Arial"/>
                <w:sz w:val="22"/>
                <w:szCs w:val="22"/>
              </w:rPr>
              <w:t xml:space="preserve">the </w:t>
            </w:r>
            <w:r>
              <w:rPr>
                <w:rFonts w:ascii="Arial" w:hAnsi="Arial" w:cs="Arial"/>
                <w:sz w:val="22"/>
                <w:szCs w:val="22"/>
              </w:rPr>
              <w:t xml:space="preserve">Health Insurance Institute of Slovenia </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roofErr w:type="spellStart"/>
            <w:r w:rsidRPr="001B32E5">
              <w:rPr>
                <w:rFonts w:ascii="Arial" w:hAnsi="Arial" w:cs="Arial"/>
                <w:sz w:val="22"/>
                <w:szCs w:val="22"/>
              </w:rPr>
              <w:t>Priloga</w:t>
            </w:r>
            <w:proofErr w:type="spellEnd"/>
            <w:r w:rsidRPr="001B32E5">
              <w:rPr>
                <w:rFonts w:ascii="Arial" w:hAnsi="Arial" w:cs="Arial"/>
                <w:sz w:val="22"/>
                <w:szCs w:val="22"/>
              </w:rPr>
              <w:t xml:space="preserve"> </w:t>
            </w:r>
            <w:proofErr w:type="spellStart"/>
            <w:r w:rsidRPr="001B32E5">
              <w:rPr>
                <w:rFonts w:ascii="Arial" w:hAnsi="Arial" w:cs="Arial"/>
                <w:sz w:val="22"/>
                <w:szCs w:val="22"/>
              </w:rPr>
              <w:t>pravilnik</w:t>
            </w:r>
            <w:proofErr w:type="spellEnd"/>
            <w:r w:rsidRPr="001B32E5">
              <w:rPr>
                <w:rFonts w:ascii="Arial" w:hAnsi="Arial" w:cs="Arial"/>
                <w:sz w:val="22"/>
                <w:szCs w:val="22"/>
              </w:rPr>
              <w:t xml:space="preserve"> </w:t>
            </w:r>
            <w:proofErr w:type="spellStart"/>
            <w:r w:rsidRPr="001B32E5">
              <w:rPr>
                <w:rFonts w:ascii="Arial" w:hAnsi="Arial" w:cs="Arial"/>
                <w:sz w:val="22"/>
                <w:szCs w:val="22"/>
              </w:rPr>
              <w:t>zdravila</w:t>
            </w:r>
            <w:proofErr w:type="spellEnd"/>
            <w:r w:rsidRPr="001B32E5">
              <w:rPr>
                <w:rFonts w:ascii="Arial" w:hAnsi="Arial" w:cs="Arial"/>
                <w:sz w:val="22"/>
                <w:szCs w:val="22"/>
              </w:rPr>
              <w:t xml:space="preserve"> HTA</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10</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Pr>
                <w:rFonts w:ascii="Arial" w:hAnsi="Arial" w:cs="Arial"/>
                <w:sz w:val="22"/>
                <w:szCs w:val="22"/>
              </w:rPr>
              <w:t>Spain</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796A1B">
              <w:rPr>
                <w:rFonts w:ascii="Arial" w:hAnsi="Arial" w:cs="Arial"/>
                <w:sz w:val="22"/>
                <w:szCs w:val="22"/>
              </w:rPr>
              <w:t>Directorate General for Pharmacy and Health Care Products (Spanish Ministry of Health</w:t>
            </w:r>
            <w:r>
              <w:rPr>
                <w:rFonts w:ascii="Arial" w:hAnsi="Arial" w:cs="Arial"/>
                <w:sz w:val="22"/>
                <w:szCs w:val="22"/>
              </w:rPr>
              <w:t>)</w:t>
            </w:r>
          </w:p>
        </w:tc>
        <w:tc>
          <w:tcPr>
            <w:tcW w:w="2600" w:type="pct"/>
            <w:shd w:val="clear" w:color="auto" w:fill="auto"/>
          </w:tcPr>
          <w:p w:rsidR="00796A1B" w:rsidRPr="001B32E5" w:rsidRDefault="00EC42A1" w:rsidP="00796A1B">
            <w:pPr>
              <w:autoSpaceDE w:val="0"/>
              <w:autoSpaceDN w:val="0"/>
              <w:adjustRightInd w:val="0"/>
              <w:contextualSpacing/>
              <w:rPr>
                <w:rFonts w:ascii="Arial" w:hAnsi="Arial"/>
                <w:sz w:val="22"/>
                <w:szCs w:val="22"/>
                <w:lang w:val="sv-SE"/>
              </w:rPr>
            </w:pPr>
            <w:r>
              <w:rPr>
                <w:rFonts w:ascii="Arial" w:hAnsi="Arial"/>
                <w:sz w:val="22"/>
                <w:szCs w:val="22"/>
                <w:lang w:val="sv-SE"/>
              </w:rPr>
              <w:t>Replied to say there was no national level reimbursement process</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p>
        </w:tc>
      </w:tr>
      <w:tr w:rsidR="00796A1B" w:rsidRPr="00CC091F" w:rsidTr="003122DE">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Sweden</w:t>
            </w:r>
          </w:p>
        </w:tc>
        <w:tc>
          <w:tcPr>
            <w:tcW w:w="980"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Dental and Pharmaceutical Benefits Agency (TLV)</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sz w:val="22"/>
                <w:szCs w:val="22"/>
                <w:lang w:val="sv-SE"/>
              </w:rPr>
            </w:pPr>
            <w:r w:rsidRPr="001B32E5">
              <w:rPr>
                <w:rFonts w:ascii="Arial" w:hAnsi="Arial"/>
                <w:sz w:val="22"/>
                <w:szCs w:val="22"/>
                <w:lang w:val="sv-SE"/>
              </w:rPr>
              <w:t>ANSÖKAN - om att ingå i läkemedelsförmånerna samt om pris på läkemedel</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Generated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5</w:t>
            </w:r>
          </w:p>
        </w:tc>
      </w:tr>
      <w:tr w:rsidR="00796A1B" w:rsidRPr="00CC091F" w:rsidTr="003122DE">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Guide for companies when applying for subsidies and pricing for pharmaceutical products</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54</w:t>
            </w:r>
          </w:p>
        </w:tc>
      </w:tr>
      <w:tr w:rsidR="00796A1B" w:rsidRPr="00CC091F" w:rsidTr="003122DE">
        <w:trPr>
          <w:trHeight w:val="278"/>
        </w:trPr>
        <w:tc>
          <w:tcPr>
            <w:tcW w:w="508"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Switzerland</w:t>
            </w:r>
          </w:p>
        </w:tc>
        <w:tc>
          <w:tcPr>
            <w:tcW w:w="980" w:type="pct"/>
            <w:vMerge w:val="restar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Swiss Federal Office for Public Health (SNHTA)</w:t>
            </w:r>
          </w:p>
        </w:tc>
        <w:tc>
          <w:tcPr>
            <w:tcW w:w="2600" w:type="pct"/>
            <w:shd w:val="clear" w:color="auto" w:fill="auto"/>
          </w:tcPr>
          <w:p w:rsidR="00796A1B" w:rsidRPr="001B32E5" w:rsidRDefault="00796A1B" w:rsidP="00796A1B">
            <w:pPr>
              <w:rPr>
                <w:rFonts w:ascii="Arial" w:hAnsi="Arial" w:cs="Arial"/>
                <w:sz w:val="22"/>
                <w:szCs w:val="22"/>
                <w:lang w:val="fr-CH"/>
              </w:rPr>
            </w:pPr>
            <w:r w:rsidRPr="001B32E5">
              <w:rPr>
                <w:rFonts w:ascii="Arial" w:hAnsi="Arial" w:cs="Arial"/>
                <w:sz w:val="22"/>
                <w:szCs w:val="22"/>
                <w:lang w:val="fr-CH"/>
              </w:rPr>
              <w:t>Données-clés pour une nouvelle demande d'admission (ND) d’une préparation originale de médecine classique</w:t>
            </w:r>
          </w:p>
          <w:p w:rsidR="00796A1B" w:rsidRPr="001B32E5" w:rsidRDefault="00796A1B" w:rsidP="00796A1B">
            <w:pPr>
              <w:autoSpaceDE w:val="0"/>
              <w:autoSpaceDN w:val="0"/>
              <w:adjustRightInd w:val="0"/>
              <w:contextualSpacing/>
              <w:rPr>
                <w:rFonts w:ascii="Arial" w:hAnsi="Arial"/>
                <w:sz w:val="22"/>
                <w:szCs w:val="22"/>
                <w:lang w:val="fr-FR"/>
              </w:rPr>
            </w:pP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Generated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11</w:t>
            </w:r>
          </w:p>
        </w:tc>
      </w:tr>
      <w:tr w:rsidR="00796A1B" w:rsidRPr="00CC091F" w:rsidTr="003122DE">
        <w:trPr>
          <w:trHeight w:val="277"/>
        </w:trPr>
        <w:tc>
          <w:tcPr>
            <w:tcW w:w="508"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980" w:type="pct"/>
            <w:vMerge/>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lang w:val="de-DE"/>
              </w:rPr>
            </w:pPr>
            <w:r w:rsidRPr="001B32E5">
              <w:rPr>
                <w:rFonts w:ascii="Arial" w:hAnsi="Arial" w:cs="Arial"/>
                <w:sz w:val="22"/>
                <w:szCs w:val="22"/>
                <w:lang w:val="de-DE"/>
              </w:rPr>
              <w:t>Handbuch betreffend die Spezialitaten-liste</w:t>
            </w:r>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Generated</w:t>
            </w:r>
          </w:p>
        </w:tc>
        <w:tc>
          <w:tcPr>
            <w:tcW w:w="455"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77</w:t>
            </w:r>
          </w:p>
        </w:tc>
      </w:tr>
      <w:tr w:rsidR="00796A1B" w:rsidRPr="00CC091F" w:rsidTr="003122DE">
        <w:tc>
          <w:tcPr>
            <w:tcW w:w="508"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Turkey</w:t>
            </w:r>
          </w:p>
        </w:tc>
        <w:tc>
          <w:tcPr>
            <w:tcW w:w="98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Turkish Evidence-based Medicine Association (KDTD)</w:t>
            </w:r>
            <w:r>
              <w:rPr>
                <w:rFonts w:ascii="Arial" w:hAnsi="Arial" w:cs="Arial"/>
                <w:sz w:val="22"/>
                <w:szCs w:val="22"/>
              </w:rPr>
              <w:t xml:space="preserve"> provided documents on behalf of the Social Security Institution</w:t>
            </w:r>
          </w:p>
        </w:tc>
        <w:tc>
          <w:tcPr>
            <w:tcW w:w="2600"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 xml:space="preserve">Summary of submission template for manufacturers in </w:t>
            </w:r>
            <w:smartTag w:uri="urn:schemas-microsoft-com:office:smarttags" w:element="country-region">
              <w:smartTag w:uri="urn:schemas-microsoft-com:office:smarttags" w:element="place">
                <w:r w:rsidRPr="001B32E5">
                  <w:rPr>
                    <w:rFonts w:ascii="Arial" w:hAnsi="Arial" w:cs="Arial"/>
                    <w:sz w:val="22"/>
                    <w:szCs w:val="22"/>
                  </w:rPr>
                  <w:t>Turkey</w:t>
                </w:r>
              </w:smartTag>
            </w:smartTag>
          </w:p>
        </w:tc>
        <w:tc>
          <w:tcPr>
            <w:tcW w:w="456" w:type="pct"/>
            <w:shd w:val="clear" w:color="auto" w:fill="auto"/>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Summary provided</w:t>
            </w:r>
          </w:p>
        </w:tc>
        <w:tc>
          <w:tcPr>
            <w:tcW w:w="455" w:type="pct"/>
          </w:tcPr>
          <w:p w:rsidR="00796A1B" w:rsidRPr="001B32E5" w:rsidRDefault="00796A1B" w:rsidP="00796A1B">
            <w:pPr>
              <w:autoSpaceDE w:val="0"/>
              <w:autoSpaceDN w:val="0"/>
              <w:adjustRightInd w:val="0"/>
              <w:contextualSpacing/>
              <w:rPr>
                <w:rFonts w:ascii="Arial" w:hAnsi="Arial" w:cs="Arial"/>
                <w:sz w:val="22"/>
                <w:szCs w:val="22"/>
              </w:rPr>
            </w:pPr>
            <w:r w:rsidRPr="001B32E5">
              <w:rPr>
                <w:rFonts w:ascii="Arial" w:hAnsi="Arial" w:cs="Arial"/>
                <w:sz w:val="22"/>
                <w:szCs w:val="22"/>
              </w:rPr>
              <w:t>13</w:t>
            </w:r>
          </w:p>
        </w:tc>
      </w:tr>
    </w:tbl>
    <w:p w:rsidR="00443081" w:rsidRPr="00181A4A" w:rsidRDefault="00443081" w:rsidP="00796A1B">
      <w:pPr>
        <w:pStyle w:val="Paragraphnonumbers"/>
      </w:pPr>
    </w:p>
    <w:sectPr w:rsidR="00443081" w:rsidRPr="00181A4A" w:rsidSect="00796A1B">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1B" w:rsidRDefault="00796A1B" w:rsidP="00446BEE">
      <w:r>
        <w:separator/>
      </w:r>
    </w:p>
  </w:endnote>
  <w:endnote w:type="continuationSeparator" w:id="0">
    <w:p w:rsidR="00796A1B" w:rsidRDefault="00796A1B"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1B" w:rsidRDefault="00796A1B">
    <w:pPr>
      <w:pStyle w:val="Footer"/>
    </w:pPr>
    <w:r>
      <w:t>[Insert footer here]</w:t>
    </w:r>
    <w:r>
      <w:tab/>
    </w:r>
    <w:r>
      <w:tab/>
    </w:r>
    <w:r w:rsidR="0047301C">
      <w:fldChar w:fldCharType="begin"/>
    </w:r>
    <w:r>
      <w:instrText xml:space="preserve"> PAGE </w:instrText>
    </w:r>
    <w:r w:rsidR="0047301C">
      <w:fldChar w:fldCharType="separate"/>
    </w:r>
    <w:r w:rsidR="003F585F">
      <w:rPr>
        <w:noProof/>
      </w:rPr>
      <w:t>1</w:t>
    </w:r>
    <w:r w:rsidR="0047301C">
      <w:fldChar w:fldCharType="end"/>
    </w:r>
    <w:r>
      <w:t xml:space="preserve"> of </w:t>
    </w:r>
    <w:r w:rsidR="003F585F">
      <w:fldChar w:fldCharType="begin"/>
    </w:r>
    <w:r w:rsidR="003F585F">
      <w:instrText xml:space="preserve"> NUMPAGES  </w:instrText>
    </w:r>
    <w:r w:rsidR="003F585F">
      <w:fldChar w:fldCharType="separate"/>
    </w:r>
    <w:r w:rsidR="003F585F">
      <w:rPr>
        <w:noProof/>
      </w:rPr>
      <w:t>5</w:t>
    </w:r>
    <w:r w:rsidR="003F585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1B" w:rsidRDefault="00796A1B" w:rsidP="00446BEE">
      <w:r>
        <w:separator/>
      </w:r>
    </w:p>
  </w:footnote>
  <w:footnote w:type="continuationSeparator" w:id="0">
    <w:p w:rsidR="00796A1B" w:rsidRDefault="00796A1B" w:rsidP="00446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B009D6"/>
    <w:lvl w:ilvl="0">
      <w:start w:val="1"/>
      <w:numFmt w:val="decimal"/>
      <w:lvlText w:val="%1."/>
      <w:lvlJc w:val="left"/>
      <w:pPr>
        <w:tabs>
          <w:tab w:val="num" w:pos="1492"/>
        </w:tabs>
        <w:ind w:left="1492" w:hanging="360"/>
      </w:pPr>
    </w:lvl>
  </w:abstractNum>
  <w:abstractNum w:abstractNumId="1">
    <w:nsid w:val="FFFFFF7D"/>
    <w:multiLevelType w:val="singleLevel"/>
    <w:tmpl w:val="CF50E61E"/>
    <w:lvl w:ilvl="0">
      <w:start w:val="1"/>
      <w:numFmt w:val="decimal"/>
      <w:lvlText w:val="%1."/>
      <w:lvlJc w:val="left"/>
      <w:pPr>
        <w:tabs>
          <w:tab w:val="num" w:pos="1209"/>
        </w:tabs>
        <w:ind w:left="1209" w:hanging="360"/>
      </w:pPr>
    </w:lvl>
  </w:abstractNum>
  <w:abstractNum w:abstractNumId="2">
    <w:nsid w:val="FFFFFF7E"/>
    <w:multiLevelType w:val="singleLevel"/>
    <w:tmpl w:val="4786549A"/>
    <w:lvl w:ilvl="0">
      <w:start w:val="1"/>
      <w:numFmt w:val="decimal"/>
      <w:lvlText w:val="%1."/>
      <w:lvlJc w:val="left"/>
      <w:pPr>
        <w:tabs>
          <w:tab w:val="num" w:pos="926"/>
        </w:tabs>
        <w:ind w:left="926" w:hanging="360"/>
      </w:pPr>
    </w:lvl>
  </w:abstractNum>
  <w:abstractNum w:abstractNumId="3">
    <w:nsid w:val="FFFFFF7F"/>
    <w:multiLevelType w:val="singleLevel"/>
    <w:tmpl w:val="1C6E25A4"/>
    <w:lvl w:ilvl="0">
      <w:start w:val="1"/>
      <w:numFmt w:val="decimal"/>
      <w:lvlText w:val="%1."/>
      <w:lvlJc w:val="left"/>
      <w:pPr>
        <w:tabs>
          <w:tab w:val="num" w:pos="643"/>
        </w:tabs>
        <w:ind w:left="643" w:hanging="360"/>
      </w:pPr>
    </w:lvl>
  </w:abstractNum>
  <w:abstractNum w:abstractNumId="4">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DCE19C"/>
    <w:lvl w:ilvl="0">
      <w:start w:val="1"/>
      <w:numFmt w:val="decimal"/>
      <w:lvlText w:val="%1."/>
      <w:lvlJc w:val="left"/>
      <w:pPr>
        <w:tabs>
          <w:tab w:val="num" w:pos="360"/>
        </w:tabs>
        <w:ind w:left="360" w:hanging="360"/>
      </w:pPr>
    </w:lvl>
  </w:abstractNum>
  <w:abstractNum w:abstractNumId="9">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yebode, Oyinlola">
    <w15:presenceInfo w15:providerId="AD" w15:userId="S-1-5-21-94802787-2259107539-412602403-209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1B"/>
    <w:rsid w:val="000053F8"/>
    <w:rsid w:val="00024D0A"/>
    <w:rsid w:val="000472DC"/>
    <w:rsid w:val="00070065"/>
    <w:rsid w:val="000A4FEE"/>
    <w:rsid w:val="000B5939"/>
    <w:rsid w:val="00111CCE"/>
    <w:rsid w:val="001134E7"/>
    <w:rsid w:val="0017149E"/>
    <w:rsid w:val="0017169E"/>
    <w:rsid w:val="00181A4A"/>
    <w:rsid w:val="001B0EE9"/>
    <w:rsid w:val="001B65B3"/>
    <w:rsid w:val="001E1CC7"/>
    <w:rsid w:val="002029A6"/>
    <w:rsid w:val="002408EA"/>
    <w:rsid w:val="002819D7"/>
    <w:rsid w:val="002C1A7E"/>
    <w:rsid w:val="002D3376"/>
    <w:rsid w:val="00311ED0"/>
    <w:rsid w:val="003122DE"/>
    <w:rsid w:val="00321BBC"/>
    <w:rsid w:val="00354395"/>
    <w:rsid w:val="003648C5"/>
    <w:rsid w:val="003722FA"/>
    <w:rsid w:val="003C7AAF"/>
    <w:rsid w:val="003F585F"/>
    <w:rsid w:val="004075B6"/>
    <w:rsid w:val="00420952"/>
    <w:rsid w:val="00433EFF"/>
    <w:rsid w:val="00443081"/>
    <w:rsid w:val="00446BEE"/>
    <w:rsid w:val="0047301C"/>
    <w:rsid w:val="005025A1"/>
    <w:rsid w:val="006921E1"/>
    <w:rsid w:val="006F4B25"/>
    <w:rsid w:val="006F6496"/>
    <w:rsid w:val="00736348"/>
    <w:rsid w:val="00760908"/>
    <w:rsid w:val="00796A1B"/>
    <w:rsid w:val="007F238D"/>
    <w:rsid w:val="00861B92"/>
    <w:rsid w:val="008814FB"/>
    <w:rsid w:val="008D44A3"/>
    <w:rsid w:val="008F5E30"/>
    <w:rsid w:val="00914D7F"/>
    <w:rsid w:val="009E680B"/>
    <w:rsid w:val="00A15A1F"/>
    <w:rsid w:val="00A3325A"/>
    <w:rsid w:val="00A43013"/>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EC42A1"/>
    <w:rsid w:val="00F055F1"/>
    <w:rsid w:val="00F610AF"/>
    <w:rsid w:val="00F74DAD"/>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uiPriority="1" w:unhideWhenUsed="0" w:qFormat="1"/>
    <w:lsdException w:name="heading 2" w:uiPriority="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96A1B"/>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HTMLPreformatted">
    <w:name w:val="HTML Preformatted"/>
    <w:basedOn w:val="Normal"/>
    <w:link w:val="HTMLPreformattedChar"/>
    <w:rsid w:val="0079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lt-LT" w:eastAsia="lt-LT"/>
    </w:rPr>
  </w:style>
  <w:style w:type="character" w:customStyle="1" w:styleId="HTMLPreformattedChar">
    <w:name w:val="HTML Preformatted Char"/>
    <w:basedOn w:val="DefaultParagraphFont"/>
    <w:link w:val="HTMLPreformatted"/>
    <w:rsid w:val="00796A1B"/>
    <w:rPr>
      <w:rFonts w:ascii="Courier New" w:hAnsi="Courier New"/>
      <w:lang w:val="lt-LT" w:eastAsia="lt-LT"/>
    </w:rPr>
  </w:style>
  <w:style w:type="paragraph" w:styleId="BodyText">
    <w:name w:val="Body Text"/>
    <w:basedOn w:val="Normal"/>
    <w:link w:val="BodyTextChar"/>
    <w:unhideWhenUsed/>
    <w:rsid w:val="00796A1B"/>
    <w:pPr>
      <w:overflowPunct w:val="0"/>
      <w:autoSpaceDE w:val="0"/>
      <w:autoSpaceDN w:val="0"/>
      <w:adjustRightInd w:val="0"/>
    </w:pPr>
    <w:rPr>
      <w:color w:val="000000"/>
      <w:szCs w:val="20"/>
      <w:lang w:val="cs-CZ" w:eastAsia="sk-SK"/>
    </w:rPr>
  </w:style>
  <w:style w:type="character" w:customStyle="1" w:styleId="BodyTextChar">
    <w:name w:val="Body Text Char"/>
    <w:basedOn w:val="DefaultParagraphFont"/>
    <w:link w:val="BodyText"/>
    <w:rsid w:val="00796A1B"/>
    <w:rPr>
      <w:color w:val="000000"/>
      <w:sz w:val="24"/>
      <w:lang w:val="cs-CZ" w:eastAsia="sk-SK"/>
    </w:rPr>
  </w:style>
  <w:style w:type="character" w:styleId="CommentReference">
    <w:name w:val="annotation reference"/>
    <w:semiHidden/>
    <w:rsid w:val="00796A1B"/>
    <w:rPr>
      <w:sz w:val="16"/>
      <w:szCs w:val="16"/>
    </w:rPr>
  </w:style>
  <w:style w:type="paragraph" w:styleId="CommentText">
    <w:name w:val="annotation text"/>
    <w:basedOn w:val="Normal"/>
    <w:link w:val="CommentTextChar"/>
    <w:semiHidden/>
    <w:rsid w:val="00796A1B"/>
    <w:rPr>
      <w:sz w:val="20"/>
      <w:szCs w:val="20"/>
    </w:rPr>
  </w:style>
  <w:style w:type="character" w:customStyle="1" w:styleId="CommentTextChar">
    <w:name w:val="Comment Text Char"/>
    <w:basedOn w:val="DefaultParagraphFont"/>
    <w:link w:val="CommentText"/>
    <w:semiHidden/>
    <w:rsid w:val="00796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uiPriority="1" w:unhideWhenUsed="0" w:qFormat="1"/>
    <w:lsdException w:name="heading 2" w:uiPriority="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96A1B"/>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HTMLPreformatted">
    <w:name w:val="HTML Preformatted"/>
    <w:basedOn w:val="Normal"/>
    <w:link w:val="HTMLPreformattedChar"/>
    <w:rsid w:val="0079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lt-LT" w:eastAsia="lt-LT"/>
    </w:rPr>
  </w:style>
  <w:style w:type="character" w:customStyle="1" w:styleId="HTMLPreformattedChar">
    <w:name w:val="HTML Preformatted Char"/>
    <w:basedOn w:val="DefaultParagraphFont"/>
    <w:link w:val="HTMLPreformatted"/>
    <w:rsid w:val="00796A1B"/>
    <w:rPr>
      <w:rFonts w:ascii="Courier New" w:hAnsi="Courier New"/>
      <w:lang w:val="lt-LT" w:eastAsia="lt-LT"/>
    </w:rPr>
  </w:style>
  <w:style w:type="paragraph" w:styleId="BodyText">
    <w:name w:val="Body Text"/>
    <w:basedOn w:val="Normal"/>
    <w:link w:val="BodyTextChar"/>
    <w:unhideWhenUsed/>
    <w:rsid w:val="00796A1B"/>
    <w:pPr>
      <w:overflowPunct w:val="0"/>
      <w:autoSpaceDE w:val="0"/>
      <w:autoSpaceDN w:val="0"/>
      <w:adjustRightInd w:val="0"/>
    </w:pPr>
    <w:rPr>
      <w:color w:val="000000"/>
      <w:szCs w:val="20"/>
      <w:lang w:val="cs-CZ" w:eastAsia="sk-SK"/>
    </w:rPr>
  </w:style>
  <w:style w:type="character" w:customStyle="1" w:styleId="BodyTextChar">
    <w:name w:val="Body Text Char"/>
    <w:basedOn w:val="DefaultParagraphFont"/>
    <w:link w:val="BodyText"/>
    <w:rsid w:val="00796A1B"/>
    <w:rPr>
      <w:color w:val="000000"/>
      <w:sz w:val="24"/>
      <w:lang w:val="cs-CZ" w:eastAsia="sk-SK"/>
    </w:rPr>
  </w:style>
  <w:style w:type="character" w:styleId="CommentReference">
    <w:name w:val="annotation reference"/>
    <w:semiHidden/>
    <w:rsid w:val="00796A1B"/>
    <w:rPr>
      <w:sz w:val="16"/>
      <w:szCs w:val="16"/>
    </w:rPr>
  </w:style>
  <w:style w:type="paragraph" w:styleId="CommentText">
    <w:name w:val="annotation text"/>
    <w:basedOn w:val="Normal"/>
    <w:link w:val="CommentTextChar"/>
    <w:semiHidden/>
    <w:rsid w:val="00796A1B"/>
    <w:rPr>
      <w:sz w:val="20"/>
      <w:szCs w:val="20"/>
    </w:rPr>
  </w:style>
  <w:style w:type="character" w:customStyle="1" w:styleId="CommentTextChar">
    <w:name w:val="Comment Text Char"/>
    <w:basedOn w:val="DefaultParagraphFont"/>
    <w:link w:val="CommentText"/>
    <w:semiHidden/>
    <w:rsid w:val="00796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1438</Words>
  <Characters>8198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Garrett</dc:creator>
  <cp:lastModifiedBy>Jonathan Geffner</cp:lastModifiedBy>
  <cp:revision>2</cp:revision>
  <dcterms:created xsi:type="dcterms:W3CDTF">2015-05-11T20:26:00Z</dcterms:created>
  <dcterms:modified xsi:type="dcterms:W3CDTF">2015-05-11T20:26:00Z</dcterms:modified>
</cp:coreProperties>
</file>