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01" w:rsidRPr="00822B3F" w:rsidRDefault="00254001" w:rsidP="00205BED">
      <w:pPr>
        <w:spacing w:after="0" w:line="240" w:lineRule="auto"/>
        <w:ind w:left="-284" w:hanging="11"/>
        <w:jc w:val="both"/>
        <w:rPr>
          <w:rFonts w:asciiTheme="majorHAnsi" w:hAnsiTheme="majorHAnsi" w:cs="Arial"/>
          <w:b/>
          <w:sz w:val="24"/>
          <w:szCs w:val="24"/>
        </w:rPr>
      </w:pPr>
      <w:proofErr w:type="gramStart"/>
      <w:r w:rsidRPr="00822B3F">
        <w:rPr>
          <w:rFonts w:asciiTheme="majorHAnsi" w:hAnsiTheme="majorHAnsi"/>
          <w:b/>
          <w:sz w:val="24"/>
          <w:szCs w:val="24"/>
        </w:rPr>
        <w:t xml:space="preserve">Supplementary </w:t>
      </w:r>
      <w:r w:rsidR="00F158A7" w:rsidRPr="00822B3F">
        <w:rPr>
          <w:rFonts w:asciiTheme="majorHAnsi" w:hAnsiTheme="majorHAnsi" w:cs="Arial"/>
          <w:b/>
          <w:sz w:val="24"/>
          <w:szCs w:val="24"/>
        </w:rPr>
        <w:t>Figure 2.</w:t>
      </w:r>
      <w:proofErr w:type="gramEnd"/>
      <w:r w:rsidR="00F158A7" w:rsidRPr="00822B3F">
        <w:rPr>
          <w:rFonts w:asciiTheme="majorHAnsi" w:hAnsiTheme="majorHAnsi" w:cs="Arial"/>
          <w:b/>
          <w:sz w:val="24"/>
          <w:szCs w:val="24"/>
        </w:rPr>
        <w:t xml:space="preserve"> Great </w:t>
      </w:r>
      <w:proofErr w:type="spellStart"/>
      <w:r w:rsidR="00F158A7" w:rsidRPr="00822B3F">
        <w:rPr>
          <w:rFonts w:asciiTheme="majorHAnsi" w:hAnsiTheme="majorHAnsi" w:cs="Arial"/>
          <w:b/>
          <w:sz w:val="24"/>
          <w:szCs w:val="24"/>
        </w:rPr>
        <w:t>S</w:t>
      </w:r>
      <w:r w:rsidRPr="00822B3F">
        <w:rPr>
          <w:rFonts w:asciiTheme="majorHAnsi" w:hAnsiTheme="majorHAnsi" w:cs="Arial"/>
          <w:b/>
          <w:sz w:val="24"/>
          <w:szCs w:val="24"/>
        </w:rPr>
        <w:t>aphenous</w:t>
      </w:r>
      <w:proofErr w:type="spellEnd"/>
      <w:r w:rsidRPr="00822B3F">
        <w:rPr>
          <w:rFonts w:asciiTheme="majorHAnsi" w:hAnsiTheme="majorHAnsi" w:cs="Arial"/>
          <w:b/>
          <w:sz w:val="24"/>
          <w:szCs w:val="24"/>
        </w:rPr>
        <w:t xml:space="preserve"> V</w:t>
      </w:r>
      <w:r w:rsidR="00205BED" w:rsidRPr="00822B3F">
        <w:rPr>
          <w:rFonts w:asciiTheme="majorHAnsi" w:hAnsiTheme="majorHAnsi" w:cs="Arial"/>
          <w:b/>
          <w:sz w:val="24"/>
          <w:szCs w:val="24"/>
        </w:rPr>
        <w:t xml:space="preserve">ein Occlusion rates at 6 month </w:t>
      </w:r>
      <w:r w:rsidRPr="00822B3F">
        <w:rPr>
          <w:rFonts w:asciiTheme="majorHAnsi" w:hAnsiTheme="majorHAnsi" w:cs="Arial"/>
          <w:b/>
          <w:sz w:val="24"/>
          <w:szCs w:val="24"/>
        </w:rPr>
        <w:t>by treatment groups</w:t>
      </w:r>
    </w:p>
    <w:p w:rsidR="00254001" w:rsidRDefault="00254001" w:rsidP="00254001">
      <w:pPr>
        <w:spacing w:after="0" w:line="240" w:lineRule="auto"/>
        <w:ind w:left="720" w:hanging="720"/>
        <w:jc w:val="both"/>
        <w:rPr>
          <w:rFonts w:asciiTheme="majorHAnsi" w:hAnsiTheme="majorHAnsi" w:cs="Arial"/>
          <w:b/>
          <w:sz w:val="24"/>
          <w:szCs w:val="24"/>
        </w:rPr>
      </w:pPr>
    </w:p>
    <w:p w:rsidR="00254001" w:rsidRPr="00FE0D1D" w:rsidRDefault="00254001" w:rsidP="00254001">
      <w:pPr>
        <w:spacing w:after="0" w:line="240" w:lineRule="auto"/>
        <w:ind w:left="720" w:hanging="720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W w:w="8172" w:type="dxa"/>
        <w:jc w:val="center"/>
        <w:tblInd w:w="-885" w:type="dxa"/>
        <w:tblLook w:val="00A0"/>
      </w:tblPr>
      <w:tblGrid>
        <w:gridCol w:w="474"/>
        <w:gridCol w:w="1786"/>
        <w:gridCol w:w="474"/>
        <w:gridCol w:w="1787"/>
        <w:gridCol w:w="366"/>
        <w:gridCol w:w="1581"/>
        <w:gridCol w:w="366"/>
        <w:gridCol w:w="2208"/>
      </w:tblGrid>
      <w:tr w:rsidR="00254001" w:rsidRPr="00EB65F8" w:rsidTr="00D24405">
        <w:trPr>
          <w:trHeight w:val="2347"/>
          <w:jc w:val="center"/>
        </w:trPr>
        <w:tc>
          <w:tcPr>
            <w:tcW w:w="4358" w:type="dxa"/>
            <w:gridSpan w:val="4"/>
          </w:tcPr>
          <w:p w:rsidR="00254001" w:rsidRPr="00EB65F8" w:rsidRDefault="00254001" w:rsidP="00D24405">
            <w:pPr>
              <w:spacing w:after="0"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s-ES" w:eastAsia="es-ES"/>
              </w:rPr>
              <w:drawing>
                <wp:inline distT="0" distB="0" distL="0" distR="0">
                  <wp:extent cx="2733675" cy="2762250"/>
                  <wp:effectExtent l="0" t="0" r="0" b="0"/>
                  <wp:docPr id="2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3814" w:type="dxa"/>
            <w:gridSpan w:val="4"/>
          </w:tcPr>
          <w:p w:rsidR="00254001" w:rsidRPr="00EB65F8" w:rsidRDefault="00254001" w:rsidP="00D24405">
            <w:pPr>
              <w:spacing w:after="0"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s-ES" w:eastAsia="es-ES"/>
              </w:rPr>
              <w:drawing>
                <wp:inline distT="0" distB="0" distL="0" distR="0">
                  <wp:extent cx="2733675" cy="2847975"/>
                  <wp:effectExtent l="0" t="0" r="0" b="0"/>
                  <wp:docPr id="3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254001" w:rsidRPr="00EB65F8" w:rsidTr="00D24405">
        <w:trPr>
          <w:trHeight w:val="20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54001" w:rsidRPr="00EB65F8" w:rsidRDefault="00254001" w:rsidP="00D24405">
            <w:pPr>
              <w:spacing w:after="0"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54001" w:rsidRPr="00EB65F8" w:rsidRDefault="00254001" w:rsidP="00D24405">
            <w:pPr>
              <w:spacing w:after="0" w:line="480" w:lineRule="auto"/>
              <w:rPr>
                <w:rFonts w:ascii="Cambria" w:hAnsi="Cambria"/>
              </w:rPr>
            </w:pPr>
            <w:r w:rsidRPr="00EB65F8">
              <w:rPr>
                <w:rFonts w:ascii="Cambria" w:hAnsi="Cambria"/>
              </w:rPr>
              <w:t>No reflux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4001" w:rsidRPr="00EB65F8" w:rsidRDefault="00254001" w:rsidP="00D24405">
            <w:pPr>
              <w:spacing w:after="0"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54001" w:rsidRPr="00EB65F8" w:rsidRDefault="00254001" w:rsidP="00D24405">
            <w:pPr>
              <w:spacing w:after="0" w:line="480" w:lineRule="auto"/>
              <w:rPr>
                <w:rFonts w:ascii="Cambria" w:hAnsi="Cambria"/>
              </w:rPr>
            </w:pPr>
            <w:r w:rsidRPr="00EB65F8">
              <w:rPr>
                <w:rFonts w:ascii="Cambria" w:hAnsi="Cambria"/>
              </w:rPr>
              <w:t>BK reflux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001" w:rsidRPr="00EB65F8" w:rsidRDefault="00254001" w:rsidP="00D24405">
            <w:pPr>
              <w:spacing w:after="0"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254001" w:rsidRPr="00EB65F8" w:rsidRDefault="00254001" w:rsidP="00D24405">
            <w:pPr>
              <w:spacing w:after="0" w:line="480" w:lineRule="auto"/>
              <w:jc w:val="center"/>
              <w:rPr>
                <w:rFonts w:ascii="Cambria" w:hAnsi="Cambria"/>
              </w:rPr>
            </w:pPr>
            <w:r w:rsidRPr="00EB65F8">
              <w:rPr>
                <w:rFonts w:ascii="Cambria" w:hAnsi="Cambria"/>
              </w:rPr>
              <w:t>Failed ablation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4001" w:rsidRPr="00EB65F8" w:rsidRDefault="00254001" w:rsidP="00D24405">
            <w:pPr>
              <w:spacing w:after="0"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254001" w:rsidRPr="00EB65F8" w:rsidRDefault="00254001" w:rsidP="00D24405">
            <w:pPr>
              <w:spacing w:after="0" w:line="480" w:lineRule="auto"/>
              <w:rPr>
                <w:rFonts w:ascii="Cambria" w:hAnsi="Cambria"/>
              </w:rPr>
            </w:pPr>
            <w:r w:rsidRPr="00EB65F8">
              <w:rPr>
                <w:rFonts w:ascii="Cambria" w:hAnsi="Cambria"/>
              </w:rPr>
              <w:t>Re-canalization</w:t>
            </w:r>
          </w:p>
        </w:tc>
      </w:tr>
    </w:tbl>
    <w:p w:rsidR="00D65328" w:rsidRDefault="00D65328"/>
    <w:sectPr w:rsidR="00D65328" w:rsidSect="0025400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254001"/>
    <w:rsid w:val="00055E1D"/>
    <w:rsid w:val="00205BED"/>
    <w:rsid w:val="00254001"/>
    <w:rsid w:val="00822B3F"/>
    <w:rsid w:val="008F6B01"/>
    <w:rsid w:val="00D65328"/>
    <w:rsid w:val="00F1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01"/>
    <w:rPr>
      <w:rFonts w:ascii="Calibri" w:eastAsia="Times New Roman" w:hAnsi="Calibri" w:cs="Times New Roman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00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400"/>
            </a:pPr>
            <a:r>
              <a:rPr lang="en-US" sz="1400"/>
              <a:t>RFA</a:t>
            </a:r>
          </a:p>
        </c:rich>
      </c:tx>
      <c:spPr>
        <a:noFill/>
        <a:ln w="25406">
          <a:noFill/>
        </a:ln>
      </c:spPr>
    </c:title>
    <c:plotArea>
      <c:layout>
        <c:manualLayout>
          <c:layoutTarget val="inner"/>
          <c:xMode val="edge"/>
          <c:yMode val="edge"/>
          <c:x val="9.6438183217494103E-2"/>
          <c:y val="0.18731819647929834"/>
          <c:w val="0.705309083912529"/>
          <c:h val="0.7047935224263679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5.1103368176538905E-2"/>
                  <c:y val="8.27586206896552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60%(33)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0"/>
                  <c:y val="0.248673776121080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29%(16)</a:t>
                    </a:r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2%(1)</a:t>
                    </a:r>
                  </a:p>
                </c:rich>
              </c:tx>
              <c:dLblPos val="outEnd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 9% (5)</a:t>
                    </a:r>
                  </a:p>
                </c:rich>
              </c:tx>
              <c:dLblPos val="outEnd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lang="en-US" sz="1100"/>
                </a:pPr>
                <a:endParaRPr lang="es-ES"/>
              </a:p>
            </c:txPr>
            <c:dLblPos val="outEnd"/>
            <c:showVal val="1"/>
            <c:showPercent val="1"/>
          </c:dLbls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</c:v>
                </c:pt>
                <c:pt idx="1">
                  <c:v>16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06">
          <a:noFill/>
        </a:ln>
      </c:spPr>
    </c:plotArea>
    <c:plotVisOnly val="1"/>
    <c:dispBlanksAs val="zero"/>
  </c:chart>
  <c:spPr>
    <a:ln>
      <a:noFill/>
    </a:ln>
  </c:spPr>
  <c:txPr>
    <a:bodyPr/>
    <a:lstStyle/>
    <a:p>
      <a:pPr>
        <a:defRPr sz="1799"/>
      </a:pPr>
      <a:endParaRPr lang="es-E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233"/>
            </a:pPr>
            <a:r>
              <a:rPr lang="en-US" sz="1233"/>
              <a:t>EVLA</a:t>
            </a:r>
          </a:p>
        </c:rich>
      </c:tx>
      <c:spPr>
        <a:noFill/>
        <a:ln w="25157">
          <a:noFill/>
        </a:ln>
      </c:spPr>
    </c:title>
    <c:plotArea>
      <c:layout>
        <c:manualLayout>
          <c:layoutTarget val="inner"/>
          <c:xMode val="edge"/>
          <c:yMode val="edge"/>
          <c:x val="0.10471341036319402"/>
          <c:y val="0.18542172413605401"/>
          <c:w val="0.70998372497934559"/>
          <c:h val="0.7098240076269626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088803088803101E-2"/>
                  <c:y val="4.45732114998885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65%(35)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0"/>
                  <c:y val="-0.181120981302137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28%(15)</a:t>
                    </a:r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5%(3)</a:t>
                    </a:r>
                  </a:p>
                </c:rich>
              </c:tx>
              <c:dLblPos val="outEnd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2%(1)</a:t>
                    </a:r>
                  </a:p>
                </c:rich>
              </c:tx>
              <c:dLblPos val="outEnd"/>
            </c:dLbl>
            <c:spPr>
              <a:noFill/>
              <a:ln w="25157">
                <a:noFill/>
              </a:ln>
            </c:spPr>
            <c:txPr>
              <a:bodyPr/>
              <a:lstStyle/>
              <a:p>
                <a:pPr>
                  <a:defRPr lang="en-GB" sz="970"/>
                </a:pPr>
                <a:endParaRPr lang="es-ES"/>
              </a:p>
            </c:txPr>
            <c:dLblPos val="outEnd"/>
            <c:showVal val="1"/>
            <c:showPercent val="1"/>
          </c:dLbls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</c:v>
                </c:pt>
                <c:pt idx="1">
                  <c:v>15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157">
          <a:noFill/>
        </a:ln>
      </c:spPr>
    </c:plotArea>
    <c:plotVisOnly val="1"/>
    <c:dispBlanksAs val="zero"/>
  </c:chart>
  <c:spPr>
    <a:ln>
      <a:noFill/>
    </a:ln>
  </c:spPr>
  <c:txPr>
    <a:bodyPr/>
    <a:lstStyle/>
    <a:p>
      <a:pPr>
        <a:defRPr sz="1586"/>
      </a:pPr>
      <a:endParaRPr lang="es-ES"/>
    </a:p>
  </c:txPr>
  <c:externalData r:id="rId2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2014-04-15T11:38:00Z</dcterms:created>
  <dcterms:modified xsi:type="dcterms:W3CDTF">2015-02-12T01:22:00Z</dcterms:modified>
</cp:coreProperties>
</file>