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2D" w:rsidRPr="000D45E5" w:rsidRDefault="004D1B2D" w:rsidP="004D1B2D">
      <w:pPr>
        <w:spacing w:after="0" w:line="240" w:lineRule="auto"/>
        <w:ind w:left="-142"/>
        <w:rPr>
          <w:rFonts w:eastAsia="Times New Roman" w:cs="Arial"/>
          <w:b/>
          <w:color w:val="000000"/>
          <w:spacing w:val="20"/>
          <w:sz w:val="24"/>
          <w:szCs w:val="24"/>
          <w:lang w:eastAsia="en-AU"/>
        </w:rPr>
      </w:pPr>
      <w:r w:rsidRPr="00EE3530">
        <w:rPr>
          <w:rFonts w:eastAsia="Times New Roman" w:cs="Arial"/>
          <w:b/>
          <w:color w:val="000000"/>
          <w:spacing w:val="20"/>
          <w:sz w:val="24"/>
          <w:szCs w:val="24"/>
          <w:lang w:eastAsia="en-AU"/>
        </w:rPr>
        <w:t>Supplementary</w:t>
      </w:r>
      <w:r w:rsidRPr="00175870">
        <w:rPr>
          <w:rFonts w:eastAsia="Times New Roman" w:cs="Arial"/>
          <w:b/>
          <w:color w:val="000000"/>
          <w:spacing w:val="20"/>
          <w:sz w:val="24"/>
          <w:szCs w:val="24"/>
          <w:lang w:eastAsia="en-AU"/>
        </w:rPr>
        <w:t xml:space="preserve"> Table 1:</w:t>
      </w:r>
      <w:r w:rsidRPr="000D45E5">
        <w:rPr>
          <w:rFonts w:eastAsia="Times New Roman" w:cs="Arial"/>
          <w:b/>
          <w:color w:val="000000"/>
          <w:spacing w:val="20"/>
          <w:sz w:val="24"/>
          <w:szCs w:val="24"/>
          <w:lang w:eastAsia="en-AU"/>
        </w:rPr>
        <w:t xml:space="preserve"> Observed event rates for 987 postmenopausal women treated for early breast cancer in South Australia </w:t>
      </w:r>
      <w:proofErr w:type="gramStart"/>
      <w:r w:rsidRPr="000D45E5">
        <w:rPr>
          <w:rFonts w:eastAsia="Times New Roman" w:cs="Arial"/>
          <w:b/>
          <w:color w:val="000000"/>
          <w:spacing w:val="20"/>
          <w:sz w:val="24"/>
          <w:szCs w:val="24"/>
          <w:lang w:eastAsia="en-AU"/>
        </w:rPr>
        <w:t>between 2000-2008, by Nottingham Prognostic Index of their primary breast cancer</w:t>
      </w:r>
      <w:proofErr w:type="gramEnd"/>
      <w:r w:rsidRPr="000D45E5">
        <w:rPr>
          <w:rFonts w:eastAsia="Times New Roman" w:cs="Arial"/>
          <w:b/>
          <w:color w:val="000000"/>
          <w:spacing w:val="20"/>
          <w:sz w:val="24"/>
          <w:szCs w:val="24"/>
          <w:lang w:eastAsia="en-AU"/>
        </w:rPr>
        <w:t xml:space="preserve"> </w:t>
      </w:r>
    </w:p>
    <w:p w:rsidR="004D1B2D" w:rsidRPr="000D45E5" w:rsidRDefault="004D1B2D" w:rsidP="004D1B2D">
      <w:pPr>
        <w:spacing w:after="0" w:line="180" w:lineRule="exact"/>
        <w:rPr>
          <w:rFonts w:eastAsia="Times New Roman" w:cs="Arial"/>
          <w:b/>
          <w:spacing w:val="24"/>
          <w:sz w:val="24"/>
          <w:szCs w:val="24"/>
          <w:lang w:eastAsia="en-AU"/>
        </w:rPr>
      </w:pPr>
    </w:p>
    <w:tbl>
      <w:tblPr>
        <w:tblW w:w="151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67"/>
        <w:gridCol w:w="1371"/>
        <w:gridCol w:w="1518"/>
        <w:gridCol w:w="1519"/>
        <w:gridCol w:w="1518"/>
        <w:gridCol w:w="1519"/>
        <w:gridCol w:w="1518"/>
        <w:gridCol w:w="1519"/>
        <w:gridCol w:w="1518"/>
        <w:gridCol w:w="1523"/>
      </w:tblGrid>
      <w:tr w:rsidR="004D1B2D" w:rsidRPr="000D45E5" w:rsidTr="004D1B2D">
        <w:trPr>
          <w:trHeight w:val="3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Prognostic subgroup</w:t>
            </w:r>
          </w:p>
        </w:tc>
        <w:tc>
          <w:tcPr>
            <w:tcW w:w="1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Women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Event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Duration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Events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 xml:space="preserve">Patient years </w:t>
            </w: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br/>
              <w:t>at risk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Annual incidence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Standard deviation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lower 95% CI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before="120" w:after="0" w:line="240" w:lineRule="auto"/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pacing w:val="20"/>
                <w:sz w:val="24"/>
                <w:szCs w:val="24"/>
                <w:lang w:eastAsia="en-AU"/>
              </w:rPr>
              <w:t>Upper 95% CI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b/>
                <w:color w:val="000000"/>
                <w:sz w:val="24"/>
                <w:szCs w:val="24"/>
                <w:lang w:eastAsia="en-AU"/>
              </w:rPr>
              <w:t>Excellent</w:t>
            </w:r>
          </w:p>
        </w:tc>
        <w:tc>
          <w:tcPr>
            <w:tcW w:w="1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176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Recurrence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515.5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0.0019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0.00005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0.00714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1180.5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0.00021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0.00471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Death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515.5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0.00005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0.00714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1182.5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0.00021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0.00471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Good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250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Recurrence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732.5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0.0041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0.00085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0.00984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1656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0.0054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0.00249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0.00950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Death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735.5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0.00003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0.00501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1678.5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0.0030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0.001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0.00097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0.00609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Moderate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407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Recurrence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1768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0.0107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0.00649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0.01605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2407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0.0100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0.00640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0.01431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Death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1802.5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0.0094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0.00551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0.01438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28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2483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0.0113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0.002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0.00751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0.01579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Poor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154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Recurrence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435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0.0207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0.007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0.00953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0.03600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780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0.0154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0.004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0.00798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0.02513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Death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5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443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0.0497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0.010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0.03145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0.07171</w:t>
            </w:r>
          </w:p>
        </w:tc>
      </w:tr>
      <w:tr w:rsidR="004D1B2D" w:rsidRPr="000D45E5" w:rsidTr="004D1B2D">
        <w:trPr>
          <w:trHeight w:val="37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10 year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829.5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0.0386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0.007</w:t>
            </w:r>
          </w:p>
        </w:tc>
        <w:tc>
          <w:tcPr>
            <w:tcW w:w="1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0.02657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2D" w:rsidRPr="000D45E5" w:rsidRDefault="004D1B2D" w:rsidP="006F5DA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D45E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0.05269</w:t>
            </w:r>
          </w:p>
        </w:tc>
      </w:tr>
      <w:tr w:rsidR="004D1B2D" w:rsidRPr="00175870" w:rsidTr="004D1B2D">
        <w:trPr>
          <w:trHeight w:val="286"/>
        </w:trPr>
        <w:tc>
          <w:tcPr>
            <w:tcW w:w="151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B2D" w:rsidRPr="00175870" w:rsidRDefault="004D1B2D" w:rsidP="006F5DA2">
            <w:pPr>
              <w:spacing w:line="180" w:lineRule="exact"/>
              <w:ind w:right="-1525" w:hanging="108"/>
              <w:rPr>
                <w:rFonts w:eastAsia="Times New Roman" w:cs="Arial"/>
                <w:color w:val="000000"/>
                <w:spacing w:val="20"/>
                <w:sz w:val="16"/>
                <w:szCs w:val="24"/>
                <w:lang w:eastAsia="en-AU"/>
              </w:rPr>
            </w:pPr>
            <w:r w:rsidRPr="00175870">
              <w:rPr>
                <w:rFonts w:eastAsia="Times New Roman" w:cs="Arial"/>
                <w:color w:val="000000"/>
                <w:spacing w:val="20"/>
                <w:sz w:val="16"/>
                <w:szCs w:val="24"/>
                <w:lang w:eastAsia="en-AU"/>
              </w:rPr>
              <w:t>Note – Complete data for 987 of 1100 postmenopausal women, recurrence = relapse within the treated breast or axilla, or a new primary or metastasis in the opposite breast</w:t>
            </w:r>
          </w:p>
        </w:tc>
      </w:tr>
    </w:tbl>
    <w:p w:rsidR="004D43AF" w:rsidRDefault="00E22586">
      <w:bookmarkStart w:id="0" w:name="_GoBack"/>
      <w:bookmarkEnd w:id="0"/>
    </w:p>
    <w:sectPr w:rsidR="004D43AF" w:rsidSect="004D1B2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86" w:rsidRDefault="00E22586">
      <w:pPr>
        <w:spacing w:after="0" w:line="240" w:lineRule="auto"/>
      </w:pPr>
      <w:r>
        <w:separator/>
      </w:r>
    </w:p>
  </w:endnote>
  <w:endnote w:type="continuationSeparator" w:id="0">
    <w:p w:rsidR="00E22586" w:rsidRDefault="00E2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67" w:rsidRDefault="00E22586" w:rsidP="00B102C5">
    <w:pPr>
      <w:pStyle w:val="Footer"/>
      <w:ind w:right="-315" w:hanging="142"/>
      <w:rPr>
        <w:rFonts w:asciiTheme="minorHAnsi" w:hAnsiTheme="minorHAnsi"/>
        <w:spacing w:val="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86" w:rsidRDefault="00E22586">
      <w:pPr>
        <w:spacing w:after="0" w:line="240" w:lineRule="auto"/>
      </w:pPr>
      <w:r>
        <w:separator/>
      </w:r>
    </w:p>
  </w:footnote>
  <w:footnote w:type="continuationSeparator" w:id="0">
    <w:p w:rsidR="00E22586" w:rsidRDefault="00E2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67" w:rsidRDefault="00E22586" w:rsidP="00B102C5">
    <w:pPr>
      <w:spacing w:after="120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2D"/>
    <w:rsid w:val="003E2AE5"/>
    <w:rsid w:val="004D1B2D"/>
    <w:rsid w:val="00E22586"/>
    <w:rsid w:val="00E57F3B"/>
    <w:rsid w:val="00E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B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1B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B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1B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Bessen RAH</dc:creator>
  <cp:lastModifiedBy>Taryn Bessen RAH</cp:lastModifiedBy>
  <cp:revision>3</cp:revision>
  <dcterms:created xsi:type="dcterms:W3CDTF">2015-02-06T06:31:00Z</dcterms:created>
  <dcterms:modified xsi:type="dcterms:W3CDTF">2015-02-12T04:17:00Z</dcterms:modified>
</cp:coreProperties>
</file>