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3A" w:rsidRDefault="001F173A" w:rsidP="001F173A">
      <w:pPr>
        <w:pStyle w:val="Heading1"/>
        <w:numPr>
          <w:ilvl w:val="0"/>
          <w:numId w:val="0"/>
        </w:numPr>
        <w:ind w:left="360"/>
      </w:pPr>
      <w:bookmarkStart w:id="0" w:name="_Toc317077347"/>
      <w:bookmarkStart w:id="1" w:name="_Toc324067227"/>
      <w:proofErr w:type="gramStart"/>
      <w:r>
        <w:t>Supplementary Table 2.</w:t>
      </w:r>
      <w:proofErr w:type="gramEnd"/>
      <w:r>
        <w:t xml:space="preserve"> Questionnaire for Ministry of Health/Finance/experts</w:t>
      </w:r>
      <w:bookmarkEnd w:id="0"/>
      <w:bookmarkEnd w:id="1"/>
    </w:p>
    <w:p w:rsidR="001F173A" w:rsidRPr="00550682" w:rsidRDefault="001F173A" w:rsidP="001F173A">
      <w:pPr>
        <w:spacing w:after="200" w:line="276" w:lineRule="auto"/>
        <w:rPr>
          <w:rFonts w:eastAsiaTheme="minorHAnsi"/>
          <w:bCs w:val="0"/>
          <w:color w:val="auto"/>
          <w:sz w:val="22"/>
          <w:szCs w:val="22"/>
        </w:rPr>
      </w:pPr>
      <w:r w:rsidRPr="00550682">
        <w:rPr>
          <w:rFonts w:eastAsiaTheme="minorHAnsi"/>
          <w:bCs w:val="0"/>
          <w:color w:val="auto"/>
          <w:sz w:val="22"/>
          <w:szCs w:val="22"/>
        </w:rPr>
        <w:t>Introduction</w:t>
      </w:r>
    </w:p>
    <w:p w:rsidR="001F173A" w:rsidRPr="00360DED" w:rsidRDefault="001F173A" w:rsidP="001F173A">
      <w:pPr>
        <w:spacing w:after="200" w:line="276" w:lineRule="auto"/>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Health interventions seek to generate direct health benefits but can also generate “wealth” benefits which can be captured at different levels of the economy.</w:t>
      </w:r>
    </w:p>
    <w:p w:rsidR="001F173A" w:rsidRPr="00360DED" w:rsidRDefault="001F173A" w:rsidP="001F173A">
      <w:pPr>
        <w:spacing w:after="200" w:line="276" w:lineRule="auto"/>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 xml:space="preserve">Improved health can increase a person’s productivity by reducing </w:t>
      </w:r>
      <w:proofErr w:type="spellStart"/>
      <w:r w:rsidRPr="00360DED">
        <w:rPr>
          <w:rFonts w:asciiTheme="minorHAnsi" w:eastAsiaTheme="minorHAnsi" w:hAnsiTheme="minorHAnsi" w:cstheme="minorHAnsi"/>
          <w:b w:val="0"/>
          <w:bCs w:val="0"/>
          <w:color w:val="auto"/>
          <w:sz w:val="22"/>
          <w:szCs w:val="22"/>
        </w:rPr>
        <w:t>presenteeism</w:t>
      </w:r>
      <w:proofErr w:type="spellEnd"/>
      <w:r w:rsidRPr="00360DED">
        <w:rPr>
          <w:rFonts w:asciiTheme="minorHAnsi" w:eastAsiaTheme="minorHAnsi" w:hAnsiTheme="minorHAnsi" w:cstheme="minorHAnsi"/>
          <w:b w:val="0"/>
          <w:bCs w:val="0"/>
          <w:color w:val="auto"/>
          <w:sz w:val="22"/>
          <w:szCs w:val="22"/>
        </w:rPr>
        <w:t>, i.e. reduced ability to work due to illness. Similarly, improved health can increase labour force participation by:</w:t>
      </w:r>
    </w:p>
    <w:p w:rsidR="001F173A" w:rsidRPr="00360DED" w:rsidRDefault="001F173A" w:rsidP="001F173A">
      <w:pPr>
        <w:numPr>
          <w:ilvl w:val="0"/>
          <w:numId w:val="6"/>
        </w:numPr>
        <w:spacing w:after="200" w:line="276" w:lineRule="auto"/>
        <w:contextualSpacing/>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reducing time spent out of work due to illness (absenteeism)</w:t>
      </w:r>
      <w:r>
        <w:rPr>
          <w:rFonts w:asciiTheme="minorHAnsi" w:eastAsiaTheme="minorHAnsi" w:hAnsiTheme="minorHAnsi" w:cstheme="minorHAnsi"/>
          <w:b w:val="0"/>
          <w:bCs w:val="0"/>
          <w:color w:val="auto"/>
          <w:sz w:val="22"/>
          <w:szCs w:val="22"/>
        </w:rPr>
        <w:t>;</w:t>
      </w:r>
    </w:p>
    <w:p w:rsidR="001F173A" w:rsidRPr="00360DED" w:rsidRDefault="001F173A" w:rsidP="001F173A">
      <w:pPr>
        <w:numPr>
          <w:ilvl w:val="0"/>
          <w:numId w:val="6"/>
        </w:numPr>
        <w:spacing w:after="200" w:line="276" w:lineRule="auto"/>
        <w:contextualSpacing/>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helping people to return to work quickly after falling sick</w:t>
      </w:r>
      <w:r>
        <w:rPr>
          <w:rFonts w:asciiTheme="minorHAnsi" w:eastAsiaTheme="minorHAnsi" w:hAnsiTheme="minorHAnsi" w:cstheme="minorHAnsi"/>
          <w:b w:val="0"/>
          <w:bCs w:val="0"/>
          <w:color w:val="auto"/>
          <w:sz w:val="22"/>
          <w:szCs w:val="22"/>
        </w:rPr>
        <w:t>; and</w:t>
      </w:r>
    </w:p>
    <w:p w:rsidR="001F173A" w:rsidRPr="00360DED" w:rsidRDefault="001F173A" w:rsidP="001F173A">
      <w:pPr>
        <w:numPr>
          <w:ilvl w:val="0"/>
          <w:numId w:val="6"/>
        </w:numPr>
        <w:spacing w:after="200" w:line="276" w:lineRule="auto"/>
        <w:contextualSpacing/>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 xml:space="preserve">helping workers avoid early retirement due to illness-related morbidity or permanent departure from the work force as a result of premature mortality.  </w:t>
      </w:r>
    </w:p>
    <w:p w:rsidR="001F173A" w:rsidRDefault="001F173A" w:rsidP="001F173A">
      <w:pPr>
        <w:spacing w:after="200" w:line="276" w:lineRule="auto"/>
        <w:rPr>
          <w:rFonts w:asciiTheme="minorHAnsi" w:eastAsiaTheme="minorHAnsi" w:hAnsiTheme="minorHAnsi" w:cstheme="minorHAnsi"/>
          <w:b w:val="0"/>
          <w:bCs w:val="0"/>
          <w:color w:val="auto"/>
          <w:sz w:val="22"/>
          <w:szCs w:val="22"/>
        </w:rPr>
      </w:pPr>
    </w:p>
    <w:p w:rsidR="001F173A" w:rsidRPr="00360DED" w:rsidRDefault="001F173A" w:rsidP="001F173A">
      <w:pPr>
        <w:spacing w:after="200" w:line="276" w:lineRule="auto"/>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Additionally, health spending can have an impact on non-health public sectors. For example, a new drug that treats children with behavioural problems will have spill-over effects into</w:t>
      </w:r>
      <w:r>
        <w:rPr>
          <w:rFonts w:asciiTheme="minorHAnsi" w:eastAsiaTheme="minorHAnsi" w:hAnsiTheme="minorHAnsi" w:cstheme="minorHAnsi"/>
          <w:b w:val="0"/>
          <w:bCs w:val="0"/>
          <w:color w:val="auto"/>
          <w:sz w:val="22"/>
          <w:szCs w:val="22"/>
        </w:rPr>
        <w:t>:</w:t>
      </w:r>
    </w:p>
    <w:p w:rsidR="001F173A" w:rsidRPr="00360DED" w:rsidRDefault="001F173A" w:rsidP="001F173A">
      <w:pPr>
        <w:numPr>
          <w:ilvl w:val="0"/>
          <w:numId w:val="7"/>
        </w:numPr>
        <w:spacing w:after="200" w:line="276" w:lineRule="auto"/>
        <w:contextualSpacing/>
        <w:rPr>
          <w:rFonts w:asciiTheme="minorHAnsi" w:eastAsiaTheme="minorHAnsi" w:hAnsiTheme="minorHAnsi" w:cstheme="minorHAnsi"/>
          <w:b w:val="0"/>
          <w:bCs w:val="0"/>
          <w:color w:val="auto"/>
          <w:sz w:val="22"/>
          <w:szCs w:val="22"/>
        </w:rPr>
      </w:pPr>
      <w:r w:rsidRPr="00360DED">
        <w:rPr>
          <w:rFonts w:asciiTheme="minorHAnsi" w:eastAsiaTheme="minorHAnsi" w:hAnsiTheme="minorHAnsi" w:cstheme="minorHAnsi"/>
          <w:b w:val="0"/>
          <w:bCs w:val="0"/>
          <w:color w:val="auto"/>
          <w:sz w:val="22"/>
          <w:szCs w:val="22"/>
        </w:rPr>
        <w:t>the education system because fewer resources will be needed to care for these children</w:t>
      </w:r>
      <w:r>
        <w:rPr>
          <w:rFonts w:asciiTheme="minorHAnsi" w:eastAsiaTheme="minorHAnsi" w:hAnsiTheme="minorHAnsi" w:cstheme="minorHAnsi"/>
          <w:b w:val="0"/>
          <w:bCs w:val="0"/>
          <w:color w:val="auto"/>
          <w:sz w:val="22"/>
          <w:szCs w:val="22"/>
        </w:rPr>
        <w:t>;</w:t>
      </w:r>
      <w:r w:rsidRPr="00360DED">
        <w:rPr>
          <w:rFonts w:asciiTheme="minorHAnsi" w:eastAsiaTheme="minorHAnsi" w:hAnsiTheme="minorHAnsi" w:cstheme="minorHAnsi"/>
          <w:b w:val="0"/>
          <w:bCs w:val="0"/>
          <w:color w:val="auto"/>
          <w:sz w:val="22"/>
          <w:szCs w:val="22"/>
        </w:rPr>
        <w:t xml:space="preserve"> and</w:t>
      </w:r>
    </w:p>
    <w:p w:rsidR="001F173A" w:rsidRPr="00360DED" w:rsidRDefault="001F173A" w:rsidP="001F173A">
      <w:pPr>
        <w:numPr>
          <w:ilvl w:val="0"/>
          <w:numId w:val="7"/>
        </w:numPr>
        <w:spacing w:after="200" w:line="276" w:lineRule="auto"/>
        <w:contextualSpacing/>
        <w:rPr>
          <w:rFonts w:asciiTheme="minorHAnsi" w:eastAsiaTheme="minorHAnsi" w:hAnsiTheme="minorHAnsi" w:cstheme="minorHAnsi"/>
          <w:b w:val="0"/>
          <w:bCs w:val="0"/>
          <w:color w:val="auto"/>
          <w:sz w:val="22"/>
          <w:szCs w:val="22"/>
        </w:rPr>
      </w:pPr>
      <w:proofErr w:type="gramStart"/>
      <w:r w:rsidRPr="00360DED">
        <w:rPr>
          <w:rFonts w:asciiTheme="minorHAnsi" w:eastAsiaTheme="minorHAnsi" w:hAnsiTheme="minorHAnsi" w:cstheme="minorHAnsi"/>
          <w:b w:val="0"/>
          <w:bCs w:val="0"/>
          <w:color w:val="auto"/>
          <w:sz w:val="22"/>
          <w:szCs w:val="22"/>
        </w:rPr>
        <w:t>the</w:t>
      </w:r>
      <w:proofErr w:type="gramEnd"/>
      <w:r w:rsidRPr="00360DED">
        <w:rPr>
          <w:rFonts w:asciiTheme="minorHAnsi" w:eastAsiaTheme="minorHAnsi" w:hAnsiTheme="minorHAnsi" w:cstheme="minorHAnsi"/>
          <w:b w:val="0"/>
          <w:bCs w:val="0"/>
          <w:color w:val="auto"/>
          <w:sz w:val="22"/>
          <w:szCs w:val="22"/>
        </w:rPr>
        <w:t xml:space="preserve"> justice system as the potential for delinquency decreases among this high risk group will be reduced.</w:t>
      </w:r>
    </w:p>
    <w:p w:rsidR="001F173A" w:rsidRDefault="001F173A" w:rsidP="001F173A">
      <w:pPr>
        <w:autoSpaceDE w:val="0"/>
        <w:autoSpaceDN w:val="0"/>
        <w:adjustRightInd w:val="0"/>
        <w:spacing w:after="200" w:line="276" w:lineRule="auto"/>
        <w:rPr>
          <w:rFonts w:asciiTheme="minorHAnsi" w:eastAsiaTheme="minorHAnsi" w:hAnsiTheme="minorHAnsi" w:cstheme="minorHAnsi"/>
          <w:b w:val="0"/>
          <w:bCs w:val="0"/>
          <w:color w:val="auto"/>
          <w:sz w:val="22"/>
          <w:szCs w:val="22"/>
        </w:rPr>
      </w:pPr>
    </w:p>
    <w:p w:rsidR="001F173A" w:rsidRPr="00360DED" w:rsidRDefault="001F173A" w:rsidP="001F173A">
      <w:pPr>
        <w:autoSpaceDE w:val="0"/>
        <w:autoSpaceDN w:val="0"/>
        <w:adjustRightInd w:val="0"/>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HAnsi"/>
          <w:b w:val="0"/>
          <w:bCs w:val="0"/>
          <w:color w:val="auto"/>
          <w:sz w:val="22"/>
          <w:szCs w:val="22"/>
        </w:rPr>
        <w:t xml:space="preserve">The purpose of this interview is to explore the extent to which decision makers in your country take into account the wider ‘wealth’ effects of health interventions in their policy and budget setting decisions. </w:t>
      </w:r>
    </w:p>
    <w:p w:rsidR="001F173A" w:rsidRPr="00360DED" w:rsidRDefault="001F173A" w:rsidP="001F173A">
      <w:p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Please consider the following scenario, which illustrate how new health interventions can generate wealth effects. The scenarios do not include questions about a specific treatment, but explore the impact of a hypothetical intervention.</w:t>
      </w:r>
    </w:p>
    <w:p w:rsidR="001F173A" w:rsidRPr="00360DED" w:rsidRDefault="001F173A" w:rsidP="001F173A">
      <w:pPr>
        <w:spacing w:after="200" w:line="276" w:lineRule="auto"/>
        <w:rPr>
          <w:rFonts w:asciiTheme="minorHAnsi" w:eastAsiaTheme="minorHAnsi" w:hAnsiTheme="minorHAnsi" w:cstheme="minorBidi"/>
          <w:b w:val="0"/>
          <w:bCs w:val="0"/>
          <w:color w:val="auto"/>
          <w:sz w:val="22"/>
          <w:szCs w:val="22"/>
        </w:rPr>
      </w:pPr>
    </w:p>
    <w:p w:rsidR="001F173A" w:rsidRPr="00360DED" w:rsidRDefault="001F173A" w:rsidP="001F173A">
      <w:pPr>
        <w:spacing w:after="200" w:line="276" w:lineRule="auto"/>
        <w:rPr>
          <w:rFonts w:asciiTheme="minorHAnsi" w:eastAsiaTheme="minorHAnsi" w:hAnsiTheme="minorHAnsi" w:cstheme="minorBidi"/>
          <w:bCs w:val="0"/>
          <w:color w:val="auto"/>
          <w:sz w:val="28"/>
          <w:szCs w:val="22"/>
        </w:rPr>
      </w:pPr>
    </w:p>
    <w:p w:rsidR="001F173A" w:rsidRPr="00360DED" w:rsidRDefault="001F173A" w:rsidP="001F173A">
      <w:pPr>
        <w:spacing w:after="200" w:line="276" w:lineRule="auto"/>
        <w:rPr>
          <w:rFonts w:asciiTheme="minorHAnsi" w:eastAsiaTheme="minorHAnsi" w:hAnsiTheme="minorHAnsi" w:cstheme="minorBidi"/>
          <w:bCs w:val="0"/>
          <w:color w:val="auto"/>
          <w:sz w:val="28"/>
          <w:szCs w:val="22"/>
        </w:rPr>
      </w:pPr>
      <w:r w:rsidRPr="00360DED">
        <w:rPr>
          <w:rFonts w:asciiTheme="minorHAnsi" w:eastAsiaTheme="minorHAnsi" w:hAnsiTheme="minorHAnsi" w:cstheme="minorBidi"/>
          <w:bCs w:val="0"/>
          <w:color w:val="auto"/>
          <w:sz w:val="28"/>
          <w:szCs w:val="22"/>
        </w:rPr>
        <w:br w:type="page"/>
      </w:r>
    </w:p>
    <w:p w:rsidR="001F173A" w:rsidRPr="00550682" w:rsidRDefault="001F173A" w:rsidP="001F173A">
      <w:pPr>
        <w:spacing w:after="200" w:line="276" w:lineRule="auto"/>
        <w:rPr>
          <w:rFonts w:eastAsiaTheme="minorHAnsi"/>
          <w:bCs w:val="0"/>
          <w:color w:val="auto"/>
          <w:sz w:val="22"/>
          <w:szCs w:val="22"/>
        </w:rPr>
      </w:pPr>
      <w:r w:rsidRPr="00550682">
        <w:rPr>
          <w:rFonts w:eastAsiaTheme="minorHAnsi"/>
          <w:bCs w:val="0"/>
          <w:color w:val="auto"/>
          <w:sz w:val="22"/>
          <w:szCs w:val="22"/>
        </w:rPr>
        <w:lastRenderedPageBreak/>
        <w:t>Scenario: Alzheimer’s disease</w:t>
      </w:r>
    </w:p>
    <w:p w:rsidR="001F173A" w:rsidRPr="00360DED" w:rsidRDefault="001F173A" w:rsidP="001F173A">
      <w:p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Alzheimer’s disease is a neurodegenerative disorder. It is a major cause of morbidity and mortality among the elderly and has high costs of care. It is estimated that the annual cost of care per patient with Alzheimer’s in Sweden is €11,321</w:t>
      </w:r>
      <w:r w:rsidRPr="00360DED">
        <w:rPr>
          <w:rFonts w:asciiTheme="minorHAnsi" w:eastAsiaTheme="minorHAnsi" w:hAnsiTheme="minorHAnsi" w:cstheme="minorBidi"/>
          <w:b w:val="0"/>
          <w:bCs w:val="0"/>
          <w:color w:val="auto"/>
          <w:sz w:val="22"/>
          <w:szCs w:val="22"/>
          <w:vertAlign w:val="superscript"/>
        </w:rPr>
        <w:footnoteReference w:id="1"/>
      </w:r>
      <w:r w:rsidRPr="00360DED">
        <w:rPr>
          <w:rFonts w:asciiTheme="minorHAnsi" w:eastAsiaTheme="minorHAnsi" w:hAnsiTheme="minorHAnsi" w:cstheme="minorBidi"/>
          <w:b w:val="0"/>
          <w:bCs w:val="0"/>
          <w:color w:val="auto"/>
          <w:sz w:val="22"/>
          <w:szCs w:val="22"/>
        </w:rPr>
        <w:t xml:space="preserve">. </w:t>
      </w:r>
    </w:p>
    <w:p w:rsidR="001F173A" w:rsidRPr="00360DED" w:rsidRDefault="001F173A" w:rsidP="001F173A">
      <w:p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The main cost components, as set out in the table below, are: medical care (comprising hospitalisation costs, drugs costs, and outpatient c</w:t>
      </w:r>
      <w:r>
        <w:rPr>
          <w:rFonts w:asciiTheme="minorHAnsi" w:eastAsiaTheme="minorHAnsi" w:hAnsiTheme="minorHAnsi" w:cstheme="minorBidi"/>
          <w:b w:val="0"/>
          <w:bCs w:val="0"/>
          <w:color w:val="auto"/>
          <w:sz w:val="22"/>
          <w:szCs w:val="22"/>
        </w:rPr>
        <w:t>are</w:t>
      </w:r>
      <w:r w:rsidRPr="00360DED">
        <w:rPr>
          <w:rFonts w:asciiTheme="minorHAnsi" w:eastAsiaTheme="minorHAnsi" w:hAnsiTheme="minorHAnsi" w:cstheme="minorBidi"/>
          <w:b w:val="0"/>
          <w:bCs w:val="0"/>
          <w:color w:val="auto"/>
          <w:sz w:val="22"/>
          <w:szCs w:val="22"/>
        </w:rPr>
        <w:t xml:space="preserve"> costs), community care costs, and informal care costs (care given free of cost by family and friends – measured in terms of the lost productivity of caregivers). Together, these last two components make up 77% of the total cost of care. </w:t>
      </w:r>
    </w:p>
    <w:tbl>
      <w:tblPr>
        <w:tblW w:w="8946" w:type="dxa"/>
        <w:tblInd w:w="93" w:type="dxa"/>
        <w:tblLook w:val="04A0" w:firstRow="1" w:lastRow="0" w:firstColumn="1" w:lastColumn="0" w:noHBand="0" w:noVBand="1"/>
      </w:tblPr>
      <w:tblGrid>
        <w:gridCol w:w="5402"/>
        <w:gridCol w:w="1417"/>
        <w:gridCol w:w="2127"/>
      </w:tblGrid>
      <w:tr w:rsidR="001F173A" w:rsidRPr="00360DED" w:rsidTr="007D5883">
        <w:trPr>
          <w:trHeight w:val="301"/>
        </w:trPr>
        <w:tc>
          <w:tcPr>
            <w:tcW w:w="5402" w:type="dxa"/>
            <w:tcBorders>
              <w:top w:val="single" w:sz="8" w:space="0" w:color="auto"/>
              <w:left w:val="single" w:sz="8" w:space="0" w:color="auto"/>
              <w:bottom w:val="nil"/>
              <w:right w:val="nil"/>
            </w:tcBorders>
            <w:shd w:val="clear" w:color="000000" w:fill="FFFFFF"/>
            <w:noWrap/>
            <w:vAlign w:val="bottom"/>
            <w:hideMark/>
          </w:tcPr>
          <w:p w:rsidR="001F173A" w:rsidRPr="00360DED" w:rsidRDefault="001F173A" w:rsidP="007D5883">
            <w:pPr>
              <w:spacing w:after="0" w:line="240" w:lineRule="auto"/>
              <w:rPr>
                <w:rFonts w:eastAsia="Times New Roman"/>
                <w:bCs w:val="0"/>
                <w:color w:val="000000"/>
                <w:sz w:val="22"/>
                <w:szCs w:val="22"/>
                <w:lang w:eastAsia="en-GB"/>
              </w:rPr>
            </w:pPr>
            <w:r w:rsidRPr="00360DED">
              <w:rPr>
                <w:rFonts w:eastAsia="Times New Roman"/>
                <w:bCs w:val="0"/>
                <w:color w:val="000000"/>
                <w:sz w:val="22"/>
                <w:szCs w:val="22"/>
                <w:lang w:eastAsia="en-GB"/>
              </w:rPr>
              <w:t>Cost component</w:t>
            </w:r>
          </w:p>
        </w:tc>
        <w:tc>
          <w:tcPr>
            <w:tcW w:w="1417" w:type="dxa"/>
            <w:tcBorders>
              <w:top w:val="single" w:sz="8" w:space="0" w:color="auto"/>
              <w:left w:val="nil"/>
              <w:bottom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color w:val="000000"/>
                <w:sz w:val="22"/>
                <w:szCs w:val="22"/>
                <w:lang w:eastAsia="en-GB"/>
              </w:rPr>
            </w:pPr>
            <w:r w:rsidRPr="00360DED">
              <w:rPr>
                <w:rFonts w:eastAsia="Times New Roman"/>
                <w:color w:val="000000"/>
                <w:sz w:val="22"/>
                <w:szCs w:val="22"/>
                <w:lang w:eastAsia="en-GB"/>
              </w:rPr>
              <w:t>Cost (€)</w:t>
            </w:r>
          </w:p>
        </w:tc>
        <w:tc>
          <w:tcPr>
            <w:tcW w:w="2127" w:type="dxa"/>
            <w:tcBorders>
              <w:top w:val="single" w:sz="8" w:space="0" w:color="auto"/>
              <w:left w:val="nil"/>
              <w:bottom w:val="nil"/>
              <w:right w:val="single" w:sz="8"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color w:val="000000"/>
                <w:sz w:val="22"/>
                <w:szCs w:val="22"/>
                <w:lang w:eastAsia="en-GB"/>
              </w:rPr>
            </w:pPr>
            <w:r w:rsidRPr="00360DED">
              <w:rPr>
                <w:rFonts w:eastAsia="Times New Roman"/>
                <w:color w:val="000000"/>
                <w:sz w:val="22"/>
                <w:szCs w:val="22"/>
                <w:lang w:eastAsia="en-GB"/>
              </w:rPr>
              <w:t>% of total cost</w:t>
            </w:r>
          </w:p>
        </w:tc>
      </w:tr>
      <w:tr w:rsidR="001F173A" w:rsidRPr="00360DED" w:rsidTr="007D5883">
        <w:trPr>
          <w:trHeight w:val="301"/>
        </w:trPr>
        <w:tc>
          <w:tcPr>
            <w:tcW w:w="5402" w:type="dxa"/>
            <w:tcBorders>
              <w:top w:val="single" w:sz="4" w:space="0" w:color="auto"/>
              <w:left w:val="single" w:sz="4" w:space="0" w:color="auto"/>
              <w:bottom w:val="nil"/>
              <w:right w:val="nil"/>
            </w:tcBorders>
            <w:shd w:val="clear" w:color="000000" w:fill="FFFFFF"/>
            <w:noWrap/>
            <w:vAlign w:val="bottom"/>
            <w:hideMark/>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Direct medical costs</w:t>
            </w:r>
          </w:p>
        </w:tc>
        <w:tc>
          <w:tcPr>
            <w:tcW w:w="1417" w:type="dxa"/>
            <w:tcBorders>
              <w:top w:val="single" w:sz="4" w:space="0" w:color="auto"/>
              <w:left w:val="nil"/>
              <w:bottom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b w:val="0"/>
                <w:i/>
                <w:iCs/>
                <w:color w:val="auto"/>
                <w:sz w:val="22"/>
                <w:szCs w:val="22"/>
                <w:lang w:eastAsia="en-GB"/>
              </w:rPr>
            </w:pPr>
            <w:r w:rsidRPr="00360DED">
              <w:rPr>
                <w:rFonts w:eastAsia="Times New Roman"/>
                <w:b w:val="0"/>
                <w:i/>
                <w:iCs/>
                <w:color w:val="auto"/>
                <w:sz w:val="22"/>
                <w:szCs w:val="22"/>
                <w:lang w:eastAsia="en-GB"/>
              </w:rPr>
              <w:t>2,452</w:t>
            </w:r>
          </w:p>
        </w:tc>
        <w:tc>
          <w:tcPr>
            <w:tcW w:w="2127" w:type="dxa"/>
            <w:tcBorders>
              <w:top w:val="single" w:sz="4" w:space="0" w:color="auto"/>
              <w:left w:val="nil"/>
              <w:bottom w:val="nil"/>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i/>
                <w:color w:val="auto"/>
                <w:sz w:val="22"/>
                <w:szCs w:val="22"/>
                <w:lang w:eastAsia="en-GB"/>
              </w:rPr>
            </w:pPr>
            <w:r w:rsidRPr="00360DED">
              <w:rPr>
                <w:rFonts w:eastAsia="Times New Roman"/>
                <w:b w:val="0"/>
                <w:bCs w:val="0"/>
                <w:i/>
                <w:color w:val="auto"/>
                <w:sz w:val="22"/>
                <w:szCs w:val="22"/>
                <w:lang w:eastAsia="en-GB"/>
              </w:rPr>
              <w:t>21.6%</w:t>
            </w:r>
          </w:p>
        </w:tc>
      </w:tr>
      <w:tr w:rsidR="001F173A" w:rsidRPr="00360DED" w:rsidTr="007D5883">
        <w:trPr>
          <w:trHeight w:val="301"/>
        </w:trPr>
        <w:tc>
          <w:tcPr>
            <w:tcW w:w="5402" w:type="dxa"/>
            <w:tcBorders>
              <w:top w:val="nil"/>
              <w:left w:val="single" w:sz="4" w:space="0" w:color="auto"/>
              <w:bottom w:val="nil"/>
              <w:right w:val="nil"/>
            </w:tcBorders>
            <w:shd w:val="clear" w:color="000000" w:fill="FFFFFF"/>
            <w:noWrap/>
            <w:vAlign w:val="bottom"/>
            <w:hideMark/>
          </w:tcPr>
          <w:p w:rsidR="001F173A" w:rsidRPr="00360DED" w:rsidRDefault="001F173A" w:rsidP="007D5883">
            <w:pPr>
              <w:spacing w:after="0" w:line="240" w:lineRule="auto"/>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 xml:space="preserve">  - Hospitalisation costs</w:t>
            </w:r>
          </w:p>
        </w:tc>
        <w:tc>
          <w:tcPr>
            <w:tcW w:w="1417" w:type="dxa"/>
            <w:tcBorders>
              <w:top w:val="nil"/>
              <w:left w:val="nil"/>
              <w:bottom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944</w:t>
            </w:r>
          </w:p>
        </w:tc>
        <w:tc>
          <w:tcPr>
            <w:tcW w:w="2127" w:type="dxa"/>
            <w:tcBorders>
              <w:top w:val="nil"/>
              <w:left w:val="nil"/>
              <w:bottom w:val="nil"/>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8.3%</w:t>
            </w:r>
          </w:p>
        </w:tc>
      </w:tr>
      <w:tr w:rsidR="001F173A" w:rsidRPr="00360DED" w:rsidTr="007D5883">
        <w:trPr>
          <w:trHeight w:val="301"/>
        </w:trPr>
        <w:tc>
          <w:tcPr>
            <w:tcW w:w="5402" w:type="dxa"/>
            <w:tcBorders>
              <w:top w:val="nil"/>
              <w:left w:val="single" w:sz="4" w:space="0" w:color="auto"/>
              <w:bottom w:val="nil"/>
              <w:right w:val="nil"/>
            </w:tcBorders>
            <w:shd w:val="clear" w:color="000000" w:fill="FFFFFF"/>
            <w:noWrap/>
            <w:vAlign w:val="bottom"/>
            <w:hideMark/>
          </w:tcPr>
          <w:p w:rsidR="001F173A" w:rsidRPr="00360DED" w:rsidRDefault="001F173A" w:rsidP="007D5883">
            <w:pPr>
              <w:spacing w:after="0" w:line="240" w:lineRule="auto"/>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 xml:space="preserve">  - Drug costs</w:t>
            </w:r>
          </w:p>
        </w:tc>
        <w:tc>
          <w:tcPr>
            <w:tcW w:w="1417" w:type="dxa"/>
            <w:tcBorders>
              <w:top w:val="nil"/>
              <w:left w:val="nil"/>
              <w:bottom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 xml:space="preserve">        1,007</w:t>
            </w:r>
          </w:p>
        </w:tc>
        <w:tc>
          <w:tcPr>
            <w:tcW w:w="2127" w:type="dxa"/>
            <w:tcBorders>
              <w:top w:val="nil"/>
              <w:left w:val="nil"/>
              <w:bottom w:val="nil"/>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8.9%</w:t>
            </w:r>
          </w:p>
        </w:tc>
      </w:tr>
      <w:tr w:rsidR="001F173A" w:rsidRPr="00360DED" w:rsidTr="007D5883">
        <w:trPr>
          <w:trHeight w:val="301"/>
        </w:trPr>
        <w:tc>
          <w:tcPr>
            <w:tcW w:w="5402" w:type="dxa"/>
            <w:tcBorders>
              <w:top w:val="nil"/>
              <w:left w:val="single" w:sz="4" w:space="0" w:color="auto"/>
              <w:bottom w:val="single" w:sz="4" w:space="0" w:color="auto"/>
              <w:right w:val="nil"/>
            </w:tcBorders>
            <w:shd w:val="clear" w:color="000000" w:fill="FFFFFF"/>
            <w:noWrap/>
            <w:vAlign w:val="bottom"/>
            <w:hideMark/>
          </w:tcPr>
          <w:p w:rsidR="001F173A" w:rsidRPr="00360DED" w:rsidRDefault="001F173A" w:rsidP="007D5883">
            <w:pPr>
              <w:spacing w:after="0" w:line="240" w:lineRule="auto"/>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 xml:space="preserve">  - Outpatient care costs</w:t>
            </w:r>
          </w:p>
        </w:tc>
        <w:tc>
          <w:tcPr>
            <w:tcW w:w="1417" w:type="dxa"/>
            <w:tcBorders>
              <w:top w:val="nil"/>
              <w:left w:val="nil"/>
              <w:bottom w:val="single" w:sz="4" w:space="0" w:color="auto"/>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iCs/>
                <w:color w:val="auto"/>
                <w:sz w:val="22"/>
                <w:szCs w:val="22"/>
                <w:lang w:eastAsia="en-GB"/>
              </w:rPr>
            </w:pPr>
            <w:r w:rsidRPr="00360DED">
              <w:rPr>
                <w:rFonts w:eastAsia="Times New Roman"/>
                <w:b w:val="0"/>
                <w:bCs w:val="0"/>
                <w:iCs/>
                <w:color w:val="auto"/>
                <w:sz w:val="22"/>
                <w:szCs w:val="22"/>
                <w:lang w:eastAsia="en-GB"/>
              </w:rPr>
              <w:t xml:space="preserve">      501</w:t>
            </w:r>
          </w:p>
        </w:tc>
        <w:tc>
          <w:tcPr>
            <w:tcW w:w="2127" w:type="dxa"/>
            <w:tcBorders>
              <w:top w:val="nil"/>
              <w:left w:val="nil"/>
              <w:bottom w:val="single" w:sz="4" w:space="0" w:color="auto"/>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4.4%</w:t>
            </w:r>
          </w:p>
        </w:tc>
      </w:tr>
      <w:tr w:rsidR="001F173A" w:rsidRPr="00360DED" w:rsidTr="007D5883">
        <w:trPr>
          <w:trHeight w:val="301"/>
        </w:trPr>
        <w:tc>
          <w:tcPr>
            <w:tcW w:w="5402" w:type="dxa"/>
            <w:tcBorders>
              <w:top w:val="single" w:sz="4" w:space="0" w:color="auto"/>
              <w:left w:val="single" w:sz="4" w:space="0" w:color="auto"/>
              <w:right w:val="nil"/>
            </w:tcBorders>
            <w:shd w:val="clear" w:color="000000" w:fill="FFFFFF"/>
            <w:noWrap/>
            <w:vAlign w:val="bottom"/>
            <w:hideMark/>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Other costs</w:t>
            </w:r>
          </w:p>
        </w:tc>
        <w:tc>
          <w:tcPr>
            <w:tcW w:w="1417" w:type="dxa"/>
            <w:tcBorders>
              <w:top w:val="single" w:sz="4" w:space="0" w:color="auto"/>
              <w:left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b w:val="0"/>
                <w:i/>
                <w:iCs/>
                <w:color w:val="auto"/>
                <w:sz w:val="22"/>
                <w:szCs w:val="22"/>
                <w:lang w:eastAsia="en-GB"/>
              </w:rPr>
            </w:pPr>
            <w:r w:rsidRPr="00360DED">
              <w:rPr>
                <w:rFonts w:eastAsia="Times New Roman"/>
                <w:b w:val="0"/>
                <w:i/>
                <w:iCs/>
                <w:color w:val="auto"/>
                <w:sz w:val="22"/>
                <w:szCs w:val="22"/>
                <w:lang w:eastAsia="en-GB"/>
              </w:rPr>
              <w:t>8,869</w:t>
            </w:r>
          </w:p>
        </w:tc>
        <w:tc>
          <w:tcPr>
            <w:tcW w:w="2127" w:type="dxa"/>
            <w:tcBorders>
              <w:top w:val="single" w:sz="4" w:space="0" w:color="auto"/>
              <w:left w:val="nil"/>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i/>
                <w:color w:val="auto"/>
                <w:sz w:val="22"/>
                <w:szCs w:val="22"/>
                <w:lang w:eastAsia="en-GB"/>
              </w:rPr>
            </w:pPr>
            <w:r w:rsidRPr="00360DED">
              <w:rPr>
                <w:rFonts w:eastAsia="Times New Roman"/>
                <w:b w:val="0"/>
                <w:bCs w:val="0"/>
                <w:i/>
                <w:color w:val="auto"/>
                <w:sz w:val="22"/>
                <w:szCs w:val="22"/>
                <w:lang w:eastAsia="en-GB"/>
              </w:rPr>
              <w:t>78.3%</w:t>
            </w:r>
          </w:p>
        </w:tc>
      </w:tr>
      <w:tr w:rsidR="001F173A" w:rsidRPr="00360DED" w:rsidTr="007D5883">
        <w:trPr>
          <w:trHeight w:val="301"/>
        </w:trPr>
        <w:tc>
          <w:tcPr>
            <w:tcW w:w="5402" w:type="dxa"/>
            <w:tcBorders>
              <w:left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Cs/>
                <w:color w:val="auto"/>
                <w:sz w:val="22"/>
                <w:szCs w:val="22"/>
                <w:lang w:eastAsia="en-GB"/>
              </w:rPr>
              <w:t xml:space="preserve">  - Community care costs</w:t>
            </w:r>
            <w:r w:rsidRPr="00360DED">
              <w:rPr>
                <w:rFonts w:eastAsia="Times New Roman"/>
                <w:b w:val="0"/>
                <w:i/>
                <w:iCs/>
                <w:color w:val="auto"/>
                <w:sz w:val="22"/>
                <w:szCs w:val="22"/>
                <w:lang w:eastAsia="en-GB"/>
              </w:rPr>
              <w:t xml:space="preserve"> </w:t>
            </w:r>
          </w:p>
        </w:tc>
        <w:tc>
          <w:tcPr>
            <w:tcW w:w="1417" w:type="dxa"/>
            <w:tcBorders>
              <w:left w:val="nil"/>
              <w:right w:val="nil"/>
            </w:tcBorders>
            <w:shd w:val="clear" w:color="000000" w:fill="FFFFFF"/>
            <w:noWrap/>
            <w:vAlign w:val="bottom"/>
          </w:tcPr>
          <w:p w:rsidR="001F173A" w:rsidRPr="00360DED" w:rsidRDefault="001F173A" w:rsidP="007D5883">
            <w:pPr>
              <w:spacing w:after="0" w:line="240" w:lineRule="auto"/>
              <w:jc w:val="right"/>
              <w:rPr>
                <w:rFonts w:eastAsia="Times New Roman"/>
                <w:b w:val="0"/>
                <w:iCs/>
                <w:color w:val="auto"/>
                <w:sz w:val="22"/>
                <w:szCs w:val="22"/>
                <w:lang w:eastAsia="en-GB"/>
              </w:rPr>
            </w:pPr>
            <w:r w:rsidRPr="00360DED">
              <w:rPr>
                <w:rFonts w:eastAsia="Times New Roman"/>
                <w:b w:val="0"/>
                <w:iCs/>
                <w:color w:val="auto"/>
                <w:sz w:val="22"/>
                <w:szCs w:val="22"/>
                <w:lang w:eastAsia="en-GB"/>
              </w:rPr>
              <w:t>4,522</w:t>
            </w:r>
          </w:p>
        </w:tc>
        <w:tc>
          <w:tcPr>
            <w:tcW w:w="2127" w:type="dxa"/>
            <w:tcBorders>
              <w:left w:val="nil"/>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39.9%</w:t>
            </w:r>
          </w:p>
        </w:tc>
      </w:tr>
      <w:tr w:rsidR="001F173A" w:rsidRPr="00360DED" w:rsidTr="007D5883">
        <w:trPr>
          <w:trHeight w:val="301"/>
        </w:trPr>
        <w:tc>
          <w:tcPr>
            <w:tcW w:w="5402" w:type="dxa"/>
            <w:tcBorders>
              <w:left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b w:val="0"/>
                <w:iCs/>
                <w:color w:val="auto"/>
                <w:sz w:val="22"/>
                <w:szCs w:val="22"/>
                <w:lang w:eastAsia="en-GB"/>
              </w:rPr>
            </w:pPr>
            <w:r w:rsidRPr="00360DED">
              <w:rPr>
                <w:rFonts w:eastAsia="Times New Roman"/>
                <w:b w:val="0"/>
                <w:iCs/>
                <w:color w:val="auto"/>
                <w:sz w:val="22"/>
                <w:szCs w:val="22"/>
                <w:lang w:eastAsia="en-GB"/>
              </w:rPr>
              <w:t xml:space="preserve">  - Informal care costs (lost productivity of carers)</w:t>
            </w:r>
          </w:p>
        </w:tc>
        <w:tc>
          <w:tcPr>
            <w:tcW w:w="1417" w:type="dxa"/>
            <w:tcBorders>
              <w:left w:val="nil"/>
              <w:right w:val="nil"/>
            </w:tcBorders>
            <w:shd w:val="clear" w:color="000000" w:fill="FFFFFF"/>
            <w:noWrap/>
            <w:vAlign w:val="bottom"/>
          </w:tcPr>
          <w:p w:rsidR="001F173A" w:rsidRPr="00360DED" w:rsidRDefault="001F173A" w:rsidP="007D5883">
            <w:pPr>
              <w:spacing w:after="0" w:line="240" w:lineRule="auto"/>
              <w:jc w:val="right"/>
              <w:rPr>
                <w:rFonts w:eastAsia="Times New Roman"/>
                <w:b w:val="0"/>
                <w:iCs/>
                <w:color w:val="auto"/>
                <w:sz w:val="22"/>
                <w:szCs w:val="22"/>
                <w:lang w:eastAsia="en-GB"/>
              </w:rPr>
            </w:pPr>
            <w:r w:rsidRPr="00360DED">
              <w:rPr>
                <w:rFonts w:eastAsia="Times New Roman"/>
                <w:b w:val="0"/>
                <w:iCs/>
                <w:color w:val="auto"/>
                <w:sz w:val="22"/>
                <w:szCs w:val="22"/>
                <w:lang w:eastAsia="en-GB"/>
              </w:rPr>
              <w:t>4,222</w:t>
            </w:r>
          </w:p>
        </w:tc>
        <w:tc>
          <w:tcPr>
            <w:tcW w:w="2127" w:type="dxa"/>
            <w:tcBorders>
              <w:left w:val="nil"/>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37.3%</w:t>
            </w:r>
          </w:p>
        </w:tc>
      </w:tr>
      <w:tr w:rsidR="001F173A" w:rsidRPr="00360DED" w:rsidTr="007D5883">
        <w:trPr>
          <w:trHeight w:val="301"/>
        </w:trPr>
        <w:tc>
          <w:tcPr>
            <w:tcW w:w="5402" w:type="dxa"/>
            <w:tcBorders>
              <w:left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b w:val="0"/>
                <w:iCs/>
                <w:color w:val="auto"/>
                <w:sz w:val="22"/>
                <w:szCs w:val="22"/>
                <w:lang w:eastAsia="en-GB"/>
              </w:rPr>
            </w:pPr>
            <w:r w:rsidRPr="00360DED">
              <w:rPr>
                <w:rFonts w:eastAsia="Times New Roman"/>
                <w:b w:val="0"/>
                <w:iCs/>
                <w:color w:val="auto"/>
                <w:sz w:val="22"/>
                <w:szCs w:val="22"/>
                <w:lang w:eastAsia="en-GB"/>
              </w:rPr>
              <w:t xml:space="preserve">  - Transportation costs</w:t>
            </w:r>
          </w:p>
        </w:tc>
        <w:tc>
          <w:tcPr>
            <w:tcW w:w="1417" w:type="dxa"/>
            <w:tcBorders>
              <w:left w:val="nil"/>
              <w:right w:val="nil"/>
            </w:tcBorders>
            <w:shd w:val="clear" w:color="000000" w:fill="FFFFFF"/>
            <w:noWrap/>
            <w:vAlign w:val="bottom"/>
          </w:tcPr>
          <w:p w:rsidR="001F173A" w:rsidRPr="00360DED" w:rsidRDefault="001F173A" w:rsidP="007D5883">
            <w:pPr>
              <w:spacing w:after="0" w:line="240" w:lineRule="auto"/>
              <w:jc w:val="right"/>
              <w:rPr>
                <w:rFonts w:eastAsia="Times New Roman"/>
                <w:b w:val="0"/>
                <w:iCs/>
                <w:color w:val="auto"/>
                <w:sz w:val="22"/>
                <w:szCs w:val="22"/>
                <w:lang w:eastAsia="en-GB"/>
              </w:rPr>
            </w:pPr>
            <w:r w:rsidRPr="00360DED">
              <w:rPr>
                <w:rFonts w:eastAsia="Times New Roman"/>
                <w:b w:val="0"/>
                <w:iCs/>
                <w:color w:val="auto"/>
                <w:sz w:val="22"/>
                <w:szCs w:val="22"/>
                <w:lang w:eastAsia="en-GB"/>
              </w:rPr>
              <w:t>125</w:t>
            </w:r>
          </w:p>
        </w:tc>
        <w:tc>
          <w:tcPr>
            <w:tcW w:w="2127" w:type="dxa"/>
            <w:tcBorders>
              <w:left w:val="nil"/>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1.1%</w:t>
            </w:r>
          </w:p>
        </w:tc>
      </w:tr>
      <w:tr w:rsidR="001F173A" w:rsidRPr="00360DED" w:rsidTr="007D5883">
        <w:trPr>
          <w:trHeight w:val="301"/>
        </w:trPr>
        <w:tc>
          <w:tcPr>
            <w:tcW w:w="5402" w:type="dxa"/>
            <w:tcBorders>
              <w:top w:val="single" w:sz="4" w:space="0" w:color="auto"/>
              <w:left w:val="single" w:sz="4" w:space="0" w:color="auto"/>
              <w:bottom w:val="single" w:sz="4" w:space="0" w:color="auto"/>
              <w:right w:val="nil"/>
            </w:tcBorders>
            <w:shd w:val="clear" w:color="000000" w:fill="FFFFFF"/>
            <w:noWrap/>
            <w:vAlign w:val="bottom"/>
            <w:hideMark/>
          </w:tcPr>
          <w:p w:rsidR="001F173A" w:rsidRPr="00360DED" w:rsidRDefault="001F173A" w:rsidP="007D5883">
            <w:pPr>
              <w:spacing w:after="0" w:line="240" w:lineRule="auto"/>
              <w:rPr>
                <w:rFonts w:eastAsia="Times New Roman"/>
                <w:color w:val="000000"/>
                <w:sz w:val="22"/>
                <w:szCs w:val="22"/>
                <w:lang w:eastAsia="en-GB"/>
              </w:rPr>
            </w:pPr>
            <w:r w:rsidRPr="00360DED">
              <w:rPr>
                <w:rFonts w:eastAsia="Times New Roman"/>
                <w:color w:val="000000"/>
                <w:sz w:val="22"/>
                <w:szCs w:val="22"/>
                <w:lang w:eastAsia="en-GB"/>
              </w:rPr>
              <w:t>Total cost of Alzheimer’s disease</w:t>
            </w:r>
          </w:p>
        </w:tc>
        <w:tc>
          <w:tcPr>
            <w:tcW w:w="1417" w:type="dxa"/>
            <w:tcBorders>
              <w:top w:val="single" w:sz="4" w:space="0" w:color="auto"/>
              <w:left w:val="nil"/>
              <w:bottom w:val="single" w:sz="4" w:space="0" w:color="auto"/>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color w:val="000000"/>
                <w:sz w:val="22"/>
                <w:szCs w:val="22"/>
                <w:lang w:eastAsia="en-GB"/>
              </w:rPr>
            </w:pPr>
            <w:r w:rsidRPr="00360DED">
              <w:rPr>
                <w:rFonts w:eastAsia="Times New Roman"/>
                <w:color w:val="000000"/>
                <w:sz w:val="22"/>
                <w:szCs w:val="22"/>
                <w:lang w:eastAsia="en-GB"/>
              </w:rPr>
              <w:t>11,321</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Cs w:val="0"/>
                <w:color w:val="000000"/>
                <w:sz w:val="22"/>
                <w:szCs w:val="22"/>
                <w:lang w:eastAsia="en-GB"/>
              </w:rPr>
            </w:pPr>
            <w:r w:rsidRPr="00360DED">
              <w:rPr>
                <w:rFonts w:eastAsia="Times New Roman"/>
                <w:bCs w:val="0"/>
                <w:color w:val="000000"/>
                <w:sz w:val="22"/>
                <w:szCs w:val="22"/>
                <w:lang w:eastAsia="en-GB"/>
              </w:rPr>
              <w:t>100.0%</w:t>
            </w:r>
          </w:p>
        </w:tc>
      </w:tr>
    </w:tbl>
    <w:p w:rsidR="001F173A" w:rsidRPr="00360DED" w:rsidRDefault="001F173A" w:rsidP="001F173A">
      <w:pPr>
        <w:spacing w:after="200" w:line="276" w:lineRule="auto"/>
        <w:rPr>
          <w:rFonts w:asciiTheme="minorHAnsi" w:eastAsiaTheme="minorHAnsi" w:hAnsiTheme="minorHAnsi" w:cstheme="minorBidi"/>
          <w:b w:val="0"/>
          <w:bCs w:val="0"/>
          <w:color w:val="auto"/>
          <w:sz w:val="20"/>
          <w:szCs w:val="22"/>
        </w:rPr>
      </w:pPr>
      <w:r w:rsidRPr="00360DED">
        <w:rPr>
          <w:rFonts w:asciiTheme="minorHAnsi" w:eastAsiaTheme="minorHAnsi" w:hAnsiTheme="minorHAnsi" w:cstheme="minorBidi"/>
          <w:b w:val="0"/>
          <w:bCs w:val="0"/>
          <w:color w:val="auto"/>
          <w:sz w:val="20"/>
          <w:szCs w:val="22"/>
        </w:rPr>
        <w:t xml:space="preserve">Source: </w:t>
      </w:r>
      <w:proofErr w:type="spellStart"/>
      <w:r w:rsidRPr="00360DED">
        <w:rPr>
          <w:rFonts w:asciiTheme="minorHAnsi" w:eastAsiaTheme="minorHAnsi" w:hAnsiTheme="minorHAnsi" w:cstheme="minorBidi"/>
          <w:b w:val="0"/>
          <w:bCs w:val="0"/>
          <w:color w:val="auto"/>
          <w:sz w:val="20"/>
          <w:szCs w:val="22"/>
        </w:rPr>
        <w:t>J</w:t>
      </w:r>
      <w:r w:rsidRPr="00360DED">
        <w:rPr>
          <w:rFonts w:asciiTheme="minorHAnsi" w:eastAsiaTheme="minorHAnsi" w:hAnsiTheme="minorHAnsi" w:cstheme="minorHAnsi"/>
          <w:b w:val="0"/>
          <w:bCs w:val="0"/>
          <w:color w:val="auto"/>
          <w:sz w:val="20"/>
          <w:szCs w:val="22"/>
        </w:rPr>
        <w:t>ö</w:t>
      </w:r>
      <w:r w:rsidRPr="00360DED">
        <w:rPr>
          <w:rFonts w:asciiTheme="minorHAnsi" w:eastAsiaTheme="minorHAnsi" w:hAnsiTheme="minorHAnsi" w:cstheme="minorBidi"/>
          <w:b w:val="0"/>
          <w:bCs w:val="0"/>
          <w:color w:val="auto"/>
          <w:sz w:val="20"/>
          <w:szCs w:val="22"/>
        </w:rPr>
        <w:t>nsson</w:t>
      </w:r>
      <w:proofErr w:type="spellEnd"/>
      <w:r w:rsidRPr="00360DED">
        <w:rPr>
          <w:rFonts w:asciiTheme="minorHAnsi" w:eastAsiaTheme="minorHAnsi" w:hAnsiTheme="minorHAnsi" w:cstheme="minorBidi"/>
          <w:b w:val="0"/>
          <w:bCs w:val="0"/>
          <w:color w:val="auto"/>
          <w:sz w:val="20"/>
          <w:szCs w:val="22"/>
        </w:rPr>
        <w:t xml:space="preserve"> and </w:t>
      </w:r>
      <w:proofErr w:type="spellStart"/>
      <w:r w:rsidRPr="00360DED">
        <w:rPr>
          <w:rFonts w:asciiTheme="minorHAnsi" w:eastAsiaTheme="minorHAnsi" w:hAnsiTheme="minorHAnsi" w:cstheme="minorBidi"/>
          <w:b w:val="0"/>
          <w:bCs w:val="0"/>
          <w:color w:val="auto"/>
          <w:sz w:val="20"/>
          <w:szCs w:val="22"/>
        </w:rPr>
        <w:t>Berr</w:t>
      </w:r>
      <w:proofErr w:type="spellEnd"/>
      <w:r w:rsidRPr="00360DED">
        <w:rPr>
          <w:rFonts w:asciiTheme="minorHAnsi" w:eastAsiaTheme="minorHAnsi" w:hAnsiTheme="minorHAnsi" w:cstheme="minorBidi"/>
          <w:b w:val="0"/>
          <w:bCs w:val="0"/>
          <w:color w:val="auto"/>
          <w:sz w:val="20"/>
          <w:szCs w:val="22"/>
        </w:rPr>
        <w:t xml:space="preserve"> (2005)</w:t>
      </w:r>
      <w:r>
        <w:rPr>
          <w:rFonts w:asciiTheme="minorHAnsi" w:eastAsiaTheme="minorHAnsi" w:hAnsiTheme="minorHAnsi" w:cstheme="minorBidi"/>
          <w:b w:val="0"/>
          <w:bCs w:val="0"/>
          <w:color w:val="auto"/>
          <w:sz w:val="20"/>
          <w:szCs w:val="22"/>
        </w:rPr>
        <w:t>.</w:t>
      </w:r>
      <w:r w:rsidRPr="00360DED">
        <w:rPr>
          <w:rFonts w:asciiTheme="minorHAnsi" w:eastAsiaTheme="minorHAnsi" w:hAnsiTheme="minorHAnsi" w:cstheme="minorBidi"/>
          <w:b w:val="0"/>
          <w:bCs w:val="0"/>
          <w:color w:val="auto"/>
          <w:sz w:val="20"/>
          <w:szCs w:val="22"/>
        </w:rPr>
        <w:t xml:space="preserve"> </w:t>
      </w:r>
    </w:p>
    <w:p w:rsidR="001F173A" w:rsidRDefault="001F173A" w:rsidP="001F173A">
      <w:p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Currently, there are no curative treatments available for Alzheimer’s but there are therapies that can help slow the progression of the disease. Suppose that there is an opportunity to spend public money on a new treatment for Alzheimer’s which has been shown to reduce disease progression for three years. As shown below, the main benefits from treatment are the reduced need for community care (resulting in a 66% reduction in costs) and informal care (resulting in a 17% reduction in costs). The latter is important because it gives the family and friends of the patient greater opportunities to participate in the labour market. The treatment offers no reduction or increase in other costs compared to current clinical practice. Hence, spending money on this treatment would be beneficial, even though the resulting savings are accrued outside the health sector.</w:t>
      </w:r>
    </w:p>
    <w:p w:rsidR="001F173A" w:rsidRPr="00360DED" w:rsidRDefault="001F173A" w:rsidP="001F173A">
      <w:pPr>
        <w:spacing w:after="200" w:line="276" w:lineRule="auto"/>
        <w:rPr>
          <w:rFonts w:asciiTheme="minorHAnsi" w:eastAsiaTheme="minorHAnsi" w:hAnsiTheme="minorHAnsi" w:cstheme="minorBidi"/>
          <w:b w:val="0"/>
          <w:bCs w:val="0"/>
          <w:color w:val="auto"/>
          <w:sz w:val="22"/>
          <w:szCs w:val="22"/>
        </w:rPr>
      </w:pPr>
    </w:p>
    <w:tbl>
      <w:tblPr>
        <w:tblW w:w="8946" w:type="dxa"/>
        <w:tblInd w:w="93" w:type="dxa"/>
        <w:tblLook w:val="04A0" w:firstRow="1" w:lastRow="0" w:firstColumn="1" w:lastColumn="0" w:noHBand="0" w:noVBand="1"/>
      </w:tblPr>
      <w:tblGrid>
        <w:gridCol w:w="4180"/>
        <w:gridCol w:w="2072"/>
        <w:gridCol w:w="2694"/>
      </w:tblGrid>
      <w:tr w:rsidR="001F173A" w:rsidRPr="00360DED" w:rsidTr="007D5883">
        <w:trPr>
          <w:trHeight w:val="301"/>
        </w:trPr>
        <w:tc>
          <w:tcPr>
            <w:tcW w:w="4180" w:type="dxa"/>
            <w:tcBorders>
              <w:top w:val="single" w:sz="8" w:space="0" w:color="auto"/>
              <w:left w:val="single" w:sz="8" w:space="0" w:color="auto"/>
              <w:bottom w:val="nil"/>
              <w:right w:val="nil"/>
            </w:tcBorders>
            <w:shd w:val="clear" w:color="000000" w:fill="FFFFFF"/>
            <w:noWrap/>
            <w:vAlign w:val="bottom"/>
            <w:hideMark/>
          </w:tcPr>
          <w:p w:rsidR="001F173A" w:rsidRPr="00360DED" w:rsidRDefault="001F173A" w:rsidP="007D5883">
            <w:pPr>
              <w:spacing w:after="0" w:line="240" w:lineRule="auto"/>
              <w:rPr>
                <w:rFonts w:eastAsia="Times New Roman"/>
                <w:bCs w:val="0"/>
                <w:color w:val="000000"/>
                <w:sz w:val="22"/>
                <w:szCs w:val="22"/>
                <w:lang w:eastAsia="en-GB"/>
              </w:rPr>
            </w:pPr>
            <w:r w:rsidRPr="00360DED">
              <w:rPr>
                <w:rFonts w:eastAsia="Times New Roman"/>
                <w:bCs w:val="0"/>
                <w:color w:val="000000"/>
                <w:sz w:val="22"/>
                <w:szCs w:val="22"/>
                <w:lang w:eastAsia="en-GB"/>
              </w:rPr>
              <w:t>Cost component</w:t>
            </w:r>
          </w:p>
        </w:tc>
        <w:tc>
          <w:tcPr>
            <w:tcW w:w="2072" w:type="dxa"/>
            <w:tcBorders>
              <w:top w:val="single" w:sz="8" w:space="0" w:color="auto"/>
              <w:left w:val="nil"/>
              <w:bottom w:val="nil"/>
              <w:right w:val="nil"/>
            </w:tcBorders>
            <w:shd w:val="clear" w:color="000000" w:fill="FFFFFF"/>
            <w:noWrap/>
            <w:vAlign w:val="bottom"/>
            <w:hideMark/>
          </w:tcPr>
          <w:p w:rsidR="001F173A" w:rsidRPr="00360DED" w:rsidRDefault="001F173A" w:rsidP="007D5883">
            <w:pPr>
              <w:spacing w:after="0" w:line="240" w:lineRule="auto"/>
              <w:jc w:val="right"/>
              <w:rPr>
                <w:rFonts w:eastAsia="Times New Roman"/>
                <w:color w:val="000000"/>
                <w:sz w:val="22"/>
                <w:szCs w:val="22"/>
                <w:lang w:eastAsia="en-GB"/>
              </w:rPr>
            </w:pPr>
            <w:r w:rsidRPr="00360DED">
              <w:rPr>
                <w:rFonts w:eastAsia="Times New Roman"/>
                <w:color w:val="000000"/>
                <w:sz w:val="22"/>
                <w:szCs w:val="22"/>
                <w:lang w:eastAsia="en-GB"/>
              </w:rPr>
              <w:t>Current practice (€)</w:t>
            </w:r>
          </w:p>
        </w:tc>
        <w:tc>
          <w:tcPr>
            <w:tcW w:w="2694" w:type="dxa"/>
            <w:tcBorders>
              <w:top w:val="single" w:sz="8" w:space="0" w:color="auto"/>
              <w:left w:val="nil"/>
              <w:bottom w:val="nil"/>
              <w:right w:val="single" w:sz="8"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color w:val="000000"/>
                <w:sz w:val="22"/>
                <w:szCs w:val="22"/>
                <w:vertAlign w:val="superscript"/>
                <w:lang w:eastAsia="en-GB"/>
              </w:rPr>
            </w:pPr>
            <w:r w:rsidRPr="00360DED">
              <w:rPr>
                <w:rFonts w:eastAsia="Times New Roman"/>
                <w:color w:val="000000"/>
                <w:sz w:val="22"/>
                <w:szCs w:val="22"/>
                <w:lang w:eastAsia="en-GB"/>
              </w:rPr>
              <w:t>With new treatment</w:t>
            </w:r>
          </w:p>
        </w:tc>
      </w:tr>
      <w:tr w:rsidR="001F173A" w:rsidRPr="00360DED"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Direct medical costs</w:t>
            </w:r>
          </w:p>
        </w:tc>
        <w:tc>
          <w:tcPr>
            <w:tcW w:w="2072" w:type="dxa"/>
            <w:tcBorders>
              <w:top w:val="single" w:sz="4" w:space="0" w:color="auto"/>
              <w:left w:val="nil"/>
              <w:bottom w:val="single" w:sz="4" w:space="0" w:color="auto"/>
              <w:right w:val="nil"/>
            </w:tcBorders>
            <w:shd w:val="clear" w:color="000000" w:fill="FFFFFF"/>
            <w:noWrap/>
            <w:vAlign w:val="bottom"/>
            <w:hideMark/>
          </w:tcPr>
          <w:p w:rsidR="001F173A" w:rsidRPr="00360DED" w:rsidRDefault="001F173A" w:rsidP="007D5883">
            <w:pPr>
              <w:spacing w:after="0" w:line="240" w:lineRule="auto"/>
              <w:jc w:val="center"/>
              <w:rPr>
                <w:rFonts w:eastAsia="Times New Roman"/>
                <w:b w:val="0"/>
                <w:i/>
                <w:iCs/>
                <w:color w:val="auto"/>
                <w:sz w:val="22"/>
                <w:szCs w:val="22"/>
                <w:lang w:eastAsia="en-GB"/>
              </w:rPr>
            </w:pPr>
            <w:r w:rsidRPr="00360DED">
              <w:rPr>
                <w:rFonts w:eastAsia="Times New Roman"/>
                <w:b w:val="0"/>
                <w:i/>
                <w:iCs/>
                <w:color w:val="auto"/>
                <w:sz w:val="22"/>
                <w:szCs w:val="22"/>
                <w:lang w:eastAsia="en-GB"/>
              </w:rPr>
              <w:t>2,452</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 xml:space="preserve">No change </w:t>
            </w:r>
            <w:r w:rsidRPr="00360DED">
              <w:rPr>
                <w:rFonts w:eastAsia="Times New Roman"/>
                <w:b w:val="0"/>
                <w:bCs w:val="0"/>
                <w:color w:val="auto"/>
                <w:sz w:val="22"/>
                <w:szCs w:val="22"/>
                <w:lang w:eastAsia="en-GB"/>
              </w:rPr>
              <w:sym w:font="Wingdings" w:char="F0E0"/>
            </w:r>
            <w:r w:rsidRPr="00360DED">
              <w:rPr>
                <w:rFonts w:eastAsia="Times New Roman"/>
                <w:b w:val="0"/>
                <w:bCs w:val="0"/>
                <w:color w:val="auto"/>
                <w:sz w:val="22"/>
                <w:szCs w:val="22"/>
                <w:lang w:eastAsia="en-GB"/>
              </w:rPr>
              <w:t xml:space="preserve"> </w:t>
            </w:r>
            <w:r w:rsidRPr="00360DED">
              <w:rPr>
                <w:rFonts w:eastAsia="Times New Roman"/>
                <w:b w:val="0"/>
                <w:bCs w:val="0"/>
                <w:i/>
                <w:color w:val="auto"/>
                <w:sz w:val="22"/>
                <w:szCs w:val="22"/>
                <w:lang w:eastAsia="en-GB"/>
              </w:rPr>
              <w:t>2,452</w:t>
            </w:r>
          </w:p>
        </w:tc>
      </w:tr>
      <w:tr w:rsidR="001F173A" w:rsidRPr="00360DED"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Community care costs</w:t>
            </w:r>
          </w:p>
        </w:tc>
        <w:tc>
          <w:tcPr>
            <w:tcW w:w="2072" w:type="dxa"/>
            <w:tcBorders>
              <w:top w:val="single" w:sz="4" w:space="0" w:color="auto"/>
              <w:left w:val="nil"/>
              <w:bottom w:val="single" w:sz="4" w:space="0" w:color="auto"/>
              <w:right w:val="nil"/>
            </w:tcBorders>
            <w:shd w:val="clear" w:color="000000" w:fill="FFFFFF"/>
            <w:noWrap/>
            <w:vAlign w:val="bottom"/>
            <w:hideMark/>
          </w:tcPr>
          <w:p w:rsidR="001F173A" w:rsidRPr="00360DED" w:rsidRDefault="001F173A" w:rsidP="007D5883">
            <w:pPr>
              <w:spacing w:after="0" w:line="240" w:lineRule="auto"/>
              <w:jc w:val="center"/>
              <w:rPr>
                <w:rFonts w:eastAsia="Times New Roman"/>
                <w:b w:val="0"/>
                <w:i/>
                <w:iCs/>
                <w:color w:val="auto"/>
                <w:sz w:val="22"/>
                <w:szCs w:val="22"/>
                <w:lang w:eastAsia="en-GB"/>
              </w:rPr>
            </w:pPr>
            <w:r w:rsidRPr="00360DED">
              <w:rPr>
                <w:rFonts w:eastAsia="Times New Roman"/>
                <w:b w:val="0"/>
                <w:i/>
                <w:iCs/>
                <w:color w:val="auto"/>
                <w:sz w:val="22"/>
                <w:szCs w:val="22"/>
                <w:lang w:eastAsia="en-GB"/>
              </w:rPr>
              <w:t>4,522</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 xml:space="preserve">Reduced by 66% </w:t>
            </w:r>
            <w:r w:rsidRPr="00360DED">
              <w:rPr>
                <w:rFonts w:eastAsia="Times New Roman"/>
                <w:b w:val="0"/>
                <w:bCs w:val="0"/>
                <w:color w:val="auto"/>
                <w:sz w:val="22"/>
                <w:szCs w:val="22"/>
                <w:lang w:eastAsia="en-GB"/>
              </w:rPr>
              <w:sym w:font="Wingdings" w:char="F0E0"/>
            </w:r>
            <w:r w:rsidRPr="00360DED">
              <w:rPr>
                <w:rFonts w:eastAsia="Times New Roman"/>
                <w:b w:val="0"/>
                <w:bCs w:val="0"/>
                <w:color w:val="auto"/>
                <w:sz w:val="22"/>
                <w:szCs w:val="22"/>
                <w:lang w:eastAsia="en-GB"/>
              </w:rPr>
              <w:t xml:space="preserve"> </w:t>
            </w:r>
            <w:r w:rsidRPr="00360DED">
              <w:rPr>
                <w:rFonts w:eastAsia="Times New Roman"/>
                <w:b w:val="0"/>
                <w:bCs w:val="0"/>
                <w:i/>
                <w:color w:val="auto"/>
                <w:sz w:val="22"/>
                <w:szCs w:val="22"/>
                <w:lang w:eastAsia="en-GB"/>
              </w:rPr>
              <w:t>1,537</w:t>
            </w:r>
          </w:p>
        </w:tc>
      </w:tr>
      <w:tr w:rsidR="001F173A" w:rsidRPr="00360DED"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Informal care costs</w:t>
            </w:r>
          </w:p>
        </w:tc>
        <w:tc>
          <w:tcPr>
            <w:tcW w:w="2072" w:type="dxa"/>
            <w:tcBorders>
              <w:top w:val="single" w:sz="4" w:space="0" w:color="auto"/>
              <w:left w:val="nil"/>
              <w:bottom w:val="single" w:sz="4" w:space="0" w:color="auto"/>
              <w:right w:val="nil"/>
            </w:tcBorders>
            <w:shd w:val="clear" w:color="000000" w:fill="FFFFFF"/>
            <w:noWrap/>
            <w:vAlign w:val="bottom"/>
          </w:tcPr>
          <w:p w:rsidR="001F173A" w:rsidRPr="00360DED" w:rsidRDefault="001F173A" w:rsidP="007D5883">
            <w:pPr>
              <w:spacing w:after="0" w:line="240" w:lineRule="auto"/>
              <w:jc w:val="center"/>
              <w:rPr>
                <w:rFonts w:eastAsia="Times New Roman"/>
                <w:b w:val="0"/>
                <w:i/>
                <w:iCs/>
                <w:color w:val="auto"/>
                <w:sz w:val="22"/>
                <w:szCs w:val="22"/>
                <w:lang w:eastAsia="en-GB"/>
              </w:rPr>
            </w:pPr>
            <w:r w:rsidRPr="00360DED">
              <w:rPr>
                <w:rFonts w:eastAsia="Times New Roman"/>
                <w:b w:val="0"/>
                <w:i/>
                <w:iCs/>
                <w:color w:val="auto"/>
                <w:sz w:val="22"/>
                <w:szCs w:val="22"/>
                <w:lang w:eastAsia="en-GB"/>
              </w:rPr>
              <w:t>4,222</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 xml:space="preserve">Reduced by 17% </w:t>
            </w:r>
            <w:r w:rsidRPr="00360DED">
              <w:rPr>
                <w:rFonts w:eastAsia="Times New Roman"/>
                <w:b w:val="0"/>
                <w:bCs w:val="0"/>
                <w:color w:val="auto"/>
                <w:sz w:val="22"/>
                <w:szCs w:val="22"/>
                <w:lang w:eastAsia="en-GB"/>
              </w:rPr>
              <w:sym w:font="Wingdings" w:char="F0E0"/>
            </w:r>
            <w:r w:rsidRPr="00360DED">
              <w:rPr>
                <w:rFonts w:eastAsia="Times New Roman"/>
                <w:b w:val="0"/>
                <w:bCs w:val="0"/>
                <w:color w:val="auto"/>
                <w:sz w:val="22"/>
                <w:szCs w:val="22"/>
                <w:lang w:eastAsia="en-GB"/>
              </w:rPr>
              <w:t xml:space="preserve"> </w:t>
            </w:r>
            <w:r w:rsidRPr="00360DED">
              <w:rPr>
                <w:rFonts w:eastAsia="Times New Roman"/>
                <w:b w:val="0"/>
                <w:bCs w:val="0"/>
                <w:i/>
                <w:color w:val="auto"/>
                <w:sz w:val="22"/>
                <w:szCs w:val="22"/>
                <w:lang w:eastAsia="en-GB"/>
              </w:rPr>
              <w:t>3,504</w:t>
            </w:r>
          </w:p>
        </w:tc>
      </w:tr>
      <w:tr w:rsidR="001F173A" w:rsidRPr="00360DED"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b w:val="0"/>
                <w:i/>
                <w:iCs/>
                <w:color w:val="auto"/>
                <w:sz w:val="22"/>
                <w:szCs w:val="22"/>
                <w:lang w:eastAsia="en-GB"/>
              </w:rPr>
            </w:pPr>
            <w:r w:rsidRPr="00360DED">
              <w:rPr>
                <w:rFonts w:eastAsia="Times New Roman"/>
                <w:b w:val="0"/>
                <w:i/>
                <w:iCs/>
                <w:color w:val="auto"/>
                <w:sz w:val="22"/>
                <w:szCs w:val="22"/>
                <w:lang w:eastAsia="en-GB"/>
              </w:rPr>
              <w:t>Transportation costs</w:t>
            </w:r>
          </w:p>
        </w:tc>
        <w:tc>
          <w:tcPr>
            <w:tcW w:w="2072" w:type="dxa"/>
            <w:tcBorders>
              <w:top w:val="single" w:sz="4" w:space="0" w:color="auto"/>
              <w:left w:val="nil"/>
              <w:bottom w:val="single" w:sz="4" w:space="0" w:color="auto"/>
              <w:right w:val="nil"/>
            </w:tcBorders>
            <w:shd w:val="clear" w:color="000000" w:fill="FFFFFF"/>
            <w:noWrap/>
            <w:vAlign w:val="bottom"/>
          </w:tcPr>
          <w:p w:rsidR="001F173A" w:rsidRPr="00360DED" w:rsidRDefault="001F173A" w:rsidP="007D5883">
            <w:pPr>
              <w:spacing w:after="0" w:line="240" w:lineRule="auto"/>
              <w:jc w:val="center"/>
              <w:rPr>
                <w:rFonts w:eastAsia="Times New Roman"/>
                <w:b w:val="0"/>
                <w:i/>
                <w:iCs/>
                <w:color w:val="auto"/>
                <w:sz w:val="22"/>
                <w:szCs w:val="22"/>
                <w:lang w:eastAsia="en-GB"/>
              </w:rPr>
            </w:pPr>
            <w:r w:rsidRPr="00360DED">
              <w:rPr>
                <w:rFonts w:eastAsia="Times New Roman"/>
                <w:b w:val="0"/>
                <w:i/>
                <w:iCs/>
                <w:color w:val="auto"/>
                <w:sz w:val="22"/>
                <w:szCs w:val="22"/>
                <w:lang w:eastAsia="en-GB"/>
              </w:rPr>
              <w:t>125</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 w:val="0"/>
                <w:bCs w:val="0"/>
                <w:color w:val="auto"/>
                <w:sz w:val="22"/>
                <w:szCs w:val="22"/>
                <w:lang w:eastAsia="en-GB"/>
              </w:rPr>
            </w:pPr>
            <w:r w:rsidRPr="00360DED">
              <w:rPr>
                <w:rFonts w:eastAsia="Times New Roman"/>
                <w:b w:val="0"/>
                <w:bCs w:val="0"/>
                <w:color w:val="auto"/>
                <w:sz w:val="22"/>
                <w:szCs w:val="22"/>
                <w:lang w:eastAsia="en-GB"/>
              </w:rPr>
              <w:t xml:space="preserve">No change </w:t>
            </w:r>
            <w:r w:rsidRPr="00360DED">
              <w:rPr>
                <w:rFonts w:eastAsia="Times New Roman"/>
                <w:bCs w:val="0"/>
                <w:color w:val="auto"/>
                <w:sz w:val="22"/>
                <w:szCs w:val="22"/>
                <w:lang w:eastAsia="en-GB"/>
              </w:rPr>
              <w:t xml:space="preserve">→ </w:t>
            </w:r>
            <w:r w:rsidRPr="00360DED">
              <w:rPr>
                <w:rFonts w:eastAsia="Times New Roman"/>
                <w:b w:val="0"/>
                <w:bCs w:val="0"/>
                <w:i/>
                <w:color w:val="auto"/>
                <w:sz w:val="22"/>
                <w:szCs w:val="22"/>
                <w:lang w:eastAsia="en-GB"/>
              </w:rPr>
              <w:t>125</w:t>
            </w:r>
          </w:p>
        </w:tc>
      </w:tr>
      <w:tr w:rsidR="001F173A" w:rsidRPr="00360DED"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1F173A" w:rsidRPr="00360DED" w:rsidRDefault="001F173A" w:rsidP="007D5883">
            <w:pPr>
              <w:spacing w:after="0" w:line="240" w:lineRule="auto"/>
              <w:rPr>
                <w:rFonts w:eastAsia="Times New Roman"/>
                <w:color w:val="000000"/>
                <w:sz w:val="22"/>
                <w:szCs w:val="22"/>
                <w:lang w:eastAsia="en-GB"/>
              </w:rPr>
            </w:pPr>
            <w:r w:rsidRPr="00360DED">
              <w:rPr>
                <w:rFonts w:eastAsia="Times New Roman"/>
                <w:color w:val="000000"/>
                <w:sz w:val="22"/>
                <w:szCs w:val="22"/>
                <w:lang w:eastAsia="en-GB"/>
              </w:rPr>
              <w:t>Total cost of Alzheimer’s disease</w:t>
            </w:r>
          </w:p>
        </w:tc>
        <w:tc>
          <w:tcPr>
            <w:tcW w:w="2072" w:type="dxa"/>
            <w:tcBorders>
              <w:top w:val="single" w:sz="4" w:space="0" w:color="auto"/>
              <w:left w:val="nil"/>
              <w:bottom w:val="single" w:sz="4" w:space="0" w:color="auto"/>
              <w:right w:val="nil"/>
            </w:tcBorders>
            <w:shd w:val="clear" w:color="000000" w:fill="FFFFFF"/>
            <w:noWrap/>
            <w:vAlign w:val="bottom"/>
          </w:tcPr>
          <w:p w:rsidR="001F173A" w:rsidRPr="00360DED" w:rsidRDefault="001F173A" w:rsidP="007D5883">
            <w:pPr>
              <w:spacing w:after="0" w:line="240" w:lineRule="auto"/>
              <w:jc w:val="center"/>
              <w:rPr>
                <w:rFonts w:eastAsia="Times New Roman"/>
                <w:color w:val="000000"/>
                <w:sz w:val="22"/>
                <w:szCs w:val="22"/>
                <w:lang w:eastAsia="en-GB"/>
              </w:rPr>
            </w:pPr>
            <w:r w:rsidRPr="00360DED">
              <w:rPr>
                <w:rFonts w:eastAsia="Times New Roman"/>
                <w:color w:val="000000"/>
                <w:sz w:val="22"/>
                <w:szCs w:val="22"/>
                <w:lang w:eastAsia="en-GB"/>
              </w:rPr>
              <w:t>11,321</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1F173A" w:rsidRPr="00360DED" w:rsidRDefault="001F173A" w:rsidP="007D5883">
            <w:pPr>
              <w:spacing w:after="0" w:line="240" w:lineRule="auto"/>
              <w:jc w:val="right"/>
              <w:rPr>
                <w:rFonts w:eastAsia="Times New Roman"/>
                <w:bCs w:val="0"/>
                <w:color w:val="000000"/>
                <w:sz w:val="22"/>
                <w:szCs w:val="22"/>
                <w:lang w:eastAsia="en-GB"/>
              </w:rPr>
            </w:pPr>
            <w:r w:rsidRPr="00360DED">
              <w:rPr>
                <w:rFonts w:eastAsia="Times New Roman"/>
                <w:bCs w:val="0"/>
                <w:color w:val="000000"/>
                <w:sz w:val="22"/>
                <w:szCs w:val="22"/>
                <w:lang w:eastAsia="en-GB"/>
              </w:rPr>
              <w:t>7,708</w:t>
            </w:r>
          </w:p>
        </w:tc>
      </w:tr>
    </w:tbl>
    <w:p w:rsidR="001F173A" w:rsidRPr="00360DED" w:rsidRDefault="001F173A" w:rsidP="001F173A">
      <w:pPr>
        <w:spacing w:after="200" w:line="276" w:lineRule="auto"/>
        <w:rPr>
          <w:rFonts w:asciiTheme="minorHAnsi" w:eastAsiaTheme="minorHAnsi" w:hAnsiTheme="minorHAnsi" w:cstheme="minorBidi"/>
          <w:bCs w:val="0"/>
          <w:color w:val="auto"/>
          <w:sz w:val="28"/>
          <w:szCs w:val="22"/>
        </w:rPr>
      </w:pPr>
      <w:r w:rsidRPr="00360DED">
        <w:rPr>
          <w:rFonts w:asciiTheme="minorHAnsi" w:eastAsiaTheme="minorHAnsi" w:hAnsiTheme="minorHAnsi" w:cstheme="minorBidi"/>
          <w:b w:val="0"/>
          <w:bCs w:val="0"/>
          <w:color w:val="auto"/>
          <w:sz w:val="22"/>
          <w:szCs w:val="22"/>
        </w:rPr>
        <w:br w:type="page"/>
      </w:r>
    </w:p>
    <w:p w:rsidR="001F173A" w:rsidRPr="00550682" w:rsidRDefault="001F173A" w:rsidP="001F173A">
      <w:pPr>
        <w:spacing w:after="200" w:line="276" w:lineRule="auto"/>
        <w:rPr>
          <w:rFonts w:eastAsiaTheme="minorHAnsi"/>
          <w:bCs w:val="0"/>
          <w:color w:val="auto"/>
          <w:sz w:val="22"/>
          <w:szCs w:val="22"/>
        </w:rPr>
      </w:pPr>
      <w:r w:rsidRPr="00550682">
        <w:rPr>
          <w:rFonts w:eastAsiaTheme="minorHAnsi"/>
          <w:bCs w:val="0"/>
          <w:color w:val="auto"/>
          <w:sz w:val="22"/>
          <w:szCs w:val="22"/>
        </w:rPr>
        <w:lastRenderedPageBreak/>
        <w:t>Questions</w:t>
      </w:r>
    </w:p>
    <w:p w:rsidR="001F173A" w:rsidRPr="00360DED" w:rsidRDefault="001F173A" w:rsidP="001F173A">
      <w:pPr>
        <w:pStyle w:val="ListParagraph"/>
        <w:numPr>
          <w:ilvl w:val="0"/>
          <w:numId w:val="8"/>
        </w:num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Are wealth effects generated by health interventions deemed important in the decision making process you are involved in or have experience of? More specifically,</w:t>
      </w:r>
    </w:p>
    <w:p w:rsidR="001F173A" w:rsidRPr="00360DED" w:rsidRDefault="001F173A" w:rsidP="001F173A">
      <w:pPr>
        <w:numPr>
          <w:ilvl w:val="1"/>
          <w:numId w:val="5"/>
        </w:numPr>
        <w:spacing w:after="200" w:line="276" w:lineRule="auto"/>
        <w:contextualSpacing/>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 xml:space="preserve">What are the stated objectives of your national health system and how does the presence of those effects fit? </w:t>
      </w:r>
    </w:p>
    <w:p w:rsidR="001F173A" w:rsidRPr="00360DED" w:rsidRDefault="001F173A" w:rsidP="001F173A">
      <w:pPr>
        <w:numPr>
          <w:ilvl w:val="1"/>
          <w:numId w:val="5"/>
        </w:numPr>
        <w:spacing w:after="200" w:line="276" w:lineRule="auto"/>
        <w:contextualSpacing/>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Is the health-wealth link recognized in national programs and action plans beyond the health sector?</w:t>
      </w:r>
    </w:p>
    <w:p w:rsidR="001F173A" w:rsidRPr="00360DED" w:rsidRDefault="001F173A" w:rsidP="001F173A">
      <w:pPr>
        <w:pStyle w:val="ListParagraph"/>
        <w:numPr>
          <w:ilvl w:val="0"/>
          <w:numId w:val="8"/>
        </w:numPr>
        <w:spacing w:after="200" w:line="276" w:lineRule="auto"/>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How do non-health effects generated by health interventions affect the allocation of financial resources among different ministries/departments? More specifically,</w:t>
      </w:r>
    </w:p>
    <w:p w:rsidR="001F173A" w:rsidRPr="00360DED" w:rsidRDefault="001F173A" w:rsidP="001F173A">
      <w:pPr>
        <w:numPr>
          <w:ilvl w:val="1"/>
          <w:numId w:val="9"/>
        </w:numPr>
        <w:spacing w:after="200" w:line="276" w:lineRule="auto"/>
        <w:contextualSpacing/>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If returns from health spending a</w:t>
      </w:r>
      <w:bookmarkStart w:id="2" w:name="_GoBack"/>
      <w:bookmarkEnd w:id="2"/>
      <w:r w:rsidRPr="00360DED">
        <w:rPr>
          <w:rFonts w:asciiTheme="minorHAnsi" w:eastAsiaTheme="minorHAnsi" w:hAnsiTheme="minorHAnsi" w:cstheme="minorBidi"/>
          <w:b w:val="0"/>
          <w:bCs w:val="0"/>
          <w:color w:val="auto"/>
          <w:sz w:val="22"/>
          <w:szCs w:val="22"/>
        </w:rPr>
        <w:t>re captured in other sectors, are resource transfers/compensations between sectors a viable option?</w:t>
      </w:r>
    </w:p>
    <w:p w:rsidR="001F173A" w:rsidRPr="00360DED" w:rsidRDefault="001F173A" w:rsidP="001F173A">
      <w:pPr>
        <w:numPr>
          <w:ilvl w:val="1"/>
          <w:numId w:val="9"/>
        </w:numPr>
        <w:spacing w:after="200" w:line="276" w:lineRule="auto"/>
        <w:contextualSpacing/>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What are the financial constraints you face in a period of global economic crisis? What are the benefits from health interventions that will be given priority because of the current situation, if any?</w:t>
      </w:r>
    </w:p>
    <w:p w:rsidR="001F173A" w:rsidRPr="00360DED" w:rsidRDefault="001F173A" w:rsidP="001F173A">
      <w:pPr>
        <w:numPr>
          <w:ilvl w:val="1"/>
          <w:numId w:val="9"/>
        </w:numPr>
        <w:spacing w:after="200" w:line="276" w:lineRule="auto"/>
        <w:contextualSpacing/>
        <w:rPr>
          <w:rFonts w:asciiTheme="minorHAnsi" w:eastAsiaTheme="minorHAnsi" w:hAnsiTheme="minorHAnsi" w:cstheme="minorBidi"/>
          <w:b w:val="0"/>
          <w:bCs w:val="0"/>
          <w:color w:val="auto"/>
          <w:sz w:val="22"/>
          <w:szCs w:val="22"/>
        </w:rPr>
      </w:pPr>
      <w:r w:rsidRPr="00360DED">
        <w:rPr>
          <w:rFonts w:asciiTheme="minorHAnsi" w:eastAsiaTheme="minorHAnsi" w:hAnsiTheme="minorHAnsi" w:cstheme="minorBidi"/>
          <w:b w:val="0"/>
          <w:bCs w:val="0"/>
          <w:color w:val="auto"/>
          <w:sz w:val="22"/>
          <w:szCs w:val="22"/>
        </w:rPr>
        <w:t>What are the key factors and trade-offs that drive decision-making on resource allocation to the health sector?</w:t>
      </w:r>
    </w:p>
    <w:p w:rsidR="00D55166" w:rsidRDefault="00045237"/>
    <w:sectPr w:rsidR="00D551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37" w:rsidRDefault="00045237" w:rsidP="001F173A">
      <w:pPr>
        <w:spacing w:after="0" w:line="240" w:lineRule="auto"/>
      </w:pPr>
      <w:r>
        <w:separator/>
      </w:r>
    </w:p>
  </w:endnote>
  <w:endnote w:type="continuationSeparator" w:id="0">
    <w:p w:rsidR="00045237" w:rsidRDefault="00045237" w:rsidP="001F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37" w:rsidRDefault="00045237" w:rsidP="001F173A">
      <w:pPr>
        <w:spacing w:after="0" w:line="240" w:lineRule="auto"/>
      </w:pPr>
      <w:r>
        <w:separator/>
      </w:r>
    </w:p>
  </w:footnote>
  <w:footnote w:type="continuationSeparator" w:id="0">
    <w:p w:rsidR="00045237" w:rsidRDefault="00045237" w:rsidP="001F173A">
      <w:pPr>
        <w:spacing w:after="0" w:line="240" w:lineRule="auto"/>
      </w:pPr>
      <w:r>
        <w:continuationSeparator/>
      </w:r>
    </w:p>
  </w:footnote>
  <w:footnote w:id="1">
    <w:p w:rsidR="001F173A" w:rsidRDefault="001F173A" w:rsidP="001F173A">
      <w:pPr>
        <w:pStyle w:val="FootnoteText"/>
      </w:pPr>
      <w:r>
        <w:rPr>
          <w:rStyle w:val="FootnoteReference"/>
        </w:rPr>
        <w:footnoteRef/>
      </w:r>
      <w:r>
        <w:t xml:space="preserve"> </w:t>
      </w:r>
      <w:proofErr w:type="spellStart"/>
      <w:r w:rsidRPr="000858E2">
        <w:t>Jönsson</w:t>
      </w:r>
      <w:proofErr w:type="spellEnd"/>
      <w:r w:rsidRPr="000858E2">
        <w:t xml:space="preserve">, B., </w:t>
      </w:r>
      <w:proofErr w:type="spellStart"/>
      <w:r w:rsidRPr="000858E2">
        <w:t>Berr</w:t>
      </w:r>
      <w:proofErr w:type="spellEnd"/>
      <w:r w:rsidRPr="000858E2">
        <w:t xml:space="preserve">, C. (2005) Cost of dementia in Europe. </w:t>
      </w:r>
      <w:proofErr w:type="gramStart"/>
      <w:r w:rsidRPr="00550682">
        <w:rPr>
          <w:i/>
        </w:rPr>
        <w:t>European Journal of Neurology.</w:t>
      </w:r>
      <w:proofErr w:type="gramEnd"/>
      <w:r w:rsidRPr="000858E2">
        <w:t xml:space="preserve"> 12(S1): 50-53.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C363138"/>
    <w:lvl w:ilvl="0">
      <w:start w:val="1"/>
      <w:numFmt w:val="decimal"/>
      <w:lvlText w:val="%1."/>
      <w:lvlJc w:val="left"/>
      <w:pPr>
        <w:tabs>
          <w:tab w:val="num" w:pos="360"/>
        </w:tabs>
        <w:ind w:left="360" w:hanging="360"/>
      </w:pPr>
    </w:lvl>
  </w:abstractNum>
  <w:abstractNum w:abstractNumId="1">
    <w:nsid w:val="5D8B7A9A"/>
    <w:multiLevelType w:val="hybridMultilevel"/>
    <w:tmpl w:val="E33884B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F290167"/>
    <w:multiLevelType w:val="hybridMultilevel"/>
    <w:tmpl w:val="31B8B852"/>
    <w:lvl w:ilvl="0" w:tplc="CB480A8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A04808"/>
    <w:multiLevelType w:val="hybridMultilevel"/>
    <w:tmpl w:val="E0E43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B232F2"/>
    <w:multiLevelType w:val="hybridMultilevel"/>
    <w:tmpl w:val="6776B4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6CAB2D92"/>
    <w:multiLevelType w:val="hybridMultilevel"/>
    <w:tmpl w:val="EE7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1E0EFE"/>
    <w:multiLevelType w:val="hybridMultilevel"/>
    <w:tmpl w:val="BFA0E512"/>
    <w:lvl w:ilvl="0" w:tplc="08090011">
      <w:start w:val="1"/>
      <w:numFmt w:val="decimal"/>
      <w:lvlText w:val="%1)"/>
      <w:lvlJc w:val="left"/>
      <w:pPr>
        <w:ind w:left="360" w:hanging="360"/>
      </w:pPr>
    </w:lvl>
    <w:lvl w:ilvl="1" w:tplc="90128AF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A6013BB"/>
    <w:multiLevelType w:val="hybridMultilevel"/>
    <w:tmpl w:val="53DEEF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2"/>
  </w:num>
  <w:num w:numId="4">
    <w:abstractNumId w:val="4"/>
  </w:num>
  <w:num w:numId="5">
    <w:abstractNumId w:val="1"/>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3A"/>
    <w:rsid w:val="00045237"/>
    <w:rsid w:val="001F173A"/>
    <w:rsid w:val="002B14D4"/>
    <w:rsid w:val="002C7F11"/>
    <w:rsid w:val="00392E00"/>
    <w:rsid w:val="005A5EEC"/>
    <w:rsid w:val="006249B5"/>
    <w:rsid w:val="00A1292A"/>
    <w:rsid w:val="00E26226"/>
    <w:rsid w:val="00E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one"/>
    <w:qFormat/>
    <w:rsid w:val="001F173A"/>
    <w:pPr>
      <w:spacing w:after="120" w:line="360" w:lineRule="auto"/>
    </w:pPr>
    <w:rPr>
      <w:rFonts w:ascii="Calibri" w:eastAsiaTheme="minorEastAsia" w:hAnsi="Calibri" w:cs="Calibri"/>
      <w:b/>
      <w:bCs/>
      <w:color w:val="1F497D"/>
      <w:sz w:val="32"/>
      <w:szCs w:val="32"/>
    </w:rPr>
  </w:style>
  <w:style w:type="paragraph" w:styleId="Heading1">
    <w:name w:val="heading 1"/>
    <w:basedOn w:val="Normal"/>
    <w:next w:val="Normal"/>
    <w:link w:val="Heading1Char"/>
    <w:uiPriority w:val="99"/>
    <w:qFormat/>
    <w:rsid w:val="00A1292A"/>
    <w:pPr>
      <w:keepNext/>
      <w:keepLines/>
      <w:numPr>
        <w:numId w:val="3"/>
      </w:numPr>
      <w:outlineLvl w:val="0"/>
    </w:pPr>
    <w:rPr>
      <w:rFonts w:eastAsiaTheme="majorEastAsia" w:cstheme="majorBidi"/>
      <w:bCs w:val="0"/>
      <w:color w:val="002060"/>
      <w:szCs w:val="28"/>
    </w:rPr>
  </w:style>
  <w:style w:type="paragraph" w:styleId="Heading2">
    <w:name w:val="heading 2"/>
    <w:basedOn w:val="Normal"/>
    <w:next w:val="Normal"/>
    <w:link w:val="Heading2Char"/>
    <w:uiPriority w:val="99"/>
    <w:unhideWhenUsed/>
    <w:qFormat/>
    <w:rsid w:val="00A1292A"/>
    <w:pPr>
      <w:keepNext/>
      <w:keepLines/>
      <w:tabs>
        <w:tab w:val="left" w:pos="720"/>
      </w:tabs>
      <w:outlineLvl w:val="1"/>
    </w:pPr>
    <w:rPr>
      <w:rFonts w:eastAsiaTheme="majorEastAsia" w:cstheme="majorBidi"/>
      <w:bCs w:val="0"/>
      <w:color w:val="002060"/>
      <w:sz w:val="28"/>
      <w:szCs w:val="26"/>
    </w:rPr>
  </w:style>
  <w:style w:type="paragraph" w:styleId="Heading3">
    <w:name w:val="heading 3"/>
    <w:basedOn w:val="Normal"/>
    <w:next w:val="Normal"/>
    <w:link w:val="Heading3Char"/>
    <w:uiPriority w:val="99"/>
    <w:unhideWhenUsed/>
    <w:qFormat/>
    <w:rsid w:val="00A1292A"/>
    <w:pPr>
      <w:keepNext/>
      <w:keepLines/>
      <w:tabs>
        <w:tab w:val="left" w:pos="720"/>
      </w:tabs>
      <w:outlineLvl w:val="2"/>
    </w:pPr>
    <w:rPr>
      <w:rFonts w:eastAsiaTheme="majorEastAsia" w:cstheme="majorBidi"/>
      <w:bCs w:val="0"/>
      <w:color w:val="002060"/>
      <w:sz w:val="24"/>
    </w:rPr>
  </w:style>
  <w:style w:type="paragraph" w:styleId="Heading4">
    <w:name w:val="heading 4"/>
    <w:basedOn w:val="Normal"/>
    <w:next w:val="Normal"/>
    <w:link w:val="Heading4Char"/>
    <w:uiPriority w:val="99"/>
    <w:unhideWhenUsed/>
    <w:qFormat/>
    <w:rsid w:val="00A1292A"/>
    <w:pPr>
      <w:keepNext/>
      <w:keepLines/>
      <w:tabs>
        <w:tab w:val="left" w:pos="720"/>
      </w:tabs>
      <w:outlineLvl w:val="3"/>
    </w:pPr>
    <w:rPr>
      <w:rFonts w:eastAsiaTheme="majorEastAsia" w:cstheme="majorBidi"/>
      <w:bCs w:val="0"/>
      <w:iCs/>
      <w:color w:val="002060"/>
      <w:sz w:val="22"/>
    </w:rPr>
  </w:style>
  <w:style w:type="paragraph" w:styleId="Heading5">
    <w:name w:val="heading 5"/>
    <w:basedOn w:val="Normal"/>
    <w:next w:val="Normal"/>
    <w:link w:val="Heading5Char"/>
    <w:uiPriority w:val="99"/>
    <w:unhideWhenUsed/>
    <w:qFormat/>
    <w:rsid w:val="00A129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A129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A129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A129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A129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Text">
    <w:name w:val="Proposal Body Text"/>
    <w:basedOn w:val="Normal"/>
    <w:link w:val="ProposalBodyTextChar"/>
    <w:qFormat/>
    <w:rsid w:val="00A1292A"/>
    <w:pPr>
      <w:spacing w:line="276" w:lineRule="auto"/>
    </w:pPr>
    <w:rPr>
      <w:b w:val="0"/>
      <w:color w:val="auto"/>
      <w:sz w:val="22"/>
      <w:szCs w:val="22"/>
    </w:rPr>
  </w:style>
  <w:style w:type="character" w:customStyle="1" w:styleId="ProposalBodyTextChar">
    <w:name w:val="Proposal Body Text Char"/>
    <w:basedOn w:val="DefaultParagraphFont"/>
    <w:link w:val="ProposalBodyText"/>
    <w:rsid w:val="00A1292A"/>
    <w:rPr>
      <w:rFonts w:ascii="Calibri" w:hAnsi="Calibri" w:cs="Calibri"/>
    </w:rPr>
  </w:style>
  <w:style w:type="paragraph" w:customStyle="1" w:styleId="ReportBodyText">
    <w:name w:val="Report Body Text"/>
    <w:basedOn w:val="Normal"/>
    <w:link w:val="ReportBodyTextChar"/>
    <w:qFormat/>
    <w:rsid w:val="00A1292A"/>
    <w:pPr>
      <w:spacing w:line="276" w:lineRule="auto"/>
    </w:pPr>
    <w:rPr>
      <w:b w:val="0"/>
      <w:color w:val="auto"/>
      <w:sz w:val="22"/>
      <w:szCs w:val="22"/>
    </w:rPr>
  </w:style>
  <w:style w:type="character" w:customStyle="1" w:styleId="ReportBodyTextChar">
    <w:name w:val="Report Body Text Char"/>
    <w:basedOn w:val="DefaultParagraphFont"/>
    <w:link w:val="ReportBodyText"/>
    <w:rsid w:val="00A1292A"/>
    <w:rPr>
      <w:rFonts w:ascii="Calibri" w:hAnsi="Calibri" w:cs="Calibri"/>
    </w:rPr>
  </w:style>
  <w:style w:type="character" w:customStyle="1" w:styleId="Heading1Char">
    <w:name w:val="Heading 1 Char"/>
    <w:basedOn w:val="DefaultParagraphFont"/>
    <w:link w:val="Heading1"/>
    <w:uiPriority w:val="99"/>
    <w:rsid w:val="00A1292A"/>
    <w:rPr>
      <w:rFonts w:ascii="Calibri" w:eastAsiaTheme="majorEastAsia" w:hAnsi="Calibri" w:cstheme="majorBidi"/>
      <w:b/>
      <w:bCs/>
      <w:color w:val="002060"/>
      <w:sz w:val="32"/>
      <w:szCs w:val="28"/>
    </w:rPr>
  </w:style>
  <w:style w:type="character" w:customStyle="1" w:styleId="Heading2Char">
    <w:name w:val="Heading 2 Char"/>
    <w:basedOn w:val="DefaultParagraphFont"/>
    <w:link w:val="Heading2"/>
    <w:uiPriority w:val="99"/>
    <w:rsid w:val="00A1292A"/>
    <w:rPr>
      <w:rFonts w:ascii="Calibri" w:eastAsiaTheme="majorEastAsia" w:hAnsi="Calibri" w:cstheme="majorBidi"/>
      <w:b/>
      <w:bCs/>
      <w:color w:val="002060"/>
      <w:sz w:val="28"/>
      <w:szCs w:val="26"/>
    </w:rPr>
  </w:style>
  <w:style w:type="character" w:customStyle="1" w:styleId="Heading3Char">
    <w:name w:val="Heading 3 Char"/>
    <w:basedOn w:val="DefaultParagraphFont"/>
    <w:link w:val="Heading3"/>
    <w:uiPriority w:val="99"/>
    <w:rsid w:val="00A1292A"/>
    <w:rPr>
      <w:rFonts w:ascii="Calibri" w:eastAsiaTheme="majorEastAsia" w:hAnsi="Calibri" w:cstheme="majorBidi"/>
      <w:b/>
      <w:bCs/>
      <w:color w:val="002060"/>
      <w:sz w:val="24"/>
      <w:szCs w:val="24"/>
    </w:rPr>
  </w:style>
  <w:style w:type="character" w:customStyle="1" w:styleId="Heading4Char">
    <w:name w:val="Heading 4 Char"/>
    <w:basedOn w:val="DefaultParagraphFont"/>
    <w:link w:val="Heading4"/>
    <w:uiPriority w:val="99"/>
    <w:rsid w:val="00A1292A"/>
    <w:rPr>
      <w:rFonts w:ascii="Calibri" w:eastAsiaTheme="majorEastAsia" w:hAnsi="Calibri" w:cstheme="majorBidi"/>
      <w:b/>
      <w:bCs/>
      <w:iCs/>
      <w:color w:val="002060"/>
      <w:szCs w:val="24"/>
    </w:rPr>
  </w:style>
  <w:style w:type="character" w:customStyle="1" w:styleId="Heading5Char">
    <w:name w:val="Heading 5 Char"/>
    <w:basedOn w:val="DefaultParagraphFont"/>
    <w:link w:val="Heading5"/>
    <w:uiPriority w:val="99"/>
    <w:rsid w:val="00A1292A"/>
    <w:rPr>
      <w:rFonts w:asciiTheme="majorHAnsi" w:eastAsiaTheme="majorEastAsia" w:hAnsiTheme="majorHAnsi" w:cstheme="majorBidi"/>
      <w:b/>
      <w:color w:val="243F60" w:themeColor="accent1" w:themeShade="7F"/>
      <w:sz w:val="32"/>
      <w:szCs w:val="24"/>
    </w:rPr>
  </w:style>
  <w:style w:type="character" w:customStyle="1" w:styleId="Heading6Char">
    <w:name w:val="Heading 6 Char"/>
    <w:basedOn w:val="DefaultParagraphFont"/>
    <w:link w:val="Heading6"/>
    <w:uiPriority w:val="99"/>
    <w:rsid w:val="00A1292A"/>
    <w:rPr>
      <w:rFonts w:asciiTheme="majorHAnsi" w:eastAsiaTheme="majorEastAsia" w:hAnsiTheme="majorHAnsi" w:cstheme="majorBidi"/>
      <w:b/>
      <w:i/>
      <w:iCs/>
      <w:color w:val="243F60" w:themeColor="accent1" w:themeShade="7F"/>
      <w:sz w:val="32"/>
      <w:szCs w:val="24"/>
    </w:rPr>
  </w:style>
  <w:style w:type="character" w:customStyle="1" w:styleId="Heading7Char">
    <w:name w:val="Heading 7 Char"/>
    <w:basedOn w:val="DefaultParagraphFont"/>
    <w:link w:val="Heading7"/>
    <w:uiPriority w:val="99"/>
    <w:rsid w:val="00A1292A"/>
    <w:rPr>
      <w:rFonts w:asciiTheme="majorHAnsi" w:eastAsiaTheme="majorEastAsia" w:hAnsiTheme="majorHAnsi" w:cstheme="majorBidi"/>
      <w:b/>
      <w:i/>
      <w:iCs/>
      <w:color w:val="404040" w:themeColor="text1" w:themeTint="BF"/>
      <w:sz w:val="32"/>
      <w:szCs w:val="24"/>
    </w:rPr>
  </w:style>
  <w:style w:type="character" w:customStyle="1" w:styleId="Heading8Char">
    <w:name w:val="Heading 8 Char"/>
    <w:basedOn w:val="DefaultParagraphFont"/>
    <w:link w:val="Heading8"/>
    <w:uiPriority w:val="99"/>
    <w:rsid w:val="00A1292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9"/>
    <w:rsid w:val="00A1292A"/>
    <w:rPr>
      <w:rFonts w:asciiTheme="majorHAnsi" w:eastAsiaTheme="majorEastAsia" w:hAnsiTheme="majorHAnsi" w:cstheme="majorBidi"/>
      <w:b/>
      <w:i/>
      <w:iCs/>
      <w:color w:val="404040" w:themeColor="text1" w:themeTint="BF"/>
      <w:sz w:val="20"/>
      <w:szCs w:val="20"/>
    </w:rPr>
  </w:style>
  <w:style w:type="paragraph" w:styleId="TOC1">
    <w:name w:val="toc 1"/>
    <w:basedOn w:val="Normal"/>
    <w:next w:val="Normal"/>
    <w:autoRedefine/>
    <w:uiPriority w:val="39"/>
    <w:unhideWhenUsed/>
    <w:qFormat/>
    <w:rsid w:val="00A1292A"/>
    <w:pPr>
      <w:spacing w:after="100"/>
    </w:pPr>
    <w:rPr>
      <w:rFonts w:eastAsia="Times New Roman" w:cs="Times New Roman"/>
    </w:rPr>
  </w:style>
  <w:style w:type="paragraph" w:styleId="TOC2">
    <w:name w:val="toc 2"/>
    <w:basedOn w:val="Normal"/>
    <w:next w:val="Normal"/>
    <w:autoRedefine/>
    <w:uiPriority w:val="39"/>
    <w:unhideWhenUsed/>
    <w:qFormat/>
    <w:rsid w:val="00A1292A"/>
    <w:pPr>
      <w:spacing w:after="100"/>
      <w:ind w:left="320"/>
    </w:pPr>
    <w:rPr>
      <w:rFonts w:eastAsia="Times New Roman" w:cs="Times New Roman"/>
    </w:rPr>
  </w:style>
  <w:style w:type="paragraph" w:styleId="TOC3">
    <w:name w:val="toc 3"/>
    <w:basedOn w:val="Normal"/>
    <w:next w:val="Normal"/>
    <w:autoRedefine/>
    <w:uiPriority w:val="39"/>
    <w:unhideWhenUsed/>
    <w:qFormat/>
    <w:rsid w:val="00A1292A"/>
    <w:pPr>
      <w:spacing w:after="100"/>
      <w:ind w:left="640"/>
    </w:pPr>
    <w:rPr>
      <w:rFonts w:eastAsia="Times New Roman" w:cs="Times New Roman"/>
    </w:rPr>
  </w:style>
  <w:style w:type="paragraph" w:styleId="Caption">
    <w:name w:val="caption"/>
    <w:basedOn w:val="Normal"/>
    <w:next w:val="Normal"/>
    <w:uiPriority w:val="99"/>
    <w:unhideWhenUsed/>
    <w:qFormat/>
    <w:rsid w:val="00A1292A"/>
    <w:pPr>
      <w:keepNext/>
    </w:pPr>
    <w:rPr>
      <w:bCs w:val="0"/>
      <w:sz w:val="22"/>
      <w:szCs w:val="18"/>
    </w:rPr>
  </w:style>
  <w:style w:type="paragraph" w:styleId="ListNumber">
    <w:name w:val="List Number"/>
    <w:basedOn w:val="Normal"/>
    <w:uiPriority w:val="1"/>
    <w:unhideWhenUsed/>
    <w:qFormat/>
    <w:rsid w:val="00A1292A"/>
    <w:pPr>
      <w:spacing w:line="276" w:lineRule="auto"/>
      <w:contextualSpacing/>
    </w:pPr>
    <w:rPr>
      <w:b w:val="0"/>
      <w:color w:val="auto"/>
      <w:sz w:val="22"/>
      <w:szCs w:val="22"/>
    </w:rPr>
  </w:style>
  <w:style w:type="paragraph" w:styleId="Title">
    <w:name w:val="Title"/>
    <w:basedOn w:val="Normal"/>
    <w:next w:val="Normal"/>
    <w:link w:val="TitleChar"/>
    <w:uiPriority w:val="10"/>
    <w:qFormat/>
    <w:rsid w:val="00A12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92A"/>
    <w:rPr>
      <w:rFonts w:asciiTheme="majorHAnsi" w:eastAsiaTheme="majorEastAsia" w:hAnsiTheme="majorHAnsi" w:cstheme="majorBidi"/>
      <w:b/>
      <w:color w:val="17365D" w:themeColor="text2" w:themeShade="BF"/>
      <w:spacing w:val="5"/>
      <w:kern w:val="28"/>
      <w:sz w:val="52"/>
      <w:szCs w:val="52"/>
    </w:rPr>
  </w:style>
  <w:style w:type="character" w:styleId="Strong">
    <w:name w:val="Strong"/>
    <w:basedOn w:val="DefaultParagraphFont"/>
    <w:uiPriority w:val="99"/>
    <w:qFormat/>
    <w:rsid w:val="00A1292A"/>
    <w:rPr>
      <w:rFonts w:cs="Times New Roman"/>
      <w:b/>
    </w:rPr>
  </w:style>
  <w:style w:type="character" w:styleId="Emphasis">
    <w:name w:val="Emphasis"/>
    <w:basedOn w:val="DefaultParagraphFont"/>
    <w:uiPriority w:val="99"/>
    <w:qFormat/>
    <w:rsid w:val="00A1292A"/>
    <w:rPr>
      <w:i/>
      <w:iCs/>
    </w:rPr>
  </w:style>
  <w:style w:type="paragraph" w:styleId="NoSpacing">
    <w:name w:val="No Spacing"/>
    <w:aliases w:val="normal,Normal1"/>
    <w:basedOn w:val="Normal"/>
    <w:uiPriority w:val="1"/>
    <w:qFormat/>
    <w:rsid w:val="00A1292A"/>
    <w:pPr>
      <w:tabs>
        <w:tab w:val="left" w:pos="720"/>
      </w:tabs>
      <w:spacing w:after="30"/>
    </w:pPr>
    <w:rPr>
      <w:rFonts w:eastAsia="Times New Roman" w:cs="Times New Roman"/>
      <w:b w:val="0"/>
      <w:color w:val="auto"/>
      <w:sz w:val="22"/>
    </w:rPr>
  </w:style>
  <w:style w:type="paragraph" w:styleId="ListParagraph">
    <w:name w:val="List Paragraph"/>
    <w:basedOn w:val="Normal"/>
    <w:uiPriority w:val="34"/>
    <w:qFormat/>
    <w:rsid w:val="00A1292A"/>
    <w:pPr>
      <w:ind w:left="720"/>
      <w:contextualSpacing/>
    </w:pPr>
    <w:rPr>
      <w:rFonts w:eastAsia="Times New Roman" w:cs="Times New Roman"/>
    </w:rPr>
  </w:style>
  <w:style w:type="paragraph" w:styleId="TOCHeading">
    <w:name w:val="TOC Heading"/>
    <w:basedOn w:val="Heading1"/>
    <w:next w:val="Normal"/>
    <w:uiPriority w:val="39"/>
    <w:unhideWhenUsed/>
    <w:qFormat/>
    <w:rsid w:val="00A1292A"/>
    <w:pPr>
      <w:numPr>
        <w:numId w:val="0"/>
      </w:numPr>
      <w:spacing w:line="276" w:lineRule="auto"/>
      <w:outlineLvl w:val="9"/>
    </w:pPr>
    <w:rPr>
      <w:lang w:val="en-US" w:eastAsia="ja-JP"/>
    </w:rPr>
  </w:style>
  <w:style w:type="paragraph" w:styleId="FootnoteText">
    <w:name w:val="footnote text"/>
    <w:basedOn w:val="Normal"/>
    <w:link w:val="FootnoteTextChar"/>
    <w:uiPriority w:val="99"/>
    <w:rsid w:val="001F173A"/>
    <w:rPr>
      <w:sz w:val="20"/>
      <w:szCs w:val="20"/>
    </w:rPr>
  </w:style>
  <w:style w:type="character" w:customStyle="1" w:styleId="FootnoteTextChar">
    <w:name w:val="Footnote Text Char"/>
    <w:basedOn w:val="DefaultParagraphFont"/>
    <w:link w:val="FootnoteText"/>
    <w:uiPriority w:val="99"/>
    <w:rsid w:val="001F173A"/>
    <w:rPr>
      <w:rFonts w:ascii="Calibri" w:eastAsiaTheme="minorEastAsia" w:hAnsi="Calibri" w:cs="Calibri"/>
      <w:b/>
      <w:bCs/>
      <w:color w:val="1F497D"/>
      <w:sz w:val="20"/>
      <w:szCs w:val="20"/>
    </w:rPr>
  </w:style>
  <w:style w:type="character" w:styleId="FootnoteReference">
    <w:name w:val="footnote reference"/>
    <w:basedOn w:val="DefaultParagraphFont"/>
    <w:uiPriority w:val="99"/>
    <w:rsid w:val="001F173A"/>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one"/>
    <w:qFormat/>
    <w:rsid w:val="001F173A"/>
    <w:pPr>
      <w:spacing w:after="120" w:line="360" w:lineRule="auto"/>
    </w:pPr>
    <w:rPr>
      <w:rFonts w:ascii="Calibri" w:eastAsiaTheme="minorEastAsia" w:hAnsi="Calibri" w:cs="Calibri"/>
      <w:b/>
      <w:bCs/>
      <w:color w:val="1F497D"/>
      <w:sz w:val="32"/>
      <w:szCs w:val="32"/>
    </w:rPr>
  </w:style>
  <w:style w:type="paragraph" w:styleId="Heading1">
    <w:name w:val="heading 1"/>
    <w:basedOn w:val="Normal"/>
    <w:next w:val="Normal"/>
    <w:link w:val="Heading1Char"/>
    <w:uiPriority w:val="99"/>
    <w:qFormat/>
    <w:rsid w:val="00A1292A"/>
    <w:pPr>
      <w:keepNext/>
      <w:keepLines/>
      <w:numPr>
        <w:numId w:val="3"/>
      </w:numPr>
      <w:outlineLvl w:val="0"/>
    </w:pPr>
    <w:rPr>
      <w:rFonts w:eastAsiaTheme="majorEastAsia" w:cstheme="majorBidi"/>
      <w:bCs w:val="0"/>
      <w:color w:val="002060"/>
      <w:szCs w:val="28"/>
    </w:rPr>
  </w:style>
  <w:style w:type="paragraph" w:styleId="Heading2">
    <w:name w:val="heading 2"/>
    <w:basedOn w:val="Normal"/>
    <w:next w:val="Normal"/>
    <w:link w:val="Heading2Char"/>
    <w:uiPriority w:val="99"/>
    <w:unhideWhenUsed/>
    <w:qFormat/>
    <w:rsid w:val="00A1292A"/>
    <w:pPr>
      <w:keepNext/>
      <w:keepLines/>
      <w:tabs>
        <w:tab w:val="left" w:pos="720"/>
      </w:tabs>
      <w:outlineLvl w:val="1"/>
    </w:pPr>
    <w:rPr>
      <w:rFonts w:eastAsiaTheme="majorEastAsia" w:cstheme="majorBidi"/>
      <w:bCs w:val="0"/>
      <w:color w:val="002060"/>
      <w:sz w:val="28"/>
      <w:szCs w:val="26"/>
    </w:rPr>
  </w:style>
  <w:style w:type="paragraph" w:styleId="Heading3">
    <w:name w:val="heading 3"/>
    <w:basedOn w:val="Normal"/>
    <w:next w:val="Normal"/>
    <w:link w:val="Heading3Char"/>
    <w:uiPriority w:val="99"/>
    <w:unhideWhenUsed/>
    <w:qFormat/>
    <w:rsid w:val="00A1292A"/>
    <w:pPr>
      <w:keepNext/>
      <w:keepLines/>
      <w:tabs>
        <w:tab w:val="left" w:pos="720"/>
      </w:tabs>
      <w:outlineLvl w:val="2"/>
    </w:pPr>
    <w:rPr>
      <w:rFonts w:eastAsiaTheme="majorEastAsia" w:cstheme="majorBidi"/>
      <w:bCs w:val="0"/>
      <w:color w:val="002060"/>
      <w:sz w:val="24"/>
    </w:rPr>
  </w:style>
  <w:style w:type="paragraph" w:styleId="Heading4">
    <w:name w:val="heading 4"/>
    <w:basedOn w:val="Normal"/>
    <w:next w:val="Normal"/>
    <w:link w:val="Heading4Char"/>
    <w:uiPriority w:val="99"/>
    <w:unhideWhenUsed/>
    <w:qFormat/>
    <w:rsid w:val="00A1292A"/>
    <w:pPr>
      <w:keepNext/>
      <w:keepLines/>
      <w:tabs>
        <w:tab w:val="left" w:pos="720"/>
      </w:tabs>
      <w:outlineLvl w:val="3"/>
    </w:pPr>
    <w:rPr>
      <w:rFonts w:eastAsiaTheme="majorEastAsia" w:cstheme="majorBidi"/>
      <w:bCs w:val="0"/>
      <w:iCs/>
      <w:color w:val="002060"/>
      <w:sz w:val="22"/>
    </w:rPr>
  </w:style>
  <w:style w:type="paragraph" w:styleId="Heading5">
    <w:name w:val="heading 5"/>
    <w:basedOn w:val="Normal"/>
    <w:next w:val="Normal"/>
    <w:link w:val="Heading5Char"/>
    <w:uiPriority w:val="99"/>
    <w:unhideWhenUsed/>
    <w:qFormat/>
    <w:rsid w:val="00A129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A129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A129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A129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A129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Text">
    <w:name w:val="Proposal Body Text"/>
    <w:basedOn w:val="Normal"/>
    <w:link w:val="ProposalBodyTextChar"/>
    <w:qFormat/>
    <w:rsid w:val="00A1292A"/>
    <w:pPr>
      <w:spacing w:line="276" w:lineRule="auto"/>
    </w:pPr>
    <w:rPr>
      <w:b w:val="0"/>
      <w:color w:val="auto"/>
      <w:sz w:val="22"/>
      <w:szCs w:val="22"/>
    </w:rPr>
  </w:style>
  <w:style w:type="character" w:customStyle="1" w:styleId="ProposalBodyTextChar">
    <w:name w:val="Proposal Body Text Char"/>
    <w:basedOn w:val="DefaultParagraphFont"/>
    <w:link w:val="ProposalBodyText"/>
    <w:rsid w:val="00A1292A"/>
    <w:rPr>
      <w:rFonts w:ascii="Calibri" w:hAnsi="Calibri" w:cs="Calibri"/>
    </w:rPr>
  </w:style>
  <w:style w:type="paragraph" w:customStyle="1" w:styleId="ReportBodyText">
    <w:name w:val="Report Body Text"/>
    <w:basedOn w:val="Normal"/>
    <w:link w:val="ReportBodyTextChar"/>
    <w:qFormat/>
    <w:rsid w:val="00A1292A"/>
    <w:pPr>
      <w:spacing w:line="276" w:lineRule="auto"/>
    </w:pPr>
    <w:rPr>
      <w:b w:val="0"/>
      <w:color w:val="auto"/>
      <w:sz w:val="22"/>
      <w:szCs w:val="22"/>
    </w:rPr>
  </w:style>
  <w:style w:type="character" w:customStyle="1" w:styleId="ReportBodyTextChar">
    <w:name w:val="Report Body Text Char"/>
    <w:basedOn w:val="DefaultParagraphFont"/>
    <w:link w:val="ReportBodyText"/>
    <w:rsid w:val="00A1292A"/>
    <w:rPr>
      <w:rFonts w:ascii="Calibri" w:hAnsi="Calibri" w:cs="Calibri"/>
    </w:rPr>
  </w:style>
  <w:style w:type="character" w:customStyle="1" w:styleId="Heading1Char">
    <w:name w:val="Heading 1 Char"/>
    <w:basedOn w:val="DefaultParagraphFont"/>
    <w:link w:val="Heading1"/>
    <w:uiPriority w:val="99"/>
    <w:rsid w:val="00A1292A"/>
    <w:rPr>
      <w:rFonts w:ascii="Calibri" w:eastAsiaTheme="majorEastAsia" w:hAnsi="Calibri" w:cstheme="majorBidi"/>
      <w:b/>
      <w:bCs/>
      <w:color w:val="002060"/>
      <w:sz w:val="32"/>
      <w:szCs w:val="28"/>
    </w:rPr>
  </w:style>
  <w:style w:type="character" w:customStyle="1" w:styleId="Heading2Char">
    <w:name w:val="Heading 2 Char"/>
    <w:basedOn w:val="DefaultParagraphFont"/>
    <w:link w:val="Heading2"/>
    <w:uiPriority w:val="99"/>
    <w:rsid w:val="00A1292A"/>
    <w:rPr>
      <w:rFonts w:ascii="Calibri" w:eastAsiaTheme="majorEastAsia" w:hAnsi="Calibri" w:cstheme="majorBidi"/>
      <w:b/>
      <w:bCs/>
      <w:color w:val="002060"/>
      <w:sz w:val="28"/>
      <w:szCs w:val="26"/>
    </w:rPr>
  </w:style>
  <w:style w:type="character" w:customStyle="1" w:styleId="Heading3Char">
    <w:name w:val="Heading 3 Char"/>
    <w:basedOn w:val="DefaultParagraphFont"/>
    <w:link w:val="Heading3"/>
    <w:uiPriority w:val="99"/>
    <w:rsid w:val="00A1292A"/>
    <w:rPr>
      <w:rFonts w:ascii="Calibri" w:eastAsiaTheme="majorEastAsia" w:hAnsi="Calibri" w:cstheme="majorBidi"/>
      <w:b/>
      <w:bCs/>
      <w:color w:val="002060"/>
      <w:sz w:val="24"/>
      <w:szCs w:val="24"/>
    </w:rPr>
  </w:style>
  <w:style w:type="character" w:customStyle="1" w:styleId="Heading4Char">
    <w:name w:val="Heading 4 Char"/>
    <w:basedOn w:val="DefaultParagraphFont"/>
    <w:link w:val="Heading4"/>
    <w:uiPriority w:val="99"/>
    <w:rsid w:val="00A1292A"/>
    <w:rPr>
      <w:rFonts w:ascii="Calibri" w:eastAsiaTheme="majorEastAsia" w:hAnsi="Calibri" w:cstheme="majorBidi"/>
      <w:b/>
      <w:bCs/>
      <w:iCs/>
      <w:color w:val="002060"/>
      <w:szCs w:val="24"/>
    </w:rPr>
  </w:style>
  <w:style w:type="character" w:customStyle="1" w:styleId="Heading5Char">
    <w:name w:val="Heading 5 Char"/>
    <w:basedOn w:val="DefaultParagraphFont"/>
    <w:link w:val="Heading5"/>
    <w:uiPriority w:val="99"/>
    <w:rsid w:val="00A1292A"/>
    <w:rPr>
      <w:rFonts w:asciiTheme="majorHAnsi" w:eastAsiaTheme="majorEastAsia" w:hAnsiTheme="majorHAnsi" w:cstheme="majorBidi"/>
      <w:b/>
      <w:color w:val="243F60" w:themeColor="accent1" w:themeShade="7F"/>
      <w:sz w:val="32"/>
      <w:szCs w:val="24"/>
    </w:rPr>
  </w:style>
  <w:style w:type="character" w:customStyle="1" w:styleId="Heading6Char">
    <w:name w:val="Heading 6 Char"/>
    <w:basedOn w:val="DefaultParagraphFont"/>
    <w:link w:val="Heading6"/>
    <w:uiPriority w:val="99"/>
    <w:rsid w:val="00A1292A"/>
    <w:rPr>
      <w:rFonts w:asciiTheme="majorHAnsi" w:eastAsiaTheme="majorEastAsia" w:hAnsiTheme="majorHAnsi" w:cstheme="majorBidi"/>
      <w:b/>
      <w:i/>
      <w:iCs/>
      <w:color w:val="243F60" w:themeColor="accent1" w:themeShade="7F"/>
      <w:sz w:val="32"/>
      <w:szCs w:val="24"/>
    </w:rPr>
  </w:style>
  <w:style w:type="character" w:customStyle="1" w:styleId="Heading7Char">
    <w:name w:val="Heading 7 Char"/>
    <w:basedOn w:val="DefaultParagraphFont"/>
    <w:link w:val="Heading7"/>
    <w:uiPriority w:val="99"/>
    <w:rsid w:val="00A1292A"/>
    <w:rPr>
      <w:rFonts w:asciiTheme="majorHAnsi" w:eastAsiaTheme="majorEastAsia" w:hAnsiTheme="majorHAnsi" w:cstheme="majorBidi"/>
      <w:b/>
      <w:i/>
      <w:iCs/>
      <w:color w:val="404040" w:themeColor="text1" w:themeTint="BF"/>
      <w:sz w:val="32"/>
      <w:szCs w:val="24"/>
    </w:rPr>
  </w:style>
  <w:style w:type="character" w:customStyle="1" w:styleId="Heading8Char">
    <w:name w:val="Heading 8 Char"/>
    <w:basedOn w:val="DefaultParagraphFont"/>
    <w:link w:val="Heading8"/>
    <w:uiPriority w:val="99"/>
    <w:rsid w:val="00A1292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9"/>
    <w:rsid w:val="00A1292A"/>
    <w:rPr>
      <w:rFonts w:asciiTheme="majorHAnsi" w:eastAsiaTheme="majorEastAsia" w:hAnsiTheme="majorHAnsi" w:cstheme="majorBidi"/>
      <w:b/>
      <w:i/>
      <w:iCs/>
      <w:color w:val="404040" w:themeColor="text1" w:themeTint="BF"/>
      <w:sz w:val="20"/>
      <w:szCs w:val="20"/>
    </w:rPr>
  </w:style>
  <w:style w:type="paragraph" w:styleId="TOC1">
    <w:name w:val="toc 1"/>
    <w:basedOn w:val="Normal"/>
    <w:next w:val="Normal"/>
    <w:autoRedefine/>
    <w:uiPriority w:val="39"/>
    <w:unhideWhenUsed/>
    <w:qFormat/>
    <w:rsid w:val="00A1292A"/>
    <w:pPr>
      <w:spacing w:after="100"/>
    </w:pPr>
    <w:rPr>
      <w:rFonts w:eastAsia="Times New Roman" w:cs="Times New Roman"/>
    </w:rPr>
  </w:style>
  <w:style w:type="paragraph" w:styleId="TOC2">
    <w:name w:val="toc 2"/>
    <w:basedOn w:val="Normal"/>
    <w:next w:val="Normal"/>
    <w:autoRedefine/>
    <w:uiPriority w:val="39"/>
    <w:unhideWhenUsed/>
    <w:qFormat/>
    <w:rsid w:val="00A1292A"/>
    <w:pPr>
      <w:spacing w:after="100"/>
      <w:ind w:left="320"/>
    </w:pPr>
    <w:rPr>
      <w:rFonts w:eastAsia="Times New Roman" w:cs="Times New Roman"/>
    </w:rPr>
  </w:style>
  <w:style w:type="paragraph" w:styleId="TOC3">
    <w:name w:val="toc 3"/>
    <w:basedOn w:val="Normal"/>
    <w:next w:val="Normal"/>
    <w:autoRedefine/>
    <w:uiPriority w:val="39"/>
    <w:unhideWhenUsed/>
    <w:qFormat/>
    <w:rsid w:val="00A1292A"/>
    <w:pPr>
      <w:spacing w:after="100"/>
      <w:ind w:left="640"/>
    </w:pPr>
    <w:rPr>
      <w:rFonts w:eastAsia="Times New Roman" w:cs="Times New Roman"/>
    </w:rPr>
  </w:style>
  <w:style w:type="paragraph" w:styleId="Caption">
    <w:name w:val="caption"/>
    <w:basedOn w:val="Normal"/>
    <w:next w:val="Normal"/>
    <w:uiPriority w:val="99"/>
    <w:unhideWhenUsed/>
    <w:qFormat/>
    <w:rsid w:val="00A1292A"/>
    <w:pPr>
      <w:keepNext/>
    </w:pPr>
    <w:rPr>
      <w:bCs w:val="0"/>
      <w:sz w:val="22"/>
      <w:szCs w:val="18"/>
    </w:rPr>
  </w:style>
  <w:style w:type="paragraph" w:styleId="ListNumber">
    <w:name w:val="List Number"/>
    <w:basedOn w:val="Normal"/>
    <w:uiPriority w:val="1"/>
    <w:unhideWhenUsed/>
    <w:qFormat/>
    <w:rsid w:val="00A1292A"/>
    <w:pPr>
      <w:spacing w:line="276" w:lineRule="auto"/>
      <w:contextualSpacing/>
    </w:pPr>
    <w:rPr>
      <w:b w:val="0"/>
      <w:color w:val="auto"/>
      <w:sz w:val="22"/>
      <w:szCs w:val="22"/>
    </w:rPr>
  </w:style>
  <w:style w:type="paragraph" w:styleId="Title">
    <w:name w:val="Title"/>
    <w:basedOn w:val="Normal"/>
    <w:next w:val="Normal"/>
    <w:link w:val="TitleChar"/>
    <w:uiPriority w:val="10"/>
    <w:qFormat/>
    <w:rsid w:val="00A12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92A"/>
    <w:rPr>
      <w:rFonts w:asciiTheme="majorHAnsi" w:eastAsiaTheme="majorEastAsia" w:hAnsiTheme="majorHAnsi" w:cstheme="majorBidi"/>
      <w:b/>
      <w:color w:val="17365D" w:themeColor="text2" w:themeShade="BF"/>
      <w:spacing w:val="5"/>
      <w:kern w:val="28"/>
      <w:sz w:val="52"/>
      <w:szCs w:val="52"/>
    </w:rPr>
  </w:style>
  <w:style w:type="character" w:styleId="Strong">
    <w:name w:val="Strong"/>
    <w:basedOn w:val="DefaultParagraphFont"/>
    <w:uiPriority w:val="99"/>
    <w:qFormat/>
    <w:rsid w:val="00A1292A"/>
    <w:rPr>
      <w:rFonts w:cs="Times New Roman"/>
      <w:b/>
    </w:rPr>
  </w:style>
  <w:style w:type="character" w:styleId="Emphasis">
    <w:name w:val="Emphasis"/>
    <w:basedOn w:val="DefaultParagraphFont"/>
    <w:uiPriority w:val="99"/>
    <w:qFormat/>
    <w:rsid w:val="00A1292A"/>
    <w:rPr>
      <w:i/>
      <w:iCs/>
    </w:rPr>
  </w:style>
  <w:style w:type="paragraph" w:styleId="NoSpacing">
    <w:name w:val="No Spacing"/>
    <w:aliases w:val="normal,Normal1"/>
    <w:basedOn w:val="Normal"/>
    <w:uiPriority w:val="1"/>
    <w:qFormat/>
    <w:rsid w:val="00A1292A"/>
    <w:pPr>
      <w:tabs>
        <w:tab w:val="left" w:pos="720"/>
      </w:tabs>
      <w:spacing w:after="30"/>
    </w:pPr>
    <w:rPr>
      <w:rFonts w:eastAsia="Times New Roman" w:cs="Times New Roman"/>
      <w:b w:val="0"/>
      <w:color w:val="auto"/>
      <w:sz w:val="22"/>
    </w:rPr>
  </w:style>
  <w:style w:type="paragraph" w:styleId="ListParagraph">
    <w:name w:val="List Paragraph"/>
    <w:basedOn w:val="Normal"/>
    <w:uiPriority w:val="34"/>
    <w:qFormat/>
    <w:rsid w:val="00A1292A"/>
    <w:pPr>
      <w:ind w:left="720"/>
      <w:contextualSpacing/>
    </w:pPr>
    <w:rPr>
      <w:rFonts w:eastAsia="Times New Roman" w:cs="Times New Roman"/>
    </w:rPr>
  </w:style>
  <w:style w:type="paragraph" w:styleId="TOCHeading">
    <w:name w:val="TOC Heading"/>
    <w:basedOn w:val="Heading1"/>
    <w:next w:val="Normal"/>
    <w:uiPriority w:val="39"/>
    <w:unhideWhenUsed/>
    <w:qFormat/>
    <w:rsid w:val="00A1292A"/>
    <w:pPr>
      <w:numPr>
        <w:numId w:val="0"/>
      </w:numPr>
      <w:spacing w:line="276" w:lineRule="auto"/>
      <w:outlineLvl w:val="9"/>
    </w:pPr>
    <w:rPr>
      <w:lang w:val="en-US" w:eastAsia="ja-JP"/>
    </w:rPr>
  </w:style>
  <w:style w:type="paragraph" w:styleId="FootnoteText">
    <w:name w:val="footnote text"/>
    <w:basedOn w:val="Normal"/>
    <w:link w:val="FootnoteTextChar"/>
    <w:uiPriority w:val="99"/>
    <w:rsid w:val="001F173A"/>
    <w:rPr>
      <w:sz w:val="20"/>
      <w:szCs w:val="20"/>
    </w:rPr>
  </w:style>
  <w:style w:type="character" w:customStyle="1" w:styleId="FootnoteTextChar">
    <w:name w:val="Footnote Text Char"/>
    <w:basedOn w:val="DefaultParagraphFont"/>
    <w:link w:val="FootnoteText"/>
    <w:uiPriority w:val="99"/>
    <w:rsid w:val="001F173A"/>
    <w:rPr>
      <w:rFonts w:ascii="Calibri" w:eastAsiaTheme="minorEastAsia" w:hAnsi="Calibri" w:cs="Calibri"/>
      <w:b/>
      <w:bCs/>
      <w:color w:val="1F497D"/>
      <w:sz w:val="20"/>
      <w:szCs w:val="20"/>
    </w:rPr>
  </w:style>
  <w:style w:type="character" w:styleId="FootnoteReference">
    <w:name w:val="footnote reference"/>
    <w:basedOn w:val="DefaultParagraphFont"/>
    <w:uiPriority w:val="99"/>
    <w:rsid w:val="001F173A"/>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ABPI</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Garau</dc:creator>
  <cp:lastModifiedBy>Martina Garau</cp:lastModifiedBy>
  <cp:revision>2</cp:revision>
  <dcterms:created xsi:type="dcterms:W3CDTF">2013-11-22T11:53:00Z</dcterms:created>
  <dcterms:modified xsi:type="dcterms:W3CDTF">2014-01-12T17:37:00Z</dcterms:modified>
</cp:coreProperties>
</file>