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E6" w:rsidRDefault="006173E6" w:rsidP="006173E6">
      <w:pPr>
        <w:jc w:val="both"/>
        <w:rPr>
          <w:rFonts w:ascii="Arial" w:hAnsi="Arial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  <w:r w:rsidRPr="001B5724">
        <w:rPr>
          <w:rFonts w:ascii="Times New Roman" w:hAnsi="Times New Roman" w:cs="Times New Roman"/>
          <w:lang w:val="en-US"/>
        </w:rPr>
        <w:t>Supplemental information</w:t>
      </w:r>
    </w:p>
    <w:p w:rsidR="006149B5" w:rsidRDefault="006149B5" w:rsidP="006173E6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="-352" w:tblpY="3346"/>
        <w:tblW w:w="144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75"/>
        <w:gridCol w:w="1123"/>
        <w:gridCol w:w="1243"/>
        <w:gridCol w:w="1146"/>
        <w:gridCol w:w="1147"/>
        <w:gridCol w:w="1147"/>
        <w:gridCol w:w="1147"/>
        <w:gridCol w:w="1147"/>
        <w:gridCol w:w="1151"/>
        <w:gridCol w:w="1147"/>
        <w:gridCol w:w="1147"/>
        <w:gridCol w:w="1147"/>
      </w:tblGrid>
      <w:tr w:rsidR="007A2CAD" w:rsidTr="007A2CAD">
        <w:tc>
          <w:tcPr>
            <w:tcW w:w="17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Characteristics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Pr="007A2CAD" w:rsidRDefault="007A2CAD" w:rsidP="007A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C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Higher costs post-bariatric surgery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Pr="007A2CAD" w:rsidRDefault="007A2CAD" w:rsidP="007A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C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Lower costs post-bariatric surgery </w:t>
            </w:r>
          </w:p>
        </w:tc>
      </w:tr>
      <w:tr w:rsidR="007A2CAD" w:rsidTr="007A2CAD">
        <w:tc>
          <w:tcPr>
            <w:tcW w:w="17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study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Maciejewisk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(6) 2012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(7) 2002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Klein (11) 2011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Bheich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(12) 2012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McEwen (13) 2010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Zingmond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(14) 2005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Weiner (15) 2013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Crémieux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(8) 2008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Filkelstein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(9) 2011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(10)2004</w:t>
            </w:r>
          </w:p>
        </w:tc>
      </w:tr>
      <w:tr w:rsidR="007A2CAD" w:rsidTr="007A2CAD"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 surgical + 467 matched controls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808 surgery + 808 matched controls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6.376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60,092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29,820 surgery + 29,820 matched controls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3651 surgery + 3651 control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1035 surgery +5746 control group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Cohort before and after study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Cohort – before and after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AD" w:rsidRDefault="007A2CAD" w:rsidP="007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Intervention study, SOS</w:t>
            </w:r>
          </w:p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cohorts - surgical and matched controls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Cohort – before and after study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Cohort – before and after study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Retrospective cohort before and after study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study with two cohorts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Observational - 2 cohort study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Surgical and propensity score-matching group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observational 2-cohort study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time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yrs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yrs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yrs (83%)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 to 7 yrs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yrs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yrs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yrs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 to 6 yrs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 on</w:t>
            </w:r>
          </w:p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pooled population up to 4 yrs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Bootstrapped replications up to 4 yrs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 (3.8)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in yrs</w:t>
            </w:r>
            <w:r w:rsidR="00664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 (SD)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36.2 (10.3)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49.5 (8.3)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47.8 (5.8)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51.5 (7.5)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47.1(0.1)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 (10)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42.2 (10.4)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45.5(10.4)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44.5 (12)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45.1 (11.6)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BMI Kg/m² Mean (SD)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42.8 (4.8)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47.4 (7.8)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41.9 (4.2)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 (8)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 (8.2)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 sex (%)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34.4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 (%)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Diabetes (%)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A2CAD" w:rsidTr="007A2CAD"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surgery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75.3%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35 - 72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A2CAD" w:rsidRDefault="007A2CAD" w:rsidP="007A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79.2</w:t>
            </w:r>
          </w:p>
        </w:tc>
      </w:tr>
    </w:tbl>
    <w:p w:rsidR="007A2CAD" w:rsidRDefault="007A2CAD" w:rsidP="007A2CAD">
      <w:pPr>
        <w:jc w:val="both"/>
        <w:rPr>
          <w:rFonts w:ascii="Arial" w:hAnsi="Arial"/>
          <w:lang w:val="en-US"/>
        </w:rPr>
      </w:pPr>
      <w:r w:rsidRPr="00614365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S</w:t>
      </w:r>
      <w:r w:rsidRPr="00614365">
        <w:rPr>
          <w:rFonts w:ascii="Times New Roman" w:hAnsi="Times New Roman" w:cs="Times New Roman"/>
          <w:lang w:val="en-US"/>
        </w:rPr>
        <w:t xml:space="preserve">1 – Baseline characteristics of </w:t>
      </w:r>
      <w:r w:rsidR="006149B5">
        <w:rPr>
          <w:rFonts w:ascii="Times New Roman" w:hAnsi="Times New Roman" w:cs="Times New Roman"/>
          <w:lang w:val="en-US"/>
        </w:rPr>
        <w:t xml:space="preserve">a </w:t>
      </w:r>
      <w:r w:rsidRPr="00614365">
        <w:rPr>
          <w:rFonts w:ascii="Times New Roman" w:hAnsi="Times New Roman" w:cs="Times New Roman"/>
          <w:lang w:val="en-US"/>
        </w:rPr>
        <w:t>4</w:t>
      </w:r>
      <w:r w:rsidR="006149B5">
        <w:rPr>
          <w:rFonts w:ascii="Times New Roman" w:hAnsi="Times New Roman" w:cs="Times New Roman"/>
          <w:lang w:val="en-US"/>
        </w:rPr>
        <w:t>.</w:t>
      </w:r>
      <w:r w:rsidRPr="00614365">
        <w:rPr>
          <w:rFonts w:ascii="Times New Roman" w:hAnsi="Times New Roman" w:cs="Times New Roman"/>
          <w:lang w:val="en-US"/>
        </w:rPr>
        <w:t>006 patient</w:t>
      </w:r>
      <w:r w:rsidR="006149B5">
        <w:rPr>
          <w:rFonts w:ascii="Times New Roman" w:hAnsi="Times New Roman" w:cs="Times New Roman"/>
          <w:lang w:val="en-US"/>
        </w:rPr>
        <w:t xml:space="preserve"> cohort</w:t>
      </w:r>
      <w:r w:rsidRPr="0061436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undergoing</w:t>
      </w:r>
      <w:r w:rsidRPr="00614365">
        <w:rPr>
          <w:rFonts w:ascii="Times New Roman" w:hAnsi="Times New Roman" w:cs="Times New Roman"/>
          <w:lang w:val="en-US"/>
        </w:rPr>
        <w:t xml:space="preserve"> bariatric surgery between 2004 and 2010</w:t>
      </w:r>
      <w:r>
        <w:rPr>
          <w:rFonts w:ascii="Times New Roman" w:hAnsi="Times New Roman" w:cs="Times New Roman"/>
          <w:lang w:val="en-US"/>
        </w:rPr>
        <w:t xml:space="preserve"> and th</w:t>
      </w:r>
      <w:r w:rsidR="006149B5">
        <w:rPr>
          <w:rFonts w:ascii="Times New Roman" w:hAnsi="Times New Roman" w:cs="Times New Roman"/>
          <w:lang w:val="en-US"/>
        </w:rPr>
        <w:t>e characteristics of patients in</w:t>
      </w:r>
      <w:r>
        <w:rPr>
          <w:rFonts w:ascii="Times New Roman" w:hAnsi="Times New Roman" w:cs="Times New Roman"/>
          <w:lang w:val="en-US"/>
        </w:rPr>
        <w:t xml:space="preserve"> other published studies</w:t>
      </w:r>
      <w:r w:rsidRPr="00614365">
        <w:rPr>
          <w:rFonts w:ascii="Times New Roman" w:hAnsi="Times New Roman" w:cs="Times New Roman"/>
          <w:lang w:val="en-US"/>
        </w:rPr>
        <w:t>.</w:t>
      </w:r>
      <w:r>
        <w:rPr>
          <w:rFonts w:ascii="Arial" w:hAnsi="Arial"/>
          <w:lang w:val="en-US"/>
        </w:rPr>
        <w:t xml:space="preserve"> </w:t>
      </w: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7A2CAD" w:rsidRDefault="007A2CAD" w:rsidP="006173E6">
      <w:pPr>
        <w:spacing w:line="360" w:lineRule="auto"/>
        <w:jc w:val="both"/>
        <w:rPr>
          <w:rFonts w:ascii="Times New Roman" w:hAnsi="Times New Roman" w:cs="Times New Roman"/>
          <w:lang w:val="en-US"/>
        </w:rPr>
        <w:sectPr w:rsidR="007A2CAD" w:rsidSect="007A2CAD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6173E6" w:rsidRPr="00660F29" w:rsidRDefault="006173E6" w:rsidP="006173E6">
      <w:pPr>
        <w:jc w:val="both"/>
        <w:rPr>
          <w:rFonts w:ascii="Arial" w:hAnsi="Arial"/>
          <w:sz w:val="20"/>
          <w:szCs w:val="20"/>
          <w:lang w:val="en-US"/>
        </w:rPr>
      </w:pPr>
      <w:r w:rsidRPr="00614365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Pr="00660F29">
        <w:rPr>
          <w:rFonts w:ascii="Times New Roman" w:hAnsi="Times New Roman" w:cs="Times New Roman"/>
          <w:lang w:val="en-US"/>
        </w:rPr>
        <w:t>S</w:t>
      </w:r>
      <w:r w:rsidR="00DB27D4" w:rsidRPr="00660F29">
        <w:rPr>
          <w:rFonts w:ascii="Times New Roman" w:hAnsi="Times New Roman" w:cs="Times New Roman"/>
          <w:lang w:val="en-US"/>
        </w:rPr>
        <w:t>2</w:t>
      </w:r>
      <w:r w:rsidRPr="00660F29">
        <w:rPr>
          <w:rFonts w:ascii="Times New Roman" w:hAnsi="Times New Roman" w:cs="Times New Roman"/>
          <w:lang w:val="en-US"/>
        </w:rPr>
        <w:t xml:space="preserve">. </w:t>
      </w:r>
      <w:r w:rsidR="00A667DD">
        <w:rPr>
          <w:rFonts w:ascii="Times New Roman" w:hAnsi="Times New Roman" w:cs="Times New Roman"/>
          <w:lang w:val="en-US"/>
        </w:rPr>
        <w:t xml:space="preserve">Emergency department </w:t>
      </w:r>
      <w:r w:rsidRPr="00660F29">
        <w:rPr>
          <w:rFonts w:ascii="Times New Roman" w:hAnsi="Times New Roman" w:cs="Times New Roman"/>
          <w:lang w:val="en-US"/>
        </w:rPr>
        <w:t>visit</w:t>
      </w:r>
      <w:r w:rsidR="00A667DD">
        <w:rPr>
          <w:rFonts w:ascii="Times New Roman" w:hAnsi="Times New Roman" w:cs="Times New Roman"/>
          <w:lang w:val="en-US"/>
        </w:rPr>
        <w:t>s</w:t>
      </w:r>
      <w:r w:rsidRPr="00660F29">
        <w:rPr>
          <w:rFonts w:ascii="Times New Roman" w:hAnsi="Times New Roman" w:cs="Times New Roman"/>
          <w:lang w:val="en-US"/>
        </w:rPr>
        <w:t xml:space="preserve"> rate per 1,</w:t>
      </w:r>
      <w:r w:rsidR="00664C56" w:rsidRPr="00660F29">
        <w:rPr>
          <w:rFonts w:ascii="Times New Roman" w:hAnsi="Times New Roman" w:cs="Times New Roman"/>
          <w:lang w:val="en-US"/>
        </w:rPr>
        <w:t>000 patient</w:t>
      </w:r>
      <w:r w:rsidRPr="00660F29">
        <w:rPr>
          <w:rFonts w:ascii="Times New Roman" w:hAnsi="Times New Roman" w:cs="Times New Roman"/>
          <w:lang w:val="en-US"/>
        </w:rPr>
        <w:t>-year</w:t>
      </w:r>
      <w:r w:rsidR="00664C56" w:rsidRPr="00660F29">
        <w:rPr>
          <w:rFonts w:ascii="Times New Roman" w:hAnsi="Times New Roman" w:cs="Times New Roman"/>
          <w:lang w:val="en-US"/>
        </w:rPr>
        <w:t>s</w:t>
      </w:r>
      <w:r w:rsidRPr="00660F29">
        <w:rPr>
          <w:rFonts w:ascii="Times New Roman" w:hAnsi="Times New Roman" w:cs="Times New Roman"/>
          <w:lang w:val="en-US"/>
        </w:rPr>
        <w:t>, according to the ICD-10 code, before and after bariatric surgery</w:t>
      </w:r>
      <w:r w:rsidRPr="00660F29">
        <w:rPr>
          <w:rFonts w:ascii="Arial" w:hAnsi="Arial"/>
          <w:sz w:val="20"/>
          <w:szCs w:val="20"/>
          <w:lang w:val="en-US"/>
        </w:rPr>
        <w:t>.</w:t>
      </w:r>
    </w:p>
    <w:p w:rsidR="006173E6" w:rsidRPr="00660F29" w:rsidRDefault="006173E6" w:rsidP="006173E6">
      <w:pPr>
        <w:jc w:val="both"/>
        <w:rPr>
          <w:rFonts w:ascii="Arial" w:hAnsi="Arial"/>
          <w:sz w:val="20"/>
          <w:szCs w:val="20"/>
          <w:lang w:val="en-US"/>
        </w:rPr>
      </w:pPr>
    </w:p>
    <w:tbl>
      <w:tblPr>
        <w:tblStyle w:val="Tabelacomgrade"/>
        <w:tblW w:w="0" w:type="auto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4"/>
        <w:gridCol w:w="882"/>
        <w:gridCol w:w="910"/>
        <w:gridCol w:w="741"/>
        <w:gridCol w:w="952"/>
        <w:gridCol w:w="924"/>
        <w:gridCol w:w="784"/>
        <w:gridCol w:w="840"/>
        <w:gridCol w:w="980"/>
        <w:gridCol w:w="713"/>
        <w:gridCol w:w="812"/>
        <w:gridCol w:w="924"/>
        <w:gridCol w:w="756"/>
      </w:tblGrid>
      <w:tr w:rsidR="006173E6" w:rsidRPr="00660F29" w:rsidTr="0017750A">
        <w:trPr>
          <w:trHeight w:val="345"/>
        </w:trPr>
        <w:tc>
          <w:tcPr>
            <w:tcW w:w="382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ICD 10  group or description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year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year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year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year</w:t>
            </w:r>
          </w:p>
        </w:tc>
      </w:tr>
      <w:tr w:rsidR="006173E6" w:rsidRPr="00660F29" w:rsidTr="0017750A">
        <w:trPr>
          <w:trHeight w:val="245"/>
        </w:trPr>
        <w:tc>
          <w:tcPr>
            <w:tcW w:w="3824" w:type="dxa"/>
            <w:vMerge/>
            <w:tcBorders>
              <w:top w:val="nil"/>
              <w:bottom w:val="single" w:sz="4" w:space="0" w:color="auto"/>
            </w:tcBorders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73E6" w:rsidRPr="00660F29" w:rsidRDefault="006173E6" w:rsidP="0017750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</w:p>
        </w:tc>
      </w:tr>
      <w:tr w:rsidR="006173E6" w:rsidRPr="00660F29" w:rsidTr="0017750A">
        <w:tc>
          <w:tcPr>
            <w:tcW w:w="3824" w:type="dxa"/>
            <w:tcBorders>
              <w:top w:val="single" w:sz="4" w:space="0" w:color="auto"/>
            </w:tcBorders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Diseases of the musculoskeletal system and connective tissue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84.75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45.17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085D1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085D14" w:rsidRPr="00660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21.51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17.75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085D1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085D14" w:rsidRPr="00660F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20.82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21.75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085D1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85D14" w:rsidRPr="00660F29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55.56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3E6" w:rsidRPr="00660F29" w:rsidRDefault="00085D1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64.87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E6" w:rsidRPr="00660F29" w:rsidRDefault="006173E6" w:rsidP="00085D1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85D14" w:rsidRPr="00660F29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Diseases of the respiratory system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79.46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45.95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F4623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7F4623" w:rsidRPr="00660F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20.97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F4623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F4623" w:rsidRPr="00660F29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49.77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7F4623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53.78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F4623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F4623" w:rsidRPr="00660F29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5246AE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anchor="/XIX" w:history="1">
              <w:r w:rsidR="006173E6" w:rsidRPr="00660F2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  <w:lang w:val="en-US"/>
                </w:rPr>
                <w:t>Injury, poisoning and certain other consequences of external causes</w:t>
              </w:r>
              <w:r w:rsidR="006173E6" w:rsidRPr="00660F29">
                <w:rPr>
                  <w:rStyle w:val="apple-converted-space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 </w:t>
              </w:r>
            </w:hyperlink>
            <w:r w:rsidR="006173E6" w:rsidRPr="00660F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51.16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39.55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27B7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727B7B" w:rsidRPr="00660F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14.79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27B7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27B7B" w:rsidRPr="00660F29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13.54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27B7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727B7B" w:rsidRPr="00660F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12.24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727B7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46.69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727B7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27B7B" w:rsidRPr="00660F2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Diseases of the genitourinary system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25.83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46.39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3E6D2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3E6D27" w:rsidRPr="00660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14.84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3E6D2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3E6D27" w:rsidRPr="00660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3E6D2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55.88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3E6D2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3E6D27" w:rsidRPr="00660F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5246AE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anchor="/I" w:history="1">
              <w:r w:rsidR="006173E6" w:rsidRPr="00660F29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  <w:lang w:val="en-US"/>
                </w:rPr>
                <w:t>Certain infectious and parasitic diseases</w:t>
              </w:r>
              <w:r w:rsidR="006173E6" w:rsidRPr="00660F29">
                <w:rPr>
                  <w:rStyle w:val="apple-converted-space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 </w:t>
              </w:r>
            </w:hyperlink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25.48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17.39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5A39C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5A39CA" w:rsidRPr="00660F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8.49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5A39C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A39CA" w:rsidRPr="00660F2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8.96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5A39C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A39CA" w:rsidRPr="00660F29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5A39CA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21.64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5A39C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A39CA" w:rsidRPr="00660F2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  <w:t>Diseases of the digestive system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35.58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6.55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12.52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11.79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t-BR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Diseases of the circulatory system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33.19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17.66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Endocrine, nutritional and metabolic diseases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57.35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20.87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179C7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179C7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179C7" w:rsidRPr="00660F2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Diseases of the skin and subcutaneous tissue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810FCF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14.79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810FCF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23.29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810FCF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10FCF" w:rsidRPr="00660F2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810FCF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810FCF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810FCF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  <w:r w:rsidR="00810FCF" w:rsidRPr="00660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810FCF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810FCF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810FCF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10FCF" w:rsidRPr="00660F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37EB8" w:rsidRPr="00660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hd w:val="clear" w:color="auto" w:fill="FFFFFF"/>
              <w:spacing w:before="12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t-BR"/>
              </w:rPr>
            </w:pPr>
            <w:r w:rsidRPr="00660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pt-BR"/>
              </w:rPr>
              <w:t>Diseases of the nervous system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12.69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10.63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and behavioral diseases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16.93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6.84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13.88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374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Diseases of blood and blood-forming organs and certain disorders involving the immune mechanism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6.01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C9422B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20.32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C9422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C9422B"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6173E6" w:rsidRPr="00660F29" w:rsidTr="0017750A">
        <w:tc>
          <w:tcPr>
            <w:tcW w:w="3824" w:type="dxa"/>
            <w:shd w:val="clear" w:color="auto" w:fill="auto"/>
          </w:tcPr>
          <w:p w:rsidR="006173E6" w:rsidRPr="00660F29" w:rsidRDefault="006173E6" w:rsidP="0017750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191.61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227.17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4F02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F0274" w:rsidRPr="00660F29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46.60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64.32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4F02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4F0274" w:rsidRPr="00660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39.89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60.41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4F0274" w:rsidRPr="00660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102.29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173E6" w:rsidRPr="00660F29" w:rsidRDefault="004F0274" w:rsidP="0017750A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</w:rPr>
              <w:t>155.33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173E6" w:rsidRPr="00660F29" w:rsidRDefault="006173E6" w:rsidP="004F0274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4F0274" w:rsidRPr="0066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</w:tbl>
    <w:p w:rsidR="006173E6" w:rsidRPr="00660F29" w:rsidRDefault="006173E6" w:rsidP="006173E6">
      <w:pPr>
        <w:jc w:val="both"/>
        <w:rPr>
          <w:rFonts w:ascii="Times New Roman" w:hAnsi="Times New Roman" w:cs="Times New Roman"/>
          <w:lang w:val="en-US"/>
        </w:rPr>
      </w:pPr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In “others” are grouped:  diseases of the eyes, ears, mastoid, </w:t>
      </w:r>
      <w:proofErr w:type="spellStart"/>
      <w:r w:rsidRPr="00660F29">
        <w:rPr>
          <w:rFonts w:ascii="Times New Roman" w:hAnsi="Times New Roman" w:cs="Times New Roman"/>
          <w:sz w:val="20"/>
          <w:szCs w:val="20"/>
          <w:lang w:val="en-US"/>
        </w:rPr>
        <w:t>neoplasias</w:t>
      </w:r>
      <w:proofErr w:type="spellEnd"/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, congenital malformation, deformities, pregnancy, </w:t>
      </w:r>
      <w:proofErr w:type="spellStart"/>
      <w:r w:rsidRPr="00660F29">
        <w:rPr>
          <w:rFonts w:ascii="Times New Roman" w:hAnsi="Times New Roman" w:cs="Times New Roman"/>
          <w:sz w:val="20"/>
          <w:szCs w:val="20"/>
          <w:lang w:val="en-US"/>
        </w:rPr>
        <w:t>puerperium</w:t>
      </w:r>
      <w:proofErr w:type="spellEnd"/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660F29">
        <w:rPr>
          <w:rFonts w:ascii="Times New Roman" w:hAnsi="Times New Roman" w:cs="Times New Roman"/>
          <w:sz w:val="20"/>
          <w:szCs w:val="20"/>
          <w:lang w:val="en-US"/>
        </w:rPr>
        <w:t>perinatal</w:t>
      </w:r>
      <w:proofErr w:type="spellEnd"/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 diseases, external causes of morbidity and mortality, factors influencing health status and contact with health services and ICD not informed.</w:t>
      </w:r>
    </w:p>
    <w:p w:rsidR="00D624E4" w:rsidRDefault="00D624E4" w:rsidP="00D624E4">
      <w:pPr>
        <w:pStyle w:val="PargrafodaLista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P value = </w:t>
      </w:r>
      <w:proofErr w:type="spellStart"/>
      <w:r w:rsidRPr="00660F29">
        <w:rPr>
          <w:rFonts w:ascii="Times New Roman" w:hAnsi="Times New Roman" w:cs="Times New Roman"/>
          <w:sz w:val="20"/>
          <w:szCs w:val="20"/>
          <w:lang w:val="en-US"/>
        </w:rPr>
        <w:t>Wilcoxo</w:t>
      </w:r>
      <w:r w:rsidRPr="00A667DD">
        <w:rPr>
          <w:rFonts w:ascii="Times New Roman" w:hAnsi="Times New Roman" w:cs="Times New Roman"/>
          <w:color w:val="FF0000"/>
          <w:sz w:val="20"/>
          <w:szCs w:val="20"/>
          <w:lang w:val="en-US"/>
        </w:rPr>
        <w:t>n</w:t>
      </w:r>
      <w:proofErr w:type="spellEnd"/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60F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signed-rank test</w:t>
      </w: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</w:t>
      </w:r>
      <w:r w:rsidR="00DB27D4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. </w:t>
      </w:r>
      <w:r w:rsidRPr="00610C97">
        <w:rPr>
          <w:rFonts w:ascii="Times New Roman" w:hAnsi="Times New Roman" w:cs="Times New Roman"/>
          <w:lang w:val="en-US"/>
        </w:rPr>
        <w:t>Average costs (in US$) per patient per year, before and after bariatric surgery, among 4006 patients who underwent bariatric operation, between 2004 and 2011.</w:t>
      </w: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Tabelacomgrade"/>
        <w:tblpPr w:leftFromText="141" w:rightFromText="141" w:vertAnchor="text" w:horzAnchor="margin" w:tblpYSpec="top"/>
        <w:tblW w:w="123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7"/>
        <w:gridCol w:w="14"/>
        <w:gridCol w:w="826"/>
        <w:gridCol w:w="966"/>
        <w:gridCol w:w="825"/>
        <w:gridCol w:w="784"/>
        <w:gridCol w:w="798"/>
        <w:gridCol w:w="798"/>
        <w:gridCol w:w="784"/>
        <w:gridCol w:w="798"/>
        <w:gridCol w:w="784"/>
        <w:gridCol w:w="769"/>
        <w:gridCol w:w="799"/>
        <w:gridCol w:w="850"/>
      </w:tblGrid>
      <w:tr w:rsidR="006173E6" w:rsidRPr="00610C97" w:rsidTr="0017750A">
        <w:tc>
          <w:tcPr>
            <w:tcW w:w="12332" w:type="dxa"/>
            <w:gridSpan w:val="14"/>
            <w:tcBorders>
              <w:bottom w:val="nil"/>
            </w:tcBorders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period</w:t>
            </w:r>
          </w:p>
        </w:tc>
      </w:tr>
      <w:tr w:rsidR="006173E6" w:rsidRPr="00610C97" w:rsidTr="0017750A">
        <w:trPr>
          <w:trHeight w:val="576"/>
        </w:trPr>
        <w:tc>
          <w:tcPr>
            <w:tcW w:w="2537" w:type="dxa"/>
            <w:vMerge w:val="restart"/>
            <w:tcBorders>
              <w:top w:val="nil"/>
              <w:bottom w:val="nil"/>
            </w:tcBorders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Characteristics</w:t>
            </w:r>
          </w:p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gridSpan w:val="4"/>
            <w:tcBorders>
              <w:top w:val="nil"/>
              <w:bottom w:val="nil"/>
            </w:tcBorders>
            <w:vAlign w:val="center"/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year#</w:t>
            </w:r>
          </w:p>
        </w:tc>
        <w:tc>
          <w:tcPr>
            <w:tcW w:w="2380" w:type="dxa"/>
            <w:gridSpan w:val="3"/>
            <w:tcBorders>
              <w:top w:val="nil"/>
              <w:bottom w:val="nil"/>
            </w:tcBorders>
            <w:vAlign w:val="center"/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2366" w:type="dxa"/>
            <w:gridSpan w:val="3"/>
            <w:tcBorders>
              <w:top w:val="nil"/>
              <w:bottom w:val="nil"/>
            </w:tcBorders>
            <w:vAlign w:val="center"/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2418" w:type="dxa"/>
            <w:gridSpan w:val="3"/>
            <w:tcBorders>
              <w:top w:val="nil"/>
              <w:bottom w:val="nil"/>
            </w:tcBorders>
            <w:vAlign w:val="center"/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</w:t>
            </w:r>
          </w:p>
        </w:tc>
      </w:tr>
      <w:tr w:rsidR="006173E6" w:rsidRPr="00610C97" w:rsidTr="0017750A">
        <w:trPr>
          <w:trHeight w:val="233"/>
        </w:trPr>
        <w:tc>
          <w:tcPr>
            <w:tcW w:w="2537" w:type="dxa"/>
            <w:vMerge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-value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-value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-value</w:t>
            </w: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</w:p>
        </w:tc>
        <w:tc>
          <w:tcPr>
            <w:tcW w:w="799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–value</w:t>
            </w:r>
          </w:p>
        </w:tc>
      </w:tr>
      <w:tr w:rsidR="006173E6" w:rsidRPr="00610C97" w:rsidTr="0017750A"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Average 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costs per person per year 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122.47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72.08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131.10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58.81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81.93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</w:tr>
      <w:tr w:rsidR="006173E6" w:rsidRPr="00610C97" w:rsidTr="0017750A">
        <w:trPr>
          <w:trHeight w:val="80"/>
        </w:trPr>
        <w:tc>
          <w:tcPr>
            <w:tcW w:w="2537" w:type="dxa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3E6" w:rsidRPr="00610C97" w:rsidTr="0017750A">
        <w:tc>
          <w:tcPr>
            <w:tcW w:w="2537" w:type="dxa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Average 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costs per person per year 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840" w:type="dxa"/>
            <w:gridSpan w:val="2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70.74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94.46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68.35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110.70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51.85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72.95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6173E6" w:rsidRPr="00920C86" w:rsidTr="0017750A">
        <w:tc>
          <w:tcPr>
            <w:tcW w:w="5168" w:type="dxa"/>
            <w:gridSpan w:val="5"/>
            <w:vAlign w:val="center"/>
          </w:tcPr>
          <w:p w:rsidR="006173E6" w:rsidRPr="00610C97" w:rsidRDefault="006173E6" w:rsidP="0017750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total costs per patient characteristics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 (n=805)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55.58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114.07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62.72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69.49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42.24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65.62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0.117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 (3201)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79.95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99.42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79.30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124.58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74.53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146.46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62.31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85.82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0.012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BMI &lt; 50 kg/m² (3623)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76.23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117.32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76.33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123.18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72.87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135.86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60.66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84.74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BMI ≥50 kg/m² (n=383)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60.02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56.78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116.06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61.60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71.31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0.308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33.96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0.929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&lt;50 years (3478)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65.44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113.52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66.75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112.21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62.20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107.07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53.42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76.50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0.015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≥50 years (n=528)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133.66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151.80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0.463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116.02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119.57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244.08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84.32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105.02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388</w:t>
            </w:r>
          </w:p>
        </w:tc>
      </w:tr>
      <w:tr w:rsidR="006173E6" w:rsidRPr="00920C86" w:rsidTr="0017750A">
        <w:tc>
          <w:tcPr>
            <w:tcW w:w="5168" w:type="dxa"/>
            <w:gridSpan w:val="5"/>
            <w:vAlign w:val="center"/>
          </w:tcPr>
          <w:p w:rsidR="006173E6" w:rsidRPr="00610C97" w:rsidRDefault="006173E6" w:rsidP="001775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total costs per patients with comorbidities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 (n=1518)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86.18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84.74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136.23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94.63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186.77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82.24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Diabetes (n=501)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0.249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116.64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151.06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151.40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131.39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0.158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75.06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79.78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0.695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 and diabetes (n=329)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0.463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126.71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162.34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160.43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143.03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0.272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80.65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81.27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0.875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Arthropaty</w:t>
            </w:r>
            <w:proofErr w:type="spellEnd"/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(n=370)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106.7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136.2</w:t>
            </w: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0.600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108.26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134.38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66.72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111.36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72.68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168.96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6173E6" w:rsidRPr="00610C97" w:rsidTr="0017750A">
        <w:tc>
          <w:tcPr>
            <w:tcW w:w="2551" w:type="dxa"/>
            <w:gridSpan w:val="2"/>
            <w:vAlign w:val="center"/>
          </w:tcPr>
          <w:p w:rsidR="006173E6" w:rsidRPr="00610C97" w:rsidRDefault="006173E6" w:rsidP="001775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 apnea (n=146)</w:t>
            </w:r>
          </w:p>
        </w:tc>
        <w:tc>
          <w:tcPr>
            <w:tcW w:w="82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114.81</w:t>
            </w:r>
          </w:p>
        </w:tc>
        <w:tc>
          <w:tcPr>
            <w:tcW w:w="966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163.54</w:t>
            </w:r>
          </w:p>
        </w:tc>
        <w:tc>
          <w:tcPr>
            <w:tcW w:w="825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0.075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124.44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159.24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0.182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117.42</w:t>
            </w:r>
          </w:p>
        </w:tc>
        <w:tc>
          <w:tcPr>
            <w:tcW w:w="798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84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</w:t>
            </w:r>
          </w:p>
        </w:tc>
        <w:tc>
          <w:tcPr>
            <w:tcW w:w="76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138.01</w:t>
            </w:r>
          </w:p>
        </w:tc>
        <w:tc>
          <w:tcPr>
            <w:tcW w:w="799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87.12</w:t>
            </w:r>
          </w:p>
        </w:tc>
        <w:tc>
          <w:tcPr>
            <w:tcW w:w="850" w:type="dxa"/>
            <w:vAlign w:val="center"/>
          </w:tcPr>
          <w:p w:rsidR="006173E6" w:rsidRPr="00610C97" w:rsidRDefault="006173E6" w:rsidP="001775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0.799</w:t>
            </w:r>
          </w:p>
        </w:tc>
      </w:tr>
    </w:tbl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6173E6" w:rsidRPr="00610C97" w:rsidRDefault="006173E6" w:rsidP="006173E6">
      <w:pPr>
        <w:jc w:val="both"/>
        <w:rPr>
          <w:rFonts w:ascii="Times New Roman" w:hAnsi="Times New Roman" w:cs="Times New Roman"/>
          <w:lang w:val="en-US"/>
        </w:rPr>
      </w:pPr>
    </w:p>
    <w:p w:rsidR="008D162F" w:rsidRPr="00614365" w:rsidRDefault="008D162F" w:rsidP="008D162F">
      <w:pPr>
        <w:pStyle w:val="PargrafodaLista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60F29">
        <w:rPr>
          <w:rFonts w:ascii="Times New Roman" w:hAnsi="Times New Roman" w:cs="Times New Roman"/>
          <w:sz w:val="20"/>
          <w:szCs w:val="20"/>
          <w:lang w:val="en-US"/>
        </w:rPr>
        <w:t xml:space="preserve">P value = Wilcoxon </w:t>
      </w:r>
      <w:r w:rsidRPr="00660F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signed-rank test</w:t>
      </w:r>
    </w:p>
    <w:p w:rsidR="00655420" w:rsidRDefault="00655420"/>
    <w:sectPr w:rsidR="00655420" w:rsidSect="004E70A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73E6"/>
    <w:rsid w:val="00037EB8"/>
    <w:rsid w:val="00046CDE"/>
    <w:rsid w:val="0006710D"/>
    <w:rsid w:val="00085D14"/>
    <w:rsid w:val="000A63DC"/>
    <w:rsid w:val="00114FA9"/>
    <w:rsid w:val="001178CC"/>
    <w:rsid w:val="00117985"/>
    <w:rsid w:val="00122B56"/>
    <w:rsid w:val="00170041"/>
    <w:rsid w:val="001D0337"/>
    <w:rsid w:val="00212635"/>
    <w:rsid w:val="00377F8F"/>
    <w:rsid w:val="003D4AFE"/>
    <w:rsid w:val="003E6D27"/>
    <w:rsid w:val="0041767B"/>
    <w:rsid w:val="00462BE4"/>
    <w:rsid w:val="004739E7"/>
    <w:rsid w:val="004B738D"/>
    <w:rsid w:val="004C4B20"/>
    <w:rsid w:val="004F0274"/>
    <w:rsid w:val="004F452A"/>
    <w:rsid w:val="0051221F"/>
    <w:rsid w:val="005169BE"/>
    <w:rsid w:val="00517B18"/>
    <w:rsid w:val="005246AE"/>
    <w:rsid w:val="005A39CA"/>
    <w:rsid w:val="005B4619"/>
    <w:rsid w:val="005C6676"/>
    <w:rsid w:val="006149B5"/>
    <w:rsid w:val="006173E6"/>
    <w:rsid w:val="00632641"/>
    <w:rsid w:val="00655420"/>
    <w:rsid w:val="00660F29"/>
    <w:rsid w:val="00664C56"/>
    <w:rsid w:val="00712F2D"/>
    <w:rsid w:val="00727B7B"/>
    <w:rsid w:val="007629D4"/>
    <w:rsid w:val="007A2CAD"/>
    <w:rsid w:val="007D42EA"/>
    <w:rsid w:val="007E60B1"/>
    <w:rsid w:val="007F4623"/>
    <w:rsid w:val="00810FCF"/>
    <w:rsid w:val="00845B16"/>
    <w:rsid w:val="00866EA7"/>
    <w:rsid w:val="00893D45"/>
    <w:rsid w:val="008B4046"/>
    <w:rsid w:val="008D162F"/>
    <w:rsid w:val="008F6001"/>
    <w:rsid w:val="009D2BB9"/>
    <w:rsid w:val="00A667DD"/>
    <w:rsid w:val="00C179C7"/>
    <w:rsid w:val="00C52F30"/>
    <w:rsid w:val="00C907E6"/>
    <w:rsid w:val="00C9422B"/>
    <w:rsid w:val="00D00E3F"/>
    <w:rsid w:val="00D624E4"/>
    <w:rsid w:val="00DA63B9"/>
    <w:rsid w:val="00DB27D4"/>
    <w:rsid w:val="00E26EE9"/>
    <w:rsid w:val="00E30150"/>
    <w:rsid w:val="00E37829"/>
    <w:rsid w:val="00F6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E6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2BB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D2BB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D2B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DA63B9"/>
    <w:pPr>
      <w:spacing w:after="100" w:line="259" w:lineRule="auto"/>
    </w:pPr>
    <w:rPr>
      <w:rFonts w:ascii="Calibri" w:eastAsia="Calibri" w:hAnsi="Calibr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DA63B9"/>
    <w:pPr>
      <w:spacing w:after="100" w:line="259" w:lineRule="auto"/>
      <w:ind w:left="220"/>
    </w:pPr>
    <w:rPr>
      <w:rFonts w:ascii="Calibri" w:eastAsia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DA63B9"/>
    <w:pPr>
      <w:spacing w:after="100" w:line="259" w:lineRule="auto"/>
      <w:ind w:left="440"/>
    </w:pPr>
    <w:rPr>
      <w:rFonts w:ascii="Calibri" w:eastAsia="Calibri" w:hAnsi="Calibri"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E26EE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26E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6EE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26EE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9D2BB9"/>
    <w:rPr>
      <w:b/>
      <w:bCs/>
    </w:rPr>
  </w:style>
  <w:style w:type="character" w:styleId="nfase">
    <w:name w:val="Emphasis"/>
    <w:basedOn w:val="Fontepargpadro"/>
    <w:uiPriority w:val="20"/>
    <w:qFormat/>
    <w:rsid w:val="00E26EE9"/>
    <w:rPr>
      <w:i/>
      <w:iCs/>
    </w:rPr>
  </w:style>
  <w:style w:type="paragraph" w:styleId="SemEspaamento">
    <w:name w:val="No Spacing"/>
    <w:link w:val="SemEspaamentoChar"/>
    <w:uiPriority w:val="1"/>
    <w:qFormat/>
    <w:rsid w:val="00E26EE9"/>
    <w:pPr>
      <w:spacing w:after="0" w:line="240" w:lineRule="auto"/>
    </w:pPr>
    <w:rPr>
      <w:rFonts w:ascii="Calibri" w:hAnsi="Calibr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6EE9"/>
    <w:rPr>
      <w:rFonts w:ascii="Calibri" w:eastAsia="Calibri" w:hAnsi="Calibri"/>
    </w:rPr>
  </w:style>
  <w:style w:type="paragraph" w:styleId="PargrafodaLista">
    <w:name w:val="List Paragraph"/>
    <w:basedOn w:val="Normal"/>
    <w:uiPriority w:val="34"/>
    <w:qFormat/>
    <w:rsid w:val="009D2B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63B9"/>
    <w:pPr>
      <w:spacing w:before="480"/>
      <w:outlineLvl w:val="9"/>
    </w:pPr>
    <w:rPr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D2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D2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ernciaSutil">
    <w:name w:val="Subtle Reference"/>
    <w:uiPriority w:val="31"/>
    <w:qFormat/>
    <w:rsid w:val="009D2BB9"/>
    <w:rPr>
      <w:smallCaps/>
      <w:color w:val="5A5A5A"/>
    </w:rPr>
  </w:style>
  <w:style w:type="table" w:styleId="Tabelacomgrade">
    <w:name w:val="Table Grid"/>
    <w:basedOn w:val="Tabelanormal"/>
    <w:uiPriority w:val="59"/>
    <w:rsid w:val="006173E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173E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1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who.int/classifications/icd10/browse/2010/en" TargetMode="External"/><Relationship Id="rId4" Type="http://schemas.openxmlformats.org/officeDocument/2006/relationships/hyperlink" Target="http://apps.who.int/classifications/icd10/browse/2010/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2015-09-12T16:02:00Z</dcterms:created>
  <dcterms:modified xsi:type="dcterms:W3CDTF">2015-09-12T16:02:00Z</dcterms:modified>
</cp:coreProperties>
</file>