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3A" w:rsidRPr="004130DE" w:rsidRDefault="0082103A" w:rsidP="0082103A">
      <w:pPr>
        <w:tabs>
          <w:tab w:val="left" w:pos="720"/>
        </w:tabs>
        <w:spacing w:after="0" w:line="480" w:lineRule="auto"/>
        <w:rPr>
          <w:lang w:val="en-US"/>
        </w:rPr>
      </w:pPr>
    </w:p>
    <w:p w:rsidR="0082103A" w:rsidRPr="004130DE" w:rsidRDefault="0082103A" w:rsidP="0082103A">
      <w:pPr>
        <w:pStyle w:val="NoSpacing"/>
        <w:tabs>
          <w:tab w:val="left" w:pos="720"/>
        </w:tabs>
        <w:spacing w:line="480" w:lineRule="auto"/>
        <w:rPr>
          <w:rFonts w:asciiTheme="minorHAnsi" w:hAnsiTheme="minorHAnsi"/>
          <w:b/>
        </w:rPr>
      </w:pPr>
      <w:r w:rsidRPr="004130DE">
        <w:rPr>
          <w:b/>
          <w:lang w:val="en-US"/>
        </w:rPr>
        <w:t xml:space="preserve">SUPPLEMENTARY APPENDIX 1: </w:t>
      </w:r>
      <w:r w:rsidRPr="004130DE">
        <w:rPr>
          <w:rFonts w:asciiTheme="minorHAnsi" w:hAnsiTheme="minorHAnsi"/>
          <w:b/>
        </w:rPr>
        <w:t>Search of HTA organization websites for guidance related to quality assessment of ethics analysis</w:t>
      </w:r>
    </w:p>
    <w:p w:rsidR="0082103A" w:rsidRPr="004130DE" w:rsidRDefault="0082103A" w:rsidP="0082103A">
      <w:pPr>
        <w:pStyle w:val="Default"/>
        <w:tabs>
          <w:tab w:val="left" w:pos="720"/>
        </w:tabs>
        <w:spacing w:line="480" w:lineRule="auto"/>
        <w:rPr>
          <w:rFonts w:asciiTheme="minorHAnsi" w:hAnsiTheme="minorHAnsi"/>
          <w:sz w:val="22"/>
          <w:szCs w:val="22"/>
          <w:lang w:val="en-AU"/>
        </w:rPr>
      </w:pPr>
    </w:p>
    <w:p w:rsidR="0082103A" w:rsidRPr="004130DE" w:rsidRDefault="0082103A" w:rsidP="0082103A">
      <w:pPr>
        <w:pStyle w:val="Default"/>
        <w:tabs>
          <w:tab w:val="left" w:pos="720"/>
        </w:tabs>
        <w:spacing w:line="480" w:lineRule="auto"/>
      </w:pPr>
      <w:r w:rsidRPr="004130DE">
        <w:rPr>
          <w:rFonts w:asciiTheme="minorHAnsi" w:hAnsiTheme="minorHAnsi"/>
          <w:sz w:val="22"/>
          <w:szCs w:val="22"/>
        </w:rPr>
        <w:t>Organizations are listed alphabetically by country. Organization websites were searched between February and April 2015.</w:t>
      </w:r>
      <w:r w:rsidRPr="004130DE">
        <w:t xml:space="preserve"> “Potential guidance identified” indicates documents that were identified</w:t>
      </w:r>
      <w:r>
        <w:t xml:space="preserve"> </w:t>
      </w:r>
      <w:r w:rsidRPr="004130DE">
        <w:t xml:space="preserve">based on  liberal screening criteria. These documents were subsequently examined in greater detail to determine relevance. See description of the search and results in main text titled “Updated Search”. </w:t>
      </w:r>
    </w:p>
    <w:p w:rsidR="0082103A" w:rsidRPr="004130DE" w:rsidRDefault="0082103A" w:rsidP="0082103A">
      <w:pPr>
        <w:pStyle w:val="Default"/>
        <w:tabs>
          <w:tab w:val="left" w:pos="720"/>
        </w:tabs>
        <w:spacing w:line="48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410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3294"/>
        <w:gridCol w:w="3544"/>
        <w:gridCol w:w="1068"/>
        <w:gridCol w:w="975"/>
        <w:gridCol w:w="8"/>
        <w:gridCol w:w="2551"/>
        <w:gridCol w:w="34"/>
        <w:gridCol w:w="1801"/>
        <w:gridCol w:w="8"/>
      </w:tblGrid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  <w:ind w:left="360"/>
              <w:rPr>
                <w:b/>
                <w:bCs/>
              </w:rPr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  <w:rPr>
                <w:b/>
                <w:bCs/>
              </w:rPr>
            </w:pPr>
            <w:r w:rsidRPr="004130DE">
              <w:rPr>
                <w:b/>
                <w:bCs/>
              </w:rPr>
              <w:t>HTA agency or organization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  <w:rPr>
                <w:b/>
                <w:bCs/>
              </w:rPr>
            </w:pPr>
            <w:r w:rsidRPr="004130DE">
              <w:rPr>
                <w:b/>
                <w:bCs/>
              </w:rPr>
              <w:t>Country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  <w:rPr>
                <w:b/>
                <w:bCs/>
              </w:rPr>
            </w:pPr>
            <w:r w:rsidRPr="004130DE">
              <w:rPr>
                <w:b/>
                <w:bCs/>
              </w:rPr>
              <w:t>URL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  <w:rPr>
                <w:b/>
                <w:bCs/>
              </w:rPr>
            </w:pPr>
            <w:r w:rsidRPr="004130DE">
              <w:rPr>
                <w:b/>
                <w:bCs/>
              </w:rPr>
              <w:t>Potential guidance identified?</w:t>
            </w:r>
          </w:p>
        </w:tc>
        <w:tc>
          <w:tcPr>
            <w:tcW w:w="4394" w:type="dxa"/>
            <w:gridSpan w:val="4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  <w:rPr>
                <w:b/>
                <w:bCs/>
              </w:rPr>
            </w:pPr>
            <w:r w:rsidRPr="004130DE">
              <w:rPr>
                <w:b/>
                <w:bCs/>
              </w:rPr>
              <w:t>Potential guidance document</w:t>
            </w: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World Health Organization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International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www.who.int/health-technology-assessment/en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INAHTA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International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www.inahta.org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ISPOR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International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www.ispor.org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EUR-ASSESS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International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www.cgh.uottawa.ca/whocc/projects/nb_toolkit/chp2/t_eur.htm</w:t>
            </w:r>
          </w:p>
        </w:tc>
        <w:tc>
          <w:tcPr>
            <w:tcW w:w="2043" w:type="dxa"/>
            <w:gridSpan w:val="2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EUnetHTA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International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www.eunethta.eu</w:t>
            </w:r>
          </w:p>
        </w:tc>
        <w:tc>
          <w:tcPr>
            <w:tcW w:w="2043" w:type="dxa"/>
            <w:gridSpan w:val="2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European Collaboration for Assessment of Health Interventions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International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www.oeaw.ac.at/ita/en/projects/echta/overview</w:t>
            </w:r>
          </w:p>
        </w:tc>
        <w:tc>
          <w:tcPr>
            <w:tcW w:w="2043" w:type="dxa"/>
            <w:gridSpan w:val="2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Euroscan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International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euroscan.org.uk/methods</w:t>
            </w:r>
          </w:p>
        </w:tc>
        <w:tc>
          <w:tcPr>
            <w:tcW w:w="2043" w:type="dxa"/>
            <w:gridSpan w:val="2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Yes 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euroscan.org.uk/methods/</w:t>
            </w: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Australian Safety and Efficacy Register of New Interventional Procedures - Surgical (ASERNIP-S) Australia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www.surgeons.org/for-health-professionals/audits-and-surgical-research/asernip-s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Yes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  <w:rPr>
                <w:u w:val="single"/>
              </w:rPr>
            </w:pPr>
            <w:r w:rsidRPr="004130DE">
              <w:t xml:space="preserve">www.surgeons.org/media/291041/General_guidelines_for_assessing_approving_and_introducing_new_surgical_procedures.pdf  </w:t>
            </w: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Centre for Clinical Effectiveness, Monash University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Australia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www.med.monash.edu.au/sphpm/divisions/mchri/cce.html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Medicare Services Advisory Committee, Department of Health and Aging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Australia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www.msac.gov.au/</w:t>
            </w:r>
            <w:r w:rsidRPr="004130DE">
              <w:t xml:space="preserve">  and </w:t>
            </w:r>
            <w:r w:rsidRPr="002F3C16">
              <w:t>www.health.gov.au/hta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Institute of Technology Assessment 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Austria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www.oeaw.ac.at/ita/en/home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Ludwig Boltzmann Institute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Austria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hta.lbg.ac.at/page/homepage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Gesunheit Österreich (GOG)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Austria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www.goeg.at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  <w:rPr>
                <w:lang w:val="pt-BR"/>
              </w:rPr>
            </w:pPr>
            <w:r w:rsidRPr="004130DE">
              <w:rPr>
                <w:lang w:val="pt-BR"/>
              </w:rPr>
              <w:t>Federal Kenniscentrum voor de Gezendheidszorg (KCE)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Belgium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kce.fgov.be/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Yes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kce.fgov.be/sites/default/files/page_documents/d20091027309.pdf</w:t>
            </w: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Canadian Agency for Drugs and Technologies in Health (CADTH)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Canada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www.cadth.ca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L’Institut national d’excellence en santé et en services sociaux (INESSS) 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Canada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www.inesss.qc.ca/en/home.html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Centre for Health Services and Policy Research, University of British Columbia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lastRenderedPageBreak/>
              <w:t>Canada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lastRenderedPageBreak/>
              <w:t>www.chspr.ubc.ca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Institute for Clinical Evaluative Sciences (ICES) 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Canada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www.ices.on.ca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Institute of Health Economics (IHE)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Canada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www.ihe.ca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The Technology Assessment Unit of the McGill University Health 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Centre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Canada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www.mcgill.ca/tau/technology-assessment-unit-mcgill-university-health-centre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National Health Development Research Center (NHDRC)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China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www.nhei.cn/nhei_en/center_en/web/index.jsp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Key Lab of Health Technology Assessment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China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chta.shmu.cn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Agency for Quality and Accreditation in Health Care and Social Welfare (AAZ)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Croatia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aaz.hr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DACEHTA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Denmark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(DACEHTA was closed in 2012)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sundhedsstyrelsen.dk/en/health/quality-and-guidelines/centre-for-health-technology-assessment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Yes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  <w:rPr>
                <w:u w:val="single"/>
              </w:rPr>
            </w:pPr>
            <w:r w:rsidRPr="002F3C16">
              <w:t>sundhedsstyrelsen.dk/publ/publ2008/mtv/metode/hta_handbook_net_final.pdf</w:t>
            </w:r>
            <w:r w:rsidRPr="004130DE">
              <w:t xml:space="preserve"> </w:t>
            </w: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Danish Institute for Health Services Research and Development (DSI)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Denmark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www.kora.dk/about-kora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Committee for Evaluation and Dissemination of Innovative Technologies (CEDIT)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France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cedit.aphp.fr/cedit-hta-agency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  <w:rPr>
                <w:lang w:val="es-ES_tradnl"/>
              </w:rPr>
            </w:pPr>
            <w:r w:rsidRPr="004130DE">
              <w:rPr>
                <w:lang w:val="es-ES_tradnl"/>
              </w:rPr>
              <w:t xml:space="preserve">Ministère des Affaires sociales, de la Santé et des Droits des femmes 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France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www.social-sante.gouv.fr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Haute Autorité Santé (HAS)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France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www.has-sante.fr/portail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Yes</w:t>
            </w:r>
          </w:p>
        </w:tc>
        <w:tc>
          <w:tcPr>
            <w:tcW w:w="4394" w:type="dxa"/>
            <w:gridSpan w:val="4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  <w:rPr>
                <w:u w:val="single"/>
              </w:rPr>
            </w:pPr>
            <w:r w:rsidRPr="002F3C16">
              <w:t>www.has-sante.fr/portail/upload/docs/application/pdf/2014-11/assessment_of_ethical_aspects.pdf</w:t>
            </w:r>
            <w:r w:rsidRPr="004130DE">
              <w:t xml:space="preserve">  </w:t>
            </w: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German Institute of Medical Documentation and Information (DiMDI)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Germany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www.dimdi.de/static/en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Institute for Quality and Efficiency in Health Care (IQWIG)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Germany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www.iqwig.de/en/home.2724.html</w:t>
            </w:r>
            <w:r w:rsidRPr="004130DE">
              <w:t xml:space="preserve"> 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2043" w:type="dxa"/>
            <w:gridSpan w:val="2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Health Information and Quality Authority (HIQA)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Ireland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www.hiqa.ie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Yes </w:t>
            </w:r>
          </w:p>
        </w:tc>
        <w:tc>
          <w:tcPr>
            <w:tcW w:w="4394" w:type="dxa"/>
            <w:gridSpan w:val="4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www.hiqa.ie/system/files/HTA-Guidelines-Stakeholder-Engagement.pdf</w:t>
            </w:r>
            <w:r w:rsidRPr="004130DE">
              <w:t xml:space="preserve"> 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  <w:rPr>
                <w:u w:val="single"/>
              </w:rPr>
            </w:pPr>
            <w:r w:rsidRPr="002F3C16">
              <w:t>www.hiqa.ie/system/files/Revised_Economic_Guidelines_posted_100714.pdf</w:t>
            </w:r>
            <w:r w:rsidRPr="004130DE">
              <w:t xml:space="preserve"> </w:t>
            </w: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Indian Institute of Health Management Research (IIHMR)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India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www.iihmr.org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Israel Center for Technology Assessment in Health Care (ICTAHC)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Israel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www.gertnerinst.org.il/e/health_policy_e/technology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National Institute of Public Health/ Department of Technology Assessment and Biostatistics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Japan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www.niph.go.jp/soshiki/06seisaku/index_en.html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Health Technology Assessment Section, Ministry of Health (MaHTAS)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Malaysia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medicaldev.moh.gov.my/v2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3"/>
          <w:wAfter w:w="1843" w:type="dxa"/>
          <w:trHeight w:val="300"/>
        </w:trPr>
        <w:tc>
          <w:tcPr>
            <w:tcW w:w="817" w:type="dxa"/>
            <w:tcBorders>
              <w:right w:val="nil"/>
            </w:tcBorders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tcBorders>
              <w:left w:val="nil"/>
              <w:bottom w:val="single" w:sz="4" w:space="0" w:color="auto"/>
              <w:right w:val="nil"/>
            </w:tcBorders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New Zealand Health Technology Assessment (NZHTA)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New Zealand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www.otago.ac.nz/christchurch/research/nzhta</w:t>
            </w:r>
            <w:r w:rsidRPr="004130DE">
              <w:t xml:space="preserve"> </w:t>
            </w:r>
          </w:p>
        </w:tc>
        <w:tc>
          <w:tcPr>
            <w:tcW w:w="205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No 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3"/>
          <w:wAfter w:w="1843" w:type="dxa"/>
          <w:trHeight w:val="300"/>
        </w:trPr>
        <w:tc>
          <w:tcPr>
            <w:tcW w:w="817" w:type="dxa"/>
            <w:tcBorders>
              <w:right w:val="nil"/>
            </w:tcBorders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Dutch National Health Care Institute (ZiN) 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Netherlands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www.zorginstituutnederland.nl</w:t>
            </w:r>
            <w:r w:rsidRPr="004130DE">
              <w:t xml:space="preserve">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3"/>
          <w:wAfter w:w="1843" w:type="dxa"/>
          <w:trHeight w:val="300"/>
        </w:trPr>
        <w:tc>
          <w:tcPr>
            <w:tcW w:w="817" w:type="dxa"/>
            <w:tcBorders>
              <w:right w:val="nil"/>
            </w:tcBorders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right w:val="nil"/>
            </w:tcBorders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Health Council of the Netherlands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Netherlands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www.gr.nl/en/home</w:t>
            </w:r>
            <w:r w:rsidRPr="004130DE">
              <w:t xml:space="preserve">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  <w:r w:rsidRPr="004130DE">
              <w:lastRenderedPageBreak/>
              <w:t>No</w:t>
            </w: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Norwegian Knowledge Centre for Health Services (NOKC)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Norway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www.kunnskapssenteret.no/en/frontpage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Agency for Health Technology Assessment in Poland (AOTM)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Poland  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www.aotm.gov.pl/www/index.php?id=398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2"/>
          <w:wAfter w:w="1809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National Evidence-based Healthcare Collaborating Agency (NECA)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South Korea</w:t>
            </w:r>
          </w:p>
        </w:tc>
        <w:tc>
          <w:tcPr>
            <w:tcW w:w="354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neca.re.kr/eng</w:t>
            </w:r>
            <w:r w:rsidRPr="004130DE">
              <w:t xml:space="preserve"> </w:t>
            </w:r>
          </w:p>
        </w:tc>
        <w:tc>
          <w:tcPr>
            <w:tcW w:w="1068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3568" w:type="dxa"/>
            <w:gridSpan w:val="4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Ministry of Health/ Health Insurance Review &amp; Assessment Agency (HIRA)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South Korea</w:t>
            </w:r>
          </w:p>
        </w:tc>
        <w:tc>
          <w:tcPr>
            <w:tcW w:w="354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www.hira.or.kr/eng/index.html</w:t>
            </w:r>
            <w:r w:rsidRPr="004130DE">
              <w:t xml:space="preserve"> </w:t>
            </w:r>
          </w:p>
        </w:tc>
        <w:tc>
          <w:tcPr>
            <w:tcW w:w="2051" w:type="dxa"/>
            <w:gridSpan w:val="3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  <w:rPr>
                <w:lang w:val="es-ES_tradnl"/>
              </w:rPr>
            </w:pPr>
            <w:r w:rsidRPr="004130DE">
              <w:rPr>
                <w:lang w:val="es-ES_tradnl"/>
              </w:rPr>
              <w:t>Instituto de Salud “Carlos III”/ Agencia de Evaluación de Tecnologias Sanitarias (AETS)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Spain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www.isciii.es/ISCIII/es/contenidos/fd-el-instituto/fd-organizacion/fd-estructura-directiva/fd-subdireccion-general-investigacion-terapia-celular-medicina-regenerativa/fd-centros-unidades/fd-agencia-evaluacion-tecnologias-</w:t>
            </w:r>
            <w:r w:rsidRPr="002F3C16">
              <w:lastRenderedPageBreak/>
              <w:t>sanitarias/presentacion-e-historia-aets.shtml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lastRenderedPageBreak/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Basque Office for Health Technology Assessment (OSTEBA)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Spain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www.osakidetza.euskadi.eus/osteba/en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Agència de Qualitat i Avaluació Sanitàries de Catalunya (formerly CAHTA, now AQuAS)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Spain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aquas.gencat.cat/ca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The Swedish Council on Health Technology Assessment (SBU)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Sweden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www.sbu.se/en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Swiss Network for Health Technology Assessment (SNHTA)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Switzerland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www.snhta.ch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Health Intervention and Technology Assessment Program (HiTAP)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Thailand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www.hitap.net/en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The National Institute for Health and Care Excellence (NICE)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United Kingdom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www.nice.org.uk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National Horizon Scanning and Research Intelligence Centre (HSRIC) 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United Kingdom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www.hsric.nihr.ac.uk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NIHR Health Technology Assessment Programme 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United Kingdom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www.nets.nihr.ac.uk/programmes/hta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 NHS Quality Improvement Scotland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United Kingdom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www.qihub.scot.nhs.uk/home.aspx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University of York Centre for Reviews and Dissemination 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United Kingdom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www.york.ac.uk/crd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Agency for Healthcare Research and Quality (AHRQ)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United States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www.ahrq.gov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ECRI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lastRenderedPageBreak/>
              <w:t>United States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lastRenderedPageBreak/>
              <w:t>www.ecri.org/Pages/default.aspx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130D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 xml:space="preserve">Institute for Clinical Systems Improvement (ICSI) 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United States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www.icsi.org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  <w:tr w:rsidR="0082103A" w:rsidRPr="004500AE" w:rsidTr="00AC0FF1">
        <w:trPr>
          <w:gridAfter w:val="1"/>
          <w:wAfter w:w="8" w:type="dxa"/>
          <w:trHeight w:val="300"/>
        </w:trPr>
        <w:tc>
          <w:tcPr>
            <w:tcW w:w="817" w:type="dxa"/>
          </w:tcPr>
          <w:p w:rsidR="0082103A" w:rsidRPr="004130DE" w:rsidRDefault="0082103A" w:rsidP="00AC0FF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480" w:lineRule="auto"/>
            </w:pPr>
          </w:p>
        </w:tc>
        <w:tc>
          <w:tcPr>
            <w:tcW w:w="3294" w:type="dxa"/>
            <w:noWrap/>
            <w:hideMark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Blue Cross and Blue Shield Association's Technology Evaluation Center (TEC)</w:t>
            </w:r>
          </w:p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United States</w:t>
            </w:r>
          </w:p>
        </w:tc>
        <w:tc>
          <w:tcPr>
            <w:tcW w:w="3544" w:type="dxa"/>
          </w:tcPr>
          <w:p w:rsidR="0082103A" w:rsidRPr="004130DE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2F3C16">
              <w:t>www.bcbs.com/blueresources/tec</w:t>
            </w:r>
            <w:r w:rsidRPr="004130DE">
              <w:t xml:space="preserve"> </w:t>
            </w:r>
          </w:p>
        </w:tc>
        <w:tc>
          <w:tcPr>
            <w:tcW w:w="2043" w:type="dxa"/>
            <w:gridSpan w:val="2"/>
            <w:noWrap/>
          </w:tcPr>
          <w:p w:rsidR="0082103A" w:rsidRDefault="0082103A" w:rsidP="00AC0FF1">
            <w:pPr>
              <w:tabs>
                <w:tab w:val="left" w:pos="720"/>
              </w:tabs>
              <w:spacing w:after="0" w:line="480" w:lineRule="auto"/>
            </w:pPr>
            <w:r w:rsidRPr="004130DE">
              <w:t>No</w:t>
            </w:r>
          </w:p>
        </w:tc>
        <w:tc>
          <w:tcPr>
            <w:tcW w:w="4394" w:type="dxa"/>
            <w:gridSpan w:val="4"/>
            <w:noWrap/>
          </w:tcPr>
          <w:p w:rsidR="0082103A" w:rsidRPr="004500AE" w:rsidRDefault="0082103A" w:rsidP="00AC0FF1">
            <w:pPr>
              <w:tabs>
                <w:tab w:val="left" w:pos="720"/>
              </w:tabs>
              <w:spacing w:after="0" w:line="480" w:lineRule="auto"/>
            </w:pPr>
          </w:p>
        </w:tc>
      </w:tr>
    </w:tbl>
    <w:p w:rsidR="0082103A" w:rsidRPr="007E2C0E" w:rsidRDefault="0082103A" w:rsidP="0082103A">
      <w:pPr>
        <w:pStyle w:val="NoSpacing"/>
        <w:tabs>
          <w:tab w:val="left" w:pos="720"/>
        </w:tabs>
        <w:spacing w:line="480" w:lineRule="auto"/>
        <w:rPr>
          <w:lang w:val="en-US"/>
        </w:rPr>
      </w:pPr>
    </w:p>
    <w:p w:rsidR="00091D61" w:rsidRDefault="0082103A">
      <w:bookmarkStart w:id="0" w:name="_GoBack"/>
      <w:bookmarkEnd w:id="0"/>
    </w:p>
    <w:sectPr w:rsidR="00091D61" w:rsidSect="003E202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C50"/>
    <w:multiLevelType w:val="hybridMultilevel"/>
    <w:tmpl w:val="2A2EAF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3A"/>
    <w:rsid w:val="00464A6F"/>
    <w:rsid w:val="0082103A"/>
    <w:rsid w:val="00D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43BA4-A8CD-4432-A133-6BA68570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3A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103A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uiPriority w:val="34"/>
    <w:qFormat/>
    <w:rsid w:val="0082103A"/>
    <w:pPr>
      <w:ind w:left="720"/>
      <w:contextualSpacing/>
    </w:pPr>
  </w:style>
  <w:style w:type="paragraph" w:customStyle="1" w:styleId="Default">
    <w:name w:val="Default"/>
    <w:rsid w:val="008210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3A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82103A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Seehafer</dc:creator>
  <cp:keywords/>
  <dc:description/>
  <cp:lastModifiedBy>Sally Seehafer</cp:lastModifiedBy>
  <cp:revision>1</cp:revision>
  <dcterms:created xsi:type="dcterms:W3CDTF">2016-10-17T21:00:00Z</dcterms:created>
  <dcterms:modified xsi:type="dcterms:W3CDTF">2016-10-17T21:01:00Z</dcterms:modified>
</cp:coreProperties>
</file>