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A7" w:rsidRPr="00945BA7" w:rsidRDefault="00945BA7" w:rsidP="00945BA7">
      <w:pPr>
        <w:rPr>
          <w:rFonts w:ascii="Times New Roman" w:hAnsi="Times New Roman" w:cs="Times New Roman"/>
          <w:b/>
          <w:sz w:val="22"/>
        </w:rPr>
      </w:pPr>
      <w:r w:rsidRPr="00945BA7">
        <w:rPr>
          <w:rFonts w:ascii="Times New Roman" w:hAnsi="Times New Roman" w:cs="Times New Roman"/>
          <w:b/>
          <w:sz w:val="22"/>
        </w:rPr>
        <w:t>Supplementary Table</w:t>
      </w:r>
      <w:r w:rsidRPr="00945BA7">
        <w:rPr>
          <w:rFonts w:ascii="Times New Roman" w:hAnsi="Times New Roman" w:cs="Times New Roman" w:hint="eastAsia"/>
          <w:b/>
          <w:sz w:val="22"/>
        </w:rPr>
        <w:t xml:space="preserve"> 1.</w:t>
      </w:r>
      <w:r w:rsidRPr="00945BA7">
        <w:rPr>
          <w:rFonts w:ascii="Times New Roman" w:hAnsi="Times New Roman" w:cs="Times New Roman"/>
          <w:b/>
          <w:sz w:val="22"/>
        </w:rPr>
        <w:t xml:space="preserve"> Search Strategy in </w:t>
      </w:r>
      <w:proofErr w:type="spellStart"/>
      <w:r w:rsidRPr="00945BA7">
        <w:rPr>
          <w:rFonts w:ascii="Times New Roman" w:hAnsi="Times New Roman" w:cs="Times New Roman"/>
          <w:b/>
          <w:sz w:val="22"/>
        </w:rPr>
        <w:t>Pubmed</w:t>
      </w:r>
      <w:proofErr w:type="spellEnd"/>
      <w:r w:rsidRPr="00945BA7">
        <w:rPr>
          <w:rFonts w:ascii="Times New Roman" w:hAnsi="Times New Roman" w:cs="Times New Roman"/>
          <w:b/>
          <w:sz w:val="22"/>
        </w:rPr>
        <w:t xml:space="preserve"> 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9214"/>
      </w:tblGrid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ID</w:t>
            </w:r>
          </w:p>
        </w:tc>
        <w:tc>
          <w:tcPr>
            <w:tcW w:w="9214" w:type="dxa"/>
            <w:noWrap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Query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((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or anti-TNF therapy)) AND clinical trial Schema: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nomesh</w:t>
            </w:r>
            <w:proofErr w:type="spellEnd"/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(ankylosing spondylitis)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anti tumor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necrosis factor therapy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3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((ankylosing spondylitis)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) OR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anti tumor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necrosis factor therapy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4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((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 spondylitis)) AND randomized controlled trial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5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((25 mg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)) OR 50mg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6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(TNF blocker) OR ((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>) AND randomized controlled trial)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7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>) AND randomized controlled trial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8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or anti-TNF therapy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9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10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 spondylitis or anti-TNF therapy Filters: Clinical Trial; Randomized Controlled Trial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11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 spondylitis or anti-TNF therapy Filters: Clinical Trial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12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 spondylitis or anti-TNF therapy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13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 spondylitis or anti-TNF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14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 spondylitis and anti-TNF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15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 spondylitis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ankylosing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dosing period ankylosing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1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treatment pattern of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# 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19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persistence of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duration of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and ankylosing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duration of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antidrug antibodies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25 mg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dose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dose separation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Schema: all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dose separation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benefit of dose separation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  <w:r w:rsidRPr="00945BA7">
              <w:rPr>
                <w:rFonts w:ascii="Times New Roman" w:hAnsi="Times New Roman" w:cs="Times New Roman"/>
                <w:sz w:val="22"/>
              </w:rPr>
              <w:t xml:space="preserve"> Schema: all</w:t>
            </w:r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># 2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ind w:firstLineChars="50" w:firstLine="110"/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benefit of dose separation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</w:p>
        </w:tc>
      </w:tr>
      <w:tr w:rsidR="00945BA7" w:rsidRPr="00945BA7" w:rsidTr="00BC3889">
        <w:trPr>
          <w:trHeight w:val="348"/>
        </w:trPr>
        <w:tc>
          <w:tcPr>
            <w:tcW w:w="710" w:type="dxa"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# </w:t>
            </w:r>
            <w:r w:rsidRPr="00945BA7">
              <w:rPr>
                <w:rFonts w:ascii="Times New Roman" w:hAnsi="Times New Roman" w:cs="Times New Roman" w:hint="eastAsia"/>
                <w:sz w:val="22"/>
              </w:rPr>
              <w:t>29</w:t>
            </w:r>
          </w:p>
        </w:tc>
        <w:tc>
          <w:tcPr>
            <w:tcW w:w="9214" w:type="dxa"/>
            <w:noWrap/>
            <w:hideMark/>
          </w:tcPr>
          <w:p w:rsidR="00945BA7" w:rsidRPr="00945BA7" w:rsidRDefault="00945BA7" w:rsidP="00BC3889">
            <w:pPr>
              <w:rPr>
                <w:rFonts w:ascii="Times New Roman" w:hAnsi="Times New Roman" w:cs="Times New Roman"/>
                <w:sz w:val="22"/>
              </w:rPr>
            </w:pPr>
            <w:r w:rsidRPr="00945BA7">
              <w:rPr>
                <w:rFonts w:ascii="Times New Roman" w:hAnsi="Times New Roman" w:cs="Times New Roman"/>
                <w:sz w:val="22"/>
              </w:rPr>
              <w:t xml:space="preserve"> pharmacokinetic and </w:t>
            </w:r>
            <w:proofErr w:type="spellStart"/>
            <w:r w:rsidRPr="00945BA7">
              <w:rPr>
                <w:rFonts w:ascii="Times New Roman" w:hAnsi="Times New Roman" w:cs="Times New Roman"/>
                <w:sz w:val="22"/>
              </w:rPr>
              <w:t>etanercept</w:t>
            </w:r>
            <w:proofErr w:type="spellEnd"/>
          </w:p>
        </w:tc>
      </w:tr>
    </w:tbl>
    <w:p w:rsidR="00945BA7" w:rsidRPr="00945BA7" w:rsidRDefault="00945BA7" w:rsidP="00945BA7">
      <w:pPr>
        <w:rPr>
          <w:rFonts w:ascii="Times New Roman" w:hAnsi="Times New Roman" w:cs="Times New Roman"/>
          <w:i/>
          <w:sz w:val="22"/>
        </w:rPr>
      </w:pPr>
    </w:p>
    <w:p w:rsidR="00B46FE9" w:rsidRPr="00945BA7" w:rsidRDefault="00B46FE9">
      <w:pPr>
        <w:rPr>
          <w:sz w:val="22"/>
        </w:rPr>
      </w:pPr>
    </w:p>
    <w:p w:rsidR="00945BA7" w:rsidRDefault="00945BA7" w:rsidP="00945BA7">
      <w:pPr>
        <w:pStyle w:val="a3"/>
        <w:wordWrap/>
        <w:spacing w:line="360" w:lineRule="auto"/>
        <w:rPr>
          <w:rFonts w:ascii="Times New Roman" w:hAnsi="Times New Roman"/>
          <w:b/>
          <w:sz w:val="22"/>
        </w:rPr>
      </w:pPr>
    </w:p>
    <w:p w:rsidR="00945BA7" w:rsidRDefault="00945BA7" w:rsidP="00945BA7">
      <w:pPr>
        <w:pStyle w:val="a3"/>
        <w:wordWrap/>
        <w:spacing w:line="360" w:lineRule="auto"/>
        <w:rPr>
          <w:rFonts w:ascii="Times New Roman" w:hAnsi="Times New Roman"/>
          <w:b/>
          <w:sz w:val="22"/>
        </w:rPr>
      </w:pPr>
    </w:p>
    <w:p w:rsidR="00945BA7" w:rsidRPr="00945BA7" w:rsidRDefault="00945BA7" w:rsidP="00945BA7">
      <w:pPr>
        <w:pStyle w:val="a3"/>
        <w:wordWrap/>
        <w:spacing w:line="360" w:lineRule="auto"/>
        <w:rPr>
          <w:rFonts w:ascii="Times New Roman" w:hAnsi="Times New Roman" w:hint="eastAsia"/>
          <w:b/>
          <w:sz w:val="22"/>
        </w:rPr>
      </w:pPr>
    </w:p>
    <w:p w:rsidR="00945BA7" w:rsidRPr="00945BA7" w:rsidRDefault="00945BA7" w:rsidP="00945BA7">
      <w:pPr>
        <w:pStyle w:val="a3"/>
        <w:wordWrap/>
        <w:spacing w:line="360" w:lineRule="auto"/>
        <w:rPr>
          <w:rFonts w:ascii="Times New Roman" w:hAnsi="Times New Roman"/>
          <w:b/>
          <w:sz w:val="22"/>
        </w:rPr>
      </w:pPr>
      <w:r w:rsidRPr="00945BA7">
        <w:rPr>
          <w:rFonts w:ascii="Times New Roman" w:hAnsi="Times New Roman"/>
          <w:b/>
          <w:sz w:val="22"/>
        </w:rPr>
        <w:lastRenderedPageBreak/>
        <w:t>Supplementary Table 2. Meta-analysis of efficacy evaluated by BASFI and BASDAI scores</w:t>
      </w:r>
      <w:r w:rsidRPr="00945BA7">
        <w:rPr>
          <w:rFonts w:ascii="Times New Roman" w:hAnsi="Times New Roman"/>
          <w:b/>
          <w:sz w:val="22"/>
        </w:rPr>
        <w:tab/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799"/>
        <w:gridCol w:w="1942"/>
        <w:gridCol w:w="968"/>
        <w:gridCol w:w="555"/>
        <w:gridCol w:w="1522"/>
        <w:gridCol w:w="1520"/>
      </w:tblGrid>
      <w:tr w:rsidR="00945BA7" w:rsidRPr="00945BA7" w:rsidTr="00BC3889"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Outcome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Subgroups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pBdr>
                <w:top w:val="single" w:sz="4" w:space="0" w:color="auto"/>
              </w:pBdr>
              <w:ind w:firstLineChars="200" w:firstLine="440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Test for overall effect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BA7" w:rsidRPr="00945BA7" w:rsidRDefault="00945BA7" w:rsidP="00BC3889">
            <w:pPr>
              <w:pStyle w:val="a3"/>
              <w:pBdr>
                <w:top w:val="single" w:sz="4" w:space="0" w:color="auto"/>
              </w:pBdr>
              <w:ind w:firstLineChars="650" w:firstLine="143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pBdr>
                <w:top w:val="single" w:sz="4" w:space="0" w:color="auto"/>
              </w:pBdr>
              <w:ind w:firstLineChars="350" w:firstLine="770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Heterogeneity</w:t>
            </w:r>
          </w:p>
        </w:tc>
      </w:tr>
      <w:tr w:rsidR="00945BA7" w:rsidRPr="00945BA7" w:rsidTr="00BC3889"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 xml:space="preserve"> MD (95% CI)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i/>
                <w:sz w:val="22"/>
              </w:rPr>
              <w:t>p</w:t>
            </w:r>
            <w:r w:rsidRPr="00945BA7">
              <w:rPr>
                <w:rFonts w:ascii="Times New Roman" w:hAnsi="Times New Roman"/>
                <w:sz w:val="22"/>
              </w:rPr>
              <w:t>-value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i/>
                <w:sz w:val="22"/>
              </w:rPr>
              <w:t xml:space="preserve">I </w:t>
            </w:r>
            <w:r w:rsidRPr="00945BA7">
              <w:rPr>
                <w:rFonts w:ascii="Times New Roman" w:hAnsi="Times New Roman"/>
                <w:sz w:val="22"/>
                <w:vertAlign w:val="superscript"/>
              </w:rPr>
              <w:t>2</w:t>
            </w:r>
            <w:r w:rsidRPr="00945BA7">
              <w:rPr>
                <w:rFonts w:ascii="Times New Roman" w:hAnsi="Times New Roman"/>
                <w:sz w:val="22"/>
              </w:rPr>
              <w:t xml:space="preserve"> (%)</w:t>
            </w:r>
            <w:r w:rsidRPr="00945BA7">
              <w:rPr>
                <w:rFonts w:ascii="Times New Roman" w:hAnsi="Times New Roman"/>
                <w:sz w:val="22"/>
                <w:vertAlign w:val="superscript"/>
              </w:rPr>
              <w:t>a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i/>
                <w:sz w:val="22"/>
              </w:rPr>
              <w:t>p</w:t>
            </w:r>
            <w:r w:rsidRPr="00945BA7">
              <w:rPr>
                <w:rFonts w:ascii="Times New Roman" w:hAnsi="Times New Roman"/>
                <w:sz w:val="22"/>
              </w:rPr>
              <w:t>-</w:t>
            </w:r>
            <w:proofErr w:type="spellStart"/>
            <w:r w:rsidRPr="00945BA7">
              <w:rPr>
                <w:rFonts w:ascii="Times New Roman" w:hAnsi="Times New Roman"/>
                <w:sz w:val="22"/>
              </w:rPr>
              <w:t>value</w:t>
            </w:r>
            <w:r w:rsidRPr="00945BA7">
              <w:rPr>
                <w:rFonts w:ascii="Times New Roman" w:hAnsi="Times New Roman"/>
                <w:sz w:val="22"/>
                <w:vertAlign w:val="superscript"/>
              </w:rPr>
              <w:t>b</w:t>
            </w:r>
            <w:proofErr w:type="spellEnd"/>
          </w:p>
        </w:tc>
      </w:tr>
      <w:tr w:rsidR="00945BA7" w:rsidRPr="00945BA7" w:rsidTr="00BC3889"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 xml:space="preserve">BASFI  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Dose-related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945BA7" w:rsidRPr="00945BA7" w:rsidTr="00BC3889"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ind w:firstLineChars="100" w:firstLine="220"/>
              <w:jc w:val="left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 xml:space="preserve">25 </w:t>
            </w:r>
            <w:proofErr w:type="spellStart"/>
            <w:r w:rsidRPr="00945BA7">
              <w:rPr>
                <w:rFonts w:ascii="Times New Roman" w:hAnsi="Times New Roman"/>
                <w:sz w:val="22"/>
              </w:rPr>
              <w:t>mg</w:t>
            </w:r>
            <w:r w:rsidRPr="00945BA7">
              <w:rPr>
                <w:rFonts w:ascii="Times New Roman" w:hAnsi="Times New Roman"/>
                <w:sz w:val="22"/>
                <w:vertAlign w:val="superscript"/>
              </w:rPr>
              <w:t>c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-2.90 (-7.10, -1.30)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0.18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99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&lt;0.00001</w:t>
            </w:r>
          </w:p>
        </w:tc>
      </w:tr>
      <w:tr w:rsidR="00945BA7" w:rsidRPr="00945BA7" w:rsidTr="00BC3889"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ind w:firstLineChars="100" w:firstLine="220"/>
              <w:jc w:val="left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 xml:space="preserve">50 </w:t>
            </w:r>
            <w:proofErr w:type="spellStart"/>
            <w:r w:rsidRPr="00945BA7">
              <w:rPr>
                <w:rFonts w:ascii="Times New Roman" w:hAnsi="Times New Roman"/>
                <w:sz w:val="22"/>
              </w:rPr>
              <w:t>mg</w:t>
            </w:r>
            <w:r w:rsidRPr="00945BA7">
              <w:rPr>
                <w:rFonts w:ascii="Times New Roman" w:hAnsi="Times New Roman"/>
                <w:sz w:val="22"/>
                <w:vertAlign w:val="superscript"/>
              </w:rPr>
              <w:t>d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-1.83 (-4.11, -0.45)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0.12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Not applicable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</w:p>
        </w:tc>
      </w:tr>
      <w:tr w:rsidR="00945BA7" w:rsidRPr="00945BA7" w:rsidTr="00BC3889"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Duration-related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945BA7" w:rsidRPr="00945BA7" w:rsidTr="00BC3889"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 xml:space="preserve">Less than 12 </w:t>
            </w:r>
            <w:proofErr w:type="spellStart"/>
            <w:r w:rsidRPr="00945BA7">
              <w:rPr>
                <w:rFonts w:ascii="Times New Roman" w:hAnsi="Times New Roman"/>
                <w:sz w:val="22"/>
              </w:rPr>
              <w:t>weeks</w:t>
            </w:r>
            <w:r w:rsidRPr="00945BA7">
              <w:rPr>
                <w:rFonts w:ascii="Times New Roman" w:hAnsi="Times New Roman"/>
                <w:sz w:val="22"/>
                <w:vertAlign w:val="superscript"/>
              </w:rPr>
              <w:t>e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-11.21 (-11.63, -10.79)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&lt;0.00001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&lt;0.00001</w:t>
            </w:r>
          </w:p>
        </w:tc>
      </w:tr>
      <w:tr w:rsidR="00945BA7" w:rsidRPr="00945BA7" w:rsidTr="00BC3889"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12 weeks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-0.60 (-0.65, -0.55)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0.00001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:rsidR="00945BA7" w:rsidRPr="00945BA7" w:rsidDel="00AC5DEB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88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945BA7" w:rsidRPr="00945BA7" w:rsidTr="00BC3889"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 xml:space="preserve">More than 12 </w:t>
            </w:r>
            <w:proofErr w:type="spellStart"/>
            <w:r w:rsidRPr="00945BA7">
              <w:rPr>
                <w:rFonts w:ascii="Times New Roman" w:hAnsi="Times New Roman"/>
                <w:sz w:val="22"/>
              </w:rPr>
              <w:t>weeks</w:t>
            </w:r>
            <w:r w:rsidRPr="00945BA7">
              <w:rPr>
                <w:rFonts w:ascii="Times New Roman" w:hAnsi="Times New Roman"/>
                <w:sz w:val="22"/>
                <w:vertAlign w:val="superscript"/>
              </w:rPr>
              <w:t>e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ind w:firstLineChars="50" w:firstLine="110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0.01 (-0.83, 0.84)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0.99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92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wordWrap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&lt;0.00001</w:t>
            </w:r>
          </w:p>
        </w:tc>
      </w:tr>
      <w:tr w:rsidR="00945BA7" w:rsidRPr="00945BA7" w:rsidTr="00BC3889"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BASDAI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-9.94 (-26.33, 6.45)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BA7" w:rsidRPr="00945BA7" w:rsidDel="00AC5DEB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&lt;0.00001</w:t>
            </w:r>
          </w:p>
        </w:tc>
      </w:tr>
    </w:tbl>
    <w:p w:rsidR="00945BA7" w:rsidRPr="00945BA7" w:rsidRDefault="00945BA7" w:rsidP="00945BA7">
      <w:pPr>
        <w:pStyle w:val="a3"/>
        <w:rPr>
          <w:rFonts w:ascii="Times New Roman" w:hAnsi="Times New Roman"/>
          <w:sz w:val="22"/>
        </w:rPr>
      </w:pPr>
      <w:r w:rsidRPr="00945BA7">
        <w:rPr>
          <w:rFonts w:ascii="Times New Roman" w:hAnsi="Times New Roman"/>
          <w:sz w:val="22"/>
        </w:rPr>
        <w:t>95% CI, 95% confidence interval; MD, mean difference</w:t>
      </w:r>
    </w:p>
    <w:p w:rsidR="00945BA7" w:rsidRPr="00945BA7" w:rsidRDefault="00945BA7" w:rsidP="00945BA7">
      <w:pPr>
        <w:pStyle w:val="a3"/>
        <w:rPr>
          <w:rFonts w:ascii="Times New Roman" w:hAnsi="Times New Roman"/>
          <w:sz w:val="22"/>
        </w:rPr>
      </w:pPr>
      <w:r w:rsidRPr="00945BA7">
        <w:rPr>
          <w:rFonts w:ascii="Times New Roman" w:hAnsi="Times New Roman"/>
          <w:sz w:val="22"/>
        </w:rPr>
        <w:t xml:space="preserve">a. </w:t>
      </w:r>
      <w:r w:rsidRPr="00945BA7">
        <w:rPr>
          <w:rFonts w:ascii="Times New Roman" w:hAnsi="Times New Roman"/>
          <w:i/>
          <w:sz w:val="22"/>
        </w:rPr>
        <w:t>I</w:t>
      </w:r>
      <w:r w:rsidRPr="00945BA7">
        <w:rPr>
          <w:rFonts w:ascii="Times New Roman" w:hAnsi="Times New Roman"/>
          <w:i/>
          <w:sz w:val="22"/>
          <w:vertAlign w:val="superscript"/>
        </w:rPr>
        <w:t>2</w:t>
      </w:r>
      <w:r w:rsidRPr="00945BA7">
        <w:rPr>
          <w:rFonts w:ascii="Times New Roman" w:hAnsi="Times New Roman"/>
          <w:sz w:val="22"/>
        </w:rPr>
        <w:t xml:space="preserve"> &gt; 40% denotes statistical heterogeneity between the studies.</w:t>
      </w:r>
    </w:p>
    <w:p w:rsidR="00945BA7" w:rsidRPr="00945BA7" w:rsidRDefault="00945BA7" w:rsidP="00945BA7">
      <w:pPr>
        <w:pStyle w:val="a3"/>
        <w:rPr>
          <w:rFonts w:ascii="Times New Roman" w:hAnsi="Times New Roman"/>
          <w:sz w:val="22"/>
        </w:rPr>
      </w:pPr>
      <w:proofErr w:type="gramStart"/>
      <w:r w:rsidRPr="00945BA7">
        <w:rPr>
          <w:rFonts w:ascii="Times New Roman" w:hAnsi="Times New Roman"/>
          <w:sz w:val="22"/>
        </w:rPr>
        <w:t>b</w:t>
      </w:r>
      <w:proofErr w:type="gramEnd"/>
      <w:r w:rsidRPr="00945BA7">
        <w:rPr>
          <w:rFonts w:ascii="Times New Roman" w:hAnsi="Times New Roman"/>
          <w:sz w:val="22"/>
        </w:rPr>
        <w:t xml:space="preserve">. </w:t>
      </w:r>
      <w:r w:rsidRPr="00945BA7">
        <w:rPr>
          <w:rFonts w:ascii="Times New Roman" w:hAnsi="Times New Roman"/>
          <w:i/>
          <w:sz w:val="22"/>
        </w:rPr>
        <w:t>p</w:t>
      </w:r>
      <w:r w:rsidRPr="00945BA7">
        <w:rPr>
          <w:rFonts w:ascii="Times New Roman" w:hAnsi="Times New Roman"/>
          <w:sz w:val="22"/>
        </w:rPr>
        <w:t xml:space="preserve"> &lt; 0.10 in the chi-squared test denotes statistical heterogeneity between the studies.</w:t>
      </w:r>
    </w:p>
    <w:p w:rsidR="00945BA7" w:rsidRPr="00945BA7" w:rsidRDefault="00945BA7" w:rsidP="00945BA7">
      <w:pPr>
        <w:pStyle w:val="a3"/>
        <w:rPr>
          <w:rFonts w:ascii="Times New Roman" w:hAnsi="Times New Roman"/>
          <w:sz w:val="22"/>
        </w:rPr>
      </w:pPr>
      <w:proofErr w:type="gramStart"/>
      <w:r w:rsidRPr="00945BA7">
        <w:rPr>
          <w:rFonts w:ascii="Times New Roman" w:hAnsi="Times New Roman"/>
          <w:sz w:val="22"/>
        </w:rPr>
        <w:t>c</w:t>
      </w:r>
      <w:proofErr w:type="gramEnd"/>
      <w:r w:rsidRPr="00945BA7">
        <w:rPr>
          <w:rFonts w:ascii="Times New Roman" w:hAnsi="Times New Roman"/>
          <w:sz w:val="22"/>
        </w:rPr>
        <w:t xml:space="preserve">. 25 mg: </w:t>
      </w:r>
      <w:proofErr w:type="spellStart"/>
      <w:r w:rsidRPr="00945BA7">
        <w:rPr>
          <w:rFonts w:ascii="Times New Roman" w:hAnsi="Times New Roman"/>
          <w:sz w:val="22"/>
        </w:rPr>
        <w:t>etanercept</w:t>
      </w:r>
      <w:proofErr w:type="spellEnd"/>
      <w:r w:rsidRPr="00945BA7">
        <w:rPr>
          <w:rFonts w:ascii="Times New Roman" w:hAnsi="Times New Roman"/>
          <w:sz w:val="22"/>
        </w:rPr>
        <w:t xml:space="preserve"> dosing at 25 mg twice weekly.</w:t>
      </w:r>
    </w:p>
    <w:p w:rsidR="00945BA7" w:rsidRPr="00945BA7" w:rsidRDefault="00945BA7" w:rsidP="00945BA7">
      <w:pPr>
        <w:pStyle w:val="a3"/>
        <w:rPr>
          <w:rFonts w:ascii="Times New Roman" w:hAnsi="Times New Roman"/>
          <w:sz w:val="22"/>
        </w:rPr>
      </w:pPr>
      <w:proofErr w:type="gramStart"/>
      <w:r w:rsidRPr="00945BA7">
        <w:rPr>
          <w:rFonts w:ascii="Times New Roman" w:hAnsi="Times New Roman"/>
          <w:sz w:val="22"/>
        </w:rPr>
        <w:t>d</w:t>
      </w:r>
      <w:proofErr w:type="gramEnd"/>
      <w:r w:rsidRPr="00945BA7">
        <w:rPr>
          <w:rFonts w:ascii="Times New Roman" w:hAnsi="Times New Roman"/>
          <w:sz w:val="22"/>
        </w:rPr>
        <w:t xml:space="preserve">. 50 mg: </w:t>
      </w:r>
      <w:proofErr w:type="spellStart"/>
      <w:r w:rsidRPr="00945BA7">
        <w:rPr>
          <w:rFonts w:ascii="Times New Roman" w:hAnsi="Times New Roman"/>
          <w:sz w:val="22"/>
        </w:rPr>
        <w:t>etanercept</w:t>
      </w:r>
      <w:proofErr w:type="spellEnd"/>
      <w:r w:rsidRPr="00945BA7">
        <w:rPr>
          <w:rFonts w:ascii="Times New Roman" w:hAnsi="Times New Roman"/>
          <w:sz w:val="22"/>
        </w:rPr>
        <w:t xml:space="preserve"> dosing at 50 mg once weekly.</w:t>
      </w:r>
    </w:p>
    <w:p w:rsidR="00945BA7" w:rsidRPr="00945BA7" w:rsidRDefault="00945BA7" w:rsidP="00945BA7">
      <w:pPr>
        <w:pStyle w:val="a3"/>
        <w:wordWrap/>
        <w:rPr>
          <w:rFonts w:ascii="Times New Roman" w:hAnsi="Times New Roman"/>
          <w:b/>
          <w:sz w:val="22"/>
        </w:rPr>
      </w:pPr>
      <w:r w:rsidRPr="00945BA7">
        <w:rPr>
          <w:rFonts w:ascii="Times New Roman" w:hAnsi="Times New Roman"/>
          <w:sz w:val="22"/>
        </w:rPr>
        <w:t xml:space="preserve">e. Period of </w:t>
      </w:r>
      <w:proofErr w:type="spellStart"/>
      <w:r w:rsidRPr="00945BA7">
        <w:rPr>
          <w:rFonts w:ascii="Times New Roman" w:hAnsi="Times New Roman"/>
          <w:sz w:val="22"/>
        </w:rPr>
        <w:t>etanercept</w:t>
      </w:r>
      <w:proofErr w:type="spellEnd"/>
      <w:r w:rsidRPr="00945BA7">
        <w:rPr>
          <w:rFonts w:ascii="Times New Roman" w:hAnsi="Times New Roman"/>
          <w:sz w:val="22"/>
        </w:rPr>
        <w:t xml:space="preserve"> dosing.</w:t>
      </w:r>
    </w:p>
    <w:p w:rsidR="00945BA7" w:rsidRPr="00945BA7" w:rsidRDefault="00945BA7" w:rsidP="00945BA7">
      <w:pPr>
        <w:pStyle w:val="a3"/>
        <w:wordWrap/>
        <w:rPr>
          <w:rFonts w:ascii="Times New Roman" w:hAnsi="Times New Roman" w:hint="eastAsia"/>
          <w:b/>
          <w:sz w:val="22"/>
        </w:rPr>
      </w:pPr>
      <w:bookmarkStart w:id="0" w:name="_GoBack"/>
      <w:bookmarkEnd w:id="0"/>
    </w:p>
    <w:p w:rsidR="00945BA7" w:rsidRPr="00945BA7" w:rsidRDefault="00945BA7" w:rsidP="00945BA7">
      <w:pPr>
        <w:pStyle w:val="a3"/>
        <w:wordWrap/>
        <w:rPr>
          <w:rFonts w:ascii="Times New Roman" w:hAnsi="Times New Roman"/>
          <w:b/>
          <w:sz w:val="22"/>
        </w:rPr>
      </w:pPr>
    </w:p>
    <w:tbl>
      <w:tblPr>
        <w:tblW w:w="96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560"/>
        <w:gridCol w:w="850"/>
        <w:gridCol w:w="425"/>
        <w:gridCol w:w="1843"/>
        <w:gridCol w:w="851"/>
      </w:tblGrid>
      <w:tr w:rsidR="00945BA7" w:rsidRPr="00945BA7" w:rsidTr="00201F57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945BA7" w:rsidRPr="00945BA7" w:rsidRDefault="00945BA7" w:rsidP="00BC3889">
            <w:pPr>
              <w:pStyle w:val="a3"/>
              <w:wordWrap/>
              <w:rPr>
                <w:rFonts w:ascii="Times New Roman" w:hAnsi="Times New Roman" w:hint="eastAsia"/>
                <w:sz w:val="22"/>
              </w:rPr>
            </w:pPr>
            <w:r w:rsidRPr="00945BA7">
              <w:rPr>
                <w:rFonts w:ascii="Times New Roman" w:hAnsi="Times New Roman"/>
                <w:b/>
                <w:sz w:val="22"/>
              </w:rPr>
              <w:t xml:space="preserve">Supplementary Table 3. Meta-analysis of safety </w:t>
            </w:r>
          </w:p>
        </w:tc>
      </w:tr>
      <w:tr w:rsidR="00945BA7" w:rsidRPr="00945BA7" w:rsidTr="00BC3889">
        <w:trPr>
          <w:trHeight w:val="222"/>
        </w:trPr>
        <w:tc>
          <w:tcPr>
            <w:tcW w:w="2376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Outcomes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Subgroups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Heterogeneity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945BA7" w:rsidRPr="00945BA7" w:rsidRDefault="00945BA7" w:rsidP="00BC3889">
            <w:pPr>
              <w:pStyle w:val="a3"/>
              <w:ind w:firstLineChars="200" w:firstLine="440"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Test for overall effect</w:t>
            </w:r>
          </w:p>
        </w:tc>
      </w:tr>
      <w:tr w:rsidR="00945BA7" w:rsidRPr="00945BA7" w:rsidTr="00BC3889">
        <w:trPr>
          <w:trHeight w:val="271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i/>
                <w:sz w:val="22"/>
              </w:rPr>
              <w:t xml:space="preserve">I </w:t>
            </w:r>
            <w:r w:rsidRPr="00945BA7">
              <w:rPr>
                <w:rFonts w:ascii="Times New Roman" w:hAnsi="Times New Roman"/>
                <w:sz w:val="22"/>
                <w:vertAlign w:val="superscript"/>
              </w:rPr>
              <w:t>2</w:t>
            </w:r>
            <w:r w:rsidRPr="00945BA7">
              <w:rPr>
                <w:rFonts w:ascii="Times New Roman" w:hAnsi="Times New Roman"/>
                <w:sz w:val="22"/>
              </w:rPr>
              <w:t xml:space="preserve"> (%)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i/>
                <w:sz w:val="22"/>
              </w:rPr>
              <w:t>p</w:t>
            </w:r>
            <w:r w:rsidRPr="00945BA7">
              <w:rPr>
                <w:rFonts w:ascii="Times New Roman" w:hAnsi="Times New Roman"/>
                <w:sz w:val="22"/>
              </w:rPr>
              <w:t xml:space="preserve">-value </w:t>
            </w:r>
            <w:r w:rsidRPr="00945BA7">
              <w:rPr>
                <w:rFonts w:ascii="Times New Roman" w:hAnsi="Times New Roman"/>
                <w:sz w:val="22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 xml:space="preserve">RR (95% CI)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i/>
                <w:sz w:val="22"/>
              </w:rPr>
              <w:t>p</w:t>
            </w:r>
            <w:r w:rsidRPr="00945BA7">
              <w:rPr>
                <w:rFonts w:ascii="Times New Roman" w:hAnsi="Times New Roman"/>
                <w:sz w:val="22"/>
              </w:rPr>
              <w:t xml:space="preserve">-value </w:t>
            </w:r>
          </w:p>
        </w:tc>
      </w:tr>
      <w:tr w:rsidR="00945BA7" w:rsidRPr="00945BA7" w:rsidTr="00BC3889">
        <w:tc>
          <w:tcPr>
            <w:tcW w:w="2376" w:type="dxa"/>
            <w:tcBorders>
              <w:top w:val="single" w:sz="4" w:space="0" w:color="auto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Serious adverse reactions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Dose-related</w:t>
            </w:r>
          </w:p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</w:tr>
      <w:tr w:rsidR="00945BA7" w:rsidRPr="00945BA7" w:rsidTr="00BC3889">
        <w:trPr>
          <w:trHeight w:val="407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25 mg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0.79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1.58 (0.68–3.68)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0.28</w:t>
            </w: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50 mg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0.40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1.89 (0.52–6.92)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0.34</w:t>
            </w: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Duration-related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12 weeks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0.63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1.85 (0.53–6.45)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widowControl/>
              <w:wordWrap/>
              <w:autoSpaceDE/>
              <w:autoSpaceDN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0.34</w:t>
            </w: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More than 12 weeks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Not applicable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1.87 (0.61–5.73)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0.27</w:t>
            </w: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Upper respiratory tract infection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Dose-related</w:t>
            </w:r>
          </w:p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25 mg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0.13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1.15 (0.82–1.62)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0.42</w:t>
            </w: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50 mg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Not applicable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0.56 (0.23–1.36)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0.20</w:t>
            </w: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Duration-related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 xml:space="preserve">Less than 12 </w:t>
            </w:r>
            <w:r w:rsidRPr="00945BA7">
              <w:rPr>
                <w:rFonts w:ascii="Times New Roman" w:hAnsi="Times New Roman"/>
                <w:sz w:val="22"/>
              </w:rPr>
              <w:lastRenderedPageBreak/>
              <w:t>weeks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lastRenderedPageBreak/>
              <w:t>Not applicable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lastRenderedPageBreak/>
              <w:t>1.25 (0.29–5.41)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lastRenderedPageBreak/>
              <w:t>0.77</w:t>
            </w: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12 weeks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Not applicable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0.54 (0.22–1.32)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0.18</w:t>
            </w:r>
          </w:p>
        </w:tc>
      </w:tr>
      <w:tr w:rsidR="00945BA7" w:rsidRPr="00945BA7" w:rsidTr="00BC3889"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More than 12 weeks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0.14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1.54(0.86–2.75)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5BA7" w:rsidRPr="00945BA7" w:rsidRDefault="00945BA7" w:rsidP="00BC3889">
            <w:pPr>
              <w:widowControl/>
              <w:wordWrap/>
              <w:autoSpaceDE/>
              <w:autoSpaceDN/>
              <w:rPr>
                <w:rFonts w:ascii="Times New Roman" w:hAnsi="Times New Roman"/>
                <w:sz w:val="22"/>
              </w:rPr>
            </w:pPr>
            <w:r w:rsidRPr="00945BA7">
              <w:rPr>
                <w:rFonts w:ascii="Times New Roman" w:hAnsi="Times New Roman"/>
                <w:sz w:val="22"/>
              </w:rPr>
              <w:t>0.14</w:t>
            </w:r>
          </w:p>
        </w:tc>
      </w:tr>
    </w:tbl>
    <w:p w:rsidR="00945BA7" w:rsidRPr="00945BA7" w:rsidRDefault="00945BA7" w:rsidP="00945BA7">
      <w:pPr>
        <w:pStyle w:val="a3"/>
        <w:rPr>
          <w:rFonts w:ascii="Times New Roman" w:hAnsi="Times New Roman"/>
          <w:sz w:val="22"/>
        </w:rPr>
      </w:pPr>
      <w:r w:rsidRPr="00945BA7">
        <w:rPr>
          <w:rFonts w:ascii="Times New Roman" w:hAnsi="Times New Roman"/>
          <w:sz w:val="22"/>
        </w:rPr>
        <w:t>95% CI, 95% confidence interval; RR, risk ratio</w:t>
      </w:r>
    </w:p>
    <w:p w:rsidR="00945BA7" w:rsidRPr="00945BA7" w:rsidRDefault="00945BA7" w:rsidP="00945BA7">
      <w:pPr>
        <w:pStyle w:val="a3"/>
        <w:rPr>
          <w:rFonts w:ascii="Times New Roman" w:hAnsi="Times New Roman"/>
          <w:sz w:val="22"/>
        </w:rPr>
      </w:pPr>
      <w:proofErr w:type="gramStart"/>
      <w:r w:rsidRPr="00945BA7">
        <w:rPr>
          <w:rFonts w:ascii="Times New Roman" w:hAnsi="Times New Roman"/>
          <w:sz w:val="22"/>
        </w:rPr>
        <w:t>a</w:t>
      </w:r>
      <w:proofErr w:type="gramEnd"/>
      <w:r w:rsidRPr="00945BA7">
        <w:rPr>
          <w:rFonts w:ascii="Times New Roman" w:hAnsi="Times New Roman"/>
          <w:sz w:val="22"/>
        </w:rPr>
        <w:t>.</w:t>
      </w:r>
      <w:r w:rsidRPr="00945BA7">
        <w:rPr>
          <w:rFonts w:ascii="Times New Roman" w:hAnsi="Times New Roman"/>
          <w:i/>
          <w:sz w:val="22"/>
        </w:rPr>
        <w:t xml:space="preserve"> p</w:t>
      </w:r>
      <w:r w:rsidRPr="00945BA7">
        <w:rPr>
          <w:rFonts w:ascii="Times New Roman" w:hAnsi="Times New Roman"/>
          <w:sz w:val="22"/>
        </w:rPr>
        <w:t xml:space="preserve"> &lt; 0.10 in the chi-squared test denotes statistical heterogeneity between the studies.</w:t>
      </w:r>
    </w:p>
    <w:p w:rsidR="00945BA7" w:rsidRPr="00945BA7" w:rsidRDefault="00945BA7" w:rsidP="00945BA7">
      <w:pPr>
        <w:pStyle w:val="a3"/>
        <w:rPr>
          <w:rFonts w:ascii="Times New Roman" w:hAnsi="Times New Roman"/>
          <w:sz w:val="22"/>
        </w:rPr>
      </w:pPr>
      <w:proofErr w:type="gramStart"/>
      <w:r w:rsidRPr="00945BA7">
        <w:rPr>
          <w:rFonts w:ascii="Times New Roman" w:hAnsi="Times New Roman"/>
          <w:sz w:val="22"/>
        </w:rPr>
        <w:t>b</w:t>
      </w:r>
      <w:proofErr w:type="gramEnd"/>
      <w:r w:rsidRPr="00945BA7">
        <w:rPr>
          <w:rFonts w:ascii="Times New Roman" w:hAnsi="Times New Roman"/>
          <w:sz w:val="22"/>
        </w:rPr>
        <w:t xml:space="preserve">. 25 mg; 25-mg twice-weekly </w:t>
      </w:r>
      <w:proofErr w:type="spellStart"/>
      <w:r w:rsidRPr="00945BA7">
        <w:rPr>
          <w:rFonts w:ascii="Times New Roman" w:hAnsi="Times New Roman"/>
          <w:sz w:val="22"/>
        </w:rPr>
        <w:t>etanercept</w:t>
      </w:r>
      <w:proofErr w:type="spellEnd"/>
      <w:r w:rsidRPr="00945BA7">
        <w:rPr>
          <w:rFonts w:ascii="Times New Roman" w:hAnsi="Times New Roman"/>
          <w:sz w:val="22"/>
        </w:rPr>
        <w:t xml:space="preserve"> dosing.</w:t>
      </w:r>
    </w:p>
    <w:p w:rsidR="00945BA7" w:rsidRPr="00945BA7" w:rsidRDefault="00945BA7" w:rsidP="00945BA7">
      <w:pPr>
        <w:pStyle w:val="a3"/>
        <w:rPr>
          <w:rFonts w:ascii="Times New Roman" w:hAnsi="Times New Roman"/>
          <w:sz w:val="22"/>
        </w:rPr>
      </w:pPr>
      <w:proofErr w:type="gramStart"/>
      <w:r w:rsidRPr="00945BA7">
        <w:rPr>
          <w:rFonts w:ascii="Times New Roman" w:hAnsi="Times New Roman"/>
          <w:sz w:val="22"/>
        </w:rPr>
        <w:t>c</w:t>
      </w:r>
      <w:proofErr w:type="gramEnd"/>
      <w:r w:rsidRPr="00945BA7">
        <w:rPr>
          <w:rFonts w:ascii="Times New Roman" w:hAnsi="Times New Roman"/>
          <w:sz w:val="22"/>
        </w:rPr>
        <w:t xml:space="preserve">. 50 mg; 50-mg once-weekly </w:t>
      </w:r>
      <w:proofErr w:type="spellStart"/>
      <w:r w:rsidRPr="00945BA7">
        <w:rPr>
          <w:rFonts w:ascii="Times New Roman" w:hAnsi="Times New Roman"/>
          <w:sz w:val="22"/>
        </w:rPr>
        <w:t>etanercept</w:t>
      </w:r>
      <w:proofErr w:type="spellEnd"/>
      <w:r w:rsidRPr="00945BA7">
        <w:rPr>
          <w:rFonts w:ascii="Times New Roman" w:hAnsi="Times New Roman"/>
          <w:sz w:val="22"/>
        </w:rPr>
        <w:t xml:space="preserve"> dosing.</w:t>
      </w:r>
    </w:p>
    <w:p w:rsidR="00945BA7" w:rsidRPr="00945BA7" w:rsidRDefault="00945BA7" w:rsidP="00945BA7">
      <w:pPr>
        <w:rPr>
          <w:rFonts w:ascii="Times New Roman" w:hAnsi="Times New Roman"/>
          <w:sz w:val="22"/>
        </w:rPr>
      </w:pPr>
      <w:r w:rsidRPr="00945BA7">
        <w:rPr>
          <w:rFonts w:ascii="Times New Roman" w:hAnsi="Times New Roman"/>
          <w:sz w:val="22"/>
        </w:rPr>
        <w:t xml:space="preserve">d. Period of </w:t>
      </w:r>
      <w:proofErr w:type="spellStart"/>
      <w:r w:rsidRPr="00945BA7">
        <w:rPr>
          <w:rFonts w:ascii="Times New Roman" w:hAnsi="Times New Roman"/>
          <w:sz w:val="22"/>
        </w:rPr>
        <w:t>etanercept</w:t>
      </w:r>
      <w:proofErr w:type="spellEnd"/>
      <w:r w:rsidRPr="00945BA7">
        <w:rPr>
          <w:rFonts w:ascii="Times New Roman" w:hAnsi="Times New Roman"/>
          <w:sz w:val="22"/>
        </w:rPr>
        <w:t xml:space="preserve"> dosing.</w:t>
      </w:r>
    </w:p>
    <w:p w:rsidR="00945BA7" w:rsidRPr="00945BA7" w:rsidRDefault="00945BA7" w:rsidP="00945BA7">
      <w:pPr>
        <w:rPr>
          <w:rFonts w:ascii="Times New Roman" w:hAnsi="Times New Roman"/>
          <w:sz w:val="22"/>
        </w:rPr>
      </w:pPr>
    </w:p>
    <w:p w:rsidR="00945BA7" w:rsidRPr="00945BA7" w:rsidRDefault="00945BA7" w:rsidP="00945BA7">
      <w:pPr>
        <w:rPr>
          <w:rFonts w:ascii="Times New Roman" w:hAnsi="Times New Roman"/>
          <w:b/>
          <w:sz w:val="22"/>
        </w:rPr>
      </w:pPr>
    </w:p>
    <w:p w:rsidR="00945BA7" w:rsidRPr="00945BA7" w:rsidRDefault="00945BA7">
      <w:pPr>
        <w:rPr>
          <w:rFonts w:hint="eastAsia"/>
          <w:sz w:val="22"/>
        </w:rPr>
      </w:pPr>
    </w:p>
    <w:sectPr w:rsidR="00945BA7" w:rsidRPr="00945B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A7"/>
    <w:rsid w:val="00945BA7"/>
    <w:rsid w:val="00B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490F5-A382-4668-9CF9-09B483DE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BA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table" w:styleId="a4">
    <w:name w:val="Table Grid"/>
    <w:basedOn w:val="a1"/>
    <w:uiPriority w:val="59"/>
    <w:rsid w:val="0094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2016-04-11T07:29:00Z</dcterms:created>
  <dcterms:modified xsi:type="dcterms:W3CDTF">2016-04-11T07:51:00Z</dcterms:modified>
</cp:coreProperties>
</file>