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8C" w:rsidRPr="005C21A7" w:rsidRDefault="00EB248C" w:rsidP="00EB248C">
      <w:pPr>
        <w:pStyle w:val="Caption"/>
        <w:ind w:left="0" w:firstLine="0"/>
        <w:jc w:val="both"/>
        <w:rPr>
          <w:rFonts w:ascii="Arial" w:hAnsi="Arial" w:cs="Arial"/>
          <w:szCs w:val="20"/>
        </w:rPr>
      </w:pPr>
      <w:bookmarkStart w:id="0" w:name="_Toc408384584"/>
      <w:bookmarkStart w:id="1" w:name="_Toc412811935"/>
      <w:r>
        <w:rPr>
          <w:rFonts w:ascii="Arial" w:hAnsi="Arial" w:cs="Arial"/>
          <w:szCs w:val="20"/>
        </w:rPr>
        <w:t>Supplement</w:t>
      </w:r>
      <w:r w:rsidR="00C751AC">
        <w:rPr>
          <w:rFonts w:ascii="Arial" w:hAnsi="Arial" w:cs="Arial"/>
          <w:szCs w:val="20"/>
        </w:rPr>
        <w:t>ary</w:t>
      </w:r>
      <w:bookmarkStart w:id="2" w:name="_GoBack"/>
      <w:bookmarkEnd w:id="2"/>
      <w:r>
        <w:rPr>
          <w:rFonts w:ascii="Arial" w:hAnsi="Arial" w:cs="Arial"/>
          <w:szCs w:val="20"/>
        </w:rPr>
        <w:t xml:space="preserve"> Table </w:t>
      </w:r>
      <w:r w:rsidR="00D80DEF">
        <w:rPr>
          <w:rFonts w:ascii="Arial" w:hAnsi="Arial" w:cs="Arial"/>
          <w:szCs w:val="20"/>
        </w:rPr>
        <w:t>2</w:t>
      </w:r>
      <w:r w:rsidR="0017064C">
        <w:rPr>
          <w:rFonts w:ascii="Arial" w:hAnsi="Arial" w:cs="Arial"/>
          <w:szCs w:val="20"/>
        </w:rPr>
        <w:t xml:space="preserve">. </w:t>
      </w:r>
      <w:r w:rsidRPr="0017064C">
        <w:rPr>
          <w:rFonts w:ascii="Arial" w:hAnsi="Arial" w:cs="Arial"/>
          <w:b w:val="0"/>
          <w:szCs w:val="20"/>
        </w:rPr>
        <w:t>Quality of life data</w:t>
      </w:r>
      <w:bookmarkEnd w:id="0"/>
      <w:bookmarkEnd w:id="1"/>
      <w:r w:rsidRPr="005C21A7">
        <w:rPr>
          <w:rFonts w:ascii="Arial" w:hAnsi="Arial" w:cs="Arial"/>
          <w:szCs w:val="20"/>
        </w:rPr>
        <w:t xml:space="preserve"> </w:t>
      </w:r>
    </w:p>
    <w:tbl>
      <w:tblPr>
        <w:tblW w:w="4890" w:type="pct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46"/>
        <w:gridCol w:w="4797"/>
        <w:gridCol w:w="5908"/>
      </w:tblGrid>
      <w:tr w:rsidR="00EB248C" w:rsidRPr="005C21A7" w:rsidTr="007362C3">
        <w:trPr>
          <w:trHeight w:val="119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B248C" w:rsidRPr="005C21A7" w:rsidRDefault="00EB248C" w:rsidP="007362C3">
            <w:pPr>
              <w:spacing w:afterLines="60" w:after="14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B248C" w:rsidRPr="005C21A7" w:rsidRDefault="00EB248C" w:rsidP="007362C3">
            <w:pPr>
              <w:spacing w:afterLines="60" w:after="14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C21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Wheeler et al. </w:t>
            </w:r>
            <w:r w:rsidR="001B63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(19) </w:t>
            </w:r>
            <w:r w:rsidRPr="005C21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(method)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B248C" w:rsidRPr="005C21A7" w:rsidRDefault="00EB248C" w:rsidP="007362C3">
            <w:pPr>
              <w:spacing w:afterLines="60" w:after="14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5C21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Schoenbaum</w:t>
            </w:r>
            <w:proofErr w:type="spellEnd"/>
            <w:r w:rsidRPr="005C21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et al. </w:t>
            </w:r>
            <w:r w:rsidR="001B63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(18) </w:t>
            </w:r>
            <w:r w:rsidRPr="005C21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(method)</w:t>
            </w:r>
          </w:p>
        </w:tc>
      </w:tr>
      <w:tr w:rsidR="00EB248C" w:rsidRPr="005C21A7" w:rsidTr="007362C3">
        <w:trPr>
          <w:trHeight w:val="203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B248C" w:rsidRPr="005C21A7" w:rsidRDefault="00EB248C" w:rsidP="007362C3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C2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Adolescents with normal health</w:t>
            </w:r>
          </w:p>
        </w:tc>
        <w:tc>
          <w:tcPr>
            <w:tcW w:w="3176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B248C" w:rsidRPr="00C751AC" w:rsidRDefault="00EB248C" w:rsidP="007362C3">
            <w:pPr>
              <w:pStyle w:val="KCEBulleted"/>
              <w:rPr>
                <w:rFonts w:cs="Arial"/>
                <w:lang w:val="en-US"/>
              </w:rPr>
            </w:pPr>
            <w:r w:rsidRPr="00C751AC">
              <w:rPr>
                <w:rFonts w:cs="Arial"/>
                <w:lang w:val="en-US"/>
              </w:rPr>
              <w:t>0.94; CI: 0.93-0.95 (HUI-III)</w:t>
            </w:r>
          </w:p>
          <w:p w:rsidR="00EB248C" w:rsidRPr="00C751AC" w:rsidRDefault="00EB248C" w:rsidP="007362C3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3912" w:type="dxa"/>
            <w:tcBorders>
              <w:top w:val="single" w:sz="12" w:space="0" w:color="auto"/>
            </w:tcBorders>
            <w:shd w:val="clear" w:color="auto" w:fill="auto"/>
          </w:tcPr>
          <w:p w:rsidR="00EB248C" w:rsidRPr="005C21A7" w:rsidRDefault="00EB248C" w:rsidP="007362C3">
            <w:pPr>
              <w:pStyle w:val="KCEBulleted"/>
              <w:rPr>
                <w:rFonts w:cs="Arial"/>
                <w:lang w:eastAsia="en-GB"/>
              </w:rPr>
            </w:pPr>
            <w:r w:rsidRPr="005C21A7">
              <w:rPr>
                <w:rFonts w:cs="Arial"/>
                <w:lang w:eastAsia="en-GB"/>
              </w:rPr>
              <w:t>1 (expert opinion)</w:t>
            </w:r>
          </w:p>
        </w:tc>
      </w:tr>
      <w:tr w:rsidR="00EB248C" w:rsidRPr="005C21A7" w:rsidTr="007362C3">
        <w:trPr>
          <w:trHeight w:val="4205"/>
        </w:trPr>
        <w:tc>
          <w:tcPr>
            <w:tcW w:w="1951" w:type="dxa"/>
            <w:shd w:val="clear" w:color="auto" w:fill="auto"/>
            <w:hideMark/>
          </w:tcPr>
          <w:p w:rsidR="00EB248C" w:rsidRPr="005C21A7" w:rsidRDefault="00EB248C" w:rsidP="007362C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C21A7">
              <w:rPr>
                <w:rFonts w:ascii="Arial" w:hAnsi="Arial" w:cs="Arial"/>
                <w:b/>
                <w:sz w:val="20"/>
                <w:szCs w:val="20"/>
              </w:rPr>
              <w:t xml:space="preserve">Adolescents with heart diseases </w:t>
            </w:r>
          </w:p>
        </w:tc>
        <w:tc>
          <w:tcPr>
            <w:tcW w:w="3176" w:type="dxa"/>
            <w:shd w:val="clear" w:color="auto" w:fill="auto"/>
            <w:hideMark/>
          </w:tcPr>
          <w:p w:rsidR="00EB248C" w:rsidRPr="005C21A7" w:rsidRDefault="00EB248C" w:rsidP="007362C3">
            <w:pPr>
              <w:pStyle w:val="KCEBulleted"/>
              <w:rPr>
                <w:rFonts w:cs="Arial"/>
              </w:rPr>
            </w:pPr>
            <w:r w:rsidRPr="005C21A7">
              <w:rPr>
                <w:rFonts w:cs="Arial"/>
              </w:rPr>
              <w:t>0.89 for 4 years; CI: 0.85-0.93 (HUI-III)</w:t>
            </w:r>
          </w:p>
          <w:p w:rsidR="00EB248C" w:rsidRPr="005C21A7" w:rsidRDefault="00EB248C" w:rsidP="007362C3">
            <w:pPr>
              <w:pStyle w:val="KCEBulleted"/>
              <w:rPr>
                <w:rFonts w:cs="Arial"/>
              </w:rPr>
            </w:pPr>
            <w:r w:rsidRPr="005C21A7">
              <w:rPr>
                <w:rFonts w:cs="Arial"/>
              </w:rPr>
              <w:t>0.94 for the following years - CI: 0.93-0.95 (expert opinion)</w:t>
            </w:r>
          </w:p>
        </w:tc>
        <w:tc>
          <w:tcPr>
            <w:tcW w:w="3912" w:type="dxa"/>
            <w:shd w:val="clear" w:color="auto" w:fill="auto"/>
          </w:tcPr>
          <w:p w:rsidR="00EB248C" w:rsidRPr="005C21A7" w:rsidRDefault="00EB248C" w:rsidP="007362C3">
            <w:pPr>
              <w:pStyle w:val="KCEBulleted"/>
              <w:rPr>
                <w:rFonts w:cs="Arial"/>
                <w:i/>
                <w:lang w:eastAsia="en-GB"/>
              </w:rPr>
            </w:pPr>
            <w:r w:rsidRPr="005C21A7">
              <w:rPr>
                <w:rFonts w:cs="Arial"/>
                <w:lang w:eastAsia="en-GB"/>
              </w:rPr>
              <w:t xml:space="preserve">Decrement of 10% (range 5%-15%) during 0.5 year </w:t>
            </w:r>
            <w:r w:rsidRPr="005C21A7">
              <w:rPr>
                <w:rFonts w:cs="Arial"/>
              </w:rPr>
              <w:t>(expert opinion)</w:t>
            </w:r>
          </w:p>
          <w:p w:rsidR="00EB248C" w:rsidRPr="005C21A7" w:rsidRDefault="00EB248C" w:rsidP="007362C3">
            <w:pPr>
              <w:pStyle w:val="KCEBulleted"/>
              <w:rPr>
                <w:rFonts w:cs="Arial"/>
              </w:rPr>
            </w:pPr>
            <w:r w:rsidRPr="005C21A7">
              <w:rPr>
                <w:rFonts w:cs="Arial"/>
              </w:rPr>
              <w:t xml:space="preserve">Subsequent years (initial values): </w:t>
            </w:r>
          </w:p>
          <w:p w:rsidR="00EB248C" w:rsidRPr="005C21A7" w:rsidRDefault="00EB248C" w:rsidP="007362C3">
            <w:pPr>
              <w:pStyle w:val="KCEBulletedSub"/>
              <w:tabs>
                <w:tab w:val="clear" w:pos="360"/>
                <w:tab w:val="num" w:pos="794"/>
              </w:tabs>
              <w:rPr>
                <w:rFonts w:cs="Arial"/>
              </w:rPr>
            </w:pPr>
            <w:r w:rsidRPr="005C21A7">
              <w:rPr>
                <w:rFonts w:cs="Arial"/>
              </w:rPr>
              <w:t>If low risk of SCD: 0.98 (range: 0.97-0.99) (expert opinion)</w:t>
            </w:r>
          </w:p>
          <w:p w:rsidR="00EB248C" w:rsidRPr="005C21A7" w:rsidRDefault="00EB248C" w:rsidP="007362C3">
            <w:pPr>
              <w:pStyle w:val="KCEBulletedSub"/>
              <w:tabs>
                <w:tab w:val="clear" w:pos="360"/>
                <w:tab w:val="num" w:pos="794"/>
              </w:tabs>
              <w:rPr>
                <w:rFonts w:cs="Arial"/>
              </w:rPr>
            </w:pPr>
            <w:r w:rsidRPr="005C21A7">
              <w:rPr>
                <w:rFonts w:cs="Arial"/>
              </w:rPr>
              <w:t>If high risk of SCD: 0.97 (range: 0.96-0.98) (expert opinion)</w:t>
            </w:r>
          </w:p>
          <w:p w:rsidR="00EB248C" w:rsidRPr="005C21A7" w:rsidRDefault="00EB248C" w:rsidP="007362C3">
            <w:pPr>
              <w:pStyle w:val="KCEBulletedSub"/>
              <w:tabs>
                <w:tab w:val="clear" w:pos="360"/>
                <w:tab w:val="num" w:pos="794"/>
              </w:tabs>
              <w:rPr>
                <w:rFonts w:cs="Arial"/>
              </w:rPr>
            </w:pPr>
            <w:r w:rsidRPr="005C21A7">
              <w:rPr>
                <w:rFonts w:cs="Arial"/>
              </w:rPr>
              <w:t>If high risk of SCD and with ICD: 0.885 (range: 0.845-0.925), (paediatric patients and parents self-reported preferences using the PedsQL, a generic instrument)</w:t>
            </w:r>
          </w:p>
          <w:p w:rsidR="00EB248C" w:rsidRPr="005C21A7" w:rsidRDefault="00EB248C" w:rsidP="007362C3">
            <w:pPr>
              <w:pStyle w:val="KCEBulleted"/>
              <w:rPr>
                <w:rFonts w:eastAsia="Times New Roman" w:cs="Arial"/>
                <w:b/>
                <w:noProof w:val="0"/>
                <w:color w:val="000000"/>
                <w:lang w:eastAsia="en-GB"/>
              </w:rPr>
            </w:pPr>
            <w:r w:rsidRPr="005C21A7">
              <w:rPr>
                <w:rFonts w:cs="Arial"/>
              </w:rPr>
              <w:t>Recover on an exponential trajectory to near normal levels over time, except for patients with ICD.</w:t>
            </w:r>
          </w:p>
        </w:tc>
      </w:tr>
      <w:tr w:rsidR="00EB248C" w:rsidRPr="005C21A7" w:rsidTr="007362C3">
        <w:trPr>
          <w:trHeight w:val="203"/>
        </w:trPr>
        <w:tc>
          <w:tcPr>
            <w:tcW w:w="1951" w:type="dxa"/>
            <w:shd w:val="clear" w:color="auto" w:fill="auto"/>
          </w:tcPr>
          <w:p w:rsidR="00EB248C" w:rsidRPr="005C21A7" w:rsidRDefault="00EB248C" w:rsidP="007362C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1A7">
              <w:rPr>
                <w:rFonts w:ascii="Arial" w:hAnsi="Arial" w:cs="Arial"/>
                <w:b/>
                <w:sz w:val="20"/>
                <w:szCs w:val="20"/>
              </w:rPr>
              <w:t>Sport disqualification</w:t>
            </w:r>
          </w:p>
        </w:tc>
        <w:tc>
          <w:tcPr>
            <w:tcW w:w="3176" w:type="dxa"/>
            <w:shd w:val="clear" w:color="auto" w:fill="auto"/>
          </w:tcPr>
          <w:p w:rsidR="00EB248C" w:rsidRPr="005C21A7" w:rsidRDefault="00EB248C" w:rsidP="007362C3">
            <w:pPr>
              <w:pStyle w:val="KCEBulleted"/>
              <w:rPr>
                <w:rFonts w:cs="Arial"/>
              </w:rPr>
            </w:pPr>
            <w:r w:rsidRPr="005C21A7">
              <w:rPr>
                <w:rFonts w:cs="Arial"/>
                <w:lang w:val="fr-BE"/>
              </w:rPr>
              <w:t>No impact</w:t>
            </w:r>
            <w:r w:rsidRPr="005C21A7">
              <w:rPr>
                <w:rFonts w:cs="Arial"/>
              </w:rPr>
              <w:t xml:space="preserve"> (expert opinion)</w:t>
            </w:r>
          </w:p>
        </w:tc>
        <w:tc>
          <w:tcPr>
            <w:tcW w:w="3912" w:type="dxa"/>
            <w:shd w:val="clear" w:color="auto" w:fill="auto"/>
          </w:tcPr>
          <w:p w:rsidR="00EB248C" w:rsidRPr="005C21A7" w:rsidRDefault="00EB248C" w:rsidP="007362C3">
            <w:pPr>
              <w:pStyle w:val="KCEBulleted"/>
              <w:rPr>
                <w:rFonts w:cs="Arial"/>
              </w:rPr>
            </w:pPr>
            <w:r w:rsidRPr="005C21A7">
              <w:rPr>
                <w:rFonts w:cs="Arial"/>
              </w:rPr>
              <w:t>Unclear</w:t>
            </w:r>
          </w:p>
        </w:tc>
      </w:tr>
      <w:tr w:rsidR="00EB248C" w:rsidRPr="005C21A7" w:rsidTr="007362C3">
        <w:trPr>
          <w:trHeight w:val="203"/>
        </w:trPr>
        <w:tc>
          <w:tcPr>
            <w:tcW w:w="1951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EB248C" w:rsidRPr="005C21A7" w:rsidRDefault="00EB248C" w:rsidP="007362C3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C21A7">
              <w:rPr>
                <w:rFonts w:ascii="Arial" w:hAnsi="Arial" w:cs="Arial"/>
                <w:b/>
                <w:sz w:val="20"/>
                <w:szCs w:val="20"/>
              </w:rPr>
              <w:t>Athletes with a positive initial screening</w:t>
            </w:r>
          </w:p>
        </w:tc>
        <w:tc>
          <w:tcPr>
            <w:tcW w:w="3176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EB248C" w:rsidRPr="005C21A7" w:rsidRDefault="00EB248C" w:rsidP="007362C3">
            <w:pPr>
              <w:pStyle w:val="KCEBulleted"/>
              <w:rPr>
                <w:rFonts w:eastAsia="Times New Roman" w:cs="Arial"/>
                <w:lang w:eastAsia="en-GB"/>
              </w:rPr>
            </w:pPr>
            <w:r w:rsidRPr="005C21A7">
              <w:rPr>
                <w:rFonts w:cs="Arial"/>
              </w:rPr>
              <w:t>Decrement of 5% for 1 week (expert opinion)</w:t>
            </w:r>
          </w:p>
        </w:tc>
        <w:tc>
          <w:tcPr>
            <w:tcW w:w="3912" w:type="dxa"/>
            <w:tcBorders>
              <w:bottom w:val="single" w:sz="8" w:space="0" w:color="auto"/>
            </w:tcBorders>
            <w:shd w:val="clear" w:color="auto" w:fill="auto"/>
          </w:tcPr>
          <w:p w:rsidR="00EB248C" w:rsidRPr="005C21A7" w:rsidRDefault="00EB248C" w:rsidP="007362C3">
            <w:pPr>
              <w:pStyle w:val="KCEBulleted"/>
              <w:rPr>
                <w:rFonts w:cs="Arial"/>
                <w:i/>
                <w:lang w:eastAsia="en-GB"/>
              </w:rPr>
            </w:pPr>
            <w:r w:rsidRPr="005C21A7">
              <w:rPr>
                <w:rFonts w:cs="Arial"/>
                <w:lang w:eastAsia="en-GB"/>
              </w:rPr>
              <w:t xml:space="preserve">Decrement of 10% (range 5%-15%) during 3.5 days </w:t>
            </w:r>
            <w:r w:rsidRPr="005C21A7">
              <w:rPr>
                <w:rFonts w:cs="Arial"/>
              </w:rPr>
              <w:t>(expert opinion)</w:t>
            </w:r>
          </w:p>
          <w:p w:rsidR="00EB248C" w:rsidRPr="005C21A7" w:rsidRDefault="00EB248C" w:rsidP="007362C3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B248C" w:rsidRPr="005C21A7" w:rsidTr="007362C3">
        <w:trPr>
          <w:trHeight w:val="203"/>
        </w:trPr>
        <w:tc>
          <w:tcPr>
            <w:tcW w:w="1951" w:type="dxa"/>
            <w:tcBorders>
              <w:bottom w:val="single" w:sz="12" w:space="0" w:color="auto"/>
            </w:tcBorders>
            <w:shd w:val="clear" w:color="auto" w:fill="auto"/>
          </w:tcPr>
          <w:p w:rsidR="00EB248C" w:rsidRPr="005C21A7" w:rsidRDefault="00EB248C" w:rsidP="007362C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C2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False negative</w:t>
            </w:r>
          </w:p>
        </w:tc>
        <w:tc>
          <w:tcPr>
            <w:tcW w:w="3176" w:type="dxa"/>
            <w:tcBorders>
              <w:bottom w:val="single" w:sz="12" w:space="0" w:color="auto"/>
            </w:tcBorders>
            <w:shd w:val="clear" w:color="auto" w:fill="auto"/>
          </w:tcPr>
          <w:p w:rsidR="00EB248C" w:rsidRPr="005C21A7" w:rsidRDefault="00EB248C" w:rsidP="007362C3">
            <w:pPr>
              <w:pStyle w:val="KCEBulleted"/>
              <w:rPr>
                <w:rFonts w:eastAsia="Times New Roman" w:cs="Arial"/>
                <w:b/>
                <w:noProof w:val="0"/>
                <w:color w:val="000000"/>
                <w:lang w:eastAsia="en-GB"/>
              </w:rPr>
            </w:pPr>
            <w:r w:rsidRPr="005C21A7">
              <w:rPr>
                <w:rFonts w:cs="Arial"/>
              </w:rPr>
              <w:t>No impact (expert opinion)</w:t>
            </w:r>
          </w:p>
        </w:tc>
        <w:tc>
          <w:tcPr>
            <w:tcW w:w="3912" w:type="dxa"/>
            <w:tcBorders>
              <w:bottom w:val="single" w:sz="12" w:space="0" w:color="auto"/>
            </w:tcBorders>
            <w:shd w:val="clear" w:color="auto" w:fill="auto"/>
          </w:tcPr>
          <w:p w:rsidR="00EB248C" w:rsidRPr="005C21A7" w:rsidRDefault="00EB248C" w:rsidP="007362C3">
            <w:pPr>
              <w:pStyle w:val="KCEBulleted"/>
              <w:rPr>
                <w:rFonts w:cs="Arial"/>
              </w:rPr>
            </w:pPr>
            <w:r w:rsidRPr="005C21A7">
              <w:rPr>
                <w:rFonts w:cs="Arial"/>
              </w:rPr>
              <w:t>No impact (expert opinion)</w:t>
            </w:r>
          </w:p>
        </w:tc>
      </w:tr>
    </w:tbl>
    <w:p w:rsidR="00EB248C" w:rsidRPr="00B277EC" w:rsidRDefault="00EB248C" w:rsidP="00B277EC">
      <w:pPr>
        <w:pStyle w:val="KCELegendTableorFigure"/>
        <w:jc w:val="both"/>
        <w:rPr>
          <w:rFonts w:cs="Arial"/>
          <w:i w:val="0"/>
          <w:sz w:val="20"/>
        </w:rPr>
      </w:pPr>
      <w:r w:rsidRPr="00B277EC">
        <w:rPr>
          <w:rFonts w:cs="Arial"/>
          <w:i w:val="0"/>
          <w:sz w:val="20"/>
        </w:rPr>
        <w:t xml:space="preserve">ICD: Implantable cardioverter defibrillators; SCD: sudden cardiac death. </w:t>
      </w:r>
    </w:p>
    <w:sectPr w:rsidR="00EB248C" w:rsidRPr="00B277EC" w:rsidSect="00AA0E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63E7"/>
    <w:multiLevelType w:val="hybridMultilevel"/>
    <w:tmpl w:val="D35E33FC"/>
    <w:lvl w:ilvl="0" w:tplc="CCB83E00">
      <w:start w:val="1"/>
      <w:numFmt w:val="bullet"/>
      <w:pStyle w:val="KCETable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9912FCF"/>
    <w:multiLevelType w:val="multilevel"/>
    <w:tmpl w:val="FBB85024"/>
    <w:name w:val="KCE Multilevel Bullet List"/>
    <w:lvl w:ilvl="0">
      <w:start w:val="1"/>
      <w:numFmt w:val="bullet"/>
      <w:pStyle w:val="KCEBulleted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KCEBulletedSub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8C"/>
    <w:rsid w:val="0017064C"/>
    <w:rsid w:val="001B634B"/>
    <w:rsid w:val="0025656D"/>
    <w:rsid w:val="005D1BD1"/>
    <w:rsid w:val="00A828AF"/>
    <w:rsid w:val="00AA0ECD"/>
    <w:rsid w:val="00AE50F9"/>
    <w:rsid w:val="00B277EC"/>
    <w:rsid w:val="00C751AC"/>
    <w:rsid w:val="00D80DEF"/>
    <w:rsid w:val="00EB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C089A-F965-4B49-962D-48A7E94E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48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rsid w:val="00EB248C"/>
    <w:pPr>
      <w:tabs>
        <w:tab w:val="num" w:pos="2520"/>
      </w:tabs>
      <w:kinsoku w:val="0"/>
      <w:overflowPunct w:val="0"/>
      <w:autoSpaceDE w:val="0"/>
      <w:autoSpaceDN w:val="0"/>
      <w:spacing w:before="120" w:after="120" w:line="240" w:lineRule="auto"/>
      <w:ind w:left="2520" w:hanging="360"/>
    </w:pPr>
    <w:rPr>
      <w:rFonts w:ascii="Times New Roman" w:eastAsia="Arial Unicode MS" w:hAnsi="Times New Roman"/>
      <w:b/>
      <w:sz w:val="20"/>
    </w:rPr>
  </w:style>
  <w:style w:type="character" w:customStyle="1" w:styleId="CaptionChar">
    <w:name w:val="Caption Char"/>
    <w:link w:val="Caption"/>
    <w:uiPriority w:val="35"/>
    <w:rsid w:val="00EB248C"/>
    <w:rPr>
      <w:rFonts w:ascii="Times New Roman" w:eastAsia="Arial Unicode MS" w:hAnsi="Times New Roman" w:cs="Times New Roman"/>
      <w:b/>
      <w:sz w:val="20"/>
      <w:lang w:eastAsia="zh-CN"/>
    </w:rPr>
  </w:style>
  <w:style w:type="paragraph" w:customStyle="1" w:styleId="KCELegendTableorFigure">
    <w:name w:val="KCE Legend Table or Figure"/>
    <w:basedOn w:val="Normal"/>
    <w:next w:val="Normal"/>
    <w:link w:val="KCELegendTableorFigureChar"/>
    <w:qFormat/>
    <w:rsid w:val="00EB248C"/>
    <w:pPr>
      <w:spacing w:before="60" w:after="240" w:line="240" w:lineRule="auto"/>
    </w:pPr>
    <w:rPr>
      <w:rFonts w:ascii="Arial" w:eastAsia="Arial" w:hAnsi="Arial" w:cs="Tahoma"/>
      <w:i/>
      <w:sz w:val="18"/>
      <w:szCs w:val="20"/>
      <w:lang w:eastAsia="en-US"/>
    </w:rPr>
  </w:style>
  <w:style w:type="character" w:customStyle="1" w:styleId="KCELegendTableorFigureChar">
    <w:name w:val="KCE Legend Table or Figure Char"/>
    <w:link w:val="KCELegendTableorFigure"/>
    <w:rsid w:val="00EB248C"/>
    <w:rPr>
      <w:rFonts w:ascii="Arial" w:eastAsia="Arial" w:hAnsi="Arial" w:cs="Tahoma"/>
      <w:i/>
      <w:sz w:val="18"/>
      <w:szCs w:val="20"/>
    </w:rPr>
  </w:style>
  <w:style w:type="paragraph" w:customStyle="1" w:styleId="KCEBulletedSub">
    <w:name w:val="KCE Bulleted Sub"/>
    <w:basedOn w:val="KCEBulleted"/>
    <w:link w:val="KCEBulletedSubChar"/>
    <w:qFormat/>
    <w:rsid w:val="00EB248C"/>
    <w:pPr>
      <w:numPr>
        <w:ilvl w:val="1"/>
      </w:numPr>
      <w:tabs>
        <w:tab w:val="clear" w:pos="794"/>
        <w:tab w:val="num" w:pos="360"/>
      </w:tabs>
    </w:pPr>
  </w:style>
  <w:style w:type="paragraph" w:customStyle="1" w:styleId="KCEBulleted">
    <w:name w:val="KCE Bulleted"/>
    <w:basedOn w:val="Normal"/>
    <w:link w:val="KCEBulletedChar"/>
    <w:qFormat/>
    <w:rsid w:val="00EB248C"/>
    <w:pPr>
      <w:numPr>
        <w:numId w:val="1"/>
      </w:numPr>
      <w:spacing w:before="60" w:after="60" w:line="240" w:lineRule="auto"/>
      <w:jc w:val="both"/>
    </w:pPr>
    <w:rPr>
      <w:rFonts w:ascii="Arial" w:eastAsia="Arial" w:hAnsi="Arial" w:cs="Tahoma"/>
      <w:noProof/>
      <w:sz w:val="20"/>
      <w:szCs w:val="20"/>
      <w:lang w:eastAsia="en-US"/>
    </w:rPr>
  </w:style>
  <w:style w:type="character" w:customStyle="1" w:styleId="KCEBulletedChar">
    <w:name w:val="KCE Bulleted Char"/>
    <w:link w:val="KCEBulleted"/>
    <w:rsid w:val="00EB248C"/>
    <w:rPr>
      <w:rFonts w:ascii="Arial" w:eastAsia="Arial" w:hAnsi="Arial" w:cs="Tahoma"/>
      <w:noProof/>
      <w:sz w:val="20"/>
      <w:szCs w:val="20"/>
    </w:rPr>
  </w:style>
  <w:style w:type="character" w:customStyle="1" w:styleId="KCEBulletedSubChar">
    <w:name w:val="KCE Bulleted Sub Char"/>
    <w:link w:val="KCEBulletedSub"/>
    <w:rsid w:val="00EB248C"/>
    <w:rPr>
      <w:rFonts w:ascii="Arial" w:eastAsia="Arial" w:hAnsi="Arial" w:cs="Tahoma"/>
      <w:noProof/>
      <w:sz w:val="20"/>
      <w:szCs w:val="20"/>
    </w:rPr>
  </w:style>
  <w:style w:type="paragraph" w:customStyle="1" w:styleId="KCECaptionExecutive">
    <w:name w:val="KCE Caption Executive"/>
    <w:basedOn w:val="Caption"/>
    <w:next w:val="Normal"/>
    <w:link w:val="KCECaptionExecutiveChar"/>
    <w:qFormat/>
    <w:rsid w:val="00EB248C"/>
    <w:pPr>
      <w:keepNext/>
      <w:tabs>
        <w:tab w:val="clear" w:pos="2520"/>
      </w:tabs>
      <w:kinsoku/>
      <w:overflowPunct/>
      <w:autoSpaceDE/>
      <w:autoSpaceDN/>
      <w:spacing w:before="240" w:after="0"/>
      <w:ind w:left="0" w:firstLine="0"/>
      <w:jc w:val="both"/>
    </w:pPr>
    <w:rPr>
      <w:rFonts w:ascii="Arial" w:eastAsia="Arial" w:hAnsi="Arial" w:cs="Tahoma"/>
      <w:bCs/>
      <w:color w:val="004495"/>
      <w:szCs w:val="18"/>
      <w:lang w:eastAsia="en-US"/>
    </w:rPr>
  </w:style>
  <w:style w:type="character" w:customStyle="1" w:styleId="KCECaptionExecutiveChar">
    <w:name w:val="KCE Caption Executive Char"/>
    <w:link w:val="KCECaptionExecutive"/>
    <w:rsid w:val="00EB248C"/>
    <w:rPr>
      <w:rFonts w:ascii="Arial" w:eastAsia="Arial" w:hAnsi="Arial" w:cs="Tahoma"/>
      <w:b/>
      <w:bCs/>
      <w:color w:val="004495"/>
      <w:sz w:val="20"/>
      <w:szCs w:val="18"/>
    </w:rPr>
  </w:style>
  <w:style w:type="paragraph" w:customStyle="1" w:styleId="Headingextra">
    <w:name w:val="Heading extra"/>
    <w:basedOn w:val="Normal"/>
    <w:next w:val="Normal"/>
    <w:link w:val="HeadingextraChar"/>
    <w:qFormat/>
    <w:rsid w:val="00EB248C"/>
    <w:pPr>
      <w:spacing w:before="120" w:after="120" w:line="240" w:lineRule="auto"/>
      <w:jc w:val="both"/>
    </w:pPr>
    <w:rPr>
      <w:rFonts w:ascii="Arial" w:eastAsia="Arial" w:hAnsi="Arial" w:cs="Tahoma"/>
      <w:b/>
      <w:sz w:val="20"/>
      <w:szCs w:val="20"/>
      <w:lang w:eastAsia="en-US"/>
    </w:rPr>
  </w:style>
  <w:style w:type="character" w:customStyle="1" w:styleId="HeadingextraChar">
    <w:name w:val="Heading extra Char"/>
    <w:link w:val="Headingextra"/>
    <w:rsid w:val="00EB248C"/>
    <w:rPr>
      <w:rFonts w:ascii="Arial" w:eastAsia="Arial" w:hAnsi="Arial" w:cs="Tahoma"/>
      <w:b/>
      <w:sz w:val="20"/>
      <w:szCs w:val="20"/>
    </w:rPr>
  </w:style>
  <w:style w:type="paragraph" w:customStyle="1" w:styleId="KCETableBulleted">
    <w:name w:val="KCE Table Bulleted"/>
    <w:basedOn w:val="Normal"/>
    <w:link w:val="KCETableBulletedChar"/>
    <w:qFormat/>
    <w:rsid w:val="00EB248C"/>
    <w:pPr>
      <w:numPr>
        <w:numId w:val="2"/>
      </w:numPr>
      <w:spacing w:before="60" w:after="0" w:line="240" w:lineRule="auto"/>
      <w:ind w:left="397" w:hanging="397"/>
      <w:jc w:val="both"/>
    </w:pPr>
    <w:rPr>
      <w:rFonts w:ascii="Arial" w:eastAsia="Arial" w:hAnsi="Arial" w:cs="Tahoma"/>
      <w:sz w:val="20"/>
      <w:szCs w:val="20"/>
      <w:lang w:eastAsia="en-US"/>
    </w:rPr>
  </w:style>
  <w:style w:type="character" w:customStyle="1" w:styleId="KCETableBulletedChar">
    <w:name w:val="KCE Table Bulleted Char"/>
    <w:link w:val="KCETableBulleted"/>
    <w:rsid w:val="00EB248C"/>
    <w:rPr>
      <w:rFonts w:ascii="Arial" w:eastAsia="Arial" w:hAnsi="Arial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KCE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Gerkens Sophie</dc:creator>
  <cp:keywords/>
  <dc:description/>
  <cp:lastModifiedBy>Gerkens Sophie</cp:lastModifiedBy>
  <cp:revision>5</cp:revision>
  <dcterms:created xsi:type="dcterms:W3CDTF">2016-08-02T08:04:00Z</dcterms:created>
  <dcterms:modified xsi:type="dcterms:W3CDTF">2016-08-02T09:26:00Z</dcterms:modified>
</cp:coreProperties>
</file>