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F37" w:rsidRPr="00E512F7" w:rsidRDefault="0019338F" w:rsidP="00145F37">
      <w:pPr>
        <w:pStyle w:val="Heading1"/>
        <w:rPr>
          <w:rFonts w:cs="Arial"/>
          <w:szCs w:val="28"/>
          <w:vertAlign w:val="subscript"/>
        </w:rPr>
      </w:pPr>
      <w:r>
        <w:rPr>
          <w:rFonts w:cs="Arial"/>
          <w:szCs w:val="28"/>
          <w:vertAlign w:val="subscript"/>
        </w:rPr>
        <w:t xml:space="preserve">Supplementary </w:t>
      </w:r>
      <w:bookmarkStart w:id="0" w:name="_GoBack"/>
      <w:bookmarkEnd w:id="0"/>
      <w:r>
        <w:rPr>
          <w:rFonts w:cs="Arial"/>
          <w:szCs w:val="28"/>
          <w:vertAlign w:val="subscript"/>
        </w:rPr>
        <w:t>Table 1</w:t>
      </w:r>
      <w:r w:rsidR="00AF3CFD">
        <w:rPr>
          <w:rFonts w:cs="Arial"/>
          <w:szCs w:val="28"/>
          <w:vertAlign w:val="subscript"/>
        </w:rPr>
        <w:t>.</w:t>
      </w:r>
      <w:r w:rsidR="003736F4" w:rsidRPr="00E512F7">
        <w:rPr>
          <w:rFonts w:cs="Arial"/>
          <w:szCs w:val="28"/>
          <w:vertAlign w:val="subscript"/>
        </w:rPr>
        <w:t xml:space="preserve">  </w:t>
      </w:r>
      <w:r w:rsidR="002E1DE6">
        <w:rPr>
          <w:rFonts w:cs="Arial"/>
          <w:szCs w:val="28"/>
          <w:vertAlign w:val="subscript"/>
        </w:rPr>
        <w:t>Summary of NICE Medical Technology Guidance</w:t>
      </w:r>
    </w:p>
    <w:tbl>
      <w:tblPr>
        <w:tblW w:w="14474" w:type="dxa"/>
        <w:tblInd w:w="93" w:type="dxa"/>
        <w:tblLook w:val="04A0" w:firstRow="1" w:lastRow="0" w:firstColumn="1" w:lastColumn="0" w:noHBand="0" w:noVBand="1"/>
      </w:tblPr>
      <w:tblGrid>
        <w:gridCol w:w="3559"/>
        <w:gridCol w:w="3969"/>
        <w:gridCol w:w="3686"/>
        <w:gridCol w:w="3260"/>
      </w:tblGrid>
      <w:tr w:rsidR="00145F37" w:rsidRPr="00742695" w:rsidTr="005E4DEC">
        <w:trPr>
          <w:trHeight w:val="384"/>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5F37" w:rsidRPr="00742695" w:rsidRDefault="00145F37">
            <w:pPr>
              <w:rPr>
                <w:rFonts w:ascii="Arial" w:hAnsi="Arial" w:cs="Arial"/>
                <w:b/>
                <w:bCs/>
                <w:color w:val="000000"/>
                <w:vertAlign w:val="subscript"/>
              </w:rPr>
            </w:pPr>
            <w:r w:rsidRPr="00742695">
              <w:rPr>
                <w:rFonts w:ascii="Arial" w:hAnsi="Arial" w:cs="Arial"/>
                <w:b/>
                <w:bCs/>
                <w:color w:val="000000"/>
                <w:vertAlign w:val="subscript"/>
              </w:rPr>
              <w:t>Title of technology</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b/>
                <w:bCs/>
                <w:color w:val="000000"/>
                <w:vertAlign w:val="subscript"/>
              </w:rPr>
            </w:pPr>
            <w:r w:rsidRPr="00742695">
              <w:rPr>
                <w:rFonts w:ascii="Arial" w:hAnsi="Arial" w:cs="Arial"/>
                <w:b/>
                <w:bCs/>
                <w:color w:val="000000"/>
                <w:vertAlign w:val="subscript"/>
              </w:rPr>
              <w:t>Main recommendation</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145F37" w:rsidRPr="00742695" w:rsidRDefault="00145F37">
            <w:pPr>
              <w:rPr>
                <w:rFonts w:ascii="Arial" w:hAnsi="Arial" w:cs="Arial"/>
                <w:b/>
                <w:bCs/>
                <w:color w:val="000000"/>
                <w:vertAlign w:val="subscript"/>
              </w:rPr>
            </w:pPr>
            <w:r w:rsidRPr="00742695">
              <w:rPr>
                <w:rFonts w:ascii="Arial" w:hAnsi="Arial" w:cs="Arial"/>
                <w:b/>
                <w:bCs/>
                <w:color w:val="000000"/>
                <w:vertAlign w:val="subscript"/>
              </w:rPr>
              <w:t>Clinical considerations</w:t>
            </w:r>
          </w:p>
        </w:tc>
        <w:tc>
          <w:tcPr>
            <w:tcW w:w="3260" w:type="dxa"/>
            <w:tcBorders>
              <w:top w:val="single" w:sz="8" w:space="0" w:color="auto"/>
              <w:left w:val="nil"/>
              <w:bottom w:val="single" w:sz="8" w:space="0" w:color="auto"/>
              <w:right w:val="single" w:sz="4" w:space="0" w:color="auto"/>
            </w:tcBorders>
            <w:shd w:val="clear" w:color="auto" w:fill="auto"/>
            <w:noWrap/>
            <w:vAlign w:val="center"/>
            <w:hideMark/>
          </w:tcPr>
          <w:p w:rsidR="00145F37" w:rsidRPr="00742695" w:rsidRDefault="00145F37">
            <w:pPr>
              <w:rPr>
                <w:rFonts w:ascii="Arial" w:hAnsi="Arial" w:cs="Arial"/>
                <w:b/>
                <w:bCs/>
                <w:color w:val="000000"/>
                <w:vertAlign w:val="subscript"/>
              </w:rPr>
            </w:pPr>
            <w:r w:rsidRPr="00742695">
              <w:rPr>
                <w:rFonts w:ascii="Arial" w:hAnsi="Arial" w:cs="Arial"/>
                <w:b/>
                <w:bCs/>
                <w:color w:val="000000"/>
                <w:vertAlign w:val="subscript"/>
              </w:rPr>
              <w:t>Estimates from cost modelling</w:t>
            </w:r>
          </w:p>
        </w:tc>
      </w:tr>
      <w:tr w:rsidR="00145F37" w:rsidRPr="00742695" w:rsidTr="005E4DEC">
        <w:trPr>
          <w:trHeight w:val="681"/>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MTG1 SeQuent Please balloon catheter for in-stent coronary restenosis</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B004F1">
            <w:pPr>
              <w:rPr>
                <w:rFonts w:ascii="Arial" w:hAnsi="Arial" w:cs="Arial"/>
                <w:color w:val="000000"/>
                <w:sz w:val="22"/>
                <w:szCs w:val="22"/>
                <w:vertAlign w:val="subscript"/>
              </w:rPr>
            </w:pPr>
            <w:r w:rsidRPr="00742695">
              <w:rPr>
                <w:rFonts w:ascii="Arial" w:hAnsi="Arial" w:cs="Arial"/>
                <w:color w:val="000000"/>
                <w:sz w:val="22"/>
                <w:szCs w:val="22"/>
                <w:vertAlign w:val="subscript"/>
              </w:rPr>
              <w:t>Adopt for in-stent restenosis in bare metal stents. Further research for other uses</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B004F1">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 Reduced re-intervention for stenosis and  reduced duration of clopidogrel therapy</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781807">
            <w:pPr>
              <w:rPr>
                <w:rFonts w:ascii="Arial" w:hAnsi="Arial" w:cs="Arial"/>
                <w:color w:val="000000"/>
                <w:sz w:val="22"/>
                <w:szCs w:val="22"/>
                <w:vertAlign w:val="subscript"/>
              </w:rPr>
            </w:pPr>
            <w:r>
              <w:rPr>
                <w:rFonts w:ascii="Arial" w:hAnsi="Arial" w:cs="Arial"/>
                <w:color w:val="000000"/>
                <w:sz w:val="22"/>
                <w:szCs w:val="22"/>
                <w:vertAlign w:val="subscript"/>
              </w:rPr>
              <w:t xml:space="preserve">Cost saving </w:t>
            </w:r>
            <w:r w:rsidR="00145F37" w:rsidRPr="00742695">
              <w:rPr>
                <w:rFonts w:ascii="Arial" w:hAnsi="Arial" w:cs="Arial"/>
                <w:color w:val="000000"/>
                <w:sz w:val="22"/>
                <w:szCs w:val="22"/>
                <w:vertAlign w:val="subscript"/>
              </w:rPr>
              <w:t xml:space="preserve">497 </w:t>
            </w:r>
            <w:r>
              <w:rPr>
                <w:rFonts w:ascii="Arial" w:hAnsi="Arial" w:cs="Arial"/>
                <w:color w:val="000000"/>
                <w:sz w:val="22"/>
                <w:szCs w:val="22"/>
                <w:vertAlign w:val="subscript"/>
              </w:rPr>
              <w:t xml:space="preserve">GBP </w:t>
            </w:r>
            <w:r w:rsidR="00145F37" w:rsidRPr="00742695">
              <w:rPr>
                <w:rFonts w:ascii="Arial" w:hAnsi="Arial" w:cs="Arial"/>
                <w:color w:val="000000"/>
                <w:sz w:val="22"/>
                <w:szCs w:val="22"/>
                <w:vertAlign w:val="subscript"/>
              </w:rPr>
              <w:t>per patient compared with paclitaxel-eluting stent</w:t>
            </w:r>
          </w:p>
        </w:tc>
      </w:tr>
      <w:tr w:rsidR="00145F37" w:rsidRPr="00742695" w:rsidTr="005E4DEC">
        <w:trPr>
          <w:trHeight w:val="549"/>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MTG2 moorLDI2-BI: a laser doppler blood flow imager for burn wound assessment</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B004F1">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Adopt for intermediate depth burns to guide treatment decisions </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B004F1">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Enables </w:t>
            </w:r>
            <w:r w:rsidR="00B004F1" w:rsidRPr="00742695">
              <w:rPr>
                <w:rFonts w:ascii="Arial" w:hAnsi="Arial" w:cs="Arial"/>
                <w:color w:val="000000"/>
                <w:sz w:val="22"/>
                <w:szCs w:val="22"/>
                <w:vertAlign w:val="subscript"/>
              </w:rPr>
              <w:t xml:space="preserve">earlier </w:t>
            </w:r>
            <w:r w:rsidRPr="00742695">
              <w:rPr>
                <w:rFonts w:ascii="Arial" w:hAnsi="Arial" w:cs="Arial"/>
                <w:color w:val="000000"/>
                <w:sz w:val="22"/>
                <w:szCs w:val="22"/>
                <w:vertAlign w:val="subscript"/>
              </w:rPr>
              <w:t xml:space="preserve">decisions and </w:t>
            </w:r>
            <w:r w:rsidR="00B004F1" w:rsidRPr="00742695">
              <w:rPr>
                <w:rFonts w:ascii="Arial" w:hAnsi="Arial" w:cs="Arial"/>
                <w:color w:val="000000"/>
                <w:sz w:val="22"/>
                <w:szCs w:val="22"/>
                <w:vertAlign w:val="subscript"/>
              </w:rPr>
              <w:t>avoidance of surgery</w:t>
            </w:r>
            <w:r w:rsidRPr="00742695">
              <w:rPr>
                <w:rFonts w:ascii="Arial" w:hAnsi="Arial" w:cs="Arial"/>
                <w:color w:val="000000"/>
                <w:sz w:val="22"/>
                <w:szCs w:val="22"/>
                <w:vertAlign w:val="subscript"/>
              </w:rPr>
              <w:t xml:space="preserve"> in some patients</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781807" w:rsidP="00B004F1">
            <w:pPr>
              <w:rPr>
                <w:rFonts w:ascii="Arial" w:hAnsi="Arial" w:cs="Arial"/>
                <w:color w:val="000000"/>
                <w:sz w:val="22"/>
                <w:szCs w:val="22"/>
                <w:vertAlign w:val="subscript"/>
              </w:rPr>
            </w:pPr>
            <w:r>
              <w:rPr>
                <w:rFonts w:ascii="Arial" w:hAnsi="Arial" w:cs="Arial"/>
                <w:color w:val="000000"/>
                <w:sz w:val="22"/>
                <w:szCs w:val="22"/>
                <w:vertAlign w:val="subscript"/>
              </w:rPr>
              <w:t xml:space="preserve">Cost saving of </w:t>
            </w:r>
            <w:r w:rsidR="00145F37" w:rsidRPr="00742695">
              <w:rPr>
                <w:rFonts w:ascii="Arial" w:hAnsi="Arial" w:cs="Arial"/>
                <w:color w:val="000000"/>
                <w:sz w:val="22"/>
                <w:szCs w:val="22"/>
                <w:vertAlign w:val="subscript"/>
              </w:rPr>
              <w:t xml:space="preserve">1248 -1232 </w:t>
            </w:r>
            <w:r>
              <w:rPr>
                <w:rFonts w:ascii="Arial" w:hAnsi="Arial" w:cs="Arial"/>
                <w:color w:val="000000"/>
                <w:sz w:val="22"/>
                <w:szCs w:val="22"/>
                <w:vertAlign w:val="subscript"/>
              </w:rPr>
              <w:t xml:space="preserve">GBP </w:t>
            </w:r>
            <w:r w:rsidR="00145F37" w:rsidRPr="00742695">
              <w:rPr>
                <w:rFonts w:ascii="Arial" w:hAnsi="Arial" w:cs="Arial"/>
                <w:color w:val="000000"/>
                <w:sz w:val="22"/>
                <w:szCs w:val="22"/>
                <w:vertAlign w:val="subscript"/>
              </w:rPr>
              <w:t>per patient (</w:t>
            </w:r>
            <w:r w:rsidR="00B004F1" w:rsidRPr="00742695">
              <w:rPr>
                <w:rFonts w:ascii="Arial" w:hAnsi="Arial" w:cs="Arial"/>
                <w:color w:val="000000"/>
                <w:sz w:val="22"/>
                <w:szCs w:val="22"/>
                <w:vertAlign w:val="subscript"/>
              </w:rPr>
              <w:t>assuming</w:t>
            </w:r>
            <w:r w:rsidR="00145F37" w:rsidRPr="00742695">
              <w:rPr>
                <w:rFonts w:ascii="Arial" w:hAnsi="Arial" w:cs="Arial"/>
                <w:color w:val="000000"/>
                <w:sz w:val="22"/>
                <w:szCs w:val="22"/>
                <w:vertAlign w:val="subscript"/>
              </w:rPr>
              <w:t xml:space="preserve"> 17% </w:t>
            </w:r>
            <w:r w:rsidR="00B004F1" w:rsidRPr="00742695">
              <w:rPr>
                <w:rFonts w:ascii="Arial" w:hAnsi="Arial" w:cs="Arial"/>
                <w:color w:val="000000"/>
                <w:sz w:val="22"/>
                <w:szCs w:val="22"/>
                <w:vertAlign w:val="subscript"/>
              </w:rPr>
              <w:t xml:space="preserve">fewer </w:t>
            </w:r>
            <w:r w:rsidR="00145F37" w:rsidRPr="00742695">
              <w:rPr>
                <w:rFonts w:ascii="Arial" w:hAnsi="Arial" w:cs="Arial"/>
                <w:color w:val="000000"/>
                <w:sz w:val="22"/>
                <w:szCs w:val="22"/>
                <w:vertAlign w:val="subscript"/>
              </w:rPr>
              <w:t>skin graft</w:t>
            </w:r>
            <w:r w:rsidR="00B004F1" w:rsidRPr="00742695">
              <w:rPr>
                <w:rFonts w:ascii="Arial" w:hAnsi="Arial" w:cs="Arial"/>
                <w:color w:val="000000"/>
                <w:sz w:val="22"/>
                <w:szCs w:val="22"/>
                <w:vertAlign w:val="subscript"/>
              </w:rPr>
              <w:t>s</w:t>
            </w:r>
            <w:r w:rsidR="00145F37" w:rsidRPr="00742695">
              <w:rPr>
                <w:rFonts w:ascii="Arial" w:hAnsi="Arial" w:cs="Arial"/>
                <w:color w:val="000000"/>
                <w:sz w:val="22"/>
                <w:szCs w:val="22"/>
                <w:vertAlign w:val="subscript"/>
              </w:rPr>
              <w:t>)</w:t>
            </w:r>
          </w:p>
        </w:tc>
      </w:tr>
      <w:tr w:rsidR="00145F37" w:rsidRPr="00742695" w:rsidTr="005E4DEC">
        <w:trPr>
          <w:trHeight w:val="557"/>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MTG3 CardioQ-odm  oesphageal doppler monior  </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Adopt for patients having major or high-risk surgery </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Reduced post-operative complications, central venous catheter use, and hospital stay</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781807">
            <w:pPr>
              <w:rPr>
                <w:rFonts w:ascii="Arial" w:hAnsi="Arial" w:cs="Arial"/>
                <w:color w:val="000000"/>
                <w:sz w:val="22"/>
                <w:szCs w:val="22"/>
                <w:vertAlign w:val="subscript"/>
              </w:rPr>
            </w:pPr>
            <w:r w:rsidRPr="00742695">
              <w:rPr>
                <w:rFonts w:ascii="Arial" w:hAnsi="Arial" w:cs="Arial"/>
                <w:color w:val="000000"/>
                <w:sz w:val="22"/>
                <w:szCs w:val="22"/>
                <w:vertAlign w:val="subscript"/>
              </w:rPr>
              <w:t>Cost saving aro</w:t>
            </w:r>
            <w:r w:rsidR="00AA3F34" w:rsidRPr="00742695">
              <w:rPr>
                <w:rFonts w:ascii="Arial" w:hAnsi="Arial" w:cs="Arial"/>
                <w:color w:val="000000"/>
                <w:sz w:val="22"/>
                <w:szCs w:val="22"/>
                <w:vertAlign w:val="subscript"/>
              </w:rPr>
              <w:t xml:space="preserve">und </w:t>
            </w:r>
            <w:r w:rsidR="00781807">
              <w:rPr>
                <w:rFonts w:ascii="Arial" w:hAnsi="Arial" w:cs="Arial"/>
                <w:color w:val="000000"/>
                <w:sz w:val="22"/>
                <w:szCs w:val="22"/>
                <w:vertAlign w:val="subscript"/>
              </w:rPr>
              <w:t xml:space="preserve"> </w:t>
            </w:r>
            <w:r w:rsidR="00AA3F34" w:rsidRPr="00742695">
              <w:rPr>
                <w:rFonts w:ascii="Arial" w:hAnsi="Arial" w:cs="Arial"/>
                <w:color w:val="000000"/>
                <w:sz w:val="22"/>
                <w:szCs w:val="22"/>
                <w:vertAlign w:val="subscript"/>
              </w:rPr>
              <w:t xml:space="preserve">1100 </w:t>
            </w:r>
            <w:r w:rsidR="00781807">
              <w:rPr>
                <w:rFonts w:ascii="Arial" w:hAnsi="Arial" w:cs="Arial"/>
                <w:color w:val="000000"/>
                <w:sz w:val="22"/>
                <w:szCs w:val="22"/>
                <w:vertAlign w:val="subscript"/>
              </w:rPr>
              <w:t xml:space="preserve">GBP </w:t>
            </w:r>
            <w:r w:rsidR="00AA3F34" w:rsidRPr="00742695">
              <w:rPr>
                <w:rFonts w:ascii="Arial" w:hAnsi="Arial" w:cs="Arial"/>
                <w:color w:val="000000"/>
                <w:sz w:val="22"/>
                <w:szCs w:val="22"/>
                <w:vertAlign w:val="subscript"/>
              </w:rPr>
              <w:t>per patient assuming</w:t>
            </w:r>
            <w:r w:rsidRPr="00742695">
              <w:rPr>
                <w:rFonts w:ascii="Arial" w:hAnsi="Arial" w:cs="Arial"/>
                <w:color w:val="000000"/>
                <w:sz w:val="22"/>
                <w:szCs w:val="22"/>
                <w:vertAlign w:val="subscript"/>
              </w:rPr>
              <w:t xml:space="preserve"> 7.5-day hospital stay</w:t>
            </w:r>
          </w:p>
        </w:tc>
      </w:tr>
      <w:tr w:rsidR="00145F37" w:rsidRPr="00742695" w:rsidTr="005E4DEC">
        <w:trPr>
          <w:trHeight w:val="395"/>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rsidP="006545FB">
            <w:pPr>
              <w:rPr>
                <w:rFonts w:ascii="Arial" w:hAnsi="Arial" w:cs="Arial"/>
                <w:color w:val="000000"/>
                <w:sz w:val="22"/>
                <w:szCs w:val="22"/>
                <w:vertAlign w:val="subscript"/>
              </w:rPr>
            </w:pPr>
            <w:r w:rsidRPr="00742695">
              <w:rPr>
                <w:rFonts w:ascii="Arial" w:hAnsi="Arial" w:cs="Arial"/>
                <w:color w:val="000000"/>
                <w:sz w:val="22"/>
                <w:szCs w:val="22"/>
                <w:vertAlign w:val="subscript"/>
              </w:rPr>
              <w:t>MTG4 BRAHMS copeptin assay to rule out myocardial infarction in acute chest pain</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3F6671">
            <w:pPr>
              <w:rPr>
                <w:rFonts w:ascii="Arial" w:hAnsi="Arial" w:cs="Arial"/>
                <w:color w:val="000000"/>
                <w:sz w:val="22"/>
                <w:szCs w:val="22"/>
                <w:vertAlign w:val="subscript"/>
              </w:rPr>
            </w:pPr>
            <w:r w:rsidRPr="00742695">
              <w:rPr>
                <w:rFonts w:ascii="Arial" w:hAnsi="Arial" w:cs="Arial"/>
                <w:color w:val="000000"/>
                <w:sz w:val="22"/>
                <w:szCs w:val="22"/>
                <w:vertAlign w:val="subscript"/>
              </w:rPr>
              <w:t>Research to compare this assay plus cardiac troponin against sequential cardiac troponin testing</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Potential to reduce the time taken to rule out myocardial infarction </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Not applicable – needs clinical utility research</w:t>
            </w:r>
          </w:p>
        </w:tc>
      </w:tr>
      <w:tr w:rsidR="00145F37" w:rsidRPr="00742695" w:rsidTr="005E4DEC">
        <w:trPr>
          <w:trHeight w:val="37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MTG5 MIST therapy for the promotion of wound healing</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735C55">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Research </w:t>
            </w:r>
            <w:r w:rsidR="00735C55" w:rsidRPr="00742695">
              <w:rPr>
                <w:rFonts w:ascii="Arial" w:hAnsi="Arial" w:cs="Arial"/>
                <w:color w:val="000000"/>
                <w:sz w:val="22"/>
                <w:szCs w:val="22"/>
                <w:vertAlign w:val="subscript"/>
              </w:rPr>
              <w:t>on</w:t>
            </w:r>
            <w:r w:rsidRPr="00742695">
              <w:rPr>
                <w:rFonts w:ascii="Arial" w:hAnsi="Arial" w:cs="Arial"/>
                <w:color w:val="000000"/>
                <w:sz w:val="22"/>
                <w:szCs w:val="22"/>
                <w:vertAlign w:val="subscript"/>
              </w:rPr>
              <w:t xml:space="preserve"> outcomes compared with standard wound care.</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735C55">
            <w:pPr>
              <w:rPr>
                <w:rFonts w:ascii="Arial" w:hAnsi="Arial" w:cs="Arial"/>
                <w:color w:val="000000"/>
                <w:sz w:val="22"/>
                <w:szCs w:val="22"/>
                <w:vertAlign w:val="subscript"/>
              </w:rPr>
            </w:pPr>
            <w:r w:rsidRPr="00742695">
              <w:rPr>
                <w:rFonts w:ascii="Arial" w:hAnsi="Arial" w:cs="Arial"/>
                <w:color w:val="000000"/>
                <w:sz w:val="22"/>
                <w:szCs w:val="22"/>
                <w:vertAlign w:val="subscript"/>
              </w:rPr>
              <w:t>Potential to enhance</w:t>
            </w:r>
            <w:r w:rsidR="00145F37" w:rsidRPr="00742695">
              <w:rPr>
                <w:rFonts w:ascii="Arial" w:hAnsi="Arial" w:cs="Arial"/>
                <w:color w:val="000000"/>
                <w:sz w:val="22"/>
                <w:szCs w:val="22"/>
                <w:vertAlign w:val="subscript"/>
              </w:rPr>
              <w:t xml:space="preserve"> healing of chronic, 'hard-to-heal', complex wounds</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Not applicable – needs clinical research</w:t>
            </w:r>
          </w:p>
        </w:tc>
      </w:tr>
      <w:tr w:rsidR="00145F37" w:rsidRPr="00742695" w:rsidTr="005E4DEC">
        <w:trPr>
          <w:trHeight w:val="595"/>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MTG6</w:t>
            </w:r>
            <w:r w:rsidR="006545FB" w:rsidRPr="00742695">
              <w:rPr>
                <w:rFonts w:ascii="Arial" w:hAnsi="Arial" w:cs="Arial"/>
                <w:color w:val="000000"/>
                <w:sz w:val="22"/>
                <w:szCs w:val="22"/>
                <w:vertAlign w:val="subscript"/>
              </w:rPr>
              <w:t xml:space="preserve"> Ambulight PDT for treating</w:t>
            </w:r>
            <w:r w:rsidRPr="00742695">
              <w:rPr>
                <w:rFonts w:ascii="Arial" w:hAnsi="Arial" w:cs="Arial"/>
                <w:color w:val="000000"/>
                <w:sz w:val="22"/>
                <w:szCs w:val="22"/>
                <w:vertAlign w:val="subscript"/>
              </w:rPr>
              <w:t xml:space="preserve"> non-melanoma skin cancer</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735C55" w:rsidP="00735C55">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Case for routine use </w:t>
            </w:r>
            <w:r w:rsidR="00145F37" w:rsidRPr="00742695">
              <w:rPr>
                <w:rFonts w:ascii="Arial" w:hAnsi="Arial" w:cs="Arial"/>
                <w:color w:val="000000"/>
                <w:sz w:val="22"/>
                <w:szCs w:val="22"/>
                <w:vertAlign w:val="subscript"/>
              </w:rPr>
              <w:t xml:space="preserve">not supported by the evidence </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61835" w:rsidP="00161835">
            <w:pPr>
              <w:rPr>
                <w:rFonts w:ascii="Arial" w:hAnsi="Arial" w:cs="Arial"/>
                <w:color w:val="000000"/>
                <w:sz w:val="22"/>
                <w:szCs w:val="22"/>
                <w:vertAlign w:val="subscript"/>
              </w:rPr>
            </w:pPr>
            <w:r w:rsidRPr="00742695">
              <w:rPr>
                <w:rFonts w:ascii="Arial" w:hAnsi="Arial" w:cs="Arial"/>
                <w:color w:val="000000"/>
                <w:sz w:val="22"/>
                <w:szCs w:val="22"/>
                <w:vertAlign w:val="subscript"/>
              </w:rPr>
              <w:t>Ambulatory</w:t>
            </w:r>
            <w:r w:rsidR="005E4DEC" w:rsidRPr="00742695">
              <w:rPr>
                <w:rFonts w:ascii="Arial" w:hAnsi="Arial" w:cs="Arial"/>
                <w:color w:val="000000"/>
                <w:sz w:val="22"/>
                <w:szCs w:val="22"/>
                <w:vertAlign w:val="subscript"/>
              </w:rPr>
              <w:t xml:space="preserve"> p</w:t>
            </w:r>
            <w:r w:rsidR="00145F37" w:rsidRPr="00742695">
              <w:rPr>
                <w:rFonts w:ascii="Arial" w:hAnsi="Arial" w:cs="Arial"/>
                <w:color w:val="000000"/>
                <w:sz w:val="22"/>
                <w:szCs w:val="22"/>
                <w:vertAlign w:val="subscript"/>
              </w:rPr>
              <w:t xml:space="preserve">hotodynamic therapy (PDT): pain </w:t>
            </w:r>
            <w:r w:rsidRPr="00742695">
              <w:rPr>
                <w:rFonts w:ascii="Arial" w:hAnsi="Arial" w:cs="Arial"/>
                <w:color w:val="000000"/>
                <w:sz w:val="22"/>
                <w:szCs w:val="22"/>
                <w:vertAlign w:val="subscript"/>
              </w:rPr>
              <w:t xml:space="preserve">may be less </w:t>
            </w:r>
            <w:r w:rsidR="00145F37" w:rsidRPr="00742695">
              <w:rPr>
                <w:rFonts w:ascii="Arial" w:hAnsi="Arial" w:cs="Arial"/>
                <w:color w:val="000000"/>
                <w:sz w:val="22"/>
                <w:szCs w:val="22"/>
                <w:vertAlign w:val="subscript"/>
              </w:rPr>
              <w:t>than conventional PDT.</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735C55" w:rsidP="00161835">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Estimates ranged from saving </w:t>
            </w:r>
            <w:r w:rsidR="00161835" w:rsidRPr="00742695">
              <w:rPr>
                <w:rFonts w:ascii="Arial" w:hAnsi="Arial" w:cs="Arial"/>
                <w:color w:val="000000"/>
                <w:sz w:val="22"/>
                <w:szCs w:val="22"/>
                <w:vertAlign w:val="subscript"/>
              </w:rPr>
              <w:t>195</w:t>
            </w:r>
            <w:r w:rsidR="00781807">
              <w:rPr>
                <w:rFonts w:ascii="Arial" w:hAnsi="Arial" w:cs="Arial"/>
                <w:color w:val="000000"/>
                <w:sz w:val="22"/>
                <w:szCs w:val="22"/>
                <w:vertAlign w:val="subscript"/>
              </w:rPr>
              <w:t xml:space="preserve"> GBP</w:t>
            </w:r>
            <w:r w:rsidR="00161835" w:rsidRPr="00742695">
              <w:rPr>
                <w:rFonts w:ascii="Arial" w:hAnsi="Arial" w:cs="Arial"/>
                <w:color w:val="000000"/>
                <w:sz w:val="22"/>
                <w:szCs w:val="22"/>
                <w:vertAlign w:val="subscript"/>
              </w:rPr>
              <w:t xml:space="preserve"> to</w:t>
            </w:r>
            <w:r w:rsidR="00781807">
              <w:rPr>
                <w:rFonts w:ascii="Arial" w:hAnsi="Arial" w:cs="Arial"/>
                <w:color w:val="000000"/>
                <w:sz w:val="22"/>
                <w:szCs w:val="22"/>
                <w:vertAlign w:val="subscript"/>
              </w:rPr>
              <w:t xml:space="preserve"> cost increase of </w:t>
            </w:r>
            <w:r w:rsidR="00145F37" w:rsidRPr="00742695">
              <w:rPr>
                <w:rFonts w:ascii="Arial" w:hAnsi="Arial" w:cs="Arial"/>
                <w:color w:val="000000"/>
                <w:sz w:val="22"/>
                <w:szCs w:val="22"/>
                <w:vertAlign w:val="subscript"/>
              </w:rPr>
              <w:t>536</w:t>
            </w:r>
            <w:r w:rsidR="00781807">
              <w:rPr>
                <w:rFonts w:ascii="Arial" w:hAnsi="Arial" w:cs="Arial"/>
                <w:color w:val="000000"/>
                <w:sz w:val="22"/>
                <w:szCs w:val="22"/>
                <w:vertAlign w:val="subscript"/>
              </w:rPr>
              <w:t xml:space="preserve"> GBP</w:t>
            </w:r>
            <w:r w:rsidRPr="00742695">
              <w:rPr>
                <w:rFonts w:ascii="Arial" w:hAnsi="Arial" w:cs="Arial"/>
                <w:color w:val="000000"/>
                <w:sz w:val="22"/>
                <w:szCs w:val="22"/>
                <w:vertAlign w:val="subscript"/>
              </w:rPr>
              <w:t xml:space="preserve"> per patient</w:t>
            </w:r>
          </w:p>
        </w:tc>
      </w:tr>
      <w:tr w:rsidR="00145F37" w:rsidRPr="00742695" w:rsidTr="005E4DEC">
        <w:trPr>
          <w:trHeight w:val="68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rsidP="006545FB">
            <w:pPr>
              <w:rPr>
                <w:rFonts w:ascii="Arial" w:hAnsi="Arial" w:cs="Arial"/>
                <w:color w:val="000000"/>
                <w:sz w:val="22"/>
                <w:szCs w:val="22"/>
                <w:vertAlign w:val="subscript"/>
              </w:rPr>
            </w:pPr>
            <w:r w:rsidRPr="00742695">
              <w:rPr>
                <w:rFonts w:ascii="Arial" w:hAnsi="Arial" w:cs="Arial"/>
                <w:color w:val="000000"/>
                <w:sz w:val="22"/>
                <w:szCs w:val="22"/>
                <w:vertAlign w:val="subscript"/>
              </w:rPr>
              <w:t>MTG7 Inditherm warmi</w:t>
            </w:r>
            <w:r w:rsidR="006545FB" w:rsidRPr="00742695">
              <w:rPr>
                <w:rFonts w:ascii="Arial" w:hAnsi="Arial" w:cs="Arial"/>
                <w:color w:val="000000"/>
                <w:sz w:val="22"/>
                <w:szCs w:val="22"/>
                <w:vertAlign w:val="subscript"/>
              </w:rPr>
              <w:t>ng mattress for preventing</w:t>
            </w:r>
            <w:r w:rsidRPr="00742695">
              <w:rPr>
                <w:rFonts w:ascii="Arial" w:hAnsi="Arial" w:cs="Arial"/>
                <w:color w:val="000000"/>
                <w:sz w:val="22"/>
                <w:szCs w:val="22"/>
                <w:vertAlign w:val="subscript"/>
              </w:rPr>
              <w:t xml:space="preserve"> inadvertent hypothermia</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Adopt for operations that carry a risk of inadvertent hypothermia</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Similar effectiveness to forced air warming.  Practical advantages related to ease of use   </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Annual </w:t>
            </w:r>
            <w:r w:rsidR="00781807">
              <w:rPr>
                <w:rFonts w:ascii="Arial" w:hAnsi="Arial" w:cs="Arial"/>
                <w:color w:val="000000"/>
                <w:sz w:val="22"/>
                <w:szCs w:val="22"/>
                <w:vertAlign w:val="subscript"/>
              </w:rPr>
              <w:t xml:space="preserve">saving of </w:t>
            </w:r>
            <w:r w:rsidRPr="00742695">
              <w:rPr>
                <w:rFonts w:ascii="Arial" w:hAnsi="Arial" w:cs="Arial"/>
                <w:color w:val="000000"/>
                <w:sz w:val="22"/>
                <w:szCs w:val="22"/>
                <w:vertAlign w:val="subscript"/>
              </w:rPr>
              <w:t xml:space="preserve">9800 </w:t>
            </w:r>
            <w:r w:rsidR="00781807">
              <w:rPr>
                <w:rFonts w:ascii="Arial" w:hAnsi="Arial" w:cs="Arial"/>
                <w:color w:val="000000"/>
                <w:sz w:val="22"/>
                <w:szCs w:val="22"/>
                <w:vertAlign w:val="subscript"/>
              </w:rPr>
              <w:t xml:space="preserve">GBP </w:t>
            </w:r>
            <w:r w:rsidRPr="00742695">
              <w:rPr>
                <w:rFonts w:ascii="Arial" w:hAnsi="Arial" w:cs="Arial"/>
                <w:color w:val="000000"/>
                <w:sz w:val="22"/>
                <w:szCs w:val="22"/>
                <w:vertAlign w:val="subscript"/>
              </w:rPr>
              <w:t>per operating theatre  </w:t>
            </w:r>
          </w:p>
        </w:tc>
      </w:tr>
      <w:tr w:rsidR="00145F37" w:rsidRPr="00742695" w:rsidTr="005E4DEC">
        <w:trPr>
          <w:trHeight w:val="411"/>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6545FB" w:rsidP="006545FB">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MTG8 VeriQ system for assessing </w:t>
            </w:r>
            <w:r w:rsidR="00145F37" w:rsidRPr="00742695">
              <w:rPr>
                <w:rFonts w:ascii="Arial" w:hAnsi="Arial" w:cs="Arial"/>
                <w:color w:val="000000"/>
                <w:sz w:val="22"/>
                <w:szCs w:val="22"/>
                <w:vertAlign w:val="subscript"/>
              </w:rPr>
              <w:t xml:space="preserve">flow </w:t>
            </w:r>
            <w:r w:rsidRPr="00742695">
              <w:rPr>
                <w:rFonts w:ascii="Arial" w:hAnsi="Arial" w:cs="Arial"/>
                <w:color w:val="000000"/>
                <w:sz w:val="22"/>
                <w:szCs w:val="22"/>
                <w:vertAlign w:val="subscript"/>
              </w:rPr>
              <w:t xml:space="preserve">during </w:t>
            </w:r>
            <w:r w:rsidR="00145F37" w:rsidRPr="00742695">
              <w:rPr>
                <w:rFonts w:ascii="Arial" w:hAnsi="Arial" w:cs="Arial"/>
                <w:color w:val="000000"/>
                <w:sz w:val="22"/>
                <w:szCs w:val="22"/>
                <w:vertAlign w:val="subscript"/>
              </w:rPr>
              <w:t>coronary artery bypass graft</w:t>
            </w:r>
            <w:r w:rsidRPr="00742695">
              <w:rPr>
                <w:rFonts w:ascii="Arial" w:hAnsi="Arial" w:cs="Arial"/>
                <w:color w:val="000000"/>
                <w:sz w:val="22"/>
                <w:szCs w:val="22"/>
                <w:vertAlign w:val="subscript"/>
              </w:rPr>
              <w:t>ing</w:t>
            </w:r>
            <w:r w:rsidR="00145F37" w:rsidRPr="00742695">
              <w:rPr>
                <w:rFonts w:ascii="Arial" w:hAnsi="Arial" w:cs="Arial"/>
                <w:color w:val="000000"/>
                <w:sz w:val="22"/>
                <w:szCs w:val="22"/>
                <w:vertAlign w:val="subscript"/>
              </w:rPr>
              <w:t xml:space="preserve"> (</w:t>
            </w:r>
            <w:r w:rsidR="005E4DEC" w:rsidRPr="00742695">
              <w:rPr>
                <w:rFonts w:ascii="Arial" w:hAnsi="Arial" w:cs="Arial"/>
                <w:color w:val="000000"/>
                <w:sz w:val="22"/>
                <w:szCs w:val="22"/>
                <w:vertAlign w:val="subscript"/>
              </w:rPr>
              <w:t>CABG)</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Adopt for patients having CABG surgery.</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Detects imperfections correctable by revision:  may reduce occlusion, morbidity and mortality.</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781807">
            <w:pPr>
              <w:rPr>
                <w:rFonts w:ascii="Arial" w:hAnsi="Arial" w:cs="Arial"/>
                <w:color w:val="000000"/>
                <w:sz w:val="22"/>
                <w:szCs w:val="22"/>
                <w:vertAlign w:val="subscript"/>
              </w:rPr>
            </w:pPr>
            <w:r>
              <w:rPr>
                <w:rFonts w:ascii="Arial" w:hAnsi="Arial" w:cs="Arial"/>
                <w:color w:val="000000"/>
                <w:sz w:val="22"/>
                <w:szCs w:val="22"/>
                <w:vertAlign w:val="subscript"/>
              </w:rPr>
              <w:t xml:space="preserve">Saving of </w:t>
            </w:r>
            <w:r w:rsidR="00145F37" w:rsidRPr="00742695">
              <w:rPr>
                <w:rFonts w:ascii="Arial" w:hAnsi="Arial" w:cs="Arial"/>
                <w:color w:val="000000"/>
                <w:sz w:val="22"/>
                <w:szCs w:val="22"/>
                <w:vertAlign w:val="subscript"/>
              </w:rPr>
              <w:t xml:space="preserve">115 </w:t>
            </w:r>
            <w:r>
              <w:rPr>
                <w:rFonts w:ascii="Arial" w:hAnsi="Arial" w:cs="Arial"/>
                <w:color w:val="000000"/>
                <w:sz w:val="22"/>
                <w:szCs w:val="22"/>
                <w:vertAlign w:val="subscript"/>
              </w:rPr>
              <w:t xml:space="preserve">GBP </w:t>
            </w:r>
            <w:r w:rsidR="00145F37" w:rsidRPr="00742695">
              <w:rPr>
                <w:rFonts w:ascii="Arial" w:hAnsi="Arial" w:cs="Arial"/>
                <w:color w:val="000000"/>
                <w:sz w:val="22"/>
                <w:szCs w:val="22"/>
                <w:vertAlign w:val="subscript"/>
              </w:rPr>
              <w:t xml:space="preserve">per patient </w:t>
            </w:r>
          </w:p>
        </w:tc>
      </w:tr>
      <w:tr w:rsidR="00145F37" w:rsidRPr="00742695" w:rsidTr="005E4DEC">
        <w:trPr>
          <w:trHeight w:val="496"/>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rsidP="002241E0">
            <w:pPr>
              <w:rPr>
                <w:rFonts w:ascii="Arial" w:hAnsi="Arial" w:cs="Arial"/>
                <w:color w:val="000000"/>
                <w:sz w:val="22"/>
                <w:szCs w:val="22"/>
                <w:vertAlign w:val="subscript"/>
              </w:rPr>
            </w:pPr>
            <w:r w:rsidRPr="00742695">
              <w:rPr>
                <w:rFonts w:ascii="Arial" w:hAnsi="Arial" w:cs="Arial"/>
                <w:color w:val="000000"/>
                <w:sz w:val="22"/>
                <w:szCs w:val="22"/>
                <w:vertAlign w:val="subscript"/>
              </w:rPr>
              <w:t>MTG9 PleurX system for vacuum-assi</w:t>
            </w:r>
            <w:r w:rsidR="006545FB" w:rsidRPr="00742695">
              <w:rPr>
                <w:rFonts w:ascii="Arial" w:hAnsi="Arial" w:cs="Arial"/>
                <w:color w:val="000000"/>
                <w:sz w:val="22"/>
                <w:szCs w:val="22"/>
                <w:vertAlign w:val="subscript"/>
              </w:rPr>
              <w:t>s</w:t>
            </w:r>
            <w:r w:rsidRPr="00742695">
              <w:rPr>
                <w:rFonts w:ascii="Arial" w:hAnsi="Arial" w:cs="Arial"/>
                <w:color w:val="000000"/>
                <w:sz w:val="22"/>
                <w:szCs w:val="22"/>
                <w:vertAlign w:val="subscript"/>
              </w:rPr>
              <w:t>ted drainage of recurrent malignant ascites</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Adopt for use in patients with treatment-resistant, recurrent malignant ascites.</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Clinically effective, low complication rate and can improve quality of life.  Enables treatment in the community</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781807">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Saving of 679 </w:t>
            </w:r>
            <w:r w:rsidR="00781807">
              <w:rPr>
                <w:rFonts w:ascii="Arial" w:hAnsi="Arial" w:cs="Arial"/>
                <w:color w:val="000000"/>
                <w:sz w:val="22"/>
                <w:szCs w:val="22"/>
                <w:vertAlign w:val="subscript"/>
              </w:rPr>
              <w:t xml:space="preserve">GBP </w:t>
            </w:r>
            <w:r w:rsidRPr="00742695">
              <w:rPr>
                <w:rFonts w:ascii="Arial" w:hAnsi="Arial" w:cs="Arial"/>
                <w:color w:val="000000"/>
                <w:sz w:val="22"/>
                <w:szCs w:val="22"/>
                <w:vertAlign w:val="subscript"/>
              </w:rPr>
              <w:t xml:space="preserve">per patient </w:t>
            </w:r>
          </w:p>
        </w:tc>
      </w:tr>
      <w:tr w:rsidR="00145F37" w:rsidRPr="00742695" w:rsidTr="005E4DEC">
        <w:trPr>
          <w:trHeight w:val="582"/>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rsidP="002241E0">
            <w:pPr>
              <w:rPr>
                <w:rFonts w:ascii="Arial" w:hAnsi="Arial" w:cs="Arial"/>
                <w:color w:val="000000"/>
                <w:sz w:val="22"/>
                <w:szCs w:val="22"/>
                <w:vertAlign w:val="subscript"/>
              </w:rPr>
            </w:pPr>
            <w:r w:rsidRPr="00742695">
              <w:rPr>
                <w:rFonts w:ascii="Arial" w:hAnsi="Arial" w:cs="Arial"/>
                <w:color w:val="000000"/>
                <w:sz w:val="22"/>
                <w:szCs w:val="22"/>
                <w:vertAlign w:val="subscript"/>
              </w:rPr>
              <w:t>MTG10 Pipleline embolisation device for complex intracranial aneurysms</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Adopt for complex giant or large aneurysms unsuitable for surgery where many coils would be needed </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Submit details of all patients to a national database to guide future use </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781807" w:rsidP="002241E0">
            <w:pPr>
              <w:rPr>
                <w:rFonts w:ascii="Arial" w:hAnsi="Arial" w:cs="Arial"/>
                <w:color w:val="000000"/>
                <w:sz w:val="22"/>
                <w:szCs w:val="22"/>
                <w:vertAlign w:val="subscript"/>
              </w:rPr>
            </w:pPr>
            <w:r>
              <w:rPr>
                <w:rFonts w:ascii="Arial" w:hAnsi="Arial" w:cs="Arial"/>
                <w:color w:val="000000"/>
                <w:sz w:val="22"/>
                <w:szCs w:val="22"/>
                <w:vertAlign w:val="subscript"/>
              </w:rPr>
              <w:t xml:space="preserve">Saves </w:t>
            </w:r>
            <w:r w:rsidR="00145F37" w:rsidRPr="00742695">
              <w:rPr>
                <w:rFonts w:ascii="Arial" w:hAnsi="Arial" w:cs="Arial"/>
                <w:color w:val="000000"/>
                <w:sz w:val="22"/>
                <w:szCs w:val="22"/>
                <w:vertAlign w:val="subscript"/>
              </w:rPr>
              <w:t xml:space="preserve">492 </w:t>
            </w:r>
            <w:r>
              <w:rPr>
                <w:rFonts w:ascii="Arial" w:hAnsi="Arial" w:cs="Arial"/>
                <w:color w:val="000000"/>
                <w:sz w:val="22"/>
                <w:szCs w:val="22"/>
                <w:vertAlign w:val="subscript"/>
              </w:rPr>
              <w:t xml:space="preserve">GBP </w:t>
            </w:r>
            <w:r w:rsidR="00145F37" w:rsidRPr="00742695">
              <w:rPr>
                <w:rFonts w:ascii="Arial" w:hAnsi="Arial" w:cs="Arial"/>
                <w:color w:val="000000"/>
                <w:sz w:val="22"/>
                <w:szCs w:val="22"/>
                <w:vertAlign w:val="subscript"/>
              </w:rPr>
              <w:t>per procedure</w:t>
            </w:r>
            <w:r w:rsidR="002241E0" w:rsidRPr="00742695">
              <w:rPr>
                <w:rFonts w:ascii="Arial" w:hAnsi="Arial" w:cs="Arial"/>
                <w:color w:val="000000"/>
                <w:sz w:val="22"/>
                <w:szCs w:val="22"/>
                <w:vertAlign w:val="subscript"/>
              </w:rPr>
              <w:t xml:space="preserve"> </w:t>
            </w:r>
            <w:r w:rsidR="00145F37" w:rsidRPr="00742695">
              <w:rPr>
                <w:rFonts w:ascii="Arial" w:hAnsi="Arial" w:cs="Arial"/>
                <w:color w:val="000000"/>
                <w:sz w:val="22"/>
                <w:szCs w:val="22"/>
                <w:vertAlign w:val="subscript"/>
              </w:rPr>
              <w:t xml:space="preserve">(for 2 devices </w:t>
            </w:r>
            <w:r w:rsidR="002241E0" w:rsidRPr="00742695">
              <w:rPr>
                <w:rFonts w:ascii="Arial" w:hAnsi="Arial" w:cs="Arial"/>
                <w:color w:val="000000"/>
                <w:sz w:val="22"/>
                <w:szCs w:val="22"/>
                <w:vertAlign w:val="subscript"/>
              </w:rPr>
              <w:t>versus using</w:t>
            </w:r>
            <w:r w:rsidR="00145F37" w:rsidRPr="00742695">
              <w:rPr>
                <w:rFonts w:ascii="Arial" w:hAnsi="Arial" w:cs="Arial"/>
                <w:color w:val="000000"/>
                <w:sz w:val="22"/>
                <w:szCs w:val="22"/>
                <w:vertAlign w:val="subscript"/>
              </w:rPr>
              <w:t xml:space="preserve"> 32 coils) </w:t>
            </w:r>
          </w:p>
        </w:tc>
      </w:tr>
      <w:tr w:rsidR="00145F37" w:rsidRPr="00742695" w:rsidTr="005E4DEC">
        <w:trPr>
          <w:trHeight w:val="523"/>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rsidP="00C27281">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MTG11 Megasoft </w:t>
            </w:r>
            <w:r w:rsidR="00C27281" w:rsidRPr="00742695">
              <w:rPr>
                <w:rFonts w:ascii="Arial" w:hAnsi="Arial" w:cs="Arial"/>
                <w:color w:val="000000"/>
                <w:sz w:val="22"/>
                <w:szCs w:val="22"/>
                <w:vertAlign w:val="subscript"/>
              </w:rPr>
              <w:t>patient return electrode for m</w:t>
            </w:r>
            <w:r w:rsidRPr="00742695">
              <w:rPr>
                <w:rFonts w:ascii="Arial" w:hAnsi="Arial" w:cs="Arial"/>
                <w:color w:val="000000"/>
                <w:sz w:val="22"/>
                <w:szCs w:val="22"/>
                <w:vertAlign w:val="subscript"/>
              </w:rPr>
              <w:t>onopolar electrosurgery</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C27281">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Advantages for selected patients such as those with fragile or damaged skin </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C27281">
            <w:pPr>
              <w:rPr>
                <w:rFonts w:ascii="Arial" w:hAnsi="Arial" w:cs="Arial"/>
                <w:color w:val="000000"/>
                <w:sz w:val="22"/>
                <w:szCs w:val="22"/>
                <w:vertAlign w:val="subscript"/>
              </w:rPr>
            </w:pPr>
            <w:r w:rsidRPr="00742695">
              <w:rPr>
                <w:rFonts w:ascii="Arial" w:hAnsi="Arial" w:cs="Arial"/>
                <w:color w:val="000000"/>
                <w:sz w:val="22"/>
                <w:szCs w:val="22"/>
                <w:vertAlign w:val="subscript"/>
              </w:rPr>
              <w:t>May red</w:t>
            </w:r>
            <w:r w:rsidR="00C27281" w:rsidRPr="00742695">
              <w:rPr>
                <w:rFonts w:ascii="Arial" w:hAnsi="Arial" w:cs="Arial"/>
                <w:color w:val="000000"/>
                <w:sz w:val="22"/>
                <w:szCs w:val="22"/>
                <w:vertAlign w:val="subscript"/>
              </w:rPr>
              <w:t xml:space="preserve">uce risk of burns related to </w:t>
            </w:r>
            <w:r w:rsidRPr="00742695">
              <w:rPr>
                <w:rFonts w:ascii="Arial" w:hAnsi="Arial" w:cs="Arial"/>
                <w:color w:val="000000"/>
                <w:sz w:val="22"/>
                <w:szCs w:val="22"/>
                <w:vertAlign w:val="subscript"/>
              </w:rPr>
              <w:t xml:space="preserve">patient return electrode </w:t>
            </w:r>
            <w:r w:rsidR="00C27281" w:rsidRPr="00742695">
              <w:rPr>
                <w:rFonts w:ascii="Arial" w:hAnsi="Arial" w:cs="Arial"/>
                <w:color w:val="000000"/>
                <w:sz w:val="22"/>
                <w:szCs w:val="22"/>
                <w:vertAlign w:val="subscript"/>
              </w:rPr>
              <w:t>of diathermy</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Near equivalent resource use to current practice</w:t>
            </w:r>
          </w:p>
        </w:tc>
      </w:tr>
      <w:tr w:rsidR="00145F37" w:rsidRPr="00742695" w:rsidTr="005E4DEC">
        <w:trPr>
          <w:trHeight w:val="6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rsidP="00FD7062">
            <w:pPr>
              <w:rPr>
                <w:rFonts w:ascii="Arial" w:hAnsi="Arial" w:cs="Arial"/>
                <w:color w:val="000000"/>
                <w:sz w:val="22"/>
                <w:szCs w:val="22"/>
                <w:vertAlign w:val="subscript"/>
              </w:rPr>
            </w:pPr>
            <w:r w:rsidRPr="00742695">
              <w:rPr>
                <w:rFonts w:ascii="Arial" w:hAnsi="Arial" w:cs="Arial"/>
                <w:color w:val="000000"/>
                <w:sz w:val="22"/>
                <w:szCs w:val="22"/>
                <w:vertAlign w:val="subscript"/>
              </w:rPr>
              <w:t>MTG12 Exogen ultrasound system for long bone fractures with non-union or delayed healing</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Adopt for non-union fractures</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Avoidance of further surgery</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781807">
            <w:pPr>
              <w:rPr>
                <w:rFonts w:ascii="Arial" w:hAnsi="Arial" w:cs="Arial"/>
                <w:color w:val="000000"/>
                <w:sz w:val="22"/>
                <w:szCs w:val="22"/>
                <w:vertAlign w:val="subscript"/>
              </w:rPr>
            </w:pPr>
            <w:r>
              <w:rPr>
                <w:rFonts w:ascii="Arial" w:hAnsi="Arial" w:cs="Arial"/>
                <w:color w:val="000000"/>
                <w:sz w:val="22"/>
                <w:szCs w:val="22"/>
                <w:vertAlign w:val="subscript"/>
              </w:rPr>
              <w:t xml:space="preserve">Annual saving </w:t>
            </w:r>
            <w:r w:rsidR="00145F37" w:rsidRPr="00742695">
              <w:rPr>
                <w:rFonts w:ascii="Arial" w:hAnsi="Arial" w:cs="Arial"/>
                <w:color w:val="000000"/>
                <w:sz w:val="22"/>
                <w:szCs w:val="22"/>
                <w:vertAlign w:val="subscript"/>
              </w:rPr>
              <w:t xml:space="preserve">1164 </w:t>
            </w:r>
            <w:r>
              <w:rPr>
                <w:rFonts w:ascii="Arial" w:hAnsi="Arial" w:cs="Arial"/>
                <w:color w:val="000000"/>
                <w:sz w:val="22"/>
                <w:szCs w:val="22"/>
                <w:vertAlign w:val="subscript"/>
              </w:rPr>
              <w:t xml:space="preserve">GBP </w:t>
            </w:r>
            <w:r w:rsidR="00145F37" w:rsidRPr="00742695">
              <w:rPr>
                <w:rFonts w:ascii="Arial" w:hAnsi="Arial" w:cs="Arial"/>
                <w:color w:val="000000"/>
                <w:sz w:val="22"/>
                <w:szCs w:val="22"/>
                <w:vertAlign w:val="subscript"/>
              </w:rPr>
              <w:t>per patient</w:t>
            </w:r>
          </w:p>
        </w:tc>
      </w:tr>
      <w:tr w:rsidR="00145F37" w:rsidRPr="00742695" w:rsidTr="005E4DEC">
        <w:trPr>
          <w:trHeight w:val="689"/>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145F37" w:rsidRPr="00742695" w:rsidRDefault="00145F37" w:rsidP="00B5286B">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MTG13 WatchBP Home A </w:t>
            </w:r>
            <w:r w:rsidR="00B5286B" w:rsidRPr="00742695">
              <w:rPr>
                <w:rFonts w:ascii="Arial" w:hAnsi="Arial" w:cs="Arial"/>
                <w:color w:val="000000"/>
                <w:sz w:val="22"/>
                <w:szCs w:val="22"/>
                <w:vertAlign w:val="subscript"/>
              </w:rPr>
              <w:t>to detect</w:t>
            </w:r>
            <w:r w:rsidRPr="00742695">
              <w:rPr>
                <w:rFonts w:ascii="Arial" w:hAnsi="Arial" w:cs="Arial"/>
                <w:color w:val="000000"/>
                <w:sz w:val="22"/>
                <w:szCs w:val="22"/>
                <w:vertAlign w:val="subscript"/>
              </w:rPr>
              <w:t xml:space="preserve"> atrial fibrillation </w:t>
            </w:r>
            <w:r w:rsidR="00B5286B" w:rsidRPr="00742695">
              <w:rPr>
                <w:rFonts w:ascii="Arial" w:hAnsi="Arial" w:cs="Arial"/>
                <w:color w:val="000000"/>
                <w:sz w:val="22"/>
                <w:szCs w:val="22"/>
                <w:vertAlign w:val="subscript"/>
              </w:rPr>
              <w:t xml:space="preserve">when diagnosing/monitoring </w:t>
            </w:r>
            <w:r w:rsidRPr="00742695">
              <w:rPr>
                <w:rFonts w:ascii="Arial" w:hAnsi="Arial" w:cs="Arial"/>
                <w:color w:val="000000"/>
                <w:sz w:val="22"/>
                <w:szCs w:val="22"/>
                <w:vertAlign w:val="subscript"/>
              </w:rPr>
              <w:t xml:space="preserve">hypertension </w:t>
            </w:r>
          </w:p>
        </w:tc>
        <w:tc>
          <w:tcPr>
            <w:tcW w:w="3969"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Adopt for screening or monitoring hypertension in primary care.</w:t>
            </w:r>
          </w:p>
        </w:tc>
        <w:tc>
          <w:tcPr>
            <w:tcW w:w="3686" w:type="dxa"/>
            <w:tcBorders>
              <w:top w:val="nil"/>
              <w:left w:val="nil"/>
              <w:bottom w:val="single" w:sz="8" w:space="0" w:color="auto"/>
              <w:right w:val="single" w:sz="8" w:space="0" w:color="auto"/>
            </w:tcBorders>
            <w:shd w:val="clear" w:color="auto" w:fill="auto"/>
            <w:vAlign w:val="center"/>
            <w:hideMark/>
          </w:tcPr>
          <w:p w:rsidR="00145F37" w:rsidRPr="00742695" w:rsidRDefault="00145F37">
            <w:pPr>
              <w:rPr>
                <w:rFonts w:ascii="Arial" w:hAnsi="Arial" w:cs="Arial"/>
                <w:color w:val="000000"/>
                <w:sz w:val="22"/>
                <w:szCs w:val="22"/>
                <w:vertAlign w:val="subscript"/>
              </w:rPr>
            </w:pPr>
            <w:r w:rsidRPr="00742695">
              <w:rPr>
                <w:rFonts w:ascii="Arial" w:hAnsi="Arial" w:cs="Arial"/>
                <w:color w:val="000000"/>
                <w:sz w:val="22"/>
                <w:szCs w:val="22"/>
                <w:vertAlign w:val="subscript"/>
              </w:rPr>
              <w:t>Reliably detects atrial fibrillation and may increase the rate of detection in primary care</w:t>
            </w:r>
          </w:p>
        </w:tc>
        <w:tc>
          <w:tcPr>
            <w:tcW w:w="3260" w:type="dxa"/>
            <w:tcBorders>
              <w:top w:val="nil"/>
              <w:left w:val="nil"/>
              <w:bottom w:val="single" w:sz="8" w:space="0" w:color="auto"/>
              <w:right w:val="single" w:sz="8" w:space="0" w:color="auto"/>
            </w:tcBorders>
            <w:shd w:val="clear" w:color="auto" w:fill="auto"/>
            <w:vAlign w:val="center"/>
            <w:hideMark/>
          </w:tcPr>
          <w:p w:rsidR="00145F37" w:rsidRPr="00742695" w:rsidRDefault="00145F37" w:rsidP="00B5286B">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Savings </w:t>
            </w:r>
            <w:r w:rsidR="00B5286B" w:rsidRPr="00742695">
              <w:rPr>
                <w:rFonts w:ascii="Arial" w:hAnsi="Arial" w:cs="Arial"/>
                <w:color w:val="000000"/>
                <w:sz w:val="22"/>
                <w:szCs w:val="22"/>
                <w:vertAlign w:val="subscript"/>
              </w:rPr>
              <w:t xml:space="preserve">estimated </w:t>
            </w:r>
            <w:r w:rsidR="00781807">
              <w:rPr>
                <w:rFonts w:ascii="Arial" w:hAnsi="Arial" w:cs="Arial"/>
                <w:color w:val="000000"/>
                <w:sz w:val="22"/>
                <w:szCs w:val="22"/>
                <w:vertAlign w:val="subscript"/>
              </w:rPr>
              <w:t xml:space="preserve">from </w:t>
            </w:r>
            <w:r w:rsidRPr="00742695">
              <w:rPr>
                <w:rFonts w:ascii="Arial" w:hAnsi="Arial" w:cs="Arial"/>
                <w:color w:val="000000"/>
                <w:sz w:val="22"/>
                <w:szCs w:val="22"/>
                <w:vertAlign w:val="subscript"/>
              </w:rPr>
              <w:t>2.98 </w:t>
            </w:r>
            <w:r w:rsidR="00781807">
              <w:rPr>
                <w:rFonts w:ascii="Arial" w:hAnsi="Arial" w:cs="Arial"/>
                <w:color w:val="000000"/>
                <w:sz w:val="22"/>
                <w:szCs w:val="22"/>
                <w:vertAlign w:val="subscript"/>
              </w:rPr>
              <w:t xml:space="preserve">GBP (age 65 - 74 years) to </w:t>
            </w:r>
            <w:r w:rsidRPr="00742695">
              <w:rPr>
                <w:rFonts w:ascii="Arial" w:hAnsi="Arial" w:cs="Arial"/>
                <w:color w:val="000000"/>
                <w:sz w:val="22"/>
                <w:szCs w:val="22"/>
                <w:vertAlign w:val="subscript"/>
              </w:rPr>
              <w:t>4.26 </w:t>
            </w:r>
            <w:r w:rsidR="00781807">
              <w:rPr>
                <w:rFonts w:ascii="Arial" w:hAnsi="Arial" w:cs="Arial"/>
                <w:color w:val="000000"/>
                <w:sz w:val="22"/>
                <w:szCs w:val="22"/>
                <w:vertAlign w:val="subscript"/>
              </w:rPr>
              <w:t xml:space="preserve">GBP </w:t>
            </w:r>
            <w:r w:rsidRPr="00742695">
              <w:rPr>
                <w:rFonts w:ascii="Arial" w:hAnsi="Arial" w:cs="Arial"/>
                <w:color w:val="000000"/>
                <w:sz w:val="22"/>
                <w:szCs w:val="22"/>
                <w:vertAlign w:val="subscript"/>
              </w:rPr>
              <w:t>(age &gt;74)</w:t>
            </w:r>
          </w:p>
        </w:tc>
      </w:tr>
      <w:tr w:rsidR="005E4DEC" w:rsidRPr="00742695" w:rsidTr="005E4DEC">
        <w:trPr>
          <w:trHeight w:val="713"/>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lastRenderedPageBreak/>
              <w:t>MTG14 Ambu aScope2 for use in unexpected difficult airways</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Adopt for emergency intubation in unexpected difficult airways </w:t>
            </w:r>
          </w:p>
        </w:tc>
        <w:tc>
          <w:tcPr>
            <w:tcW w:w="3686"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When fibre optic endoscope is unavailable. Also for replacing dislodged tracheostomy tubes</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Savings depend on the numbers of intubations and availability of multiple-use fibre optic endoscopes</w:t>
            </w:r>
          </w:p>
        </w:tc>
      </w:tr>
      <w:tr w:rsidR="005E4DEC" w:rsidRPr="00742695" w:rsidTr="005E4DEC">
        <w:trPr>
          <w:trHeight w:val="639"/>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rsidP="00CB2433">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 MTG15 Vision Amniotic Leak Detector for unexplained vaginal wetness in pregnancy</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Adopt for use in pregnant women with unexplained vaginal wetness</w:t>
            </w:r>
          </w:p>
        </w:tc>
        <w:tc>
          <w:tcPr>
            <w:tcW w:w="3686"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Could prevent unnecessary referrals to secondary care</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1C40AA">
            <w:pPr>
              <w:rPr>
                <w:rFonts w:ascii="Arial" w:hAnsi="Arial" w:cs="Arial"/>
                <w:color w:val="000000"/>
                <w:sz w:val="22"/>
                <w:szCs w:val="22"/>
                <w:vertAlign w:val="subscript"/>
              </w:rPr>
            </w:pPr>
            <w:r>
              <w:rPr>
                <w:rFonts w:ascii="Arial" w:hAnsi="Arial" w:cs="Arial"/>
                <w:color w:val="000000"/>
                <w:sz w:val="22"/>
                <w:szCs w:val="22"/>
                <w:vertAlign w:val="subscript"/>
              </w:rPr>
              <w:t xml:space="preserve">15.25 to </w:t>
            </w:r>
            <w:r w:rsidR="005E4DEC" w:rsidRPr="00742695">
              <w:rPr>
                <w:rFonts w:ascii="Arial" w:hAnsi="Arial" w:cs="Arial"/>
                <w:color w:val="000000"/>
                <w:sz w:val="22"/>
                <w:szCs w:val="22"/>
                <w:vertAlign w:val="subscript"/>
              </w:rPr>
              <w:t xml:space="preserve">24.01 </w:t>
            </w:r>
            <w:r>
              <w:rPr>
                <w:rFonts w:ascii="Arial" w:hAnsi="Arial" w:cs="Arial"/>
                <w:color w:val="000000"/>
                <w:sz w:val="22"/>
                <w:szCs w:val="22"/>
                <w:vertAlign w:val="subscript"/>
              </w:rPr>
              <w:t xml:space="preserve">GBP </w:t>
            </w:r>
            <w:r w:rsidR="005E4DEC" w:rsidRPr="00742695">
              <w:rPr>
                <w:rFonts w:ascii="Arial" w:hAnsi="Arial" w:cs="Arial"/>
                <w:color w:val="000000"/>
                <w:sz w:val="22"/>
                <w:szCs w:val="22"/>
                <w:vertAlign w:val="subscript"/>
              </w:rPr>
              <w:t xml:space="preserve">saving per woman  </w:t>
            </w:r>
          </w:p>
        </w:tc>
      </w:tr>
      <w:tr w:rsidR="005E4DEC" w:rsidRPr="00742695" w:rsidTr="005E4DEC">
        <w:trPr>
          <w:trHeight w:val="55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rsidP="00CB2433">
            <w:pPr>
              <w:rPr>
                <w:rFonts w:ascii="Arial" w:hAnsi="Arial" w:cs="Arial"/>
                <w:color w:val="000000"/>
                <w:sz w:val="22"/>
                <w:szCs w:val="22"/>
                <w:vertAlign w:val="subscript"/>
              </w:rPr>
            </w:pPr>
            <w:r w:rsidRPr="00742695">
              <w:rPr>
                <w:rFonts w:ascii="Arial" w:hAnsi="Arial" w:cs="Arial"/>
                <w:color w:val="000000"/>
                <w:sz w:val="22"/>
                <w:szCs w:val="22"/>
                <w:vertAlign w:val="subscript"/>
              </w:rPr>
              <w:t>MTG16  E</w:t>
            </w:r>
            <w:r w:rsidRPr="00742695">
              <w:rPr>
                <w:rFonts w:ascii="Arial" w:hAnsi="Arial" w:cs="Arial"/>
                <w:color w:val="000000"/>
                <w:sz w:val="22"/>
                <w:szCs w:val="22"/>
                <w:vertAlign w:val="subscript"/>
              </w:rPr>
              <w:noBreakHyphen/>
              <w:t>vita open plus for complex aneurysms and dissections of the thoracic aorta</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CB2433">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Adopt for carefully selected people with complex aneurysms and dissections </w:t>
            </w:r>
          </w:p>
        </w:tc>
        <w:tc>
          <w:tcPr>
            <w:tcW w:w="3686"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May remove  need for a second procedure and associated risk of complications </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1C40AA">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Savings of 9850 to 13,500 </w:t>
            </w:r>
            <w:r w:rsidR="001C40AA">
              <w:rPr>
                <w:rFonts w:ascii="Arial" w:hAnsi="Arial" w:cs="Arial"/>
                <w:color w:val="000000"/>
                <w:sz w:val="22"/>
                <w:szCs w:val="22"/>
                <w:vertAlign w:val="subscript"/>
              </w:rPr>
              <w:t xml:space="preserve">GBP </w:t>
            </w:r>
            <w:r w:rsidRPr="00742695">
              <w:rPr>
                <w:rFonts w:ascii="Arial" w:hAnsi="Arial" w:cs="Arial"/>
                <w:color w:val="000000"/>
                <w:sz w:val="22"/>
                <w:szCs w:val="22"/>
                <w:vertAlign w:val="subscript"/>
              </w:rPr>
              <w:t xml:space="preserve">per patient at 5 years </w:t>
            </w:r>
          </w:p>
        </w:tc>
      </w:tr>
      <w:tr w:rsidR="005E4DEC" w:rsidRPr="00742695" w:rsidTr="005E4DEC">
        <w:trPr>
          <w:trHeight w:val="622"/>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rsidP="005374E0">
            <w:pPr>
              <w:rPr>
                <w:rFonts w:ascii="Arial" w:hAnsi="Arial" w:cs="Arial"/>
                <w:color w:val="000000"/>
                <w:sz w:val="22"/>
                <w:szCs w:val="22"/>
                <w:vertAlign w:val="subscript"/>
              </w:rPr>
            </w:pPr>
            <w:r w:rsidRPr="00742695">
              <w:rPr>
                <w:rFonts w:ascii="Arial" w:hAnsi="Arial" w:cs="Arial"/>
                <w:color w:val="000000"/>
                <w:sz w:val="22"/>
                <w:szCs w:val="22"/>
                <w:vertAlign w:val="subscript"/>
              </w:rPr>
              <w:t>MTG17 Debrisoft monofilament debridement pad for acute or chronic wounds</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Adopt for adults and children with acute or chronic wounds.</w:t>
            </w:r>
          </w:p>
        </w:tc>
        <w:tc>
          <w:tcPr>
            <w:tcW w:w="3686"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5374E0">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Quicker debridement with fewer nurse visits: easy to use and well tolerated </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1C40AA" w:rsidP="00B63EAB">
            <w:pPr>
              <w:rPr>
                <w:rFonts w:ascii="Arial" w:hAnsi="Arial" w:cs="Arial"/>
                <w:color w:val="000000"/>
                <w:sz w:val="22"/>
                <w:szCs w:val="22"/>
                <w:vertAlign w:val="subscript"/>
              </w:rPr>
            </w:pPr>
            <w:r>
              <w:rPr>
                <w:rFonts w:ascii="Arial" w:hAnsi="Arial" w:cs="Arial"/>
                <w:color w:val="000000"/>
                <w:sz w:val="22"/>
                <w:szCs w:val="22"/>
                <w:vertAlign w:val="subscript"/>
              </w:rPr>
              <w:t>Estimated savings of 99-</w:t>
            </w:r>
            <w:r w:rsidR="005E4DEC" w:rsidRPr="00742695">
              <w:rPr>
                <w:rFonts w:ascii="Arial" w:hAnsi="Arial" w:cs="Arial"/>
                <w:color w:val="000000"/>
                <w:sz w:val="22"/>
                <w:szCs w:val="22"/>
                <w:vertAlign w:val="subscript"/>
              </w:rPr>
              <w:t xml:space="preserve">484 </w:t>
            </w:r>
            <w:r>
              <w:rPr>
                <w:rFonts w:ascii="Arial" w:hAnsi="Arial" w:cs="Arial"/>
                <w:color w:val="000000"/>
                <w:sz w:val="22"/>
                <w:szCs w:val="22"/>
                <w:vertAlign w:val="subscript"/>
              </w:rPr>
              <w:t>GBP in community clinics and 222-</w:t>
            </w:r>
            <w:r w:rsidR="005E4DEC" w:rsidRPr="00742695">
              <w:rPr>
                <w:rFonts w:ascii="Arial" w:hAnsi="Arial" w:cs="Arial"/>
                <w:color w:val="000000"/>
                <w:sz w:val="22"/>
                <w:szCs w:val="22"/>
                <w:vertAlign w:val="subscript"/>
              </w:rPr>
              <w:t xml:space="preserve">469 </w:t>
            </w:r>
            <w:r>
              <w:rPr>
                <w:rFonts w:ascii="Arial" w:hAnsi="Arial" w:cs="Arial"/>
                <w:color w:val="000000"/>
                <w:sz w:val="22"/>
                <w:szCs w:val="22"/>
                <w:vertAlign w:val="subscript"/>
              </w:rPr>
              <w:t xml:space="preserve">GBP </w:t>
            </w:r>
            <w:r w:rsidR="005E4DEC" w:rsidRPr="00742695">
              <w:rPr>
                <w:rFonts w:ascii="Arial" w:hAnsi="Arial" w:cs="Arial"/>
                <w:color w:val="000000"/>
                <w:sz w:val="22"/>
                <w:szCs w:val="22"/>
                <w:vertAlign w:val="subscript"/>
              </w:rPr>
              <w:t xml:space="preserve">in the home. </w:t>
            </w:r>
          </w:p>
        </w:tc>
      </w:tr>
      <w:tr w:rsidR="005E4DEC" w:rsidRPr="00742695" w:rsidTr="005E4DEC">
        <w:trPr>
          <w:trHeight w:val="632"/>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MTG18  MAGEC system for spinal lengthening in children with scoliosis </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A6072E">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Consider for children with scoliosis aged </w:t>
            </w:r>
            <w:r w:rsidRPr="00742695">
              <w:rPr>
                <w:rFonts w:ascii="Arial" w:hAnsi="Arial" w:cs="Arial"/>
                <w:color w:val="000000"/>
                <w:sz w:val="22"/>
                <w:szCs w:val="22"/>
                <w:u w:val="single"/>
                <w:vertAlign w:val="subscript"/>
              </w:rPr>
              <w:t>&gt;</w:t>
            </w:r>
            <w:r w:rsidRPr="00742695">
              <w:rPr>
                <w:rFonts w:ascii="Arial" w:hAnsi="Arial" w:cs="Arial"/>
                <w:color w:val="000000"/>
                <w:sz w:val="22"/>
                <w:szCs w:val="22"/>
                <w:vertAlign w:val="subscript"/>
              </w:rPr>
              <w:t xml:space="preserve"> 2 years needing surgery to correct their spinal curvature </w:t>
            </w:r>
          </w:p>
        </w:tc>
        <w:tc>
          <w:tcPr>
            <w:tcW w:w="3686"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Avoids repeated surgical procedures for growth rod lengthening</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Estimated saving </w:t>
            </w:r>
            <w:r w:rsidR="001C40AA">
              <w:rPr>
                <w:rFonts w:ascii="Arial" w:hAnsi="Arial" w:cs="Arial"/>
                <w:color w:val="000000"/>
                <w:sz w:val="22"/>
                <w:szCs w:val="22"/>
                <w:vertAlign w:val="subscript"/>
              </w:rPr>
              <w:t xml:space="preserve">per child after 6 years around </w:t>
            </w:r>
            <w:r w:rsidRPr="00742695">
              <w:rPr>
                <w:rFonts w:ascii="Arial" w:hAnsi="Arial" w:cs="Arial"/>
                <w:color w:val="000000"/>
                <w:sz w:val="22"/>
                <w:szCs w:val="22"/>
                <w:vertAlign w:val="subscript"/>
              </w:rPr>
              <w:t>12,077</w:t>
            </w:r>
            <w:r w:rsidR="001C40AA">
              <w:rPr>
                <w:rFonts w:ascii="Arial" w:hAnsi="Arial" w:cs="Arial"/>
                <w:color w:val="000000"/>
                <w:sz w:val="22"/>
                <w:szCs w:val="22"/>
                <w:vertAlign w:val="subscript"/>
              </w:rPr>
              <w:t xml:space="preserve"> GBP</w:t>
            </w:r>
          </w:p>
        </w:tc>
      </w:tr>
      <w:tr w:rsidR="005E4DEC" w:rsidRPr="00742695" w:rsidTr="005E4DEC">
        <w:trPr>
          <w:trHeight w:val="74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MTG19 The geko device for reducing the risk of venous thromboembolism (VTE)</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F01936">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Adopt for people with a high VTE risk when other prophylaxis methods are impractical or contraindicated. </w:t>
            </w:r>
          </w:p>
        </w:tc>
        <w:tc>
          <w:tcPr>
            <w:tcW w:w="3686"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F01936">
            <w:pPr>
              <w:rPr>
                <w:rFonts w:ascii="Arial" w:hAnsi="Arial" w:cs="Arial"/>
                <w:color w:val="000000"/>
                <w:sz w:val="22"/>
                <w:szCs w:val="22"/>
                <w:vertAlign w:val="subscript"/>
              </w:rPr>
            </w:pPr>
            <w:r w:rsidRPr="00742695">
              <w:rPr>
                <w:rFonts w:ascii="Arial" w:hAnsi="Arial" w:cs="Arial"/>
                <w:color w:val="000000"/>
                <w:sz w:val="22"/>
                <w:szCs w:val="22"/>
                <w:vertAlign w:val="subscript"/>
              </w:rPr>
              <w:t>May reduce the high risk of VTE</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1C40AA">
            <w:pPr>
              <w:rPr>
                <w:rFonts w:ascii="Arial" w:hAnsi="Arial" w:cs="Arial"/>
                <w:color w:val="000000"/>
                <w:sz w:val="22"/>
                <w:szCs w:val="22"/>
                <w:vertAlign w:val="subscript"/>
              </w:rPr>
            </w:pPr>
            <w:r>
              <w:rPr>
                <w:rFonts w:ascii="Arial" w:hAnsi="Arial" w:cs="Arial"/>
                <w:color w:val="000000"/>
                <w:sz w:val="22"/>
                <w:szCs w:val="22"/>
                <w:vertAlign w:val="subscript"/>
              </w:rPr>
              <w:t xml:space="preserve">Estimated saving of </w:t>
            </w:r>
            <w:r w:rsidR="005E4DEC" w:rsidRPr="00742695">
              <w:rPr>
                <w:rFonts w:ascii="Arial" w:hAnsi="Arial" w:cs="Arial"/>
                <w:color w:val="000000"/>
                <w:sz w:val="22"/>
                <w:szCs w:val="22"/>
                <w:vertAlign w:val="subscript"/>
              </w:rPr>
              <w:t xml:space="preserve">197 </w:t>
            </w:r>
            <w:r>
              <w:rPr>
                <w:rFonts w:ascii="Arial" w:hAnsi="Arial" w:cs="Arial"/>
                <w:color w:val="000000"/>
                <w:sz w:val="22"/>
                <w:szCs w:val="22"/>
                <w:vertAlign w:val="subscript"/>
              </w:rPr>
              <w:t xml:space="preserve">GBP </w:t>
            </w:r>
            <w:r w:rsidR="005E4DEC" w:rsidRPr="00742695">
              <w:rPr>
                <w:rFonts w:ascii="Arial" w:hAnsi="Arial" w:cs="Arial"/>
                <w:color w:val="000000"/>
                <w:sz w:val="22"/>
                <w:szCs w:val="22"/>
                <w:vertAlign w:val="subscript"/>
              </w:rPr>
              <w:t xml:space="preserve">per patient </w:t>
            </w:r>
          </w:p>
        </w:tc>
      </w:tr>
      <w:tr w:rsidR="005E4DEC" w:rsidRPr="00742695" w:rsidTr="005E4DEC">
        <w:trPr>
          <w:trHeight w:val="706"/>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rsidP="007B3AF5">
            <w:pPr>
              <w:rPr>
                <w:rFonts w:ascii="Arial" w:hAnsi="Arial" w:cs="Arial"/>
                <w:color w:val="000000"/>
                <w:sz w:val="22"/>
                <w:szCs w:val="22"/>
                <w:vertAlign w:val="subscript"/>
              </w:rPr>
            </w:pPr>
            <w:r w:rsidRPr="00742695">
              <w:rPr>
                <w:rFonts w:ascii="Arial" w:hAnsi="Arial" w:cs="Arial"/>
                <w:color w:val="000000"/>
                <w:sz w:val="22"/>
                <w:szCs w:val="22"/>
                <w:vertAlign w:val="subscript"/>
              </w:rPr>
              <w:t>MTG20 Parafricta Bootees and Undergarments for people with or at risk of pressure ulcers</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7B3AF5">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Research is recommended for uncertainties about claimed patient and system benefits </w:t>
            </w:r>
          </w:p>
        </w:tc>
        <w:tc>
          <w:tcPr>
            <w:tcW w:w="3686"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Potential to reduce skin damage caused by friction and shear in people with, or at risk of, pressure ulcers. </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Not applicable – needs clinical utility research</w:t>
            </w:r>
          </w:p>
        </w:tc>
      </w:tr>
      <w:tr w:rsidR="005E4DEC" w:rsidRPr="00742695" w:rsidTr="00AF3FD7">
        <w:trPr>
          <w:trHeight w:val="569"/>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rsidP="007B3AF5">
            <w:pPr>
              <w:rPr>
                <w:rFonts w:ascii="Arial" w:hAnsi="Arial" w:cs="Arial"/>
                <w:color w:val="000000"/>
                <w:sz w:val="22"/>
                <w:szCs w:val="22"/>
                <w:vertAlign w:val="subscript"/>
              </w:rPr>
            </w:pPr>
            <w:r w:rsidRPr="00742695">
              <w:rPr>
                <w:rFonts w:ascii="Arial" w:hAnsi="Arial" w:cs="Arial"/>
                <w:color w:val="000000"/>
                <w:sz w:val="22"/>
                <w:szCs w:val="22"/>
                <w:vertAlign w:val="subscript"/>
              </w:rPr>
              <w:t>MTG21 ReCell Spray</w:t>
            </w:r>
            <w:r w:rsidRPr="00742695">
              <w:rPr>
                <w:rFonts w:ascii="Arial" w:hAnsi="Arial" w:cs="Arial"/>
                <w:color w:val="000000"/>
                <w:sz w:val="22"/>
                <w:szCs w:val="22"/>
                <w:vertAlign w:val="subscript"/>
              </w:rPr>
              <w:noBreakHyphen/>
              <w:t>On Skin system for skin loss, scarring and depigmentation after burns</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7B3AF5">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Research is recommended for uncertainties about claimed patient and system benefits </w:t>
            </w:r>
          </w:p>
        </w:tc>
        <w:tc>
          <w:tcPr>
            <w:tcW w:w="3686" w:type="dxa"/>
            <w:tcBorders>
              <w:top w:val="nil"/>
              <w:left w:val="nil"/>
              <w:bottom w:val="single" w:sz="8" w:space="0" w:color="auto"/>
              <w:right w:val="single" w:sz="8" w:space="0" w:color="auto"/>
            </w:tcBorders>
            <w:shd w:val="clear" w:color="auto" w:fill="auto"/>
            <w:noWrap/>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Potential to improve healing in acute burns</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Not applicable – needs clinical utility research</w:t>
            </w:r>
          </w:p>
        </w:tc>
      </w:tr>
      <w:tr w:rsidR="005E4DEC" w:rsidRPr="00742695" w:rsidTr="00AF3FD7">
        <w:trPr>
          <w:trHeight w:val="567"/>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rsidP="00416537">
            <w:pPr>
              <w:rPr>
                <w:rFonts w:ascii="Arial" w:hAnsi="Arial" w:cs="Arial"/>
                <w:color w:val="000000"/>
                <w:sz w:val="22"/>
                <w:szCs w:val="22"/>
                <w:vertAlign w:val="subscript"/>
              </w:rPr>
            </w:pPr>
            <w:r w:rsidRPr="00742695">
              <w:rPr>
                <w:rFonts w:ascii="Arial" w:hAnsi="Arial" w:cs="Arial"/>
                <w:color w:val="000000"/>
                <w:sz w:val="22"/>
                <w:szCs w:val="22"/>
                <w:vertAlign w:val="subscript"/>
              </w:rPr>
              <w:t>MTG22 VibraTip for vibration perception to detect diabetic peripheral neuropathy</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416537">
            <w:pPr>
              <w:rPr>
                <w:rFonts w:ascii="Arial" w:hAnsi="Arial" w:cs="Arial"/>
                <w:color w:val="000000"/>
                <w:sz w:val="22"/>
                <w:szCs w:val="22"/>
                <w:vertAlign w:val="subscript"/>
              </w:rPr>
            </w:pPr>
            <w:r w:rsidRPr="00742695">
              <w:rPr>
                <w:rFonts w:ascii="Arial" w:hAnsi="Arial" w:cs="Arial"/>
                <w:color w:val="000000"/>
                <w:sz w:val="22"/>
                <w:szCs w:val="22"/>
                <w:vertAlign w:val="subscript"/>
              </w:rPr>
              <w:t>Research is recommended for uncertainties about claimed patient and system benefits</w:t>
            </w:r>
          </w:p>
        </w:tc>
        <w:tc>
          <w:tcPr>
            <w:tcW w:w="3686" w:type="dxa"/>
            <w:tcBorders>
              <w:top w:val="nil"/>
              <w:left w:val="nil"/>
              <w:bottom w:val="single" w:sz="8" w:space="0" w:color="auto"/>
              <w:right w:val="single" w:sz="8" w:space="0" w:color="auto"/>
            </w:tcBorders>
            <w:shd w:val="clear" w:color="auto" w:fill="auto"/>
            <w:noWrap/>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Potential to improve detection of diabetic peripheral neuropathy</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Not applicable – needs clinical utility research</w:t>
            </w:r>
          </w:p>
        </w:tc>
      </w:tr>
      <w:tr w:rsidR="005E4DEC" w:rsidRPr="00742695" w:rsidTr="005E4DEC">
        <w:trPr>
          <w:trHeight w:val="6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MTG23 TURis system for transurethral resection of the prostate</w:t>
            </w:r>
          </w:p>
        </w:tc>
        <w:tc>
          <w:tcPr>
            <w:tcW w:w="3969"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D363AC">
            <w:pPr>
              <w:rPr>
                <w:rFonts w:ascii="Arial" w:hAnsi="Arial" w:cs="Arial"/>
                <w:color w:val="000000"/>
                <w:sz w:val="22"/>
                <w:szCs w:val="22"/>
                <w:vertAlign w:val="subscript"/>
              </w:rPr>
            </w:pPr>
            <w:r w:rsidRPr="00742695">
              <w:rPr>
                <w:rFonts w:ascii="Arial" w:hAnsi="Arial" w:cs="Arial"/>
                <w:color w:val="000000"/>
                <w:sz w:val="22"/>
                <w:szCs w:val="22"/>
                <w:vertAlign w:val="subscript"/>
              </w:rPr>
              <w:t xml:space="preserve">Adopt for people who need surgery for prostatic enlargement. </w:t>
            </w:r>
          </w:p>
        </w:tc>
        <w:tc>
          <w:tcPr>
            <w:tcW w:w="3686" w:type="dxa"/>
            <w:tcBorders>
              <w:top w:val="nil"/>
              <w:left w:val="nil"/>
              <w:bottom w:val="single" w:sz="8" w:space="0" w:color="auto"/>
              <w:right w:val="single" w:sz="8" w:space="0" w:color="auto"/>
            </w:tcBorders>
            <w:shd w:val="clear" w:color="auto" w:fill="auto"/>
            <w:vAlign w:val="center"/>
            <w:hideMark/>
          </w:tcPr>
          <w:p w:rsidR="005E4DEC" w:rsidRPr="00742695" w:rsidRDefault="005E4DEC" w:rsidP="00D363AC">
            <w:pPr>
              <w:rPr>
                <w:rFonts w:ascii="Arial" w:hAnsi="Arial" w:cs="Arial"/>
                <w:color w:val="000000"/>
                <w:sz w:val="22"/>
                <w:szCs w:val="22"/>
                <w:vertAlign w:val="subscript"/>
              </w:rPr>
            </w:pPr>
            <w:r w:rsidRPr="00742695">
              <w:rPr>
                <w:rFonts w:ascii="Arial" w:hAnsi="Arial" w:cs="Arial"/>
                <w:color w:val="000000"/>
                <w:sz w:val="22"/>
                <w:szCs w:val="22"/>
                <w:vertAlign w:val="subscript"/>
              </w:rPr>
              <w:t>Avoids TUR syndrome and reduces blood transfusions. May reduce hospital stay and readmissions.</w:t>
            </w:r>
          </w:p>
        </w:tc>
        <w:tc>
          <w:tcPr>
            <w:tcW w:w="3260" w:type="dxa"/>
            <w:tcBorders>
              <w:top w:val="nil"/>
              <w:left w:val="nil"/>
              <w:bottom w:val="single" w:sz="8" w:space="0" w:color="auto"/>
              <w:right w:val="single" w:sz="8" w:space="0" w:color="auto"/>
            </w:tcBorders>
            <w:shd w:val="clear" w:color="auto" w:fill="auto"/>
            <w:vAlign w:val="center"/>
            <w:hideMark/>
          </w:tcPr>
          <w:p w:rsidR="005E4DEC" w:rsidRPr="00742695" w:rsidRDefault="001C40AA" w:rsidP="00D363AC">
            <w:pPr>
              <w:rPr>
                <w:rFonts w:ascii="Arial" w:hAnsi="Arial" w:cs="Arial"/>
                <w:color w:val="000000"/>
                <w:sz w:val="22"/>
                <w:szCs w:val="22"/>
                <w:vertAlign w:val="subscript"/>
              </w:rPr>
            </w:pPr>
            <w:r>
              <w:rPr>
                <w:rFonts w:ascii="Arial" w:hAnsi="Arial" w:cs="Arial"/>
                <w:color w:val="000000"/>
                <w:sz w:val="22"/>
                <w:szCs w:val="22"/>
                <w:vertAlign w:val="subscript"/>
              </w:rPr>
              <w:t xml:space="preserve">Estimated saving 71 GBP </w:t>
            </w:r>
            <w:r w:rsidR="005E4DEC" w:rsidRPr="00742695">
              <w:rPr>
                <w:rFonts w:ascii="Arial" w:hAnsi="Arial" w:cs="Arial"/>
                <w:color w:val="000000"/>
                <w:sz w:val="22"/>
                <w:szCs w:val="22"/>
                <w:vertAlign w:val="subscript"/>
              </w:rPr>
              <w:t>per patient for hospitals already using Olympus monopolar system</w:t>
            </w:r>
          </w:p>
        </w:tc>
      </w:tr>
      <w:tr w:rsidR="005E4DEC" w:rsidRPr="00742695" w:rsidTr="00C50DE0">
        <w:trPr>
          <w:trHeight w:val="566"/>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MTG24 Sherlock 3CG Tip Confirmation System for placing peripherally inserted central catheters</w:t>
            </w:r>
          </w:p>
        </w:tc>
        <w:tc>
          <w:tcPr>
            <w:tcW w:w="3969" w:type="dxa"/>
            <w:tcBorders>
              <w:top w:val="nil"/>
              <w:left w:val="nil"/>
              <w:bottom w:val="single" w:sz="4" w:space="0" w:color="auto"/>
              <w:right w:val="single" w:sz="8" w:space="0" w:color="auto"/>
            </w:tcBorders>
            <w:shd w:val="clear" w:color="auto" w:fill="auto"/>
            <w:vAlign w:val="center"/>
            <w:hideMark/>
          </w:tcPr>
          <w:p w:rsidR="005E4DEC" w:rsidRPr="00742695" w:rsidRDefault="005E4DEC">
            <w:pPr>
              <w:rPr>
                <w:rFonts w:ascii="Arial" w:hAnsi="Arial" w:cs="Arial"/>
                <w:color w:val="000000"/>
                <w:sz w:val="22"/>
                <w:szCs w:val="22"/>
                <w:vertAlign w:val="subscript"/>
              </w:rPr>
            </w:pPr>
            <w:r w:rsidRPr="00742695">
              <w:rPr>
                <w:rFonts w:ascii="Arial" w:hAnsi="Arial" w:cs="Arial"/>
                <w:color w:val="000000"/>
                <w:sz w:val="22"/>
                <w:szCs w:val="22"/>
                <w:vertAlign w:val="subscript"/>
              </w:rPr>
              <w:t>Adopt for adults who need placement of a peripherally inserted central catheters</w:t>
            </w:r>
          </w:p>
        </w:tc>
        <w:tc>
          <w:tcPr>
            <w:tcW w:w="3686" w:type="dxa"/>
            <w:tcBorders>
              <w:top w:val="nil"/>
              <w:left w:val="nil"/>
              <w:bottom w:val="single" w:sz="4" w:space="0" w:color="auto"/>
              <w:right w:val="single" w:sz="8" w:space="0" w:color="auto"/>
            </w:tcBorders>
            <w:shd w:val="clear" w:color="auto" w:fill="auto"/>
            <w:vAlign w:val="center"/>
            <w:hideMark/>
          </w:tcPr>
          <w:p w:rsidR="005E4DEC" w:rsidRPr="00742695" w:rsidRDefault="005E4DEC" w:rsidP="002B5519">
            <w:pPr>
              <w:rPr>
                <w:rFonts w:ascii="Arial" w:hAnsi="Arial" w:cs="Arial"/>
                <w:color w:val="000000"/>
                <w:sz w:val="22"/>
                <w:szCs w:val="22"/>
                <w:vertAlign w:val="subscript"/>
              </w:rPr>
            </w:pPr>
            <w:r w:rsidRPr="00742695">
              <w:rPr>
                <w:rFonts w:ascii="Arial" w:hAnsi="Arial" w:cs="Arial"/>
                <w:color w:val="000000"/>
                <w:sz w:val="22"/>
                <w:szCs w:val="22"/>
                <w:vertAlign w:val="subscript"/>
              </w:rPr>
              <w:t>Avoids need for a confirmatory chest X</w:t>
            </w:r>
            <w:r w:rsidRPr="00742695">
              <w:rPr>
                <w:rFonts w:ascii="Arial" w:hAnsi="Arial" w:cs="Arial"/>
                <w:color w:val="000000"/>
                <w:sz w:val="22"/>
                <w:szCs w:val="22"/>
                <w:vertAlign w:val="subscript"/>
              </w:rPr>
              <w:noBreakHyphen/>
              <w:t>ray in patients and increases staff confidence</w:t>
            </w:r>
          </w:p>
        </w:tc>
        <w:tc>
          <w:tcPr>
            <w:tcW w:w="3260" w:type="dxa"/>
            <w:tcBorders>
              <w:top w:val="nil"/>
              <w:left w:val="nil"/>
              <w:bottom w:val="single" w:sz="4" w:space="0" w:color="auto"/>
              <w:right w:val="single" w:sz="8" w:space="0" w:color="auto"/>
            </w:tcBorders>
            <w:shd w:val="clear" w:color="auto" w:fill="auto"/>
            <w:vAlign w:val="center"/>
            <w:hideMark/>
          </w:tcPr>
          <w:p w:rsidR="005E4DEC" w:rsidRPr="00742695" w:rsidRDefault="001C40AA" w:rsidP="00CB4185">
            <w:pPr>
              <w:rPr>
                <w:rFonts w:ascii="Arial" w:hAnsi="Arial" w:cs="Arial"/>
                <w:color w:val="000000"/>
                <w:sz w:val="22"/>
                <w:szCs w:val="22"/>
                <w:vertAlign w:val="subscript"/>
              </w:rPr>
            </w:pPr>
            <w:r>
              <w:rPr>
                <w:rFonts w:ascii="Arial" w:hAnsi="Arial" w:cs="Arial"/>
                <w:color w:val="000000"/>
                <w:sz w:val="22"/>
                <w:szCs w:val="22"/>
                <w:vertAlign w:val="subscript"/>
              </w:rPr>
              <w:t xml:space="preserve">Saving of </w:t>
            </w:r>
            <w:r w:rsidR="005E4DEC" w:rsidRPr="00742695">
              <w:rPr>
                <w:rFonts w:ascii="Arial" w:hAnsi="Arial" w:cs="Arial"/>
                <w:color w:val="000000"/>
                <w:sz w:val="22"/>
                <w:szCs w:val="22"/>
                <w:vertAlign w:val="subscript"/>
              </w:rPr>
              <w:t xml:space="preserve">41 </w:t>
            </w:r>
            <w:r>
              <w:rPr>
                <w:rFonts w:ascii="Arial" w:hAnsi="Arial" w:cs="Arial"/>
                <w:color w:val="000000"/>
                <w:sz w:val="22"/>
                <w:szCs w:val="22"/>
                <w:vertAlign w:val="subscript"/>
              </w:rPr>
              <w:t xml:space="preserve">GBP </w:t>
            </w:r>
            <w:r w:rsidR="005E4DEC" w:rsidRPr="00742695">
              <w:rPr>
                <w:rFonts w:ascii="Arial" w:hAnsi="Arial" w:cs="Arial"/>
                <w:color w:val="000000"/>
                <w:sz w:val="22"/>
                <w:szCs w:val="22"/>
                <w:vertAlign w:val="subscript"/>
              </w:rPr>
              <w:t xml:space="preserve">per patient in intensive care setting: cost neutral elsewhere </w:t>
            </w:r>
          </w:p>
        </w:tc>
      </w:tr>
      <w:tr w:rsidR="006274DD" w:rsidRPr="00742695" w:rsidTr="00C50DE0">
        <w:trPr>
          <w:trHeight w:val="566"/>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6274DD" w:rsidRPr="001D1FBB" w:rsidRDefault="006274DD" w:rsidP="001D1FBB">
            <w:pPr>
              <w:rPr>
                <w:rFonts w:ascii="Arial" w:hAnsi="Arial" w:cs="Arial"/>
                <w:color w:val="000000"/>
                <w:sz w:val="22"/>
                <w:szCs w:val="22"/>
                <w:vertAlign w:val="subscript"/>
              </w:rPr>
            </w:pPr>
            <w:r w:rsidRPr="001D1FBB">
              <w:rPr>
                <w:rFonts w:ascii="Arial" w:hAnsi="Arial" w:cs="Arial"/>
                <w:color w:val="000000"/>
                <w:sz w:val="22"/>
                <w:szCs w:val="22"/>
                <w:vertAlign w:val="subscript"/>
              </w:rPr>
              <w:t xml:space="preserve">MTG25 </w:t>
            </w:r>
            <w:r w:rsidRPr="00686EA2">
              <w:rPr>
                <w:rFonts w:ascii="Arial" w:hAnsi="Arial" w:cs="Arial"/>
                <w:color w:val="000000"/>
                <w:sz w:val="22"/>
                <w:szCs w:val="22"/>
                <w:vertAlign w:val="subscript"/>
              </w:rPr>
              <w:t>3M Tegaderm CHG IV dressing for central venous and arterial catheter insertion sites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274DD" w:rsidRPr="00686EA2" w:rsidRDefault="006274DD" w:rsidP="002143F3">
            <w:pPr>
              <w:rPr>
                <w:rFonts w:ascii="Arial" w:hAnsi="Arial" w:cs="Arial"/>
                <w:color w:val="000000"/>
                <w:sz w:val="22"/>
                <w:szCs w:val="22"/>
                <w:vertAlign w:val="subscript"/>
              </w:rPr>
            </w:pPr>
            <w:r w:rsidRPr="00686EA2">
              <w:rPr>
                <w:rFonts w:ascii="Arial" w:hAnsi="Arial" w:cs="Arial"/>
                <w:color w:val="000000"/>
                <w:sz w:val="22"/>
                <w:szCs w:val="22"/>
                <w:vertAlign w:val="subscript"/>
              </w:rPr>
              <w:t xml:space="preserve">Adopt for adults </w:t>
            </w:r>
            <w:r w:rsidR="001D1FBB" w:rsidRPr="00686EA2">
              <w:rPr>
                <w:rFonts w:ascii="Arial" w:hAnsi="Arial" w:cs="Arial"/>
                <w:color w:val="000000"/>
                <w:sz w:val="22"/>
                <w:szCs w:val="22"/>
                <w:vertAlign w:val="subscript"/>
              </w:rPr>
              <w:t>with</w:t>
            </w:r>
            <w:r w:rsidRPr="00686EA2">
              <w:rPr>
                <w:rFonts w:ascii="Arial" w:hAnsi="Arial" w:cs="Arial"/>
                <w:color w:val="000000"/>
                <w:sz w:val="22"/>
                <w:szCs w:val="22"/>
                <w:vertAlign w:val="subscript"/>
              </w:rPr>
              <w:t xml:space="preserve"> central venous or arterial catheter</w:t>
            </w:r>
            <w:r w:rsidR="001D1FBB" w:rsidRPr="00686EA2">
              <w:rPr>
                <w:rFonts w:ascii="Arial" w:hAnsi="Arial" w:cs="Arial"/>
                <w:color w:val="000000"/>
                <w:sz w:val="22"/>
                <w:szCs w:val="22"/>
                <w:vertAlign w:val="subscript"/>
              </w:rPr>
              <w:t>s</w:t>
            </w:r>
            <w:r w:rsidRPr="00686EA2">
              <w:rPr>
                <w:rFonts w:ascii="Arial" w:hAnsi="Arial" w:cs="Arial"/>
                <w:color w:val="000000"/>
                <w:sz w:val="22"/>
                <w:szCs w:val="22"/>
                <w:vertAlign w:val="subscript"/>
              </w:rPr>
              <w:t xml:space="preserve"> in intensive </w:t>
            </w:r>
            <w:r w:rsidR="001D1FBB" w:rsidRPr="00686EA2">
              <w:rPr>
                <w:rFonts w:ascii="Arial" w:hAnsi="Arial" w:cs="Arial"/>
                <w:color w:val="000000"/>
                <w:sz w:val="22"/>
                <w:szCs w:val="22"/>
                <w:vertAlign w:val="subscript"/>
              </w:rPr>
              <w:t>or</w:t>
            </w:r>
            <w:r w:rsidRPr="00686EA2">
              <w:rPr>
                <w:rFonts w:ascii="Arial" w:hAnsi="Arial" w:cs="Arial"/>
                <w:color w:val="000000"/>
                <w:sz w:val="22"/>
                <w:szCs w:val="22"/>
                <w:vertAlign w:val="subscript"/>
              </w:rPr>
              <w:t xml:space="preserve"> high dependency </w:t>
            </w:r>
            <w:r w:rsidR="002143F3" w:rsidRPr="00686EA2">
              <w:rPr>
                <w:rFonts w:ascii="Arial" w:hAnsi="Arial" w:cs="Arial"/>
                <w:color w:val="000000"/>
                <w:sz w:val="22"/>
                <w:szCs w:val="22"/>
                <w:vertAlign w:val="subscript"/>
              </w:rPr>
              <w:t>units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6274DD" w:rsidRPr="00686EA2" w:rsidRDefault="001D1FBB" w:rsidP="001D1FBB">
            <w:pPr>
              <w:rPr>
                <w:rFonts w:ascii="Arial" w:hAnsi="Arial" w:cs="Arial"/>
                <w:color w:val="000000"/>
                <w:sz w:val="22"/>
                <w:szCs w:val="22"/>
                <w:vertAlign w:val="subscript"/>
              </w:rPr>
            </w:pPr>
            <w:r w:rsidRPr="00686EA2">
              <w:rPr>
                <w:rFonts w:ascii="Arial" w:hAnsi="Arial" w:cs="Arial"/>
                <w:color w:val="000000"/>
                <w:sz w:val="22"/>
                <w:szCs w:val="22"/>
                <w:vertAlign w:val="subscript"/>
              </w:rPr>
              <w:t>Allows observation of catheter insertion site</w:t>
            </w:r>
            <w:r w:rsidR="006274DD" w:rsidRPr="00686EA2">
              <w:rPr>
                <w:rFonts w:ascii="Arial" w:hAnsi="Arial" w:cs="Arial"/>
                <w:color w:val="000000"/>
                <w:sz w:val="22"/>
                <w:szCs w:val="22"/>
                <w:vertAlign w:val="subscript"/>
              </w:rPr>
              <w:t xml:space="preserve"> and provides antiseptic coverage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274DD" w:rsidRPr="001D1FBB" w:rsidRDefault="001D1FBB" w:rsidP="001C40AA">
            <w:pPr>
              <w:rPr>
                <w:rFonts w:ascii="Arial" w:hAnsi="Arial" w:cs="Arial"/>
                <w:color w:val="000000"/>
                <w:sz w:val="22"/>
                <w:szCs w:val="22"/>
                <w:vertAlign w:val="subscript"/>
              </w:rPr>
            </w:pPr>
            <w:r w:rsidRPr="00686EA2">
              <w:rPr>
                <w:rFonts w:ascii="Arial" w:hAnsi="Arial" w:cs="Arial"/>
                <w:color w:val="000000"/>
                <w:sz w:val="22"/>
                <w:szCs w:val="22"/>
                <w:vertAlign w:val="subscript"/>
              </w:rPr>
              <w:t xml:space="preserve">Saves 73 </w:t>
            </w:r>
            <w:r w:rsidR="001C40AA">
              <w:rPr>
                <w:rFonts w:ascii="Arial" w:hAnsi="Arial" w:cs="Arial"/>
                <w:color w:val="000000"/>
                <w:sz w:val="22"/>
                <w:szCs w:val="22"/>
                <w:vertAlign w:val="subscript"/>
              </w:rPr>
              <w:t xml:space="preserve">GBP </w:t>
            </w:r>
            <w:r w:rsidRPr="00686EA2">
              <w:rPr>
                <w:rFonts w:ascii="Arial" w:hAnsi="Arial" w:cs="Arial"/>
                <w:color w:val="000000"/>
                <w:sz w:val="22"/>
                <w:szCs w:val="22"/>
                <w:vertAlign w:val="subscript"/>
              </w:rPr>
              <w:t xml:space="preserve">per patient </w:t>
            </w:r>
            <w:r w:rsidR="002143F3" w:rsidRPr="00686EA2">
              <w:rPr>
                <w:rFonts w:ascii="Arial" w:hAnsi="Arial" w:cs="Arial"/>
                <w:color w:val="000000"/>
                <w:sz w:val="22"/>
                <w:szCs w:val="22"/>
                <w:vertAlign w:val="subscript"/>
              </w:rPr>
              <w:t>compared with</w:t>
            </w:r>
            <w:r w:rsidR="00B3375A" w:rsidRPr="00686EA2">
              <w:rPr>
                <w:rFonts w:ascii="Arial" w:hAnsi="Arial" w:cs="Arial"/>
                <w:color w:val="000000"/>
                <w:sz w:val="22"/>
                <w:szCs w:val="22"/>
                <w:vertAlign w:val="subscript"/>
              </w:rPr>
              <w:t xml:space="preserve"> standard transparent semipermeable dressing </w:t>
            </w:r>
          </w:p>
        </w:tc>
      </w:tr>
      <w:tr w:rsidR="009D6132" w:rsidRPr="00742695" w:rsidTr="00C50DE0">
        <w:trPr>
          <w:trHeight w:val="566"/>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C50DE0" w:rsidRPr="00686EA2" w:rsidRDefault="004A65DA" w:rsidP="00686EA2">
            <w:pPr>
              <w:rPr>
                <w:rFonts w:ascii="Arial" w:hAnsi="Arial" w:cs="Arial"/>
                <w:color w:val="000000"/>
                <w:sz w:val="22"/>
                <w:szCs w:val="22"/>
                <w:vertAlign w:val="subscript"/>
              </w:rPr>
            </w:pPr>
            <w:r>
              <w:rPr>
                <w:rFonts w:ascii="Arial" w:hAnsi="Arial" w:cs="Arial"/>
                <w:color w:val="000000"/>
                <w:sz w:val="22"/>
                <w:szCs w:val="22"/>
                <w:vertAlign w:val="subscript"/>
              </w:rPr>
              <w:t>MTG26</w:t>
            </w:r>
            <w:r w:rsidR="00C50DE0" w:rsidRPr="00686EA2">
              <w:rPr>
                <w:rFonts w:ascii="Arial" w:hAnsi="Arial" w:cs="Arial"/>
                <w:color w:val="000000"/>
                <w:sz w:val="22"/>
                <w:szCs w:val="22"/>
                <w:vertAlign w:val="subscript"/>
              </w:rPr>
              <w:t xml:space="preserve"> </w:t>
            </w:r>
            <w:proofErr w:type="spellStart"/>
            <w:r w:rsidR="00C50DE0" w:rsidRPr="00686EA2">
              <w:rPr>
                <w:rFonts w:ascii="Arial" w:hAnsi="Arial" w:cs="Arial"/>
                <w:color w:val="000000"/>
                <w:sz w:val="22"/>
                <w:szCs w:val="22"/>
                <w:vertAlign w:val="subscript"/>
              </w:rPr>
              <w:t>UroLift</w:t>
            </w:r>
            <w:proofErr w:type="spellEnd"/>
            <w:r w:rsidR="00C50DE0" w:rsidRPr="00686EA2">
              <w:rPr>
                <w:rFonts w:ascii="Arial" w:hAnsi="Arial" w:cs="Arial"/>
                <w:color w:val="000000"/>
                <w:sz w:val="22"/>
                <w:szCs w:val="22"/>
                <w:vertAlign w:val="subscript"/>
              </w:rPr>
              <w:t xml:space="preserve"> for lower urinary tract symptoms of benign prostatic hyperplasia </w:t>
            </w:r>
          </w:p>
          <w:p w:rsidR="009D6132" w:rsidRPr="001D1FBB" w:rsidRDefault="009D6132" w:rsidP="00686EA2">
            <w:pPr>
              <w:rPr>
                <w:rFonts w:ascii="Arial" w:hAnsi="Arial" w:cs="Arial"/>
                <w:color w:val="000000"/>
                <w:sz w:val="22"/>
                <w:szCs w:val="22"/>
                <w:vertAlign w:val="subscript"/>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132" w:rsidRPr="001D1FBB" w:rsidRDefault="004465C9" w:rsidP="00686EA2">
            <w:pPr>
              <w:rPr>
                <w:rFonts w:ascii="Arial" w:hAnsi="Arial" w:cs="Arial"/>
                <w:color w:val="000000"/>
                <w:sz w:val="22"/>
                <w:szCs w:val="22"/>
                <w:vertAlign w:val="subscript"/>
              </w:rPr>
            </w:pPr>
            <w:r>
              <w:rPr>
                <w:rFonts w:ascii="Arial" w:hAnsi="Arial" w:cs="Arial"/>
                <w:color w:val="000000"/>
                <w:sz w:val="22"/>
                <w:szCs w:val="22"/>
                <w:vertAlign w:val="subscript"/>
              </w:rPr>
              <w:t xml:space="preserve">Adopt </w:t>
            </w:r>
            <w:r w:rsidRPr="008F79EB">
              <w:rPr>
                <w:rFonts w:ascii="Arial" w:hAnsi="Arial" w:cs="Arial"/>
                <w:color w:val="000000"/>
                <w:sz w:val="22"/>
                <w:szCs w:val="22"/>
                <w:vertAlign w:val="subscript"/>
              </w:rPr>
              <w:t>as an alternative to current surgical procedures for use in a day</w:t>
            </w:r>
            <w:r w:rsidRPr="008F79EB">
              <w:rPr>
                <w:rFonts w:ascii="MS Gothic" w:eastAsia="MS Gothic" w:hAnsi="MS Gothic" w:cs="MS Gothic" w:hint="eastAsia"/>
                <w:color w:val="000000"/>
                <w:sz w:val="22"/>
                <w:szCs w:val="22"/>
                <w:vertAlign w:val="subscript"/>
              </w:rPr>
              <w:t>‑</w:t>
            </w:r>
            <w:r w:rsidRPr="008F79EB">
              <w:rPr>
                <w:rFonts w:ascii="Arial" w:hAnsi="Arial" w:cs="Arial"/>
                <w:color w:val="000000"/>
                <w:sz w:val="22"/>
                <w:szCs w:val="22"/>
                <w:vertAlign w:val="subscript"/>
              </w:rPr>
              <w:t xml:space="preserve">case setting in men with lower urinary tract symptoms of benign prostatic hyperplasia who are aged 50 years and older and who have a prostate of less than 100 ml </w:t>
            </w:r>
            <w:r w:rsidRPr="008F79EB">
              <w:rPr>
                <w:rFonts w:ascii="Arial" w:hAnsi="Arial" w:cs="Arial"/>
                <w:color w:val="000000"/>
                <w:sz w:val="22"/>
                <w:szCs w:val="22"/>
                <w:vertAlign w:val="subscript"/>
              </w:rPr>
              <w:lastRenderedPageBreak/>
              <w:t>without an obstructing middle lobe.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D6132" w:rsidRPr="001D1FBB" w:rsidRDefault="004465C9" w:rsidP="00686EA2">
            <w:pPr>
              <w:rPr>
                <w:rFonts w:ascii="Arial" w:hAnsi="Arial" w:cs="Arial"/>
                <w:color w:val="000000"/>
                <w:sz w:val="22"/>
                <w:szCs w:val="22"/>
                <w:vertAlign w:val="subscript"/>
              </w:rPr>
            </w:pPr>
            <w:r>
              <w:rPr>
                <w:rFonts w:ascii="Arial" w:hAnsi="Arial" w:cs="Arial"/>
                <w:color w:val="000000"/>
                <w:sz w:val="22"/>
                <w:szCs w:val="22"/>
                <w:vertAlign w:val="subscript"/>
              </w:rPr>
              <w:lastRenderedPageBreak/>
              <w:t xml:space="preserve">Avoids </w:t>
            </w:r>
            <w:r w:rsidRPr="008F79EB">
              <w:rPr>
                <w:rFonts w:ascii="Arial" w:hAnsi="Arial" w:cs="Arial"/>
                <w:color w:val="000000"/>
                <w:sz w:val="22"/>
                <w:szCs w:val="22"/>
                <w:vertAlign w:val="subscript"/>
              </w:rPr>
              <w:t>the risk to sexual function associated with transurethral resection of the prostate (TURP) and holmium laser enucleation of the prostate (</w:t>
            </w:r>
            <w:proofErr w:type="spellStart"/>
            <w:r w:rsidRPr="008F79EB">
              <w:rPr>
                <w:rFonts w:ascii="Arial" w:hAnsi="Arial" w:cs="Arial"/>
                <w:color w:val="000000"/>
                <w:sz w:val="22"/>
                <w:szCs w:val="22"/>
                <w:vertAlign w:val="subscript"/>
              </w:rPr>
              <w:t>HoLEP</w:t>
            </w:r>
            <w:proofErr w:type="spellEnd"/>
            <w:r w:rsidRPr="008F79EB">
              <w:rPr>
                <w:rFonts w:ascii="Arial" w:hAnsi="Arial" w:cs="Arial"/>
                <w:color w:val="000000"/>
                <w:sz w:val="22"/>
                <w:szCs w:val="22"/>
                <w:vertAlign w:val="subscript"/>
              </w:rPr>
              <w:t xml:space="preserve">). Using the system reduces the length of a person's stay </w:t>
            </w:r>
            <w:r w:rsidRPr="008F79EB">
              <w:rPr>
                <w:rFonts w:ascii="Arial" w:hAnsi="Arial" w:cs="Arial"/>
                <w:color w:val="000000"/>
                <w:sz w:val="22"/>
                <w:szCs w:val="22"/>
                <w:vertAlign w:val="subscript"/>
              </w:rPr>
              <w:lastRenderedPageBreak/>
              <w:t>in hospital. It can also be used in a day</w:t>
            </w:r>
            <w:r w:rsidRPr="008F79EB">
              <w:rPr>
                <w:rFonts w:ascii="MS Gothic" w:eastAsia="MS Gothic" w:hAnsi="MS Gothic" w:cs="MS Gothic" w:hint="eastAsia"/>
                <w:color w:val="000000"/>
                <w:sz w:val="22"/>
                <w:szCs w:val="22"/>
                <w:vertAlign w:val="subscript"/>
              </w:rPr>
              <w:t>‑</w:t>
            </w:r>
            <w:r w:rsidRPr="008F79EB">
              <w:rPr>
                <w:rFonts w:ascii="Arial" w:hAnsi="Arial" w:cs="Arial"/>
                <w:color w:val="000000"/>
                <w:sz w:val="22"/>
                <w:szCs w:val="22"/>
                <w:vertAlign w:val="subscript"/>
              </w:rPr>
              <w:t>surgery unit.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B149E" w:rsidRPr="00686EA2" w:rsidRDefault="004465C9" w:rsidP="00686EA2">
            <w:pPr>
              <w:rPr>
                <w:rFonts w:ascii="Arial" w:hAnsi="Arial" w:cs="Arial"/>
                <w:color w:val="000000"/>
                <w:sz w:val="22"/>
                <w:szCs w:val="22"/>
                <w:vertAlign w:val="subscript"/>
              </w:rPr>
            </w:pPr>
            <w:r>
              <w:rPr>
                <w:rFonts w:ascii="Arial" w:hAnsi="Arial" w:cs="Arial"/>
                <w:color w:val="000000"/>
                <w:sz w:val="22"/>
                <w:szCs w:val="22"/>
                <w:vertAlign w:val="subscript"/>
              </w:rPr>
              <w:lastRenderedPageBreak/>
              <w:t>Saves</w:t>
            </w:r>
            <w:r w:rsidR="001C40AA">
              <w:rPr>
                <w:rFonts w:ascii="Arial" w:hAnsi="Arial" w:cs="Arial"/>
                <w:color w:val="000000"/>
                <w:sz w:val="22"/>
                <w:szCs w:val="22"/>
                <w:vertAlign w:val="subscript"/>
              </w:rPr>
              <w:t xml:space="preserve"> around 286 and </w:t>
            </w:r>
            <w:r w:rsidRPr="008F79EB">
              <w:rPr>
                <w:rFonts w:ascii="Arial" w:hAnsi="Arial" w:cs="Arial"/>
                <w:color w:val="000000"/>
                <w:sz w:val="22"/>
                <w:szCs w:val="22"/>
                <w:vertAlign w:val="subscript"/>
              </w:rPr>
              <w:t xml:space="preserve">159 </w:t>
            </w:r>
            <w:r w:rsidR="001C40AA">
              <w:rPr>
                <w:rFonts w:ascii="Arial" w:hAnsi="Arial" w:cs="Arial"/>
                <w:color w:val="000000"/>
                <w:sz w:val="22"/>
                <w:szCs w:val="22"/>
                <w:vertAlign w:val="subscript"/>
              </w:rPr>
              <w:t xml:space="preserve">GBP </w:t>
            </w:r>
            <w:r w:rsidRPr="008F79EB">
              <w:rPr>
                <w:rFonts w:ascii="Arial" w:hAnsi="Arial" w:cs="Arial"/>
                <w:color w:val="000000"/>
                <w:sz w:val="22"/>
                <w:szCs w:val="22"/>
                <w:vertAlign w:val="subscript"/>
              </w:rPr>
              <w:t>per patient</w:t>
            </w:r>
          </w:p>
        </w:tc>
      </w:tr>
      <w:tr w:rsidR="004A65DA" w:rsidRPr="00742695" w:rsidTr="00C50DE0">
        <w:trPr>
          <w:trHeight w:val="566"/>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4A65DA" w:rsidRDefault="004A65DA" w:rsidP="00686EA2">
            <w:pPr>
              <w:rPr>
                <w:rFonts w:ascii="Arial" w:hAnsi="Arial" w:cs="Arial"/>
                <w:color w:val="000000"/>
                <w:sz w:val="22"/>
                <w:szCs w:val="22"/>
                <w:vertAlign w:val="subscript"/>
              </w:rPr>
            </w:pPr>
            <w:r>
              <w:rPr>
                <w:rFonts w:ascii="Arial" w:hAnsi="Arial" w:cs="Arial"/>
                <w:color w:val="000000"/>
                <w:sz w:val="22"/>
                <w:szCs w:val="22"/>
                <w:vertAlign w:val="subscript"/>
              </w:rPr>
              <w:t>MTG27</w:t>
            </w:r>
            <w:r w:rsidRPr="001D1FBB">
              <w:rPr>
                <w:rFonts w:ascii="Arial" w:hAnsi="Arial" w:cs="Arial"/>
                <w:color w:val="000000"/>
                <w:sz w:val="22"/>
                <w:szCs w:val="22"/>
                <w:vertAlign w:val="subscript"/>
              </w:rPr>
              <w:t xml:space="preserve">  Virtual touch quantification</w:t>
            </w:r>
            <w:r>
              <w:rPr>
                <w:rFonts w:ascii="Arial" w:hAnsi="Arial" w:cs="Arial"/>
                <w:color w:val="000000"/>
                <w:sz w:val="22"/>
                <w:szCs w:val="22"/>
                <w:vertAlign w:val="subscript"/>
              </w:rPr>
              <w:t xml:space="preserve"> (</w:t>
            </w:r>
            <w:proofErr w:type="spellStart"/>
            <w:r>
              <w:rPr>
                <w:rFonts w:ascii="Arial" w:hAnsi="Arial" w:cs="Arial"/>
                <w:color w:val="000000"/>
                <w:sz w:val="22"/>
                <w:szCs w:val="22"/>
                <w:vertAlign w:val="subscript"/>
              </w:rPr>
              <w:t>VTq</w:t>
            </w:r>
            <w:proofErr w:type="spellEnd"/>
            <w:r>
              <w:rPr>
                <w:rFonts w:ascii="Arial" w:hAnsi="Arial" w:cs="Arial"/>
                <w:color w:val="000000"/>
                <w:sz w:val="22"/>
                <w:szCs w:val="22"/>
                <w:vertAlign w:val="subscript"/>
              </w:rPr>
              <w:t>)</w:t>
            </w:r>
            <w:r w:rsidRPr="001D1FBB">
              <w:rPr>
                <w:rFonts w:ascii="Arial" w:hAnsi="Arial" w:cs="Arial"/>
                <w:color w:val="000000"/>
                <w:sz w:val="22"/>
                <w:szCs w:val="22"/>
                <w:vertAlign w:val="subscript"/>
              </w:rPr>
              <w:t xml:space="preserve"> to diagnose and monitor liver  fibrosis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A65DA" w:rsidRDefault="001F66ED" w:rsidP="001F66ED">
            <w:pPr>
              <w:rPr>
                <w:rFonts w:ascii="Arial" w:hAnsi="Arial" w:cs="Arial"/>
                <w:color w:val="000000"/>
                <w:sz w:val="22"/>
                <w:szCs w:val="22"/>
                <w:vertAlign w:val="subscript"/>
              </w:rPr>
            </w:pPr>
            <w:r>
              <w:rPr>
                <w:rFonts w:ascii="Arial" w:hAnsi="Arial" w:cs="Arial"/>
                <w:color w:val="000000"/>
                <w:sz w:val="22"/>
                <w:szCs w:val="22"/>
                <w:vertAlign w:val="subscript"/>
              </w:rPr>
              <w:t>Adopt for</w:t>
            </w:r>
            <w:r>
              <w:t xml:space="preserve"> </w:t>
            </w:r>
            <w:r w:rsidRPr="001F66ED">
              <w:rPr>
                <w:rFonts w:ascii="Arial" w:hAnsi="Arial" w:cs="Arial"/>
                <w:color w:val="000000"/>
                <w:sz w:val="22"/>
                <w:szCs w:val="22"/>
                <w:vertAlign w:val="subscript"/>
              </w:rPr>
              <w:t>people with chronic hepatitis B or C who need assessment of liver fibrosis.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A65DA" w:rsidRDefault="002E1DE6" w:rsidP="00686EA2">
            <w:pPr>
              <w:rPr>
                <w:rFonts w:ascii="Arial" w:hAnsi="Arial" w:cs="Arial"/>
                <w:color w:val="000000"/>
                <w:sz w:val="22"/>
                <w:szCs w:val="22"/>
                <w:vertAlign w:val="subscript"/>
              </w:rPr>
            </w:pPr>
            <w:r w:rsidRPr="001F66ED">
              <w:rPr>
                <w:rFonts w:ascii="Arial" w:hAnsi="Arial" w:cs="Arial"/>
                <w:color w:val="000000"/>
                <w:sz w:val="22"/>
                <w:szCs w:val="22"/>
                <w:vertAlign w:val="subscript"/>
              </w:rPr>
              <w:t xml:space="preserve">May </w:t>
            </w:r>
            <w:r w:rsidR="001F66ED" w:rsidRPr="001F66ED">
              <w:rPr>
                <w:rFonts w:ascii="Arial" w:hAnsi="Arial" w:cs="Arial"/>
                <w:color w:val="000000"/>
                <w:sz w:val="22"/>
                <w:szCs w:val="22"/>
                <w:vertAlign w:val="subscript"/>
              </w:rPr>
              <w:t>offer other benefits in terms of imaging the liver and sampling selected areas to assess fibrosis and identify associated pathologies. By avoiding liver biopsies, it may also benefit people whose liver fibrosis needs monitoring.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A65DA" w:rsidRDefault="001F66ED" w:rsidP="00686EA2">
            <w:pPr>
              <w:rPr>
                <w:rFonts w:ascii="Arial" w:hAnsi="Arial" w:cs="Arial"/>
                <w:color w:val="000000"/>
                <w:sz w:val="22"/>
                <w:szCs w:val="22"/>
                <w:vertAlign w:val="subscript"/>
              </w:rPr>
            </w:pPr>
            <w:r w:rsidRPr="001F66ED">
              <w:rPr>
                <w:rFonts w:ascii="Arial" w:hAnsi="Arial" w:cs="Arial"/>
                <w:color w:val="000000"/>
                <w:sz w:val="22"/>
                <w:szCs w:val="22"/>
                <w:vertAlign w:val="subscript"/>
              </w:rPr>
              <w:t xml:space="preserve">Compared with transient </w:t>
            </w:r>
            <w:proofErr w:type="spellStart"/>
            <w:r w:rsidRPr="001F66ED">
              <w:rPr>
                <w:rFonts w:ascii="Arial" w:hAnsi="Arial" w:cs="Arial"/>
                <w:color w:val="000000"/>
                <w:sz w:val="22"/>
                <w:szCs w:val="22"/>
                <w:vertAlign w:val="subscript"/>
              </w:rPr>
              <w:t>elastography</w:t>
            </w:r>
            <w:proofErr w:type="spellEnd"/>
            <w:r w:rsidRPr="001F66ED">
              <w:rPr>
                <w:rFonts w:ascii="Arial" w:hAnsi="Arial" w:cs="Arial"/>
                <w:color w:val="000000"/>
                <w:sz w:val="22"/>
                <w:szCs w:val="22"/>
                <w:vertAlign w:val="subscript"/>
              </w:rPr>
              <w:t>, the estimated overall</w:t>
            </w:r>
            <w:r w:rsidR="001C40AA">
              <w:rPr>
                <w:rFonts w:ascii="Arial" w:hAnsi="Arial" w:cs="Arial"/>
                <w:color w:val="000000"/>
                <w:sz w:val="22"/>
                <w:szCs w:val="22"/>
                <w:vertAlign w:val="subscript"/>
              </w:rPr>
              <w:t xml:space="preserve"> cost saving for </w:t>
            </w:r>
            <w:proofErr w:type="spellStart"/>
            <w:r w:rsidR="001C40AA">
              <w:rPr>
                <w:rFonts w:ascii="Arial" w:hAnsi="Arial" w:cs="Arial"/>
                <w:color w:val="000000"/>
                <w:sz w:val="22"/>
                <w:szCs w:val="22"/>
                <w:vertAlign w:val="subscript"/>
              </w:rPr>
              <w:t>VTq</w:t>
            </w:r>
            <w:proofErr w:type="spellEnd"/>
            <w:r w:rsidR="001C40AA">
              <w:rPr>
                <w:rFonts w:ascii="Arial" w:hAnsi="Arial" w:cs="Arial"/>
                <w:color w:val="000000"/>
                <w:sz w:val="22"/>
                <w:szCs w:val="22"/>
                <w:vertAlign w:val="subscript"/>
              </w:rPr>
              <w:t xml:space="preserve"> is around </w:t>
            </w:r>
            <w:r w:rsidRPr="001F66ED">
              <w:rPr>
                <w:rFonts w:ascii="Arial" w:hAnsi="Arial" w:cs="Arial"/>
                <w:color w:val="000000"/>
                <w:sz w:val="22"/>
                <w:szCs w:val="22"/>
                <w:vertAlign w:val="subscript"/>
              </w:rPr>
              <w:t xml:space="preserve">53 </w:t>
            </w:r>
            <w:r w:rsidR="001C40AA">
              <w:rPr>
                <w:rFonts w:ascii="Arial" w:hAnsi="Arial" w:cs="Arial"/>
                <w:color w:val="000000"/>
                <w:sz w:val="22"/>
                <w:szCs w:val="22"/>
                <w:vertAlign w:val="subscript"/>
              </w:rPr>
              <w:t xml:space="preserve">GBP </w:t>
            </w:r>
            <w:r w:rsidRPr="001F66ED">
              <w:rPr>
                <w:rFonts w:ascii="Arial" w:hAnsi="Arial" w:cs="Arial"/>
                <w:color w:val="000000"/>
                <w:sz w:val="22"/>
                <w:szCs w:val="22"/>
                <w:vertAlign w:val="subscript"/>
              </w:rPr>
              <w:t xml:space="preserve">per person. This saving assumes that 10% of the ultrasound machine capacity would be used for </w:t>
            </w:r>
            <w:proofErr w:type="spellStart"/>
            <w:r w:rsidRPr="001F66ED">
              <w:rPr>
                <w:rFonts w:ascii="Arial" w:hAnsi="Arial" w:cs="Arial"/>
                <w:color w:val="000000"/>
                <w:sz w:val="22"/>
                <w:szCs w:val="22"/>
                <w:vertAlign w:val="subscript"/>
              </w:rPr>
              <w:t>VTq</w:t>
            </w:r>
            <w:proofErr w:type="spellEnd"/>
            <w:r w:rsidRPr="001F66ED">
              <w:rPr>
                <w:rFonts w:ascii="Arial" w:hAnsi="Arial" w:cs="Arial"/>
                <w:color w:val="000000"/>
                <w:sz w:val="22"/>
                <w:szCs w:val="22"/>
                <w:vertAlign w:val="subscript"/>
              </w:rPr>
              <w:t xml:space="preserve"> measurements, leaving 90% to be applied to other uses. Compared with liver biopsy, the </w:t>
            </w:r>
            <w:r w:rsidR="001C40AA">
              <w:rPr>
                <w:rFonts w:ascii="Arial" w:hAnsi="Arial" w:cs="Arial"/>
                <w:color w:val="000000"/>
                <w:sz w:val="22"/>
                <w:szCs w:val="22"/>
                <w:vertAlign w:val="subscript"/>
              </w:rPr>
              <w:t xml:space="preserve">corresponding saving is around </w:t>
            </w:r>
            <w:r w:rsidRPr="001F66ED">
              <w:rPr>
                <w:rFonts w:ascii="Arial" w:hAnsi="Arial" w:cs="Arial"/>
                <w:color w:val="000000"/>
                <w:sz w:val="22"/>
                <w:szCs w:val="22"/>
                <w:vertAlign w:val="subscript"/>
              </w:rPr>
              <w:t>434</w:t>
            </w:r>
            <w:r w:rsidR="001C40AA">
              <w:rPr>
                <w:rFonts w:ascii="Arial" w:hAnsi="Arial" w:cs="Arial"/>
                <w:color w:val="000000"/>
                <w:sz w:val="22"/>
                <w:szCs w:val="22"/>
                <w:vertAlign w:val="subscript"/>
              </w:rPr>
              <w:t xml:space="preserve"> GBP</w:t>
            </w:r>
            <w:r w:rsidRPr="001F66ED">
              <w:rPr>
                <w:rFonts w:ascii="Arial" w:hAnsi="Arial" w:cs="Arial"/>
                <w:color w:val="000000"/>
                <w:sz w:val="22"/>
                <w:szCs w:val="22"/>
                <w:vertAlign w:val="subscript"/>
              </w:rPr>
              <w:t xml:space="preserve"> per person.</w:t>
            </w:r>
          </w:p>
        </w:tc>
      </w:tr>
    </w:tbl>
    <w:p w:rsidR="00E512F7" w:rsidRPr="00742695" w:rsidRDefault="00E512F7">
      <w:pPr>
        <w:pStyle w:val="Paragraphnonumbers"/>
        <w:rPr>
          <w:rFonts w:cs="Arial"/>
          <w:sz w:val="22"/>
          <w:szCs w:val="22"/>
          <w:vertAlign w:val="subscript"/>
        </w:rPr>
      </w:pPr>
    </w:p>
    <w:sectPr w:rsidR="00E512F7" w:rsidRPr="00742695" w:rsidSect="003736F4">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F4" w:rsidRDefault="003736F4" w:rsidP="00446BEE">
      <w:r>
        <w:separator/>
      </w:r>
    </w:p>
  </w:endnote>
  <w:endnote w:type="continuationSeparator" w:id="0">
    <w:p w:rsidR="003736F4" w:rsidRDefault="003736F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78" w:rsidRDefault="00873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78" w:rsidRDefault="00873B78">
    <w:pPr>
      <w:pStyle w:val="Footer"/>
    </w:pPr>
  </w:p>
  <w:p w:rsidR="00446BEE" w:rsidRDefault="00446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78" w:rsidRDefault="0087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F4" w:rsidRDefault="003736F4" w:rsidP="00446BEE">
      <w:r>
        <w:separator/>
      </w:r>
    </w:p>
  </w:footnote>
  <w:footnote w:type="continuationSeparator" w:id="0">
    <w:p w:rsidR="003736F4" w:rsidRDefault="003736F4" w:rsidP="0044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78" w:rsidRDefault="00873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78" w:rsidRDefault="00873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78" w:rsidRDefault="00873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C3584"/>
    <w:multiLevelType w:val="multilevel"/>
    <w:tmpl w:val="1710418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sz w:val="24"/>
        <w:szCs w:val="24"/>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F4"/>
    <w:rsid w:val="000053F8"/>
    <w:rsid w:val="00024D0A"/>
    <w:rsid w:val="000472DC"/>
    <w:rsid w:val="00070065"/>
    <w:rsid w:val="000A4FEE"/>
    <w:rsid w:val="000B5939"/>
    <w:rsid w:val="00111CCE"/>
    <w:rsid w:val="001134E7"/>
    <w:rsid w:val="001161D6"/>
    <w:rsid w:val="00145F37"/>
    <w:rsid w:val="00161835"/>
    <w:rsid w:val="0017149E"/>
    <w:rsid w:val="0017169E"/>
    <w:rsid w:val="001757FE"/>
    <w:rsid w:val="00181A4A"/>
    <w:rsid w:val="0019338F"/>
    <w:rsid w:val="001B0EE9"/>
    <w:rsid w:val="001B65B3"/>
    <w:rsid w:val="001C40AA"/>
    <w:rsid w:val="001D1FBB"/>
    <w:rsid w:val="001E4607"/>
    <w:rsid w:val="001F66ED"/>
    <w:rsid w:val="001F6EEC"/>
    <w:rsid w:val="002029A6"/>
    <w:rsid w:val="002143F3"/>
    <w:rsid w:val="002241E0"/>
    <w:rsid w:val="002408EA"/>
    <w:rsid w:val="00266B49"/>
    <w:rsid w:val="002674E8"/>
    <w:rsid w:val="002819D7"/>
    <w:rsid w:val="002B5519"/>
    <w:rsid w:val="002C1A7E"/>
    <w:rsid w:val="002D3376"/>
    <w:rsid w:val="002E1DE6"/>
    <w:rsid w:val="00311ED0"/>
    <w:rsid w:val="00312A51"/>
    <w:rsid w:val="00336BE9"/>
    <w:rsid w:val="003648C5"/>
    <w:rsid w:val="003722FA"/>
    <w:rsid w:val="003736F4"/>
    <w:rsid w:val="003C101E"/>
    <w:rsid w:val="003C7AAF"/>
    <w:rsid w:val="003F2D8C"/>
    <w:rsid w:val="003F6671"/>
    <w:rsid w:val="004075B6"/>
    <w:rsid w:val="00416537"/>
    <w:rsid w:val="00420952"/>
    <w:rsid w:val="00423533"/>
    <w:rsid w:val="00433EFF"/>
    <w:rsid w:val="00443081"/>
    <w:rsid w:val="004465C9"/>
    <w:rsid w:val="00446BEE"/>
    <w:rsid w:val="004475CB"/>
    <w:rsid w:val="00465211"/>
    <w:rsid w:val="004769D7"/>
    <w:rsid w:val="0049115C"/>
    <w:rsid w:val="004A65DA"/>
    <w:rsid w:val="004B149E"/>
    <w:rsid w:val="004E637C"/>
    <w:rsid w:val="005025A1"/>
    <w:rsid w:val="00505BB6"/>
    <w:rsid w:val="005374E0"/>
    <w:rsid w:val="0058729E"/>
    <w:rsid w:val="005D55A7"/>
    <w:rsid w:val="005E4DEC"/>
    <w:rsid w:val="006274DD"/>
    <w:rsid w:val="006307D2"/>
    <w:rsid w:val="00637E18"/>
    <w:rsid w:val="006545FB"/>
    <w:rsid w:val="00686EA2"/>
    <w:rsid w:val="006921E1"/>
    <w:rsid w:val="006A0A54"/>
    <w:rsid w:val="006B0316"/>
    <w:rsid w:val="006C4D9E"/>
    <w:rsid w:val="006F4B25"/>
    <w:rsid w:val="006F6496"/>
    <w:rsid w:val="00735C55"/>
    <w:rsid w:val="00736348"/>
    <w:rsid w:val="00742695"/>
    <w:rsid w:val="00760908"/>
    <w:rsid w:val="00781807"/>
    <w:rsid w:val="007B3AF5"/>
    <w:rsid w:val="007F238D"/>
    <w:rsid w:val="0081703B"/>
    <w:rsid w:val="00861B92"/>
    <w:rsid w:val="00873B78"/>
    <w:rsid w:val="00877B9C"/>
    <w:rsid w:val="008814FB"/>
    <w:rsid w:val="008B4299"/>
    <w:rsid w:val="008F5E30"/>
    <w:rsid w:val="008F79EB"/>
    <w:rsid w:val="008F7EED"/>
    <w:rsid w:val="00914D7F"/>
    <w:rsid w:val="009205E1"/>
    <w:rsid w:val="00945993"/>
    <w:rsid w:val="00963E9F"/>
    <w:rsid w:val="009D6132"/>
    <w:rsid w:val="009E680B"/>
    <w:rsid w:val="00A15A1F"/>
    <w:rsid w:val="00A31EE2"/>
    <w:rsid w:val="00A3325A"/>
    <w:rsid w:val="00A43013"/>
    <w:rsid w:val="00A6072E"/>
    <w:rsid w:val="00A669FA"/>
    <w:rsid w:val="00AA24E4"/>
    <w:rsid w:val="00AA3F34"/>
    <w:rsid w:val="00AF108A"/>
    <w:rsid w:val="00AF3CFD"/>
    <w:rsid w:val="00AF3FD7"/>
    <w:rsid w:val="00B004F1"/>
    <w:rsid w:val="00B00D3A"/>
    <w:rsid w:val="00B02E55"/>
    <w:rsid w:val="00B036C1"/>
    <w:rsid w:val="00B3375A"/>
    <w:rsid w:val="00B5286B"/>
    <w:rsid w:val="00B5431F"/>
    <w:rsid w:val="00B547C7"/>
    <w:rsid w:val="00B63EAB"/>
    <w:rsid w:val="00BD2021"/>
    <w:rsid w:val="00BD6262"/>
    <w:rsid w:val="00BF1D48"/>
    <w:rsid w:val="00BF4A29"/>
    <w:rsid w:val="00BF7FE0"/>
    <w:rsid w:val="00C27281"/>
    <w:rsid w:val="00C3286C"/>
    <w:rsid w:val="00C50DE0"/>
    <w:rsid w:val="00C81104"/>
    <w:rsid w:val="00C96411"/>
    <w:rsid w:val="00CB2433"/>
    <w:rsid w:val="00CB4185"/>
    <w:rsid w:val="00CB5671"/>
    <w:rsid w:val="00CE6742"/>
    <w:rsid w:val="00CF58B7"/>
    <w:rsid w:val="00D01F59"/>
    <w:rsid w:val="00D351C1"/>
    <w:rsid w:val="00D35EFB"/>
    <w:rsid w:val="00D363AC"/>
    <w:rsid w:val="00D434AC"/>
    <w:rsid w:val="00D504B3"/>
    <w:rsid w:val="00D86BF0"/>
    <w:rsid w:val="00DA3385"/>
    <w:rsid w:val="00DC0740"/>
    <w:rsid w:val="00E512F7"/>
    <w:rsid w:val="00E51920"/>
    <w:rsid w:val="00E64120"/>
    <w:rsid w:val="00E660A1"/>
    <w:rsid w:val="00E766DD"/>
    <w:rsid w:val="00E94E69"/>
    <w:rsid w:val="00EA39AB"/>
    <w:rsid w:val="00EA3CCF"/>
    <w:rsid w:val="00EB6358"/>
    <w:rsid w:val="00EC4258"/>
    <w:rsid w:val="00F01936"/>
    <w:rsid w:val="00F055F1"/>
    <w:rsid w:val="00F5209A"/>
    <w:rsid w:val="00F610AF"/>
    <w:rsid w:val="00F74D41"/>
    <w:rsid w:val="00F84A27"/>
    <w:rsid w:val="00FA2C5A"/>
    <w:rsid w:val="00FC2D11"/>
    <w:rsid w:val="00FC5C81"/>
    <w:rsid w:val="00FC6230"/>
    <w:rsid w:val="00FD706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8766E3-59E3-467E-9BA5-9BD528AC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rsid w:val="005D55A7"/>
    <w:rPr>
      <w:sz w:val="16"/>
      <w:szCs w:val="16"/>
    </w:rPr>
  </w:style>
  <w:style w:type="paragraph" w:styleId="CommentText">
    <w:name w:val="annotation text"/>
    <w:basedOn w:val="Normal"/>
    <w:link w:val="CommentTextChar"/>
    <w:rsid w:val="005D55A7"/>
    <w:rPr>
      <w:sz w:val="20"/>
      <w:szCs w:val="20"/>
    </w:rPr>
  </w:style>
  <w:style w:type="character" w:customStyle="1" w:styleId="CommentTextChar">
    <w:name w:val="Comment Text Char"/>
    <w:basedOn w:val="DefaultParagraphFont"/>
    <w:link w:val="CommentText"/>
    <w:rsid w:val="005D55A7"/>
  </w:style>
  <w:style w:type="paragraph" w:styleId="CommentSubject">
    <w:name w:val="annotation subject"/>
    <w:basedOn w:val="CommentText"/>
    <w:next w:val="CommentText"/>
    <w:link w:val="CommentSubjectChar"/>
    <w:semiHidden/>
    <w:rsid w:val="005D55A7"/>
    <w:rPr>
      <w:b/>
      <w:bCs/>
    </w:rPr>
  </w:style>
  <w:style w:type="character" w:customStyle="1" w:styleId="CommentSubjectChar">
    <w:name w:val="Comment Subject Char"/>
    <w:basedOn w:val="CommentTextChar"/>
    <w:link w:val="CommentSubject"/>
    <w:semiHidden/>
    <w:rsid w:val="005D55A7"/>
    <w:rPr>
      <w:b/>
      <w:bCs/>
    </w:rPr>
  </w:style>
  <w:style w:type="paragraph" w:customStyle="1" w:styleId="Title1">
    <w:name w:val="Title 1"/>
    <w:basedOn w:val="Title"/>
    <w:qFormat/>
    <w:rsid w:val="00C50DE0"/>
    <w:pPr>
      <w:keepNext/>
      <w:spacing w:before="240" w:after="240"/>
    </w:pPr>
    <w:rPr>
      <w:rFonts w:cs="Arial"/>
      <w:sz w:val="40"/>
      <w:lang w:eastAsia="en-US"/>
    </w:rPr>
  </w:style>
  <w:style w:type="paragraph" w:customStyle="1" w:styleId="Numberedheading1">
    <w:name w:val="Numbered heading 1"/>
    <w:basedOn w:val="Heading1"/>
    <w:next w:val="Normal"/>
    <w:rsid w:val="00C50DE0"/>
    <w:pPr>
      <w:numPr>
        <w:numId w:val="21"/>
      </w:numPr>
      <w:spacing w:before="240" w:line="360" w:lineRule="auto"/>
    </w:pPr>
    <w:rPr>
      <w:sz w:val="32"/>
      <w:szCs w:val="24"/>
      <w:lang w:val="x-none" w:eastAsia="en-US"/>
    </w:rPr>
  </w:style>
  <w:style w:type="paragraph" w:customStyle="1" w:styleId="Numberedheading2">
    <w:name w:val="Numbered heading 2"/>
    <w:basedOn w:val="Heading2"/>
    <w:next w:val="Normal"/>
    <w:rsid w:val="00C50DE0"/>
    <w:pPr>
      <w:numPr>
        <w:ilvl w:val="1"/>
        <w:numId w:val="21"/>
      </w:numPr>
      <w:spacing w:before="240" w:after="60" w:line="360" w:lineRule="auto"/>
    </w:pPr>
    <w:rPr>
      <w:rFonts w:cs="Arial"/>
      <w:b w:val="0"/>
      <w:bCs w:val="0"/>
      <w:i w:val="0"/>
      <w:iCs w:val="0"/>
      <w:sz w:val="28"/>
      <w:szCs w:val="28"/>
      <w:lang w:val="en-US" w:eastAsia="en-US"/>
    </w:rPr>
  </w:style>
  <w:style w:type="paragraph" w:customStyle="1" w:styleId="Numberedheading3">
    <w:name w:val="Numbered heading 3"/>
    <w:basedOn w:val="Heading3"/>
    <w:next w:val="Normal"/>
    <w:rsid w:val="00C50DE0"/>
    <w:pPr>
      <w:numPr>
        <w:ilvl w:val="2"/>
        <w:numId w:val="21"/>
      </w:numPr>
      <w:spacing w:before="240" w:line="360" w:lineRule="auto"/>
    </w:pPr>
    <w:rPr>
      <w:rFonts w:cs="Arial"/>
      <w:sz w:val="26"/>
      <w:szCs w:val="24"/>
      <w:lang w:eastAsia="en-US"/>
    </w:rPr>
  </w:style>
  <w:style w:type="paragraph" w:customStyle="1" w:styleId="Numberedlevel4text">
    <w:name w:val="Numbered level 4 text"/>
    <w:basedOn w:val="Normal"/>
    <w:next w:val="Normal"/>
    <w:rsid w:val="00C50DE0"/>
    <w:pPr>
      <w:numPr>
        <w:ilvl w:val="3"/>
        <w:numId w:val="21"/>
      </w:numPr>
      <w:spacing w:after="240" w:line="360" w:lineRule="auto"/>
    </w:pPr>
    <w:rPr>
      <w:rFonts w:ascii="Arial" w:hAnsi="Arial"/>
      <w:lang w:eastAsia="en-US"/>
    </w:rPr>
  </w:style>
  <w:style w:type="paragraph" w:customStyle="1" w:styleId="Numberedlevel2text">
    <w:name w:val="Numbered level 2 text"/>
    <w:basedOn w:val="Numberedheading2"/>
    <w:link w:val="Numberedlevel2textChar"/>
    <w:rsid w:val="00C50DE0"/>
    <w:pPr>
      <w:keepNext w:val="0"/>
      <w:spacing w:before="0" w:after="240"/>
      <w:outlineLvl w:val="9"/>
    </w:pPr>
    <w:rPr>
      <w:sz w:val="24"/>
    </w:rPr>
  </w:style>
  <w:style w:type="character" w:customStyle="1" w:styleId="Numberedlevel2textChar">
    <w:name w:val="Numbered level 2 text Char"/>
    <w:link w:val="Numberedlevel2text"/>
    <w:rsid w:val="00C50DE0"/>
    <w:rPr>
      <w:rFonts w:ascii="Arial" w:hAnsi="Arial" w:cs="Arial"/>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92466">
      <w:bodyDiv w:val="1"/>
      <w:marLeft w:val="0"/>
      <w:marRight w:val="0"/>
      <w:marTop w:val="0"/>
      <w:marBottom w:val="0"/>
      <w:divBdr>
        <w:top w:val="none" w:sz="0" w:space="0" w:color="auto"/>
        <w:left w:val="none" w:sz="0" w:space="0" w:color="auto"/>
        <w:bottom w:val="none" w:sz="0" w:space="0" w:color="auto"/>
        <w:right w:val="none" w:sz="0" w:space="0" w:color="auto"/>
      </w:divBdr>
    </w:div>
    <w:div w:id="901479108">
      <w:bodyDiv w:val="1"/>
      <w:marLeft w:val="0"/>
      <w:marRight w:val="0"/>
      <w:marTop w:val="0"/>
      <w:marBottom w:val="0"/>
      <w:divBdr>
        <w:top w:val="none" w:sz="0" w:space="0" w:color="auto"/>
        <w:left w:val="none" w:sz="0" w:space="0" w:color="auto"/>
        <w:bottom w:val="none" w:sz="0" w:space="0" w:color="auto"/>
        <w:right w:val="none" w:sz="0" w:space="0" w:color="auto"/>
      </w:divBdr>
    </w:div>
    <w:div w:id="18245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6434B6E1</Template>
  <TotalTime>1</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Dillon</dc:creator>
  <cp:lastModifiedBy>Christopher Pomfrett</cp:lastModifiedBy>
  <cp:revision>2</cp:revision>
  <dcterms:created xsi:type="dcterms:W3CDTF">2017-01-17T15:05:00Z</dcterms:created>
  <dcterms:modified xsi:type="dcterms:W3CDTF">2017-01-17T15:05:00Z</dcterms:modified>
</cp:coreProperties>
</file>