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8F96" w14:textId="77777777" w:rsidR="00F470E2" w:rsidRDefault="00F470E2"/>
    <w:p w14:paraId="57284A7A" w14:textId="60073391" w:rsidR="00F470E2" w:rsidRPr="00671F75" w:rsidRDefault="008511D0">
      <w:pPr>
        <w:rPr>
          <w:lang w:val="en-GB"/>
        </w:rPr>
      </w:pPr>
      <w:r w:rsidRPr="00671F75">
        <w:rPr>
          <w:lang w:val="en-GB"/>
        </w:rPr>
        <w:t xml:space="preserve">Supplementary Material </w:t>
      </w:r>
      <w:r w:rsidR="00671F75" w:rsidRPr="00671F75">
        <w:rPr>
          <w:lang w:val="en-GB"/>
        </w:rPr>
        <w:t>2</w:t>
      </w:r>
      <w:r w:rsidR="00671F75">
        <w:rPr>
          <w:lang w:val="en-GB"/>
        </w:rPr>
        <w:t>.</w:t>
      </w:r>
      <w:bookmarkStart w:id="0" w:name="_GoBack"/>
      <w:bookmarkEnd w:id="0"/>
      <w:r w:rsidRPr="00671F75">
        <w:rPr>
          <w:lang w:val="en-GB"/>
        </w:rPr>
        <w:t xml:space="preserve"> </w:t>
      </w:r>
      <w:r w:rsidR="00F470E2" w:rsidRPr="00671F75">
        <w:rPr>
          <w:lang w:val="en-GB"/>
        </w:rPr>
        <w:t xml:space="preserve">The comparison between current </w:t>
      </w:r>
      <w:r w:rsidR="00153F8C" w:rsidRPr="00671F75">
        <w:rPr>
          <w:lang w:val="en-GB"/>
        </w:rPr>
        <w:t xml:space="preserve">(from 2012) </w:t>
      </w:r>
      <w:r w:rsidR="00F470E2" w:rsidRPr="00671F75">
        <w:rPr>
          <w:lang w:val="en-GB"/>
        </w:rPr>
        <w:t xml:space="preserve">and previous </w:t>
      </w:r>
      <w:r w:rsidR="00153F8C" w:rsidRPr="00671F75">
        <w:rPr>
          <w:lang w:val="en-GB"/>
        </w:rPr>
        <w:t xml:space="preserve">(2007-2012) </w:t>
      </w:r>
      <w:r w:rsidR="00F470E2" w:rsidRPr="00671F75">
        <w:rPr>
          <w:lang w:val="en-GB"/>
        </w:rPr>
        <w:t xml:space="preserve">appraisal council at </w:t>
      </w:r>
      <w:proofErr w:type="spellStart"/>
      <w:r w:rsidR="00F470E2" w:rsidRPr="00671F75">
        <w:rPr>
          <w:lang w:val="en-GB"/>
        </w:rPr>
        <w:t>AOTMiT</w:t>
      </w:r>
      <w:proofErr w:type="spellEnd"/>
      <w:r w:rsidR="00DD0B05" w:rsidRPr="00671F75">
        <w:rPr>
          <w:lang w:val="en-GB"/>
        </w:rPr>
        <w:t>: Transparency Council and Consultative Council</w:t>
      </w:r>
      <w:r w:rsidR="00F470E2" w:rsidRPr="00671F75">
        <w:rPr>
          <w:lang w:val="en-GB"/>
        </w:rPr>
        <w:t xml:space="preserve"> </w:t>
      </w:r>
    </w:p>
    <w:p w14:paraId="3FBE141F" w14:textId="77777777" w:rsidR="00E20EE2" w:rsidRPr="00671F75" w:rsidRDefault="00E20EE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89"/>
      </w:tblGrid>
      <w:tr w:rsidR="00E20EE2" w:rsidRPr="00671F75" w14:paraId="139B2483" w14:textId="77777777" w:rsidTr="005217FC">
        <w:tc>
          <w:tcPr>
            <w:tcW w:w="2547" w:type="dxa"/>
          </w:tcPr>
          <w:p w14:paraId="7A16AF04" w14:textId="77777777" w:rsidR="00E20EE2" w:rsidRPr="00671F75" w:rsidRDefault="00E20EE2">
            <w:r w:rsidRPr="00671F75">
              <w:t>Area</w:t>
            </w:r>
          </w:p>
        </w:tc>
        <w:tc>
          <w:tcPr>
            <w:tcW w:w="3260" w:type="dxa"/>
          </w:tcPr>
          <w:p w14:paraId="586FDC3C" w14:textId="77777777" w:rsidR="002D5981" w:rsidRPr="00671F75" w:rsidRDefault="002D5981" w:rsidP="002D5981">
            <w:pPr>
              <w:rPr>
                <w:b/>
              </w:rPr>
            </w:pPr>
            <w:r w:rsidRPr="00671F75">
              <w:rPr>
                <w:b/>
              </w:rPr>
              <w:t>Current</w:t>
            </w:r>
          </w:p>
          <w:p w14:paraId="534530C7" w14:textId="5660D638" w:rsidR="005217FC" w:rsidRPr="00671F75" w:rsidRDefault="002D5981" w:rsidP="002D5981">
            <w:pPr>
              <w:rPr>
                <w:b/>
                <w:lang w:val="en-US"/>
              </w:rPr>
            </w:pPr>
            <w:r w:rsidRPr="00671F75">
              <w:rPr>
                <w:b/>
                <w:lang w:val="en-US"/>
              </w:rPr>
              <w:t>Transparency Council</w:t>
            </w:r>
          </w:p>
        </w:tc>
        <w:tc>
          <w:tcPr>
            <w:tcW w:w="3589" w:type="dxa"/>
          </w:tcPr>
          <w:p w14:paraId="6A6499EA" w14:textId="77777777" w:rsidR="002D5981" w:rsidRPr="00671F75" w:rsidRDefault="002D5981" w:rsidP="002D5981">
            <w:pPr>
              <w:rPr>
                <w:b/>
                <w:lang w:val="en-US"/>
              </w:rPr>
            </w:pPr>
            <w:r w:rsidRPr="00671F75">
              <w:rPr>
                <w:b/>
                <w:lang w:val="en-US"/>
              </w:rPr>
              <w:t>Previous</w:t>
            </w:r>
          </w:p>
          <w:p w14:paraId="206D13BE" w14:textId="3071A131" w:rsidR="00A766A1" w:rsidRPr="00671F75" w:rsidRDefault="002D5981" w:rsidP="002D5981">
            <w:pPr>
              <w:rPr>
                <w:b/>
              </w:rPr>
            </w:pPr>
            <w:r w:rsidRPr="00671F75">
              <w:rPr>
                <w:b/>
                <w:lang w:val="en-US"/>
              </w:rPr>
              <w:t>Consultative Council</w:t>
            </w:r>
          </w:p>
        </w:tc>
      </w:tr>
      <w:tr w:rsidR="002D5981" w:rsidRPr="00671F75" w14:paraId="1766B2F6" w14:textId="77777777" w:rsidTr="006E334E">
        <w:tc>
          <w:tcPr>
            <w:tcW w:w="2547" w:type="dxa"/>
          </w:tcPr>
          <w:p w14:paraId="41D469D1" w14:textId="77777777" w:rsidR="002D5981" w:rsidRPr="00671F75" w:rsidRDefault="002D5981" w:rsidP="002D5981">
            <w:r w:rsidRPr="00671F75">
              <w:t>Brief description</w:t>
            </w:r>
          </w:p>
        </w:tc>
        <w:tc>
          <w:tcPr>
            <w:tcW w:w="6849" w:type="dxa"/>
            <w:gridSpan w:val="2"/>
          </w:tcPr>
          <w:p w14:paraId="5E9BBB20" w14:textId="23E92DA5" w:rsidR="002D5981" w:rsidRPr="00671F75" w:rsidRDefault="002D5981" w:rsidP="002D5981">
            <w:pPr>
              <w:jc w:val="center"/>
              <w:rPr>
                <w:lang w:val="en-US"/>
              </w:rPr>
            </w:pPr>
            <w:r w:rsidRPr="00671F75">
              <w:rPr>
                <w:lang w:val="en-US"/>
              </w:rPr>
              <w:t xml:space="preserve">Advisory appraisal committees affiliated with the President of </w:t>
            </w:r>
            <w:proofErr w:type="spellStart"/>
            <w:r w:rsidRPr="00671F75">
              <w:rPr>
                <w:lang w:val="en-US"/>
              </w:rPr>
              <w:t>AOTMiT</w:t>
            </w:r>
            <w:proofErr w:type="spellEnd"/>
            <w:r w:rsidRPr="00671F75">
              <w:rPr>
                <w:lang w:val="en-US"/>
              </w:rPr>
              <w:t>.</w:t>
            </w:r>
          </w:p>
        </w:tc>
      </w:tr>
      <w:tr w:rsidR="002D5981" w:rsidRPr="00671F75" w14:paraId="2BF70DED" w14:textId="77777777" w:rsidTr="005217FC">
        <w:tc>
          <w:tcPr>
            <w:tcW w:w="2547" w:type="dxa"/>
          </w:tcPr>
          <w:p w14:paraId="31E5E18B" w14:textId="2C4A4903" w:rsidR="002D5981" w:rsidRPr="00671F75" w:rsidRDefault="002D5981" w:rsidP="002D5981">
            <w:r w:rsidRPr="00671F75">
              <w:t xml:space="preserve">Timespan </w:t>
            </w:r>
          </w:p>
        </w:tc>
        <w:tc>
          <w:tcPr>
            <w:tcW w:w="3260" w:type="dxa"/>
          </w:tcPr>
          <w:p w14:paraId="5B0A657D" w14:textId="6DAEED50" w:rsidR="002D5981" w:rsidRPr="00671F75" w:rsidRDefault="002D5981" w:rsidP="002D5981">
            <w:pPr>
              <w:pStyle w:val="ListParagraph"/>
              <w:ind w:left="181"/>
              <w:rPr>
                <w:lang w:val="en-US"/>
              </w:rPr>
            </w:pPr>
            <w:r w:rsidRPr="00671F75">
              <w:rPr>
                <w:lang w:val="en-US"/>
              </w:rPr>
              <w:t>2012 –  today</w:t>
            </w:r>
          </w:p>
        </w:tc>
        <w:tc>
          <w:tcPr>
            <w:tcW w:w="3589" w:type="dxa"/>
          </w:tcPr>
          <w:p w14:paraId="38E45E01" w14:textId="6895DA22" w:rsidR="002D5981" w:rsidRPr="00671F75" w:rsidRDefault="002D5981" w:rsidP="002D5981">
            <w:pPr>
              <w:pStyle w:val="ListParagraph"/>
              <w:ind w:left="181"/>
              <w:rPr>
                <w:lang w:val="en-US"/>
              </w:rPr>
            </w:pPr>
            <w:r w:rsidRPr="00671F75">
              <w:rPr>
                <w:lang w:val="en-US"/>
              </w:rPr>
              <w:t>2007 – 2012</w:t>
            </w:r>
          </w:p>
        </w:tc>
      </w:tr>
      <w:tr w:rsidR="002D5981" w:rsidRPr="00671F75" w14:paraId="7CE5CC07" w14:textId="77777777" w:rsidTr="005217FC">
        <w:tc>
          <w:tcPr>
            <w:tcW w:w="2547" w:type="dxa"/>
          </w:tcPr>
          <w:p w14:paraId="746FBB3D" w14:textId="7C7FB3C3" w:rsidR="002D5981" w:rsidRPr="00671F75" w:rsidRDefault="002D5981" w:rsidP="002D5981">
            <w:pPr>
              <w:rPr>
                <w:lang w:val="en-US"/>
              </w:rPr>
            </w:pPr>
            <w:r w:rsidRPr="00671F75">
              <w:rPr>
                <w:lang w:val="en-US"/>
              </w:rPr>
              <w:t xml:space="preserve">Main tasks </w:t>
            </w:r>
          </w:p>
          <w:p w14:paraId="58B69858" w14:textId="77777777" w:rsidR="002D5981" w:rsidRPr="00671F75" w:rsidRDefault="002D5981" w:rsidP="002D5981">
            <w:pPr>
              <w:rPr>
                <w:lang w:val="en-US"/>
              </w:rPr>
            </w:pPr>
          </w:p>
          <w:p w14:paraId="59EC5644" w14:textId="2D6DE215" w:rsidR="002D5981" w:rsidRPr="00671F75" w:rsidRDefault="002D5981" w:rsidP="002D5981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4BF7ECB" w14:textId="77777777" w:rsidR="0000007E" w:rsidRPr="00671F75" w:rsidRDefault="002D5981" w:rsidP="0000007E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>Classifying  or not a given healthcare service as guaranteed or financed from public funds together with a proposal regarding the mechanism and level of reimbursement.</w:t>
            </w:r>
          </w:p>
          <w:p w14:paraId="4E1774D1" w14:textId="10A4AD4B" w:rsidR="0000007E" w:rsidRPr="00671F75" w:rsidRDefault="00D12418" w:rsidP="0000007E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>Removing</w:t>
            </w:r>
            <w:r w:rsidR="0000007E" w:rsidRPr="00671F75">
              <w:rPr>
                <w:lang w:val="en-US"/>
              </w:rPr>
              <w:t xml:space="preserve"> a given healthcare service from the basket of guaranteed services</w:t>
            </w:r>
          </w:p>
          <w:p w14:paraId="3F4D7E52" w14:textId="77777777" w:rsidR="002D5981" w:rsidRPr="00671F75" w:rsidRDefault="002D5981" w:rsidP="002D5981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>Issuing opinions on health programs.</w:t>
            </w:r>
          </w:p>
          <w:p w14:paraId="1AF3F310" w14:textId="77777777" w:rsidR="002D5981" w:rsidRPr="00671F75" w:rsidRDefault="002D5981" w:rsidP="002D5981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 xml:space="preserve">Carrying out other tasks at the request of the President of the Agency. </w:t>
            </w:r>
          </w:p>
          <w:p w14:paraId="1BC06ADB" w14:textId="77777777" w:rsidR="002D5981" w:rsidRPr="00671F75" w:rsidRDefault="002D5981" w:rsidP="002D5981">
            <w:pPr>
              <w:pStyle w:val="ListParagraph"/>
              <w:numPr>
                <w:ilvl w:val="0"/>
                <w:numId w:val="4"/>
              </w:numPr>
              <w:ind w:left="181" w:hanging="142"/>
              <w:rPr>
                <w:lang w:val="en-US"/>
              </w:rPr>
            </w:pPr>
            <w:r w:rsidRPr="00671F75">
              <w:rPr>
                <w:lang w:val="en-US"/>
              </w:rPr>
              <w:t xml:space="preserve">Issuing opinions regarding group limits and withdrawal of reimbursement decision; </w:t>
            </w:r>
          </w:p>
          <w:p w14:paraId="5AB652CE" w14:textId="6E34E2FD" w:rsidR="002D5981" w:rsidRPr="00671F75" w:rsidRDefault="002D5981" w:rsidP="002D5981">
            <w:pPr>
              <w:pStyle w:val="ListParagraph"/>
              <w:ind w:left="181"/>
              <w:rPr>
                <w:lang w:val="en-GB"/>
              </w:rPr>
            </w:pPr>
            <w:r w:rsidRPr="00671F75">
              <w:rPr>
                <w:lang w:val="en-US"/>
              </w:rPr>
              <w:t xml:space="preserve">Issuing opinions regarding </w:t>
            </w:r>
            <w:r w:rsidR="006F412C" w:rsidRPr="00671F75">
              <w:rPr>
                <w:lang w:val="en-GB"/>
              </w:rPr>
              <w:t>the reimbursement in</w:t>
            </w:r>
            <w:r w:rsidR="006F412C" w:rsidRPr="00671F75">
              <w:rPr>
                <w:lang w:val="en-US"/>
              </w:rPr>
              <w:t xml:space="preserve"> </w:t>
            </w:r>
            <w:r w:rsidRPr="00671F75">
              <w:rPr>
                <w:lang w:val="en-US"/>
              </w:rPr>
              <w:t>off-label use.</w:t>
            </w:r>
          </w:p>
        </w:tc>
        <w:tc>
          <w:tcPr>
            <w:tcW w:w="3589" w:type="dxa"/>
          </w:tcPr>
          <w:p w14:paraId="7788A6A7" w14:textId="77777777" w:rsidR="0000007E" w:rsidRPr="00671F75" w:rsidRDefault="002D5981" w:rsidP="0000007E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>Classifying  or not a given healthcare service as guaranteed or financed from public funds together with a proposal regarding the mechanism and level of reimbursement.</w:t>
            </w:r>
            <w:r w:rsidR="0000007E" w:rsidRPr="00671F75">
              <w:rPr>
                <w:lang w:val="en-US"/>
              </w:rPr>
              <w:t xml:space="preserve"> </w:t>
            </w:r>
          </w:p>
          <w:p w14:paraId="1EBA2DBB" w14:textId="025F0376" w:rsidR="002D5981" w:rsidRPr="00671F75" w:rsidRDefault="006F412C" w:rsidP="0000007E">
            <w:pPr>
              <w:pStyle w:val="ListParagraph"/>
              <w:numPr>
                <w:ilvl w:val="0"/>
                <w:numId w:val="4"/>
              </w:numPr>
              <w:ind w:left="172" w:hanging="172"/>
              <w:rPr>
                <w:lang w:val="en-US"/>
              </w:rPr>
            </w:pPr>
            <w:r w:rsidRPr="00671F75">
              <w:rPr>
                <w:lang w:val="en-US"/>
              </w:rPr>
              <w:t>Removing</w:t>
            </w:r>
            <w:r w:rsidR="0000007E" w:rsidRPr="00671F75">
              <w:rPr>
                <w:lang w:val="en-US"/>
              </w:rPr>
              <w:t xml:space="preserve"> a given healthcare service from the basket of guaranteed services</w:t>
            </w:r>
          </w:p>
          <w:p w14:paraId="67791FD2" w14:textId="77777777" w:rsidR="002D5981" w:rsidRPr="00671F75" w:rsidRDefault="002D5981" w:rsidP="002D5981">
            <w:pPr>
              <w:pStyle w:val="ListParagraph"/>
              <w:numPr>
                <w:ilvl w:val="0"/>
                <w:numId w:val="6"/>
              </w:numPr>
              <w:ind w:left="181" w:hanging="181"/>
              <w:rPr>
                <w:lang w:val="en-US"/>
              </w:rPr>
            </w:pPr>
            <w:r w:rsidRPr="00671F75">
              <w:rPr>
                <w:lang w:val="en-US"/>
              </w:rPr>
              <w:t>Issuing opinions on health programs.</w:t>
            </w:r>
          </w:p>
          <w:p w14:paraId="2CC6A0AB" w14:textId="77777777" w:rsidR="002D5981" w:rsidRPr="00671F75" w:rsidRDefault="002D5981" w:rsidP="002D5981">
            <w:pPr>
              <w:pStyle w:val="ListParagraph"/>
              <w:numPr>
                <w:ilvl w:val="0"/>
                <w:numId w:val="6"/>
              </w:numPr>
              <w:ind w:left="181" w:hanging="181"/>
              <w:rPr>
                <w:lang w:val="en-US"/>
              </w:rPr>
            </w:pPr>
            <w:r w:rsidRPr="00671F75">
              <w:rPr>
                <w:lang w:val="en-US"/>
              </w:rPr>
              <w:t xml:space="preserve">Carrying out other tasks at the request of the President of the Agency. </w:t>
            </w:r>
          </w:p>
          <w:p w14:paraId="1F939C74" w14:textId="0236D8E1" w:rsidR="002D5981" w:rsidRPr="00671F75" w:rsidRDefault="002D5981" w:rsidP="002D5981">
            <w:pPr>
              <w:pStyle w:val="ListParagraph"/>
              <w:ind w:left="181"/>
              <w:rPr>
                <w:lang w:val="en-US"/>
              </w:rPr>
            </w:pPr>
          </w:p>
        </w:tc>
      </w:tr>
      <w:tr w:rsidR="002D5981" w:rsidRPr="00671F75" w14:paraId="63294CDF" w14:textId="77777777" w:rsidTr="005217FC">
        <w:tc>
          <w:tcPr>
            <w:tcW w:w="2547" w:type="dxa"/>
          </w:tcPr>
          <w:p w14:paraId="16D12A19" w14:textId="77777777" w:rsidR="002D5981" w:rsidRPr="00671F75" w:rsidRDefault="002D5981" w:rsidP="002D5981">
            <w:r w:rsidRPr="00671F75">
              <w:t>Composition (members)</w:t>
            </w:r>
          </w:p>
        </w:tc>
        <w:tc>
          <w:tcPr>
            <w:tcW w:w="3260" w:type="dxa"/>
          </w:tcPr>
          <w:p w14:paraId="1AFFEF50" w14:textId="3200E265" w:rsidR="00364F85" w:rsidRPr="00671F75" w:rsidRDefault="00364F85" w:rsidP="00364F85">
            <w:pPr>
              <w:rPr>
                <w:lang w:val="en-US"/>
              </w:rPr>
            </w:pPr>
            <w:r w:rsidRPr="00671F75">
              <w:rPr>
                <w:lang w:val="en-US"/>
              </w:rPr>
              <w:t>20 members in total:</w:t>
            </w:r>
          </w:p>
          <w:p w14:paraId="7A8C81CD" w14:textId="4033B6FD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81" w:hanging="141"/>
              <w:rPr>
                <w:lang w:val="en-US"/>
              </w:rPr>
            </w:pPr>
            <w:r w:rsidRPr="00671F75">
              <w:rPr>
                <w:lang w:val="en-US"/>
              </w:rPr>
              <w:t>10 recognized experts in the field of medical sciences or alike alternatively in the field of health care services evaluation, including ethics (</w:t>
            </w:r>
            <w:proofErr w:type="spellStart"/>
            <w:r w:rsidRPr="00671F75">
              <w:rPr>
                <w:lang w:val="en-US"/>
              </w:rPr>
              <w:t>phD</w:t>
            </w:r>
            <w:proofErr w:type="spellEnd"/>
            <w:r w:rsidRPr="00671F75">
              <w:rPr>
                <w:lang w:val="en-US"/>
              </w:rPr>
              <w:t xml:space="preserve"> at minimum);</w:t>
            </w:r>
          </w:p>
          <w:p w14:paraId="7B5C9EAA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81" w:hanging="141"/>
              <w:rPr>
                <w:lang w:val="en-US"/>
              </w:rPr>
            </w:pPr>
            <w:r w:rsidRPr="00671F75">
              <w:rPr>
                <w:lang w:val="en-US"/>
              </w:rPr>
              <w:t xml:space="preserve">4 representatives of the Minister of Health; </w:t>
            </w:r>
          </w:p>
          <w:p w14:paraId="7148B6CE" w14:textId="3125FBCA" w:rsidR="002D5981" w:rsidRPr="00671F75" w:rsidRDefault="002D5981" w:rsidP="00943058">
            <w:pPr>
              <w:pStyle w:val="ListParagraph"/>
              <w:numPr>
                <w:ilvl w:val="0"/>
                <w:numId w:val="5"/>
              </w:numPr>
              <w:ind w:left="181" w:hanging="141"/>
              <w:rPr>
                <w:lang w:val="en-US"/>
              </w:rPr>
            </w:pPr>
            <w:r w:rsidRPr="00671F75">
              <w:rPr>
                <w:lang w:val="en-US"/>
              </w:rPr>
              <w:t>2 representatives of the National Health Fund;2 representatives of the Office for Registration of Medicinal Products, Medical Devices and Biocidal Products;2 representatives of the Commissioner for Patients' Rights.</w:t>
            </w:r>
          </w:p>
        </w:tc>
        <w:tc>
          <w:tcPr>
            <w:tcW w:w="3589" w:type="dxa"/>
          </w:tcPr>
          <w:p w14:paraId="5701C6FC" w14:textId="5945E630" w:rsidR="00364F85" w:rsidRPr="00671F75" w:rsidRDefault="00364F85" w:rsidP="00364F85">
            <w:pPr>
              <w:rPr>
                <w:lang w:val="en-US"/>
              </w:rPr>
            </w:pPr>
            <w:r w:rsidRPr="00671F75">
              <w:rPr>
                <w:lang w:val="en-US"/>
              </w:rPr>
              <w:t>12 members in total:</w:t>
            </w:r>
          </w:p>
          <w:p w14:paraId="4F2D9E58" w14:textId="1723E480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7 representatives of the Minister of Health;</w:t>
            </w:r>
          </w:p>
          <w:p w14:paraId="242082EB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1 representative appointed by the rectors of medical schools;</w:t>
            </w:r>
          </w:p>
          <w:p w14:paraId="0E4B28E5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1 representative designated by the Supreme Medical Council;</w:t>
            </w:r>
          </w:p>
          <w:p w14:paraId="746CA384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1 representative appointed by the Supreme Council of Pharmaceutical;</w:t>
            </w:r>
          </w:p>
          <w:p w14:paraId="06CA065A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1 representative designated by the Supreme Council of Nurses and Midwives;</w:t>
            </w:r>
          </w:p>
          <w:p w14:paraId="0F6266DE" w14:textId="77777777" w:rsidR="002D5981" w:rsidRPr="00671F75" w:rsidRDefault="002D5981" w:rsidP="002D5981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lang w:val="en-US"/>
              </w:rPr>
            </w:pPr>
            <w:r w:rsidRPr="00671F75">
              <w:rPr>
                <w:lang w:val="en-US"/>
              </w:rPr>
              <w:t>1 representative designated by the National Health Fund.</w:t>
            </w:r>
          </w:p>
          <w:p w14:paraId="0D99DFBF" w14:textId="7C739E4A" w:rsidR="002D5981" w:rsidRPr="00671F75" w:rsidRDefault="002D5981" w:rsidP="002D5981">
            <w:pPr>
              <w:pStyle w:val="ListParagraph"/>
              <w:ind w:left="181"/>
              <w:rPr>
                <w:lang w:val="en-US"/>
              </w:rPr>
            </w:pPr>
          </w:p>
        </w:tc>
      </w:tr>
      <w:tr w:rsidR="002D5981" w:rsidRPr="00671F75" w14:paraId="7D5A5ED7" w14:textId="77777777" w:rsidTr="005217FC">
        <w:tc>
          <w:tcPr>
            <w:tcW w:w="2547" w:type="dxa"/>
          </w:tcPr>
          <w:p w14:paraId="4276E07A" w14:textId="77777777" w:rsidR="002D5981" w:rsidRPr="00671F75" w:rsidRDefault="002D5981" w:rsidP="002D5981">
            <w:r w:rsidRPr="00671F75">
              <w:lastRenderedPageBreak/>
              <w:t>Legal basis</w:t>
            </w:r>
          </w:p>
        </w:tc>
        <w:tc>
          <w:tcPr>
            <w:tcW w:w="3260" w:type="dxa"/>
          </w:tcPr>
          <w:p w14:paraId="658E7D83" w14:textId="4AD58DEB" w:rsidR="002D5981" w:rsidRPr="00671F75" w:rsidRDefault="002D5981" w:rsidP="002D5981">
            <w:pPr>
              <w:rPr>
                <w:lang w:val="en-US"/>
              </w:rPr>
            </w:pPr>
            <w:r w:rsidRPr="00671F75">
              <w:rPr>
                <w:lang w:val="en-US"/>
              </w:rPr>
              <w:t>Reimbursement Law and also Law on health care services financed out of public funds</w:t>
            </w:r>
          </w:p>
        </w:tc>
        <w:tc>
          <w:tcPr>
            <w:tcW w:w="3589" w:type="dxa"/>
          </w:tcPr>
          <w:p w14:paraId="2671F896" w14:textId="2052F4BD" w:rsidR="002D5981" w:rsidRPr="00671F75" w:rsidRDefault="002D5981" w:rsidP="002D5981">
            <w:pPr>
              <w:rPr>
                <w:lang w:val="en-US"/>
              </w:rPr>
            </w:pPr>
            <w:r w:rsidRPr="00671F75">
              <w:rPr>
                <w:lang w:val="en-US"/>
              </w:rPr>
              <w:t>Law on health care services financed out of public funds</w:t>
            </w:r>
          </w:p>
        </w:tc>
      </w:tr>
    </w:tbl>
    <w:p w14:paraId="585ECC44" w14:textId="77777777" w:rsidR="00E20EE2" w:rsidRPr="00671F75" w:rsidRDefault="00E20EE2">
      <w:pPr>
        <w:rPr>
          <w:lang w:val="en-GB"/>
        </w:rPr>
      </w:pPr>
    </w:p>
    <w:p w14:paraId="2A329468" w14:textId="2F6095BB" w:rsidR="004F52D6" w:rsidRPr="00671F75" w:rsidRDefault="004F52D6" w:rsidP="00341D2B">
      <w:pPr>
        <w:rPr>
          <w:lang w:val="en-US"/>
        </w:rPr>
      </w:pPr>
      <w:r w:rsidRPr="00671F75">
        <w:rPr>
          <w:lang w:val="en-US"/>
        </w:rPr>
        <w:t xml:space="preserve">The Transparency Council (TC) is an advisory appraisal committee affiliated with the President of the Polish HTA Agency. </w:t>
      </w:r>
      <w:r w:rsidR="00653AAC" w:rsidRPr="00671F75">
        <w:rPr>
          <w:lang w:val="en-GB"/>
        </w:rPr>
        <w:t xml:space="preserve">With the entrance of the Reimbursement Law in 2012, the TC replaced the Consultative Council. </w:t>
      </w:r>
      <w:r w:rsidRPr="00671F75">
        <w:rPr>
          <w:lang w:val="en-US"/>
        </w:rPr>
        <w:t xml:space="preserve">The strictly defined by law TC composition is supposed to reflect the balance of different stakeholders in Polish health care system. </w:t>
      </w:r>
    </w:p>
    <w:p w14:paraId="62A580A7" w14:textId="5E24C42A" w:rsidR="004F52D6" w:rsidRPr="00671F75" w:rsidRDefault="004F52D6" w:rsidP="004F52D6">
      <w:pPr>
        <w:rPr>
          <w:lang w:val="en-GB"/>
        </w:rPr>
      </w:pPr>
      <w:r w:rsidRPr="00671F75">
        <w:rPr>
          <w:lang w:val="en-GB"/>
        </w:rPr>
        <w:t xml:space="preserve">The </w:t>
      </w:r>
      <w:r w:rsidR="00341D2B" w:rsidRPr="00671F75">
        <w:rPr>
          <w:lang w:val="en-GB"/>
        </w:rPr>
        <w:t>chairman and two vice-chairmen</w:t>
      </w:r>
      <w:r w:rsidRPr="00671F75">
        <w:rPr>
          <w:lang w:val="en-GB"/>
        </w:rPr>
        <w:t xml:space="preserve"> manage the Council’s work and are elected by members during the first TC meeting. Ten members are appointed by </w:t>
      </w:r>
      <w:proofErr w:type="spellStart"/>
      <w:r w:rsidRPr="00671F75">
        <w:rPr>
          <w:lang w:val="en-GB"/>
        </w:rPr>
        <w:t>sortition</w:t>
      </w:r>
      <w:proofErr w:type="spellEnd"/>
      <w:r w:rsidRPr="00671F75">
        <w:rPr>
          <w:lang w:val="en-GB"/>
        </w:rPr>
        <w:t xml:space="preserve"> prior to every Council meeting in such a manner that each authority has its representative. The ten member teams adopt resolutions in the form of the Council’s </w:t>
      </w:r>
      <w:r w:rsidR="00341D2B" w:rsidRPr="00671F75">
        <w:rPr>
          <w:lang w:val="en-GB"/>
        </w:rPr>
        <w:t>p</w:t>
      </w:r>
      <w:r w:rsidRPr="00671F75">
        <w:rPr>
          <w:lang w:val="en-GB"/>
        </w:rPr>
        <w:t>ositions. The resolutions require a simple majority to pass in the presence of at least 2/3 of its members. The chairman decides in case of a tie vote.</w:t>
      </w:r>
    </w:p>
    <w:p w14:paraId="0245624F" w14:textId="08C0EE28" w:rsidR="004F52D6" w:rsidRPr="00671F75" w:rsidRDefault="00341D2B" w:rsidP="004F52D6">
      <w:pPr>
        <w:rPr>
          <w:lang w:val="en-GB"/>
        </w:rPr>
      </w:pPr>
      <w:r w:rsidRPr="00671F75">
        <w:rPr>
          <w:lang w:val="en-GB"/>
        </w:rPr>
        <w:t>The p</w:t>
      </w:r>
      <w:r w:rsidR="004C071E" w:rsidRPr="00671F75">
        <w:rPr>
          <w:lang w:val="en-GB"/>
        </w:rPr>
        <w:t>osition of the TC</w:t>
      </w:r>
      <w:r w:rsidR="004F52D6" w:rsidRPr="00671F75">
        <w:rPr>
          <w:lang w:val="en-GB"/>
        </w:rPr>
        <w:t xml:space="preserve"> with regards to medicinal products includes:</w:t>
      </w:r>
    </w:p>
    <w:p w14:paraId="3AD929CC" w14:textId="77777777" w:rsidR="004F52D6" w:rsidRPr="00671F75" w:rsidRDefault="004F52D6" w:rsidP="004F52D6">
      <w:pPr>
        <w:pStyle w:val="ListParagraph"/>
        <w:numPr>
          <w:ilvl w:val="0"/>
          <w:numId w:val="3"/>
        </w:numPr>
        <w:rPr>
          <w:lang w:val="en-GB"/>
        </w:rPr>
      </w:pPr>
      <w:r w:rsidRPr="00671F75">
        <w:rPr>
          <w:lang w:val="en-GB"/>
        </w:rPr>
        <w:t>the Council’s opinion on whether the drug should be financed from public funds;</w:t>
      </w:r>
    </w:p>
    <w:p w14:paraId="38253A53" w14:textId="77777777" w:rsidR="004F52D6" w:rsidRPr="00671F75" w:rsidRDefault="004F52D6" w:rsidP="004F52D6">
      <w:pPr>
        <w:pStyle w:val="ListParagraph"/>
        <w:numPr>
          <w:ilvl w:val="0"/>
          <w:numId w:val="2"/>
        </w:numPr>
        <w:rPr>
          <w:lang w:val="en-GB"/>
        </w:rPr>
      </w:pPr>
      <w:r w:rsidRPr="00671F75">
        <w:rPr>
          <w:lang w:val="en-GB"/>
        </w:rPr>
        <w:t xml:space="preserve">conditions under which a drug may be listed </w:t>
      </w:r>
      <w:proofErr w:type="spellStart"/>
      <w:r w:rsidRPr="00671F75">
        <w:rPr>
          <w:lang w:val="en-GB"/>
        </w:rPr>
        <w:t>ie</w:t>
      </w:r>
      <w:proofErr w:type="spellEnd"/>
      <w:r w:rsidRPr="00671F75">
        <w:rPr>
          <w:lang w:val="en-GB"/>
        </w:rPr>
        <w:t>. proposed reimbursed indications and reference groups limits;</w:t>
      </w:r>
    </w:p>
    <w:p w14:paraId="073B4A03" w14:textId="19393B58" w:rsidR="004F52D6" w:rsidRPr="00671F75" w:rsidRDefault="004F52D6" w:rsidP="004F52D6">
      <w:pPr>
        <w:pStyle w:val="ListParagraph"/>
        <w:numPr>
          <w:ilvl w:val="0"/>
          <w:numId w:val="2"/>
        </w:numPr>
        <w:rPr>
          <w:lang w:val="en-GB"/>
        </w:rPr>
      </w:pPr>
      <w:r w:rsidRPr="00671F75">
        <w:rPr>
          <w:lang w:val="en-GB"/>
        </w:rPr>
        <w:t xml:space="preserve">if relevant, </w:t>
      </w:r>
      <w:r w:rsidR="00581765" w:rsidRPr="00671F75">
        <w:rPr>
          <w:lang w:val="en-GB"/>
        </w:rPr>
        <w:t xml:space="preserve">comments on </w:t>
      </w:r>
      <w:r w:rsidRPr="00671F75">
        <w:rPr>
          <w:lang w:val="en-GB"/>
        </w:rPr>
        <w:t xml:space="preserve">drug program </w:t>
      </w:r>
      <w:r w:rsidR="00581765" w:rsidRPr="00671F75">
        <w:rPr>
          <w:lang w:val="en-GB"/>
        </w:rPr>
        <w:t>proposal</w:t>
      </w:r>
      <w:r w:rsidRPr="00671F75">
        <w:rPr>
          <w:lang w:val="en-GB"/>
        </w:rPr>
        <w:t>;</w:t>
      </w:r>
    </w:p>
    <w:p w14:paraId="299A9903" w14:textId="43A652F8" w:rsidR="004F52D6" w:rsidRPr="00671F75" w:rsidRDefault="00581765" w:rsidP="00653AAC">
      <w:pPr>
        <w:pStyle w:val="ListParagraph"/>
        <w:numPr>
          <w:ilvl w:val="0"/>
          <w:numId w:val="2"/>
        </w:numPr>
        <w:rPr>
          <w:lang w:val="en-GB"/>
        </w:rPr>
      </w:pPr>
      <w:r w:rsidRPr="00671F75">
        <w:rPr>
          <w:lang w:val="en-GB"/>
        </w:rPr>
        <w:t xml:space="preserve">comments on </w:t>
      </w:r>
      <w:r w:rsidR="004F52D6" w:rsidRPr="00671F75">
        <w:rPr>
          <w:lang w:val="en-GB"/>
        </w:rPr>
        <w:t xml:space="preserve">risk sharing mechanisms if applicable.  </w:t>
      </w:r>
    </w:p>
    <w:p w14:paraId="22CD5E96" w14:textId="77777777" w:rsidR="00653AAC" w:rsidRPr="00671F75" w:rsidRDefault="00653AAC" w:rsidP="00653AAC">
      <w:pPr>
        <w:pStyle w:val="ListParagraph"/>
        <w:rPr>
          <w:lang w:val="en-GB"/>
        </w:rPr>
      </w:pPr>
    </w:p>
    <w:p w14:paraId="01D0292C" w14:textId="21DA2C0F" w:rsidR="00581765" w:rsidRPr="00671F75" w:rsidRDefault="004F52D6" w:rsidP="00DC27C3">
      <w:pPr>
        <w:rPr>
          <w:lang w:val="en-GB"/>
        </w:rPr>
      </w:pPr>
      <w:r w:rsidRPr="00671F75">
        <w:rPr>
          <w:lang w:val="en-GB"/>
        </w:rPr>
        <w:t xml:space="preserve">As in the case of the TC today, the outcome of the Consultative Council’s work regarding medicinal products was its Position. The latter classified or not a given healthcare service (drug) as guaranteed or financed from public funds together with a proposal regarding the mechanism and level of reimbursement. </w:t>
      </w:r>
      <w:r w:rsidR="002E3D87" w:rsidRPr="00671F75">
        <w:rPr>
          <w:lang w:val="en-GB"/>
        </w:rPr>
        <w:t>An</w:t>
      </w:r>
      <w:r w:rsidR="002243A6" w:rsidRPr="00671F75">
        <w:rPr>
          <w:lang w:val="en-GB"/>
        </w:rPr>
        <w:t xml:space="preserve"> important difference between CC and TC </w:t>
      </w:r>
      <w:r w:rsidR="00C552D4" w:rsidRPr="00671F75">
        <w:rPr>
          <w:lang w:val="en-GB"/>
        </w:rPr>
        <w:t xml:space="preserve">positions </w:t>
      </w:r>
      <w:r w:rsidR="002243A6" w:rsidRPr="00671F75">
        <w:rPr>
          <w:lang w:val="en-GB"/>
        </w:rPr>
        <w:t xml:space="preserve">is that previously CC positions were considered </w:t>
      </w:r>
      <w:r w:rsidR="00C552D4" w:rsidRPr="00671F75">
        <w:rPr>
          <w:lang w:val="en-GB"/>
        </w:rPr>
        <w:t xml:space="preserve">as </w:t>
      </w:r>
      <w:r w:rsidR="002243A6" w:rsidRPr="00671F75">
        <w:rPr>
          <w:lang w:val="en-GB"/>
        </w:rPr>
        <w:t>final AOTM recommendations while currently this rol</w:t>
      </w:r>
      <w:r w:rsidR="00C552D4" w:rsidRPr="00671F75">
        <w:rPr>
          <w:lang w:val="en-GB"/>
        </w:rPr>
        <w:t>e plays recommendation issued</w:t>
      </w:r>
      <w:r w:rsidR="002243A6" w:rsidRPr="00671F75">
        <w:rPr>
          <w:lang w:val="en-GB"/>
        </w:rPr>
        <w:t xml:space="preserve"> by </w:t>
      </w:r>
      <w:proofErr w:type="spellStart"/>
      <w:r w:rsidR="002243A6" w:rsidRPr="00671F75">
        <w:rPr>
          <w:lang w:val="en-GB"/>
        </w:rPr>
        <w:t>AOTMiT</w:t>
      </w:r>
      <w:proofErr w:type="spellEnd"/>
      <w:r w:rsidR="002243A6" w:rsidRPr="00671F75">
        <w:rPr>
          <w:lang w:val="en-GB"/>
        </w:rPr>
        <w:t xml:space="preserve"> President who takes into account TC position.  </w:t>
      </w:r>
    </w:p>
    <w:p w14:paraId="2AECDC03" w14:textId="6C07C9A8" w:rsidR="004F52D6" w:rsidRDefault="00DC27C3" w:rsidP="00DC27C3">
      <w:pPr>
        <w:rPr>
          <w:lang w:val="en-GB"/>
        </w:rPr>
      </w:pPr>
      <w:r w:rsidRPr="00671F75">
        <w:rPr>
          <w:lang w:val="en-GB"/>
        </w:rPr>
        <w:t xml:space="preserve">With the entrance of the Reimbursement Law, the TC received additional task such as issuing opinions regarding group limits, the withdrawal of reimbursement decisions and </w:t>
      </w:r>
      <w:r w:rsidR="006F412C" w:rsidRPr="00671F75">
        <w:rPr>
          <w:lang w:val="en-US"/>
        </w:rPr>
        <w:t xml:space="preserve">issuing opinions regarding </w:t>
      </w:r>
      <w:r w:rsidR="006F412C" w:rsidRPr="00671F75">
        <w:rPr>
          <w:lang w:val="en-GB"/>
        </w:rPr>
        <w:t>the reimbursement in</w:t>
      </w:r>
      <w:r w:rsidR="006F412C" w:rsidRPr="00671F75">
        <w:rPr>
          <w:lang w:val="en-US"/>
        </w:rPr>
        <w:t xml:space="preserve"> </w:t>
      </w:r>
      <w:r w:rsidRPr="00671F75">
        <w:rPr>
          <w:lang w:val="en-GB"/>
        </w:rPr>
        <w:t>off-label use.</w:t>
      </w:r>
    </w:p>
    <w:p w14:paraId="5BC12359" w14:textId="77777777" w:rsidR="00754568" w:rsidRDefault="00754568" w:rsidP="004F52D6">
      <w:pPr>
        <w:rPr>
          <w:lang w:val="en-GB"/>
        </w:rPr>
      </w:pPr>
    </w:p>
    <w:p w14:paraId="1B75F962" w14:textId="77777777" w:rsidR="00754568" w:rsidRDefault="00754568" w:rsidP="004F52D6">
      <w:pPr>
        <w:rPr>
          <w:lang w:val="en-GB"/>
        </w:rPr>
      </w:pPr>
    </w:p>
    <w:p w14:paraId="17ECD53C" w14:textId="77777777" w:rsidR="00A1501F" w:rsidRDefault="00A1501F" w:rsidP="004F52D6">
      <w:pPr>
        <w:rPr>
          <w:lang w:val="en-US"/>
        </w:rPr>
      </w:pPr>
    </w:p>
    <w:p w14:paraId="73BD0DD9" w14:textId="77777777" w:rsidR="00A1501F" w:rsidRDefault="00A1501F" w:rsidP="004F52D6">
      <w:pPr>
        <w:rPr>
          <w:lang w:val="en-US"/>
        </w:rPr>
      </w:pPr>
    </w:p>
    <w:p w14:paraId="36C940BC" w14:textId="77777777" w:rsidR="00A1501F" w:rsidRDefault="00A1501F" w:rsidP="004F52D6">
      <w:pPr>
        <w:rPr>
          <w:lang w:val="en-US"/>
        </w:rPr>
      </w:pPr>
    </w:p>
    <w:p w14:paraId="61C52C5C" w14:textId="77777777" w:rsidR="00A1501F" w:rsidRDefault="00A1501F" w:rsidP="004F52D6">
      <w:pPr>
        <w:rPr>
          <w:lang w:val="en-US"/>
        </w:rPr>
      </w:pPr>
    </w:p>
    <w:sectPr w:rsidR="00A15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17"/>
    <w:multiLevelType w:val="hybridMultilevel"/>
    <w:tmpl w:val="C262D824"/>
    <w:lvl w:ilvl="0" w:tplc="DF9011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0EE5"/>
    <w:multiLevelType w:val="hybridMultilevel"/>
    <w:tmpl w:val="2A7E8E5E"/>
    <w:lvl w:ilvl="0" w:tplc="BCBE39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F5AAB"/>
    <w:multiLevelType w:val="hybridMultilevel"/>
    <w:tmpl w:val="E4D8E98C"/>
    <w:lvl w:ilvl="0" w:tplc="DF901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2DC2"/>
    <w:multiLevelType w:val="hybridMultilevel"/>
    <w:tmpl w:val="F9D05828"/>
    <w:lvl w:ilvl="0" w:tplc="3F04F9A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4" w15:restartNumberingAfterBreak="0">
    <w:nsid w:val="5AFF41D6"/>
    <w:multiLevelType w:val="hybridMultilevel"/>
    <w:tmpl w:val="95625DD8"/>
    <w:lvl w:ilvl="0" w:tplc="A7086E62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9D9"/>
    <w:multiLevelType w:val="hybridMultilevel"/>
    <w:tmpl w:val="E8FCAEE8"/>
    <w:lvl w:ilvl="0" w:tplc="A7086E62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62A9"/>
    <w:multiLevelType w:val="hybridMultilevel"/>
    <w:tmpl w:val="D12AECB0"/>
    <w:lvl w:ilvl="0" w:tplc="DF901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32CDC"/>
    <w:multiLevelType w:val="hybridMultilevel"/>
    <w:tmpl w:val="55EA861A"/>
    <w:lvl w:ilvl="0" w:tplc="A7086E62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E2"/>
    <w:rsid w:val="0000007E"/>
    <w:rsid w:val="000543EA"/>
    <w:rsid w:val="00122D56"/>
    <w:rsid w:val="001327D0"/>
    <w:rsid w:val="00153F8C"/>
    <w:rsid w:val="002243A6"/>
    <w:rsid w:val="002310C3"/>
    <w:rsid w:val="002743B3"/>
    <w:rsid w:val="002D5981"/>
    <w:rsid w:val="002E3D87"/>
    <w:rsid w:val="002E7AC6"/>
    <w:rsid w:val="00312515"/>
    <w:rsid w:val="0033678E"/>
    <w:rsid w:val="00341D2B"/>
    <w:rsid w:val="00355A90"/>
    <w:rsid w:val="00364F85"/>
    <w:rsid w:val="00413CAE"/>
    <w:rsid w:val="00416362"/>
    <w:rsid w:val="00462AA6"/>
    <w:rsid w:val="00464323"/>
    <w:rsid w:val="004B3DB7"/>
    <w:rsid w:val="004C071E"/>
    <w:rsid w:val="004C1378"/>
    <w:rsid w:val="004F52D6"/>
    <w:rsid w:val="004F5A1D"/>
    <w:rsid w:val="005217FC"/>
    <w:rsid w:val="00581765"/>
    <w:rsid w:val="005A442F"/>
    <w:rsid w:val="00653AAC"/>
    <w:rsid w:val="00671F75"/>
    <w:rsid w:val="006F412C"/>
    <w:rsid w:val="00754568"/>
    <w:rsid w:val="00756358"/>
    <w:rsid w:val="00826678"/>
    <w:rsid w:val="008511D0"/>
    <w:rsid w:val="009040EF"/>
    <w:rsid w:val="00943058"/>
    <w:rsid w:val="00997B42"/>
    <w:rsid w:val="00A1501F"/>
    <w:rsid w:val="00A16A9E"/>
    <w:rsid w:val="00A766A1"/>
    <w:rsid w:val="00C0438F"/>
    <w:rsid w:val="00C4657D"/>
    <w:rsid w:val="00C552D4"/>
    <w:rsid w:val="00CA234C"/>
    <w:rsid w:val="00CA50EC"/>
    <w:rsid w:val="00CE177A"/>
    <w:rsid w:val="00D12418"/>
    <w:rsid w:val="00D23124"/>
    <w:rsid w:val="00DC27C3"/>
    <w:rsid w:val="00DD0B05"/>
    <w:rsid w:val="00E20EE2"/>
    <w:rsid w:val="00E91C99"/>
    <w:rsid w:val="00E959C7"/>
    <w:rsid w:val="00EF4E5E"/>
    <w:rsid w:val="00F470E2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5DBC"/>
  <w15:chartTrackingRefBased/>
  <w15:docId w15:val="{29633B01-02E5-41EE-83B9-230B80F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2D6"/>
    <w:pPr>
      <w:ind w:left="720"/>
      <w:contextualSpacing/>
    </w:pPr>
  </w:style>
  <w:style w:type="character" w:customStyle="1" w:styleId="st">
    <w:name w:val="st"/>
    <w:basedOn w:val="DefaultParagraphFont"/>
    <w:rsid w:val="004F52D6"/>
  </w:style>
  <w:style w:type="character" w:styleId="CommentReference">
    <w:name w:val="annotation reference"/>
    <w:basedOn w:val="DefaultParagraphFont"/>
    <w:uiPriority w:val="99"/>
    <w:semiHidden/>
    <w:unhideWhenUsed/>
    <w:rsid w:val="004F5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2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D6"/>
    <w:rPr>
      <w:rFonts w:ascii="Segoe UI" w:hAnsi="Segoe UI" w:cs="Segoe UI"/>
      <w:sz w:val="18"/>
      <w:szCs w:val="18"/>
    </w:rPr>
  </w:style>
  <w:style w:type="paragraph" w:customStyle="1" w:styleId="divpoint">
    <w:name w:val="div.point"/>
    <w:uiPriority w:val="99"/>
    <w:rsid w:val="0075456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3367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7C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64F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364F85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Lipska</dc:creator>
  <cp:keywords/>
  <dc:description/>
  <cp:lastModifiedBy>Tracy Candelaria</cp:lastModifiedBy>
  <cp:revision>2</cp:revision>
  <dcterms:created xsi:type="dcterms:W3CDTF">2017-05-16T17:22:00Z</dcterms:created>
  <dcterms:modified xsi:type="dcterms:W3CDTF">2017-05-16T17:22:00Z</dcterms:modified>
</cp:coreProperties>
</file>