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4F" w:rsidRPr="0034704F" w:rsidRDefault="0034704F" w:rsidP="0034704F">
      <w:pPr>
        <w:rPr>
          <w:b/>
        </w:rPr>
      </w:pPr>
      <w:r w:rsidRPr="0034704F">
        <w:rPr>
          <w:b/>
        </w:rPr>
        <w:t>Supplementary Table 1: search terms for Cochrane Library.</w:t>
      </w:r>
      <w:bookmarkStart w:id="0" w:name="_GoBack"/>
      <w:bookmarkEnd w:id="0"/>
    </w:p>
    <w:tbl>
      <w:tblPr>
        <w:tblStyle w:val="TableGrid1"/>
        <w:tblW w:w="8926" w:type="dxa"/>
        <w:tblLayout w:type="fixed"/>
        <w:tblLook w:val="04A0" w:firstRow="1" w:lastRow="0" w:firstColumn="1" w:lastColumn="0" w:noHBand="0" w:noVBand="1"/>
      </w:tblPr>
      <w:tblGrid>
        <w:gridCol w:w="987"/>
        <w:gridCol w:w="7939"/>
      </w:tblGrid>
      <w:tr w:rsidR="00C82D39" w:rsidRPr="00E638CF" w:rsidTr="001E7AF2">
        <w:trPr>
          <w:trHeight w:val="296"/>
        </w:trPr>
        <w:tc>
          <w:tcPr>
            <w:tcW w:w="553" w:type="pct"/>
            <w:shd w:val="clear" w:color="auto" w:fill="auto"/>
          </w:tcPr>
          <w:p w:rsidR="00C82D39" w:rsidRPr="00E638CF" w:rsidRDefault="00C82D39" w:rsidP="001E7AF2">
            <w:pPr>
              <w:spacing w:line="48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E638CF">
              <w:rPr>
                <w:rFonts w:ascii="Tahoma" w:hAnsi="Tahoma" w:cs="Tahoma"/>
                <w:b/>
                <w:sz w:val="18"/>
                <w:szCs w:val="20"/>
              </w:rPr>
              <w:t>Search number</w:t>
            </w:r>
          </w:p>
        </w:tc>
        <w:tc>
          <w:tcPr>
            <w:tcW w:w="4447" w:type="pct"/>
            <w:shd w:val="clear" w:color="auto" w:fill="auto"/>
          </w:tcPr>
          <w:p w:rsidR="00C82D39" w:rsidRPr="00E638CF" w:rsidRDefault="00C82D39" w:rsidP="001E7AF2">
            <w:pPr>
              <w:spacing w:line="48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E638CF">
              <w:rPr>
                <w:rFonts w:ascii="Tahoma" w:hAnsi="Tahoma" w:cs="Tahoma"/>
                <w:b/>
                <w:sz w:val="18"/>
                <w:szCs w:val="20"/>
              </w:rPr>
              <w:t>Search terms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1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>disinvest* or dis-invest* or decommission* or de-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commiss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delist* or de-list*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reallocat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>*   or re-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allocat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>* or redeploy* or re-deploy*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desinvertir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desinversion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des-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invertir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des-inversion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decomisionar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reasignacion</w:t>
            </w:r>
            <w:proofErr w:type="spellEnd"/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3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 xml:space="preserve">(obsolete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obsolescen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supersed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outmoded or outdated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ineffect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>* or "no longer effective"</w:t>
            </w:r>
            <w:r>
              <w:rPr>
                <w:rFonts w:ascii="Tahoma" w:hAnsi="Tahoma" w:cs="Tahoma"/>
                <w:sz w:val="18"/>
                <w:szCs w:val="20"/>
              </w:rPr>
              <w:t xml:space="preserve"> or “less effective”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) NEAR/3 (drug or drugs or medicine*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technolog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biotechnolog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device* or treatment* or procedure* or practice*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practis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>* or service* or healthcare or "health care")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4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>(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obsoleto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obsoleta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obsolescen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"no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efectivo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" or “no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efectiva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” or “no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efectivos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” or “no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efectivas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>”</w:t>
            </w:r>
            <w:r>
              <w:rPr>
                <w:rFonts w:ascii="Tahoma" w:hAnsi="Tahoma" w:cs="Tahoma"/>
                <w:sz w:val="18"/>
                <w:szCs w:val="20"/>
              </w:rPr>
              <w:t xml:space="preserve"> or “</w:t>
            </w:r>
            <w:proofErr w:type="spellStart"/>
            <w:r>
              <w:rPr>
                <w:rFonts w:ascii="Tahoma" w:hAnsi="Tahoma" w:cs="Tahoma"/>
                <w:sz w:val="18"/>
                <w:szCs w:val="20"/>
              </w:rPr>
              <w:t>menos</w:t>
            </w:r>
            <w:proofErr w:type="spellEnd"/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20"/>
              </w:rPr>
              <w:t>efectivas</w:t>
            </w:r>
            <w:proofErr w:type="spellEnd"/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>) NEAR/10 (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medicamento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droga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producto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tecnologi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biotecnologi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*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aparato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tratamiento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procedimiento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practica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servicio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sanidad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sanitario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salud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>)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5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 xml:space="preserve">“Programme budgeting” or “Program budgeting” or “Multi-criteria decision” or “Decision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multicriterio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>”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6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>PBMA or MCDA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7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>"Accountability for reasonableness" or A4R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8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>#1 OR #2 OR #3 OR #4 OR #5 OR #6 OR #7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t>9</w:t>
            </w:r>
          </w:p>
        </w:tc>
        <w:tc>
          <w:tcPr>
            <w:tcW w:w="4447" w:type="pct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Latin America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Latin American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South America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South America</w:t>
            </w:r>
            <w:r>
              <w:rPr>
                <w:rFonts w:ascii="Tahoma" w:hAnsi="Tahoma" w:cs="Tahoma"/>
                <w:sz w:val="18"/>
                <w:szCs w:val="20"/>
              </w:rPr>
              <w:t>n”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Central America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Central American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Caribbean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America Latina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Sudamerica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America del Sur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America Central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Caribe or Brazil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Brasil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Mexico or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Mejico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or Colombia or Argentina or Peru or Venezuela or Chile or Guatemala or Ecuador or Cuba or Haiti or Bolivia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Dominican Republic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Republica</w:t>
            </w:r>
            <w:proofErr w:type="spellEnd"/>
            <w:r w:rsidRPr="007B69BE">
              <w:rPr>
                <w:rFonts w:ascii="Tahoma" w:hAnsi="Tahoma" w:cs="Tahoma"/>
                <w:sz w:val="18"/>
                <w:szCs w:val="20"/>
              </w:rPr>
              <w:t xml:space="preserve">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Dominicana</w:t>
            </w:r>
            <w:proofErr w:type="spellEnd"/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Honduras or Paraguay or Nicaragua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El Salvador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Costa Rica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Panama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Puerto Rico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Uruguay or Guadeloupe or Martinique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French Guiana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>Saint Martin</w:t>
            </w:r>
            <w:r>
              <w:rPr>
                <w:rFonts w:ascii="Tahoma" w:hAnsi="Tahoma" w:cs="Tahoma"/>
                <w:sz w:val="18"/>
                <w:szCs w:val="20"/>
              </w:rPr>
              <w:t>”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 or </w:t>
            </w:r>
            <w:r>
              <w:rPr>
                <w:rFonts w:ascii="Tahoma" w:hAnsi="Tahoma" w:cs="Tahoma"/>
                <w:sz w:val="18"/>
                <w:szCs w:val="20"/>
              </w:rPr>
              <w:t>“</w:t>
            </w:r>
            <w:r w:rsidRPr="007B69BE">
              <w:rPr>
                <w:rFonts w:ascii="Tahoma" w:hAnsi="Tahoma" w:cs="Tahoma"/>
                <w:sz w:val="18"/>
                <w:szCs w:val="20"/>
              </w:rPr>
              <w:t xml:space="preserve">Saint </w:t>
            </w:r>
            <w:proofErr w:type="spellStart"/>
            <w:r w:rsidRPr="007B69BE">
              <w:rPr>
                <w:rFonts w:ascii="Tahoma" w:hAnsi="Tahoma" w:cs="Tahoma"/>
                <w:sz w:val="18"/>
                <w:szCs w:val="20"/>
              </w:rPr>
              <w:t>Barthelemy</w:t>
            </w:r>
            <w:proofErr w:type="spellEnd"/>
            <w:r>
              <w:rPr>
                <w:rFonts w:ascii="Tahoma" w:hAnsi="Tahoma" w:cs="Tahoma"/>
                <w:sz w:val="18"/>
                <w:szCs w:val="20"/>
              </w:rPr>
              <w:t>”</w:t>
            </w:r>
          </w:p>
        </w:tc>
      </w:tr>
      <w:tr w:rsidR="00C82D39" w:rsidRPr="007B69BE" w:rsidTr="001E7AF2">
        <w:trPr>
          <w:trHeight w:val="241"/>
        </w:trPr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color w:val="000000"/>
                <w:sz w:val="18"/>
                <w:szCs w:val="20"/>
              </w:rPr>
              <w:lastRenderedPageBreak/>
              <w:t>10</w:t>
            </w:r>
          </w:p>
        </w:tc>
        <w:tc>
          <w:tcPr>
            <w:tcW w:w="4447" w:type="pct"/>
            <w:tcBorders>
              <w:bottom w:val="single" w:sz="4" w:space="0" w:color="auto"/>
            </w:tcBorders>
          </w:tcPr>
          <w:p w:rsidR="00C82D39" w:rsidRPr="007B69BE" w:rsidRDefault="00C82D39" w:rsidP="001E7AF2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  <w:r w:rsidRPr="007B69BE">
              <w:rPr>
                <w:rFonts w:ascii="Tahoma" w:hAnsi="Tahoma" w:cs="Tahoma"/>
                <w:sz w:val="18"/>
                <w:szCs w:val="20"/>
              </w:rPr>
              <w:t>#8 AND #9</w:t>
            </w:r>
          </w:p>
        </w:tc>
      </w:tr>
      <w:tr w:rsidR="00C82D39" w:rsidRPr="00E638CF" w:rsidTr="001E7AF2">
        <w:trPr>
          <w:trHeight w:val="241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D39" w:rsidRPr="00E638CF" w:rsidRDefault="00C82D39" w:rsidP="001E7AF2">
            <w:pPr>
              <w:spacing w:line="480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:rsidR="000A7B90" w:rsidRPr="00C82D39" w:rsidRDefault="0034704F" w:rsidP="00C82D39"/>
    <w:sectPr w:rsidR="000A7B90" w:rsidRPr="00C82D3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E0"/>
    <w:rsid w:val="00153715"/>
    <w:rsid w:val="001A675D"/>
    <w:rsid w:val="001B00F3"/>
    <w:rsid w:val="001C30BE"/>
    <w:rsid w:val="00214D68"/>
    <w:rsid w:val="002244D8"/>
    <w:rsid w:val="002F1CCC"/>
    <w:rsid w:val="00311804"/>
    <w:rsid w:val="0034704F"/>
    <w:rsid w:val="003F4824"/>
    <w:rsid w:val="00415A64"/>
    <w:rsid w:val="004305CF"/>
    <w:rsid w:val="00483CEC"/>
    <w:rsid w:val="00491BD9"/>
    <w:rsid w:val="004B614A"/>
    <w:rsid w:val="0050682A"/>
    <w:rsid w:val="0052317E"/>
    <w:rsid w:val="005233EE"/>
    <w:rsid w:val="00557F5C"/>
    <w:rsid w:val="00573FC1"/>
    <w:rsid w:val="005831E0"/>
    <w:rsid w:val="005C43C3"/>
    <w:rsid w:val="005C75C5"/>
    <w:rsid w:val="005F1F37"/>
    <w:rsid w:val="00651310"/>
    <w:rsid w:val="00655AA7"/>
    <w:rsid w:val="006771E4"/>
    <w:rsid w:val="007135F5"/>
    <w:rsid w:val="00723D8C"/>
    <w:rsid w:val="007514B4"/>
    <w:rsid w:val="00782C18"/>
    <w:rsid w:val="00785E67"/>
    <w:rsid w:val="007C5A65"/>
    <w:rsid w:val="007C5E56"/>
    <w:rsid w:val="00805806"/>
    <w:rsid w:val="00813D23"/>
    <w:rsid w:val="00814CBA"/>
    <w:rsid w:val="0083763E"/>
    <w:rsid w:val="008638BE"/>
    <w:rsid w:val="008959A0"/>
    <w:rsid w:val="008A1E69"/>
    <w:rsid w:val="008C298B"/>
    <w:rsid w:val="00927B3D"/>
    <w:rsid w:val="009B7889"/>
    <w:rsid w:val="009E3B56"/>
    <w:rsid w:val="009F0251"/>
    <w:rsid w:val="00A00495"/>
    <w:rsid w:val="00A15749"/>
    <w:rsid w:val="00A810A0"/>
    <w:rsid w:val="00A87C9D"/>
    <w:rsid w:val="00A92C41"/>
    <w:rsid w:val="00A96A08"/>
    <w:rsid w:val="00AB1BCA"/>
    <w:rsid w:val="00B01E5A"/>
    <w:rsid w:val="00B7359D"/>
    <w:rsid w:val="00B85DE0"/>
    <w:rsid w:val="00B9345D"/>
    <w:rsid w:val="00BE2733"/>
    <w:rsid w:val="00BE4D7D"/>
    <w:rsid w:val="00C00D75"/>
    <w:rsid w:val="00C23A01"/>
    <w:rsid w:val="00C82D39"/>
    <w:rsid w:val="00CD7B0F"/>
    <w:rsid w:val="00DD47FB"/>
    <w:rsid w:val="00F4144E"/>
    <w:rsid w:val="00F432D7"/>
    <w:rsid w:val="00F53E5C"/>
    <w:rsid w:val="00F853AF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E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1E0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831E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82D39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E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1E0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831E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82D39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Amgen Inc.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Agirrezabal, Ion</dc:creator>
  <cp:lastModifiedBy>Agirrezabal, Ion</cp:lastModifiedBy>
  <cp:revision>6</cp:revision>
  <dcterms:created xsi:type="dcterms:W3CDTF">2017-04-07T15:06:00Z</dcterms:created>
  <dcterms:modified xsi:type="dcterms:W3CDTF">2017-04-10T07:34:00Z</dcterms:modified>
</cp:coreProperties>
</file>