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215DE7" w:rsidRPr="00215DE7" w:rsidTr="00215DE7">
        <w:tc>
          <w:tcPr>
            <w:tcW w:w="4788" w:type="dxa"/>
            <w:shd w:val="clear" w:color="auto" w:fill="auto"/>
          </w:tcPr>
          <w:p w:rsidR="00215DE7" w:rsidRPr="00753320" w:rsidRDefault="00215DE7" w:rsidP="00215DE7">
            <w:pPr>
              <w:spacing w:line="276" w:lineRule="auto"/>
              <w:rPr>
                <w:rFonts w:ascii="Times" w:eastAsia="Calibri" w:hAnsi="Times"/>
                <w:b/>
                <w:u w:val="single"/>
                <w:lang w:val="en-US"/>
              </w:rPr>
            </w:pPr>
            <w:r w:rsidRPr="00753320">
              <w:rPr>
                <w:rFonts w:ascii="Times" w:eastAsia="Calibri" w:hAnsi="Times"/>
                <w:b/>
                <w:u w:val="single"/>
                <w:lang w:val="en-US"/>
              </w:rPr>
              <w:t>Strengths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- evaluation of a real life population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- conducted in an almost fully computerized hospital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- built this new study on the experience of the previous one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- we have updated both indicators and benchmark according to the new evidences in literature</w:t>
            </w:r>
          </w:p>
        </w:tc>
        <w:tc>
          <w:tcPr>
            <w:tcW w:w="4788" w:type="dxa"/>
            <w:shd w:val="clear" w:color="auto" w:fill="auto"/>
          </w:tcPr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753320">
              <w:rPr>
                <w:rFonts w:ascii="Times" w:eastAsia="Calibri" w:hAnsi="Times"/>
                <w:b/>
                <w:u w:val="single"/>
                <w:lang w:val="en-US"/>
              </w:rPr>
              <w:t>Weaknesses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- retrospective review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- single-</w:t>
            </w:r>
            <w:proofErr w:type="spellStart"/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center</w:t>
            </w:r>
            <w:proofErr w:type="spellEnd"/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 xml:space="preserve"> study 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- limited sample size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 xml:space="preserve">- some robust indicators of the quality of care, such as </w:t>
            </w:r>
            <w:proofErr w:type="spellStart"/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perioperative</w:t>
            </w:r>
            <w:proofErr w:type="spellEnd"/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 xml:space="preserve"> mortality, postoperative length of stay, or the proportion of surgical patients with stage II–III NSCLC who were administered adjuvant chemotherapy, are lacking;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- absence of patient’s perceived quality of care and of pre-hospital evaluation</w:t>
            </w:r>
          </w:p>
        </w:tc>
      </w:tr>
      <w:tr w:rsidR="00215DE7" w:rsidRPr="00215DE7" w:rsidTr="00215DE7">
        <w:tc>
          <w:tcPr>
            <w:tcW w:w="4788" w:type="dxa"/>
            <w:shd w:val="clear" w:color="auto" w:fill="auto"/>
          </w:tcPr>
          <w:p w:rsidR="00215DE7" w:rsidRPr="00753320" w:rsidRDefault="00215DE7" w:rsidP="00215DE7">
            <w:pPr>
              <w:spacing w:line="276" w:lineRule="auto"/>
              <w:rPr>
                <w:rFonts w:ascii="Times" w:eastAsia="Calibri" w:hAnsi="Times"/>
                <w:b/>
                <w:u w:val="single"/>
                <w:lang w:val="en-US"/>
              </w:rPr>
            </w:pPr>
            <w:r w:rsidRPr="00753320">
              <w:rPr>
                <w:rFonts w:ascii="Times" w:eastAsia="Calibri" w:hAnsi="Times"/>
                <w:b/>
                <w:u w:val="single"/>
                <w:lang w:val="en-US"/>
              </w:rPr>
              <w:t>Opportunities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- provide evidence for the introduction of highly qualified diagnostic instruments for the chest physician (i.e. EBUS)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 xml:space="preserve">- provide evidence for the need of the presence of the pathologists during the </w:t>
            </w:r>
            <w:proofErr w:type="spellStart"/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bronchoscopy</w:t>
            </w:r>
            <w:proofErr w:type="spellEnd"/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 xml:space="preserve"> procedure for extemporary diagnosis or for a training ad hoc for the chest physician for a first evaluation of the adequacy of the biopsy sample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- provide evidence for the need of an increase in the thoracic surgery session in order to reduce delays in management and treatment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- future multicentre studies</w:t>
            </w:r>
          </w:p>
        </w:tc>
        <w:tc>
          <w:tcPr>
            <w:tcW w:w="4788" w:type="dxa"/>
            <w:shd w:val="clear" w:color="auto" w:fill="auto"/>
          </w:tcPr>
          <w:p w:rsidR="00215DE7" w:rsidRPr="00753320" w:rsidRDefault="00215DE7" w:rsidP="00215DE7">
            <w:pPr>
              <w:spacing w:line="276" w:lineRule="auto"/>
              <w:rPr>
                <w:rFonts w:ascii="Times" w:eastAsia="Calibri" w:hAnsi="Times"/>
                <w:b/>
                <w:u w:val="single"/>
                <w:lang w:val="en-US"/>
              </w:rPr>
            </w:pPr>
            <w:r w:rsidRPr="00753320">
              <w:rPr>
                <w:rFonts w:ascii="Times" w:eastAsia="Calibri" w:hAnsi="Times"/>
                <w:b/>
                <w:u w:val="single"/>
                <w:lang w:val="en-US"/>
              </w:rPr>
              <w:t>Threats</w:t>
            </w:r>
          </w:p>
          <w:p w:rsidR="00215DE7" w:rsidRPr="00481B8B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 w:cs="Times"/>
                <w:lang w:val="en-GB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- transferability of the results</w:t>
            </w:r>
          </w:p>
          <w:p w:rsidR="00215DE7" w:rsidRPr="00753320" w:rsidRDefault="00215DE7" w:rsidP="00215DE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" w:eastAsia="Calibri" w:hAnsi="Times"/>
                <w:lang w:val="en-US"/>
              </w:rPr>
            </w:pPr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 xml:space="preserve">- transferability of the </w:t>
            </w:r>
            <w:proofErr w:type="spellStart"/>
            <w:r w:rsidRPr="00481B8B">
              <w:rPr>
                <w:rFonts w:ascii="Times" w:eastAsia="Calibri" w:hAnsi="Times" w:cs="Times"/>
                <w:sz w:val="22"/>
                <w:szCs w:val="22"/>
                <w:lang w:val="en-GB"/>
              </w:rPr>
              <w:t>methodic</w:t>
            </w:r>
            <w:proofErr w:type="spellEnd"/>
          </w:p>
        </w:tc>
      </w:tr>
    </w:tbl>
    <w:p w:rsidR="00215DE7" w:rsidRPr="00753320" w:rsidRDefault="00215DE7" w:rsidP="00215DE7">
      <w:pPr>
        <w:rPr>
          <w:rFonts w:ascii="Times" w:hAnsi="Times"/>
          <w:b/>
          <w:sz w:val="22"/>
          <w:szCs w:val="22"/>
        </w:rPr>
      </w:pPr>
      <w:r w:rsidRPr="00254019">
        <w:rPr>
          <w:rFonts w:ascii="Times" w:hAnsi="Times"/>
          <w:b/>
          <w:sz w:val="22"/>
          <w:szCs w:val="22"/>
          <w:lang w:val="en-US"/>
        </w:rPr>
        <w:t xml:space="preserve">Table 5. </w:t>
      </w:r>
      <w:r w:rsidRPr="00753320">
        <w:rPr>
          <w:rFonts w:ascii="Times" w:hAnsi="Times"/>
          <w:b/>
          <w:sz w:val="22"/>
          <w:szCs w:val="22"/>
        </w:rPr>
        <w:t xml:space="preserve">SWOT </w:t>
      </w:r>
      <w:proofErr w:type="spellStart"/>
      <w:r w:rsidRPr="00753320">
        <w:rPr>
          <w:rFonts w:ascii="Times" w:hAnsi="Times"/>
          <w:b/>
          <w:sz w:val="22"/>
          <w:szCs w:val="22"/>
        </w:rPr>
        <w:t>analysis</w:t>
      </w:r>
      <w:proofErr w:type="spellEnd"/>
    </w:p>
    <w:p w:rsidR="00297DB1" w:rsidRPr="00215DE7" w:rsidRDefault="00297DB1">
      <w:pPr>
        <w:rPr>
          <w:lang w:val="en-US"/>
        </w:rPr>
      </w:pPr>
    </w:p>
    <w:sectPr w:rsidR="00297DB1" w:rsidRPr="00215DE7" w:rsidSect="00297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15DE7"/>
    <w:rsid w:val="00215DE7"/>
    <w:rsid w:val="0029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DE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1</cp:revision>
  <dcterms:created xsi:type="dcterms:W3CDTF">2017-08-24T20:32:00Z</dcterms:created>
  <dcterms:modified xsi:type="dcterms:W3CDTF">2017-08-24T20:33:00Z</dcterms:modified>
</cp:coreProperties>
</file>