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550" w:rsidRPr="00BB0C07" w:rsidRDefault="00785550" w:rsidP="00521BD6">
      <w:pPr>
        <w:spacing w:after="0"/>
        <w:ind w:right="-24"/>
        <w:jc w:val="center"/>
        <w:rPr>
          <w:rFonts w:ascii="Times New Roman" w:hAnsi="Times New Roman" w:cs="Times New Roman"/>
          <w:b/>
          <w:sz w:val="32"/>
          <w:szCs w:val="24"/>
          <w:lang w:val="en-US"/>
        </w:rPr>
      </w:pPr>
      <w:r w:rsidRPr="00BB0C07">
        <w:rPr>
          <w:rFonts w:ascii="Times New Roman" w:hAnsi="Times New Roman" w:cs="Times New Roman"/>
          <w:b/>
          <w:sz w:val="32"/>
          <w:szCs w:val="24"/>
          <w:lang w:val="en-US"/>
        </w:rPr>
        <w:t>Supplementary material</w:t>
      </w:r>
    </w:p>
    <w:p w:rsidR="00CA5347" w:rsidRPr="00BB0C07" w:rsidRDefault="00CA5347" w:rsidP="00441C00">
      <w:pPr>
        <w:spacing w:after="0"/>
        <w:ind w:left="851" w:right="850"/>
        <w:rPr>
          <w:rFonts w:ascii="Times New Roman" w:hAnsi="Times New Roman" w:cs="Times New Roman"/>
          <w:b/>
          <w:lang w:val="en-US"/>
        </w:rPr>
      </w:pPr>
    </w:p>
    <w:p w:rsidR="00785550" w:rsidRPr="00BB0C07" w:rsidRDefault="00D012F1" w:rsidP="00441C00">
      <w:pPr>
        <w:spacing w:after="0"/>
        <w:ind w:left="1418" w:right="1394"/>
        <w:rPr>
          <w:rFonts w:ascii="Times New Roman" w:hAnsi="Times New Roman" w:cs="Times New Roman"/>
          <w:lang w:val="en-US"/>
        </w:rPr>
      </w:pPr>
      <w:r w:rsidRPr="00BB0C07">
        <w:rPr>
          <w:rFonts w:ascii="Times New Roman" w:hAnsi="Times New Roman" w:cs="Times New Roman"/>
          <w:b/>
          <w:lang w:val="en-US"/>
        </w:rPr>
        <w:t>T</w:t>
      </w:r>
      <w:r w:rsidR="00785550" w:rsidRPr="00BB0C07">
        <w:rPr>
          <w:rFonts w:ascii="Times New Roman" w:hAnsi="Times New Roman" w:cs="Times New Roman"/>
          <w:b/>
          <w:lang w:val="en-US"/>
        </w:rPr>
        <w:t xml:space="preserve">able </w:t>
      </w:r>
      <w:r w:rsidR="00C4492C" w:rsidRPr="00BB0C07">
        <w:rPr>
          <w:rFonts w:ascii="Times New Roman" w:hAnsi="Times New Roman" w:cs="Times New Roman"/>
          <w:b/>
          <w:lang w:val="en-US"/>
        </w:rPr>
        <w:t>1</w:t>
      </w:r>
      <w:r w:rsidR="00785550" w:rsidRPr="00BB0C07">
        <w:rPr>
          <w:rFonts w:ascii="Times New Roman" w:hAnsi="Times New Roman" w:cs="Times New Roman"/>
          <w:b/>
          <w:lang w:val="en-US"/>
        </w:rPr>
        <w:t xml:space="preserve">. </w:t>
      </w:r>
      <w:r w:rsidR="00785550" w:rsidRPr="00BB0C07">
        <w:rPr>
          <w:rFonts w:ascii="Times New Roman" w:hAnsi="Times New Roman" w:cs="Times New Roman"/>
          <w:lang w:val="en-US"/>
        </w:rPr>
        <w:t>Clinical event rates of dabigatran 150 mg and vitamin K antagonists from the RE-LY trial</w:t>
      </w:r>
      <w:r w:rsidR="00F15FE8" w:rsidRPr="00BB0C07">
        <w:rPr>
          <w:rFonts w:ascii="Times New Roman" w:hAnsi="Times New Roman" w:cs="Times New Roman"/>
          <w:lang w:val="en-US"/>
        </w:rPr>
        <w:t xml:space="preserve"> </w:t>
      </w:r>
      <w:r w:rsidR="00455EEF" w:rsidRPr="00BB0C07">
        <w:rPr>
          <w:rFonts w:ascii="Times New Roman" w:hAnsi="Times New Roman" w:cs="Times New Roman"/>
          <w:lang w:val="en-US"/>
        </w:rPr>
        <w:t>(</w:t>
      </w:r>
      <w:r w:rsidR="00F15FE8" w:rsidRPr="00BB0C07">
        <w:rPr>
          <w:rFonts w:ascii="Times New Roman" w:hAnsi="Times New Roman" w:cs="Times New Roman"/>
          <w:lang w:val="en-US"/>
        </w:rPr>
        <w:t>1</w:t>
      </w:r>
      <w:r w:rsidR="00F15FE8" w:rsidRPr="00BB0C07">
        <w:rPr>
          <w:rFonts w:ascii="Times New Roman" w:hAnsi="Times New Roman" w:cs="Times New Roman"/>
          <w:lang w:val="en-US"/>
        </w:rPr>
        <w:sym w:font="Symbol" w:char="F02D"/>
      </w:r>
      <w:r w:rsidR="00F15FE8" w:rsidRPr="00BB0C07">
        <w:rPr>
          <w:rFonts w:ascii="Times New Roman" w:hAnsi="Times New Roman" w:cs="Times New Roman"/>
          <w:lang w:val="en-US"/>
        </w:rPr>
        <w:t>4</w:t>
      </w:r>
      <w:r w:rsidR="00455EEF" w:rsidRPr="00BB0C07">
        <w:rPr>
          <w:rFonts w:ascii="Times New Roman" w:hAnsi="Times New Roman" w:cs="Times New Roman"/>
          <w:lang w:val="en-US"/>
        </w:rPr>
        <w:t>)</w:t>
      </w:r>
      <w:r w:rsidR="00F15FE8" w:rsidRPr="00BB0C07">
        <w:rPr>
          <w:rFonts w:ascii="Times New Roman" w:hAnsi="Times New Roman" w:cs="Times New Roman"/>
          <w:lang w:val="en-US"/>
        </w:rPr>
        <w:t>.</w:t>
      </w:r>
    </w:p>
    <w:p w:rsidR="00F15FE8" w:rsidRPr="00BB0C07" w:rsidRDefault="00F15FE8" w:rsidP="00441C00">
      <w:pPr>
        <w:spacing w:after="0"/>
        <w:ind w:left="1418" w:right="1394"/>
        <w:rPr>
          <w:rFonts w:ascii="Times New Roman" w:hAnsi="Times New Roman" w:cs="Times New Roman"/>
          <w:lang w:val="en-US"/>
        </w:rPr>
      </w:pPr>
    </w:p>
    <w:tbl>
      <w:tblPr>
        <w:tblStyle w:val="Lichtearcering1"/>
        <w:tblW w:w="7378" w:type="dxa"/>
        <w:jc w:val="center"/>
        <w:tblLook w:val="04A0" w:firstRow="1" w:lastRow="0" w:firstColumn="1" w:lastColumn="0" w:noHBand="0" w:noVBand="1"/>
      </w:tblPr>
      <w:tblGrid>
        <w:gridCol w:w="5278"/>
        <w:gridCol w:w="752"/>
        <w:gridCol w:w="752"/>
        <w:gridCol w:w="596"/>
      </w:tblGrid>
      <w:tr w:rsidR="00785550" w:rsidRPr="00BB0C07" w:rsidTr="00550250">
        <w:trPr>
          <w:cnfStyle w:val="100000000000" w:firstRow="1" w:lastRow="0" w:firstColumn="0" w:lastColumn="0" w:oddVBand="0" w:evenVBand="0" w:oddHBand="0"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5278" w:type="dxa"/>
            <w:vMerge w:val="restart"/>
            <w:noWrap/>
            <w:hideMark/>
          </w:tcPr>
          <w:p w:rsidR="00785550" w:rsidRPr="00BB0C07" w:rsidRDefault="00785550" w:rsidP="00441C00">
            <w:pPr>
              <w:rPr>
                <w:rFonts w:ascii="Times New Roman" w:eastAsia="Times New Roman" w:hAnsi="Times New Roman" w:cs="Times New Roman"/>
                <w:color w:val="000000"/>
                <w:sz w:val="20"/>
                <w:szCs w:val="20"/>
                <w:lang w:val="en-US"/>
              </w:rPr>
            </w:pPr>
          </w:p>
        </w:tc>
        <w:tc>
          <w:tcPr>
            <w:tcW w:w="752" w:type="dxa"/>
            <w:noWrap/>
            <w:vAlign w:val="center"/>
            <w:hideMark/>
          </w:tcPr>
          <w:p w:rsidR="00785550" w:rsidRPr="00BB0C07" w:rsidRDefault="00785550" w:rsidP="00441C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rPr>
            </w:pPr>
            <w:proofErr w:type="spellStart"/>
            <w:r w:rsidRPr="00BB0C07">
              <w:rPr>
                <w:rFonts w:ascii="Times New Roman" w:eastAsia="Times New Roman" w:hAnsi="Times New Roman" w:cs="Times New Roman"/>
                <w:bCs w:val="0"/>
                <w:color w:val="000000"/>
                <w:sz w:val="20"/>
                <w:szCs w:val="20"/>
              </w:rPr>
              <w:t>VKAs</w:t>
            </w:r>
            <w:proofErr w:type="spellEnd"/>
          </w:p>
        </w:tc>
        <w:tc>
          <w:tcPr>
            <w:tcW w:w="1348" w:type="dxa"/>
            <w:gridSpan w:val="2"/>
            <w:noWrap/>
            <w:vAlign w:val="center"/>
            <w:hideMark/>
          </w:tcPr>
          <w:p w:rsidR="00785550" w:rsidRPr="00BB0C07" w:rsidRDefault="00785550" w:rsidP="00441C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rPr>
            </w:pPr>
            <w:proofErr w:type="spellStart"/>
            <w:r w:rsidRPr="00BB0C07">
              <w:rPr>
                <w:rFonts w:ascii="Times New Roman" w:eastAsia="Times New Roman" w:hAnsi="Times New Roman" w:cs="Times New Roman"/>
                <w:bCs w:val="0"/>
                <w:color w:val="000000"/>
                <w:sz w:val="20"/>
                <w:szCs w:val="20"/>
              </w:rPr>
              <w:t>Dabigatran</w:t>
            </w:r>
            <w:proofErr w:type="spellEnd"/>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5278" w:type="dxa"/>
            <w:vMerge/>
            <w:noWrap/>
            <w:hideMark/>
          </w:tcPr>
          <w:p w:rsidR="00785550" w:rsidRPr="00BB0C07" w:rsidRDefault="00785550" w:rsidP="00441C00">
            <w:pPr>
              <w:rPr>
                <w:rFonts w:ascii="Times New Roman" w:eastAsia="Times New Roman" w:hAnsi="Times New Roman" w:cs="Times New Roman"/>
                <w:color w:val="000000"/>
                <w:sz w:val="20"/>
                <w:szCs w:val="20"/>
              </w:rPr>
            </w:pPr>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%/y</w:t>
            </w:r>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%/y</w:t>
            </w:r>
          </w:p>
        </w:tc>
        <w:tc>
          <w:tcPr>
            <w:tcW w:w="596"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RR</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rPr>
                <w:rFonts w:ascii="Times New Roman" w:eastAsia="Times New Roman" w:hAnsi="Times New Roman" w:cs="Times New Roman"/>
                <w:color w:val="000000"/>
                <w:sz w:val="20"/>
                <w:szCs w:val="20"/>
              </w:rPr>
            </w:pPr>
            <w:r w:rsidRPr="00BB0C07">
              <w:rPr>
                <w:rFonts w:ascii="Times New Roman" w:eastAsia="Times New Roman" w:hAnsi="Times New Roman" w:cs="Times New Roman"/>
                <w:bCs w:val="0"/>
                <w:color w:val="000000"/>
                <w:sz w:val="20"/>
                <w:szCs w:val="20"/>
              </w:rPr>
              <w:t>Major events</w:t>
            </w:r>
          </w:p>
        </w:tc>
        <w:tc>
          <w:tcPr>
            <w:tcW w:w="752" w:type="dxa"/>
            <w:shd w:val="clear" w:color="auto" w:fill="auto"/>
            <w:noWrap/>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752" w:type="dxa"/>
            <w:shd w:val="clear" w:color="auto" w:fill="auto"/>
            <w:noWrap/>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596" w:type="dxa"/>
            <w:shd w:val="clear" w:color="auto" w:fill="auto"/>
            <w:noWrap/>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noWrap/>
            <w:vAlign w:val="center"/>
            <w:hideMark/>
          </w:tcPr>
          <w:p w:rsidR="00785550" w:rsidRPr="00BB0C07" w:rsidRDefault="00785550" w:rsidP="00441C00">
            <w:pPr>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Stroke</w:t>
            </w:r>
            <w:proofErr w:type="spellEnd"/>
            <w:r w:rsidRPr="00BB0C07">
              <w:rPr>
                <w:rFonts w:ascii="Times New Roman" w:eastAsia="Times New Roman" w:hAnsi="Times New Roman" w:cs="Times New Roman"/>
                <w:b w:val="0"/>
                <w:color w:val="000000"/>
                <w:sz w:val="20"/>
                <w:szCs w:val="20"/>
              </w:rPr>
              <w:t xml:space="preserve"> or </w:t>
            </w:r>
            <w:proofErr w:type="spellStart"/>
            <w:r w:rsidRPr="00BB0C07">
              <w:rPr>
                <w:rFonts w:ascii="Times New Roman" w:eastAsia="Times New Roman" w:hAnsi="Times New Roman" w:cs="Times New Roman"/>
                <w:b w:val="0"/>
                <w:color w:val="000000"/>
                <w:sz w:val="20"/>
                <w:szCs w:val="20"/>
              </w:rPr>
              <w:t>systemic</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embolism</w:t>
            </w:r>
            <w:proofErr w:type="spellEnd"/>
          </w:p>
        </w:tc>
        <w:tc>
          <w:tcPr>
            <w:tcW w:w="752" w:type="dxa"/>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1.71</w:t>
            </w:r>
          </w:p>
        </w:tc>
        <w:tc>
          <w:tcPr>
            <w:tcW w:w="752" w:type="dxa"/>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1.11</w:t>
            </w:r>
          </w:p>
        </w:tc>
        <w:tc>
          <w:tcPr>
            <w:tcW w:w="596" w:type="dxa"/>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0.65</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noWrap/>
            <w:vAlign w:val="center"/>
            <w:hideMark/>
          </w:tcPr>
          <w:p w:rsidR="00785550" w:rsidRPr="00BB0C07" w:rsidRDefault="00785550" w:rsidP="00441C00">
            <w:pPr>
              <w:ind w:left="284"/>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Stroke</w:t>
            </w:r>
            <w:proofErr w:type="spellEnd"/>
          </w:p>
        </w:tc>
        <w:tc>
          <w:tcPr>
            <w:tcW w:w="752" w:type="dxa"/>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1.58</w:t>
            </w:r>
          </w:p>
        </w:tc>
        <w:tc>
          <w:tcPr>
            <w:tcW w:w="752" w:type="dxa"/>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1.01</w:t>
            </w:r>
          </w:p>
        </w:tc>
        <w:tc>
          <w:tcPr>
            <w:tcW w:w="596" w:type="dxa"/>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0.64</w:t>
            </w: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noWrap/>
            <w:vAlign w:val="center"/>
            <w:hideMark/>
          </w:tcPr>
          <w:p w:rsidR="00785550" w:rsidRPr="00BB0C07" w:rsidRDefault="00785550" w:rsidP="00441C00">
            <w:pPr>
              <w:ind w:left="567"/>
              <w:rPr>
                <w:rFonts w:ascii="Times New Roman" w:eastAsia="Times New Roman" w:hAnsi="Times New Roman" w:cs="Times New Roman"/>
                <w:b w:val="0"/>
                <w:color w:val="000000"/>
                <w:sz w:val="20"/>
                <w:szCs w:val="20"/>
              </w:rPr>
            </w:pPr>
            <w:r w:rsidRPr="00BB0C07">
              <w:rPr>
                <w:rFonts w:ascii="Times New Roman" w:eastAsia="Times New Roman" w:hAnsi="Times New Roman" w:cs="Times New Roman"/>
                <w:b w:val="0"/>
                <w:color w:val="000000"/>
                <w:sz w:val="20"/>
                <w:szCs w:val="20"/>
              </w:rPr>
              <w:t>Non-</w:t>
            </w:r>
            <w:proofErr w:type="spellStart"/>
            <w:r w:rsidRPr="00BB0C07">
              <w:rPr>
                <w:rFonts w:ascii="Times New Roman" w:eastAsia="Times New Roman" w:hAnsi="Times New Roman" w:cs="Times New Roman"/>
                <w:b w:val="0"/>
                <w:color w:val="000000"/>
                <w:sz w:val="20"/>
                <w:szCs w:val="20"/>
              </w:rPr>
              <w:t>disabling</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stroke</w:t>
            </w:r>
            <w:proofErr w:type="spellEnd"/>
          </w:p>
        </w:tc>
        <w:tc>
          <w:tcPr>
            <w:tcW w:w="752" w:type="dxa"/>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0.58</w:t>
            </w:r>
          </w:p>
        </w:tc>
        <w:tc>
          <w:tcPr>
            <w:tcW w:w="752" w:type="dxa"/>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0.37</w:t>
            </w:r>
          </w:p>
        </w:tc>
        <w:tc>
          <w:tcPr>
            <w:tcW w:w="596" w:type="dxa"/>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0.64</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noWrap/>
            <w:vAlign w:val="center"/>
            <w:hideMark/>
          </w:tcPr>
          <w:p w:rsidR="00785550" w:rsidRPr="00BB0C07" w:rsidRDefault="00785550" w:rsidP="00441C00">
            <w:pPr>
              <w:ind w:left="567"/>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Disabling</w:t>
            </w:r>
            <w:proofErr w:type="spellEnd"/>
            <w:r w:rsidRPr="00BB0C07">
              <w:rPr>
                <w:rFonts w:ascii="Times New Roman" w:eastAsia="Times New Roman" w:hAnsi="Times New Roman" w:cs="Times New Roman"/>
                <w:b w:val="0"/>
                <w:color w:val="000000"/>
                <w:sz w:val="20"/>
                <w:szCs w:val="20"/>
              </w:rPr>
              <w:t xml:space="preserve"> or </w:t>
            </w:r>
            <w:proofErr w:type="spellStart"/>
            <w:r w:rsidRPr="00BB0C07">
              <w:rPr>
                <w:rFonts w:ascii="Times New Roman" w:eastAsia="Times New Roman" w:hAnsi="Times New Roman" w:cs="Times New Roman"/>
                <w:b w:val="0"/>
                <w:color w:val="000000"/>
                <w:sz w:val="20"/>
                <w:szCs w:val="20"/>
              </w:rPr>
              <w:t>fatal</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stroke</w:t>
            </w:r>
            <w:proofErr w:type="spellEnd"/>
          </w:p>
        </w:tc>
        <w:tc>
          <w:tcPr>
            <w:tcW w:w="752" w:type="dxa"/>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1.01</w:t>
            </w:r>
          </w:p>
        </w:tc>
        <w:tc>
          <w:tcPr>
            <w:tcW w:w="752" w:type="dxa"/>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0.66</w:t>
            </w:r>
          </w:p>
        </w:tc>
        <w:tc>
          <w:tcPr>
            <w:tcW w:w="596" w:type="dxa"/>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0.65</w:t>
            </w: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noWrap/>
            <w:vAlign w:val="center"/>
            <w:hideMark/>
          </w:tcPr>
          <w:p w:rsidR="00785550" w:rsidRPr="00BB0C07" w:rsidRDefault="00785550" w:rsidP="00441C00">
            <w:pPr>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Deaths</w:t>
            </w:r>
            <w:proofErr w:type="spellEnd"/>
          </w:p>
        </w:tc>
        <w:tc>
          <w:tcPr>
            <w:tcW w:w="752" w:type="dxa"/>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4.13</w:t>
            </w:r>
          </w:p>
        </w:tc>
        <w:tc>
          <w:tcPr>
            <w:tcW w:w="752" w:type="dxa"/>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3.64</w:t>
            </w:r>
          </w:p>
        </w:tc>
        <w:tc>
          <w:tcPr>
            <w:tcW w:w="596" w:type="dxa"/>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0.88</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ind w:left="284"/>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Vascular</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death</w:t>
            </w:r>
            <w:proofErr w:type="spellEnd"/>
          </w:p>
        </w:tc>
        <w:tc>
          <w:tcPr>
            <w:tcW w:w="752" w:type="dxa"/>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2.69</w:t>
            </w:r>
          </w:p>
        </w:tc>
        <w:tc>
          <w:tcPr>
            <w:tcW w:w="752" w:type="dxa"/>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2.28</w:t>
            </w:r>
          </w:p>
        </w:tc>
        <w:tc>
          <w:tcPr>
            <w:tcW w:w="596" w:type="dxa"/>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0.85</w:t>
            </w: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noWrap/>
            <w:vAlign w:val="center"/>
            <w:hideMark/>
          </w:tcPr>
          <w:p w:rsidR="00785550" w:rsidRPr="00BB0C07" w:rsidRDefault="00785550" w:rsidP="00441C00">
            <w:pPr>
              <w:ind w:left="284"/>
              <w:rPr>
                <w:rFonts w:ascii="Times New Roman" w:eastAsia="Times New Roman" w:hAnsi="Times New Roman" w:cs="Times New Roman"/>
                <w:b w:val="0"/>
                <w:color w:val="000000"/>
                <w:sz w:val="20"/>
                <w:szCs w:val="20"/>
              </w:rPr>
            </w:pPr>
            <w:r w:rsidRPr="00BB0C07">
              <w:rPr>
                <w:rFonts w:ascii="Times New Roman" w:eastAsia="Times New Roman" w:hAnsi="Times New Roman" w:cs="Times New Roman"/>
                <w:b w:val="0"/>
                <w:color w:val="000000"/>
                <w:sz w:val="20"/>
                <w:szCs w:val="20"/>
              </w:rPr>
              <w:t>Non-</w:t>
            </w:r>
            <w:proofErr w:type="spellStart"/>
            <w:r w:rsidRPr="00BB0C07">
              <w:rPr>
                <w:rFonts w:ascii="Times New Roman" w:eastAsia="Times New Roman" w:hAnsi="Times New Roman" w:cs="Times New Roman"/>
                <w:b w:val="0"/>
                <w:color w:val="000000"/>
                <w:sz w:val="20"/>
                <w:szCs w:val="20"/>
              </w:rPr>
              <w:t>vascular</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death</w:t>
            </w:r>
            <w:proofErr w:type="spellEnd"/>
          </w:p>
        </w:tc>
        <w:tc>
          <w:tcPr>
            <w:tcW w:w="752" w:type="dxa"/>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1.44</w:t>
            </w:r>
          </w:p>
        </w:tc>
        <w:tc>
          <w:tcPr>
            <w:tcW w:w="752" w:type="dxa"/>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1.36</w:t>
            </w:r>
          </w:p>
        </w:tc>
        <w:tc>
          <w:tcPr>
            <w:tcW w:w="596" w:type="dxa"/>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0.94</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rPr>
                <w:rFonts w:ascii="Times New Roman" w:eastAsia="Times New Roman" w:hAnsi="Times New Roman" w:cs="Times New Roman"/>
                <w:b w:val="0"/>
                <w:color w:val="000000"/>
                <w:sz w:val="20"/>
                <w:szCs w:val="20"/>
              </w:rPr>
            </w:pPr>
          </w:p>
        </w:tc>
        <w:tc>
          <w:tcPr>
            <w:tcW w:w="752"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752"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596"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noWrap/>
            <w:vAlign w:val="center"/>
            <w:hideMark/>
          </w:tcPr>
          <w:p w:rsidR="00785550" w:rsidRPr="00BB0C07" w:rsidRDefault="00785550" w:rsidP="00441C00">
            <w:pPr>
              <w:rPr>
                <w:rFonts w:ascii="Times New Roman" w:eastAsia="Times New Roman" w:hAnsi="Times New Roman" w:cs="Times New Roman"/>
                <w:bCs w:val="0"/>
                <w:color w:val="000000"/>
                <w:sz w:val="20"/>
                <w:szCs w:val="20"/>
              </w:rPr>
            </w:pPr>
            <w:proofErr w:type="spellStart"/>
            <w:r w:rsidRPr="00BB0C07">
              <w:rPr>
                <w:rFonts w:ascii="Times New Roman" w:eastAsia="Times New Roman" w:hAnsi="Times New Roman" w:cs="Times New Roman"/>
                <w:bCs w:val="0"/>
                <w:color w:val="000000"/>
                <w:sz w:val="20"/>
                <w:szCs w:val="20"/>
              </w:rPr>
              <w:t>Thromboembolic</w:t>
            </w:r>
            <w:proofErr w:type="spellEnd"/>
            <w:r w:rsidRPr="00BB0C07">
              <w:rPr>
                <w:rFonts w:ascii="Times New Roman" w:eastAsia="Times New Roman" w:hAnsi="Times New Roman" w:cs="Times New Roman"/>
                <w:bCs w:val="0"/>
                <w:color w:val="000000"/>
                <w:sz w:val="20"/>
                <w:szCs w:val="20"/>
              </w:rPr>
              <w:t xml:space="preserve"> events</w:t>
            </w:r>
          </w:p>
        </w:tc>
        <w:tc>
          <w:tcPr>
            <w:tcW w:w="752" w:type="dxa"/>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752" w:type="dxa"/>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596" w:type="dxa"/>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Ischemic</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stroke</w:t>
            </w:r>
            <w:proofErr w:type="spellEnd"/>
          </w:p>
        </w:tc>
        <w:tc>
          <w:tcPr>
            <w:tcW w:w="752"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1.21</w:t>
            </w:r>
          </w:p>
        </w:tc>
        <w:tc>
          <w:tcPr>
            <w:tcW w:w="752"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0.92</w:t>
            </w:r>
          </w:p>
        </w:tc>
        <w:tc>
          <w:tcPr>
            <w:tcW w:w="596"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0.76</w:t>
            </w: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BFBFBF" w:themeFill="background1" w:themeFillShade="BF"/>
            <w:noWrap/>
            <w:vAlign w:val="center"/>
            <w:hideMark/>
          </w:tcPr>
          <w:p w:rsidR="00785550" w:rsidRPr="00BB0C07" w:rsidRDefault="00785550" w:rsidP="00441C00">
            <w:pPr>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Transient</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ischemic</w:t>
            </w:r>
            <w:proofErr w:type="spellEnd"/>
            <w:r w:rsidRPr="00BB0C07">
              <w:rPr>
                <w:rFonts w:ascii="Times New Roman" w:eastAsia="Times New Roman" w:hAnsi="Times New Roman" w:cs="Times New Roman"/>
                <w:b w:val="0"/>
                <w:color w:val="000000"/>
                <w:sz w:val="20"/>
                <w:szCs w:val="20"/>
              </w:rPr>
              <w:t xml:space="preserve"> attack (TIA)</w:t>
            </w:r>
          </w:p>
        </w:tc>
        <w:tc>
          <w:tcPr>
            <w:tcW w:w="752" w:type="dxa"/>
            <w:shd w:val="clear" w:color="auto" w:fill="BFBFBF" w:themeFill="background1" w:themeFillShade="BF"/>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0.84</w:t>
            </w:r>
          </w:p>
        </w:tc>
        <w:tc>
          <w:tcPr>
            <w:tcW w:w="752" w:type="dxa"/>
            <w:shd w:val="clear" w:color="auto" w:fill="BFBFBF" w:themeFill="background1" w:themeFillShade="BF"/>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0.72</w:t>
            </w:r>
          </w:p>
        </w:tc>
        <w:tc>
          <w:tcPr>
            <w:tcW w:w="596" w:type="dxa"/>
            <w:shd w:val="clear" w:color="auto" w:fill="BFBFBF" w:themeFill="background1" w:themeFillShade="BF"/>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0.86</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460A71" w:rsidP="00441C00">
            <w:pPr>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Systemic</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embolism</w:t>
            </w:r>
            <w:proofErr w:type="spellEnd"/>
          </w:p>
        </w:tc>
        <w:tc>
          <w:tcPr>
            <w:tcW w:w="752"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0.18</w:t>
            </w:r>
          </w:p>
        </w:tc>
        <w:tc>
          <w:tcPr>
            <w:tcW w:w="752"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0.11</w:t>
            </w:r>
          </w:p>
        </w:tc>
        <w:tc>
          <w:tcPr>
            <w:tcW w:w="596"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0.61</w:t>
            </w: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BFBFBF" w:themeFill="background1" w:themeFillShade="BF"/>
            <w:noWrap/>
            <w:vAlign w:val="center"/>
            <w:hideMark/>
          </w:tcPr>
          <w:p w:rsidR="00785550" w:rsidRPr="00BB0C07" w:rsidRDefault="00785550" w:rsidP="00441C00">
            <w:pPr>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Pulmonary</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embolism</w:t>
            </w:r>
            <w:proofErr w:type="spellEnd"/>
          </w:p>
        </w:tc>
        <w:tc>
          <w:tcPr>
            <w:tcW w:w="752" w:type="dxa"/>
            <w:shd w:val="clear" w:color="auto" w:fill="BFBFBF" w:themeFill="background1" w:themeFillShade="BF"/>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0.10</w:t>
            </w:r>
          </w:p>
        </w:tc>
        <w:tc>
          <w:tcPr>
            <w:tcW w:w="752" w:type="dxa"/>
            <w:shd w:val="clear" w:color="auto" w:fill="BFBFBF" w:themeFill="background1" w:themeFillShade="BF"/>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0.15</w:t>
            </w:r>
          </w:p>
        </w:tc>
        <w:tc>
          <w:tcPr>
            <w:tcW w:w="596" w:type="dxa"/>
            <w:shd w:val="clear" w:color="auto" w:fill="BFBFBF" w:themeFill="background1" w:themeFillShade="BF"/>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1.50</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Myocardial</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infarction</w:t>
            </w:r>
            <w:proofErr w:type="spellEnd"/>
          </w:p>
        </w:tc>
        <w:tc>
          <w:tcPr>
            <w:tcW w:w="752"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0.64</w:t>
            </w:r>
          </w:p>
        </w:tc>
        <w:tc>
          <w:tcPr>
            <w:tcW w:w="752"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0.81</w:t>
            </w:r>
          </w:p>
        </w:tc>
        <w:tc>
          <w:tcPr>
            <w:tcW w:w="596"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1.27</w:t>
            </w: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rPr>
                <w:rFonts w:ascii="Times New Roman" w:eastAsia="Times New Roman" w:hAnsi="Times New Roman" w:cs="Times New Roman"/>
                <w:b w:val="0"/>
                <w:color w:val="000000"/>
                <w:sz w:val="20"/>
                <w:szCs w:val="20"/>
              </w:rPr>
            </w:pPr>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596"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rPr>
                <w:rFonts w:ascii="Times New Roman" w:eastAsia="Times New Roman" w:hAnsi="Times New Roman" w:cs="Times New Roman"/>
                <w:bCs w:val="0"/>
                <w:color w:val="000000"/>
                <w:sz w:val="20"/>
                <w:szCs w:val="20"/>
              </w:rPr>
            </w:pPr>
            <w:proofErr w:type="spellStart"/>
            <w:r w:rsidRPr="00BB0C07">
              <w:rPr>
                <w:rFonts w:ascii="Times New Roman" w:eastAsia="Times New Roman" w:hAnsi="Times New Roman" w:cs="Times New Roman"/>
                <w:bCs w:val="0"/>
                <w:color w:val="000000"/>
                <w:sz w:val="20"/>
                <w:szCs w:val="20"/>
              </w:rPr>
              <w:t>Hemorrhagic</w:t>
            </w:r>
            <w:proofErr w:type="spellEnd"/>
            <w:r w:rsidRPr="00BB0C07">
              <w:rPr>
                <w:rFonts w:ascii="Times New Roman" w:eastAsia="Times New Roman" w:hAnsi="Times New Roman" w:cs="Times New Roman"/>
                <w:bCs w:val="0"/>
                <w:color w:val="000000"/>
                <w:sz w:val="20"/>
                <w:szCs w:val="20"/>
              </w:rPr>
              <w:t xml:space="preserve"> events</w:t>
            </w:r>
          </w:p>
        </w:tc>
        <w:tc>
          <w:tcPr>
            <w:tcW w:w="752"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752"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596"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All</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hemorrhages</w:t>
            </w:r>
            <w:proofErr w:type="spellEnd"/>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18.37</w:t>
            </w:r>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16.56</w:t>
            </w:r>
          </w:p>
        </w:tc>
        <w:tc>
          <w:tcPr>
            <w:tcW w:w="596"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0.90</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BFBFBF" w:themeFill="background1" w:themeFillShade="BF"/>
            <w:noWrap/>
            <w:vAlign w:val="center"/>
            <w:hideMark/>
          </w:tcPr>
          <w:p w:rsidR="00785550" w:rsidRPr="00BB0C07" w:rsidRDefault="00785550" w:rsidP="00441C00">
            <w:pPr>
              <w:ind w:left="284"/>
              <w:rPr>
                <w:rFonts w:ascii="Times New Roman" w:eastAsia="Times New Roman" w:hAnsi="Times New Roman" w:cs="Times New Roman"/>
                <w:b w:val="0"/>
                <w:color w:val="000000"/>
                <w:sz w:val="20"/>
                <w:szCs w:val="20"/>
              </w:rPr>
            </w:pPr>
            <w:r w:rsidRPr="00BB0C07">
              <w:rPr>
                <w:rFonts w:ascii="Times New Roman" w:eastAsia="Times New Roman" w:hAnsi="Times New Roman" w:cs="Times New Roman"/>
                <w:b w:val="0"/>
                <w:color w:val="000000"/>
                <w:sz w:val="20"/>
                <w:szCs w:val="20"/>
              </w:rPr>
              <w:t xml:space="preserve">Major </w:t>
            </w:r>
            <w:proofErr w:type="spellStart"/>
            <w:r w:rsidRPr="00BB0C07">
              <w:rPr>
                <w:rFonts w:ascii="Times New Roman" w:eastAsia="Times New Roman" w:hAnsi="Times New Roman" w:cs="Times New Roman"/>
                <w:b w:val="0"/>
                <w:color w:val="000000"/>
                <w:sz w:val="20"/>
                <w:szCs w:val="20"/>
              </w:rPr>
              <w:t>hemorrhage</w:t>
            </w:r>
            <w:proofErr w:type="spellEnd"/>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3.57</w:t>
            </w:r>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3.32</w:t>
            </w:r>
          </w:p>
        </w:tc>
        <w:tc>
          <w:tcPr>
            <w:tcW w:w="596"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0.93</w:t>
            </w: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ind w:left="567"/>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Intracranial</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hemorrhage</w:t>
            </w:r>
            <w:proofErr w:type="spellEnd"/>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0.76</w:t>
            </w:r>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0.32</w:t>
            </w:r>
          </w:p>
        </w:tc>
        <w:tc>
          <w:tcPr>
            <w:tcW w:w="596"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0.42</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BFBFBF" w:themeFill="background1" w:themeFillShade="BF"/>
            <w:noWrap/>
            <w:vAlign w:val="center"/>
            <w:hideMark/>
          </w:tcPr>
          <w:p w:rsidR="00785550" w:rsidRPr="00BB0C07" w:rsidRDefault="00785550" w:rsidP="00441C00">
            <w:pPr>
              <w:ind w:left="851"/>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Hemorrhagic</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stroke</w:t>
            </w:r>
            <w:proofErr w:type="spellEnd"/>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0.38</w:t>
            </w:r>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0.10</w:t>
            </w:r>
          </w:p>
        </w:tc>
        <w:tc>
          <w:tcPr>
            <w:tcW w:w="596"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0.26</w:t>
            </w: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ind w:left="567"/>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Extracranial</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hemorrhage</w:t>
            </w:r>
            <w:proofErr w:type="spellEnd"/>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2.84</w:t>
            </w:r>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3.02</w:t>
            </w:r>
          </w:p>
        </w:tc>
        <w:tc>
          <w:tcPr>
            <w:tcW w:w="596"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1.06</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BFBFBF" w:themeFill="background1" w:themeFillShade="BF"/>
            <w:noWrap/>
            <w:vAlign w:val="center"/>
            <w:hideMark/>
          </w:tcPr>
          <w:p w:rsidR="00785550" w:rsidRPr="00BB0C07" w:rsidRDefault="00785550" w:rsidP="00441C00">
            <w:pPr>
              <w:ind w:left="851"/>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Gastro-intestinal</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hemorrhage</w:t>
            </w:r>
            <w:proofErr w:type="spellEnd"/>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1.07</w:t>
            </w:r>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1.56</w:t>
            </w:r>
          </w:p>
        </w:tc>
        <w:tc>
          <w:tcPr>
            <w:tcW w:w="596"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1.46</w:t>
            </w: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ind w:left="1134"/>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Upper</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gastro-intestinal</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hemorrhage</w:t>
            </w:r>
            <w:proofErr w:type="spellEnd"/>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0.80</w:t>
            </w:r>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0.83</w:t>
            </w:r>
          </w:p>
        </w:tc>
        <w:tc>
          <w:tcPr>
            <w:tcW w:w="596"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1.03</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BFBFBF" w:themeFill="background1" w:themeFillShade="BF"/>
            <w:noWrap/>
            <w:vAlign w:val="center"/>
            <w:hideMark/>
          </w:tcPr>
          <w:p w:rsidR="00785550" w:rsidRPr="00BB0C07" w:rsidRDefault="00785550" w:rsidP="00441C00">
            <w:pPr>
              <w:ind w:left="1134"/>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Lower</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gastro-intestinal</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hemorrhage</w:t>
            </w:r>
            <w:proofErr w:type="spellEnd"/>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0.27</w:t>
            </w:r>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0.73</w:t>
            </w:r>
          </w:p>
        </w:tc>
        <w:tc>
          <w:tcPr>
            <w:tcW w:w="596"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2.74</w:t>
            </w: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ind w:left="851"/>
              <w:rPr>
                <w:rFonts w:ascii="Times New Roman" w:eastAsia="Times New Roman" w:hAnsi="Times New Roman" w:cs="Times New Roman"/>
                <w:b w:val="0"/>
                <w:color w:val="000000"/>
                <w:sz w:val="20"/>
                <w:szCs w:val="20"/>
              </w:rPr>
            </w:pPr>
            <w:r w:rsidRPr="00BB0C07">
              <w:rPr>
                <w:rFonts w:ascii="Times New Roman" w:eastAsia="Times New Roman" w:hAnsi="Times New Roman" w:cs="Times New Roman"/>
                <w:b w:val="0"/>
                <w:color w:val="000000"/>
                <w:sz w:val="20"/>
                <w:szCs w:val="20"/>
              </w:rPr>
              <w:t xml:space="preserve">Ear. </w:t>
            </w:r>
            <w:proofErr w:type="spellStart"/>
            <w:r w:rsidRPr="00BB0C07">
              <w:rPr>
                <w:rFonts w:ascii="Times New Roman" w:eastAsia="Times New Roman" w:hAnsi="Times New Roman" w:cs="Times New Roman"/>
                <w:b w:val="0"/>
                <w:color w:val="000000"/>
                <w:sz w:val="20"/>
                <w:szCs w:val="20"/>
              </w:rPr>
              <w:t>nose</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throat</w:t>
            </w:r>
            <w:proofErr w:type="spellEnd"/>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0.15</w:t>
            </w:r>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0.07</w:t>
            </w:r>
          </w:p>
        </w:tc>
        <w:tc>
          <w:tcPr>
            <w:tcW w:w="596"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0.47</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BFBFBF" w:themeFill="background1" w:themeFillShade="BF"/>
            <w:noWrap/>
            <w:vAlign w:val="center"/>
            <w:hideMark/>
          </w:tcPr>
          <w:p w:rsidR="00785550" w:rsidRPr="00BB0C07" w:rsidRDefault="00785550" w:rsidP="00441C00">
            <w:pPr>
              <w:ind w:left="851"/>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Genitourinary</w:t>
            </w:r>
            <w:proofErr w:type="spellEnd"/>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0.13</w:t>
            </w:r>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0.13</w:t>
            </w:r>
          </w:p>
        </w:tc>
        <w:tc>
          <w:tcPr>
            <w:tcW w:w="596"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1.00</w:t>
            </w: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ind w:left="851"/>
              <w:rPr>
                <w:rFonts w:ascii="Times New Roman" w:eastAsia="Times New Roman" w:hAnsi="Times New Roman" w:cs="Times New Roman"/>
                <w:b w:val="0"/>
                <w:color w:val="000000"/>
                <w:sz w:val="20"/>
                <w:szCs w:val="20"/>
              </w:rPr>
            </w:pPr>
            <w:r w:rsidRPr="00BB0C07">
              <w:rPr>
                <w:rFonts w:ascii="Times New Roman" w:eastAsia="Times New Roman" w:hAnsi="Times New Roman" w:cs="Times New Roman"/>
                <w:b w:val="0"/>
                <w:color w:val="000000"/>
                <w:sz w:val="20"/>
                <w:szCs w:val="20"/>
              </w:rPr>
              <w:t>Intra-</w:t>
            </w:r>
            <w:proofErr w:type="spellStart"/>
            <w:r w:rsidRPr="00BB0C07">
              <w:rPr>
                <w:rFonts w:ascii="Times New Roman" w:eastAsia="Times New Roman" w:hAnsi="Times New Roman" w:cs="Times New Roman"/>
                <w:b w:val="0"/>
                <w:color w:val="000000"/>
                <w:sz w:val="20"/>
                <w:szCs w:val="20"/>
              </w:rPr>
              <w:t>articular</w:t>
            </w:r>
            <w:proofErr w:type="spellEnd"/>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0.06</w:t>
            </w:r>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0.02</w:t>
            </w:r>
          </w:p>
        </w:tc>
        <w:tc>
          <w:tcPr>
            <w:tcW w:w="596"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0.33</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BFBFBF" w:themeFill="background1" w:themeFillShade="BF"/>
            <w:noWrap/>
            <w:vAlign w:val="center"/>
            <w:hideMark/>
          </w:tcPr>
          <w:p w:rsidR="00785550" w:rsidRPr="00BB0C07" w:rsidRDefault="00785550" w:rsidP="00441C00">
            <w:pPr>
              <w:ind w:left="851"/>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Intraocular</w:t>
            </w:r>
            <w:proofErr w:type="spellEnd"/>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0.12</w:t>
            </w:r>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0.09</w:t>
            </w:r>
          </w:p>
        </w:tc>
        <w:tc>
          <w:tcPr>
            <w:tcW w:w="596"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0.75</w:t>
            </w: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ind w:left="851"/>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Intrathoracic</w:t>
            </w:r>
            <w:proofErr w:type="spellEnd"/>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0.07</w:t>
            </w:r>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0.07</w:t>
            </w:r>
          </w:p>
        </w:tc>
        <w:tc>
          <w:tcPr>
            <w:tcW w:w="596"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1.00</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BFBFBF" w:themeFill="background1" w:themeFillShade="BF"/>
            <w:noWrap/>
            <w:vAlign w:val="center"/>
            <w:hideMark/>
          </w:tcPr>
          <w:p w:rsidR="00785550" w:rsidRPr="00BB0C07" w:rsidRDefault="00785550" w:rsidP="00441C00">
            <w:pPr>
              <w:ind w:left="851"/>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Pericardial</w:t>
            </w:r>
            <w:proofErr w:type="spellEnd"/>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0.03</w:t>
            </w:r>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0.02</w:t>
            </w:r>
          </w:p>
        </w:tc>
        <w:tc>
          <w:tcPr>
            <w:tcW w:w="596"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0.67</w:t>
            </w: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ind w:left="851"/>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Retroperitonial</w:t>
            </w:r>
            <w:proofErr w:type="spellEnd"/>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0.11</w:t>
            </w:r>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0.07</w:t>
            </w:r>
          </w:p>
        </w:tc>
        <w:tc>
          <w:tcPr>
            <w:tcW w:w="596"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0.64</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BFBFBF" w:themeFill="background1" w:themeFillShade="BF"/>
            <w:noWrap/>
            <w:vAlign w:val="center"/>
            <w:hideMark/>
          </w:tcPr>
          <w:p w:rsidR="00785550" w:rsidRPr="00BB0C07" w:rsidRDefault="00785550" w:rsidP="00441C00">
            <w:pPr>
              <w:ind w:left="851"/>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Intramuscular</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intraspinal</w:t>
            </w:r>
            <w:proofErr w:type="spellEnd"/>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0.19</w:t>
            </w:r>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0.09</w:t>
            </w:r>
          </w:p>
        </w:tc>
        <w:tc>
          <w:tcPr>
            <w:tcW w:w="596"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0.47</w:t>
            </w: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ind w:left="851"/>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Surgical</w:t>
            </w:r>
            <w:proofErr w:type="spellEnd"/>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0.59</w:t>
            </w:r>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0.40</w:t>
            </w:r>
          </w:p>
        </w:tc>
        <w:tc>
          <w:tcPr>
            <w:tcW w:w="596"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0.68</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BFBFBF" w:themeFill="background1" w:themeFillShade="BF"/>
            <w:noWrap/>
            <w:vAlign w:val="center"/>
            <w:hideMark/>
          </w:tcPr>
          <w:p w:rsidR="00785550" w:rsidRPr="00BB0C07" w:rsidRDefault="00785550" w:rsidP="00441C00">
            <w:pPr>
              <w:ind w:left="851"/>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Not</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reported</w:t>
            </w:r>
            <w:proofErr w:type="spellEnd"/>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0.31</w:t>
            </w:r>
          </w:p>
        </w:tc>
        <w:tc>
          <w:tcPr>
            <w:tcW w:w="752"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0.40</w:t>
            </w:r>
          </w:p>
        </w:tc>
        <w:tc>
          <w:tcPr>
            <w:tcW w:w="596" w:type="dxa"/>
            <w:shd w:val="clear" w:color="auto" w:fill="BFBFBF" w:themeFill="background1" w:themeFillShade="BF"/>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1.29</w:t>
            </w: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ind w:left="284"/>
              <w:rPr>
                <w:rFonts w:ascii="Times New Roman" w:eastAsia="Times New Roman" w:hAnsi="Times New Roman" w:cs="Times New Roman"/>
                <w:b w:val="0"/>
                <w:color w:val="000000"/>
                <w:sz w:val="20"/>
                <w:szCs w:val="20"/>
              </w:rPr>
            </w:pPr>
            <w:r w:rsidRPr="00BB0C07">
              <w:rPr>
                <w:rFonts w:ascii="Times New Roman" w:eastAsia="Times New Roman" w:hAnsi="Times New Roman" w:cs="Times New Roman"/>
                <w:b w:val="0"/>
                <w:color w:val="000000"/>
                <w:sz w:val="20"/>
                <w:szCs w:val="20"/>
              </w:rPr>
              <w:t xml:space="preserve">Minor </w:t>
            </w:r>
            <w:proofErr w:type="spellStart"/>
            <w:r w:rsidRPr="00BB0C07">
              <w:rPr>
                <w:rFonts w:ascii="Times New Roman" w:eastAsia="Times New Roman" w:hAnsi="Times New Roman" w:cs="Times New Roman"/>
                <w:b w:val="0"/>
                <w:color w:val="000000"/>
                <w:sz w:val="20"/>
                <w:szCs w:val="20"/>
              </w:rPr>
              <w:t>hemorrhage</w:t>
            </w:r>
            <w:proofErr w:type="spellEnd"/>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16.37</w:t>
            </w:r>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14.85</w:t>
            </w:r>
          </w:p>
        </w:tc>
        <w:tc>
          <w:tcPr>
            <w:tcW w:w="596"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0.91</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rPr>
                <w:rFonts w:ascii="Times New Roman" w:eastAsia="Times New Roman" w:hAnsi="Times New Roman" w:cs="Times New Roman"/>
                <w:b w:val="0"/>
                <w:color w:val="000000"/>
                <w:sz w:val="20"/>
                <w:szCs w:val="20"/>
              </w:rPr>
            </w:pPr>
          </w:p>
        </w:tc>
        <w:tc>
          <w:tcPr>
            <w:tcW w:w="752"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752"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596"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rPr>
                <w:rFonts w:ascii="Times New Roman" w:eastAsia="Times New Roman" w:hAnsi="Times New Roman" w:cs="Times New Roman"/>
                <w:color w:val="000000"/>
                <w:sz w:val="20"/>
                <w:szCs w:val="20"/>
              </w:rPr>
            </w:pPr>
            <w:proofErr w:type="spellStart"/>
            <w:r w:rsidRPr="00BB0C07">
              <w:rPr>
                <w:rFonts w:ascii="Times New Roman" w:eastAsia="Times New Roman" w:hAnsi="Times New Roman" w:cs="Times New Roman"/>
                <w:bCs w:val="0"/>
                <w:color w:val="000000"/>
                <w:sz w:val="20"/>
                <w:szCs w:val="20"/>
              </w:rPr>
              <w:t>Other</w:t>
            </w:r>
            <w:proofErr w:type="spellEnd"/>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752"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596" w:type="dxa"/>
            <w:shd w:val="clear" w:color="auto" w:fill="auto"/>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785550" w:rsidP="00441C00">
            <w:pPr>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Dyspepsia</w:t>
            </w:r>
            <w:proofErr w:type="spellEnd"/>
          </w:p>
        </w:tc>
        <w:tc>
          <w:tcPr>
            <w:tcW w:w="752"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5.80</w:t>
            </w:r>
          </w:p>
        </w:tc>
        <w:tc>
          <w:tcPr>
            <w:tcW w:w="752"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11.30</w:t>
            </w:r>
          </w:p>
        </w:tc>
        <w:tc>
          <w:tcPr>
            <w:tcW w:w="596"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1.95</w:t>
            </w:r>
          </w:p>
        </w:tc>
      </w:tr>
      <w:tr w:rsidR="00785550" w:rsidRPr="00BB0C07" w:rsidTr="0055025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BFBFBF" w:themeFill="background1" w:themeFillShade="BF"/>
            <w:noWrap/>
            <w:vAlign w:val="center"/>
            <w:hideMark/>
          </w:tcPr>
          <w:p w:rsidR="00785550" w:rsidRPr="00BB0C07" w:rsidRDefault="00785550" w:rsidP="00441C00">
            <w:pPr>
              <w:rPr>
                <w:rFonts w:ascii="Times New Roman" w:eastAsia="Times New Roman" w:hAnsi="Times New Roman" w:cs="Times New Roman"/>
                <w:b w:val="0"/>
                <w:color w:val="000000"/>
                <w:sz w:val="20"/>
                <w:szCs w:val="20"/>
              </w:rPr>
            </w:pPr>
            <w:proofErr w:type="spellStart"/>
            <w:r w:rsidRPr="00BB0C07">
              <w:rPr>
                <w:rFonts w:ascii="Times New Roman" w:eastAsia="Times New Roman" w:hAnsi="Times New Roman" w:cs="Times New Roman"/>
                <w:b w:val="0"/>
                <w:color w:val="000000"/>
                <w:sz w:val="20"/>
                <w:szCs w:val="20"/>
              </w:rPr>
              <w:t>Hospitalization</w:t>
            </w:r>
            <w:proofErr w:type="spellEnd"/>
          </w:p>
        </w:tc>
        <w:tc>
          <w:tcPr>
            <w:tcW w:w="752" w:type="dxa"/>
            <w:shd w:val="clear" w:color="auto" w:fill="BFBFBF" w:themeFill="background1" w:themeFillShade="BF"/>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20.20</w:t>
            </w:r>
          </w:p>
        </w:tc>
        <w:tc>
          <w:tcPr>
            <w:tcW w:w="752" w:type="dxa"/>
            <w:shd w:val="clear" w:color="auto" w:fill="BFBFBF" w:themeFill="background1" w:themeFillShade="BF"/>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20.80</w:t>
            </w:r>
          </w:p>
        </w:tc>
        <w:tc>
          <w:tcPr>
            <w:tcW w:w="596" w:type="dxa"/>
            <w:shd w:val="clear" w:color="auto" w:fill="BFBFBF" w:themeFill="background1" w:themeFillShade="BF"/>
            <w:noWrap/>
            <w:vAlign w:val="center"/>
            <w:hideMark/>
          </w:tcPr>
          <w:p w:rsidR="00785550" w:rsidRPr="00BB0C07" w:rsidRDefault="00785550" w:rsidP="00441C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1.03</w:t>
            </w:r>
          </w:p>
        </w:tc>
      </w:tr>
      <w:tr w:rsidR="00785550" w:rsidRPr="00BB0C07" w:rsidTr="00550250">
        <w:trPr>
          <w:trHeight w:val="283"/>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vAlign w:val="center"/>
            <w:hideMark/>
          </w:tcPr>
          <w:p w:rsidR="00785550" w:rsidRPr="00BB0C07" w:rsidRDefault="00460A71" w:rsidP="00441C00">
            <w:pPr>
              <w:rPr>
                <w:rFonts w:ascii="Times New Roman" w:eastAsia="Times New Roman" w:hAnsi="Times New Roman" w:cs="Times New Roman"/>
                <w:b w:val="0"/>
                <w:color w:val="000000"/>
                <w:sz w:val="20"/>
                <w:szCs w:val="20"/>
              </w:rPr>
            </w:pPr>
            <w:r w:rsidRPr="00BB0C07">
              <w:rPr>
                <w:rFonts w:ascii="Times New Roman" w:eastAsia="Times New Roman" w:hAnsi="Times New Roman" w:cs="Times New Roman"/>
                <w:b w:val="0"/>
                <w:color w:val="000000"/>
                <w:sz w:val="20"/>
                <w:szCs w:val="20"/>
              </w:rPr>
              <w:t xml:space="preserve">Red </w:t>
            </w:r>
            <w:proofErr w:type="spellStart"/>
            <w:r w:rsidRPr="00BB0C07">
              <w:rPr>
                <w:rFonts w:ascii="Times New Roman" w:eastAsia="Times New Roman" w:hAnsi="Times New Roman" w:cs="Times New Roman"/>
                <w:b w:val="0"/>
                <w:color w:val="000000"/>
                <w:sz w:val="20"/>
                <w:szCs w:val="20"/>
              </w:rPr>
              <w:t>cell</w:t>
            </w:r>
            <w:proofErr w:type="spellEnd"/>
            <w:r w:rsidRPr="00BB0C07">
              <w:rPr>
                <w:rFonts w:ascii="Times New Roman" w:eastAsia="Times New Roman" w:hAnsi="Times New Roman" w:cs="Times New Roman"/>
                <w:b w:val="0"/>
                <w:color w:val="000000"/>
                <w:sz w:val="20"/>
                <w:szCs w:val="20"/>
              </w:rPr>
              <w:t xml:space="preserve"> </w:t>
            </w:r>
            <w:proofErr w:type="spellStart"/>
            <w:r w:rsidRPr="00BB0C07">
              <w:rPr>
                <w:rFonts w:ascii="Times New Roman" w:eastAsia="Times New Roman" w:hAnsi="Times New Roman" w:cs="Times New Roman"/>
                <w:b w:val="0"/>
                <w:color w:val="000000"/>
                <w:sz w:val="20"/>
                <w:szCs w:val="20"/>
              </w:rPr>
              <w:t>transfusion</w:t>
            </w:r>
            <w:proofErr w:type="spellEnd"/>
          </w:p>
        </w:tc>
        <w:tc>
          <w:tcPr>
            <w:tcW w:w="752"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1.93</w:t>
            </w:r>
          </w:p>
        </w:tc>
        <w:tc>
          <w:tcPr>
            <w:tcW w:w="752"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2.10</w:t>
            </w:r>
          </w:p>
        </w:tc>
        <w:tc>
          <w:tcPr>
            <w:tcW w:w="596" w:type="dxa"/>
            <w:shd w:val="clear" w:color="auto" w:fill="auto"/>
            <w:noWrap/>
            <w:vAlign w:val="center"/>
            <w:hideMark/>
          </w:tcPr>
          <w:p w:rsidR="00785550" w:rsidRPr="00BB0C07" w:rsidRDefault="00785550" w:rsidP="00441C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0C07">
              <w:rPr>
                <w:rFonts w:ascii="Times New Roman" w:eastAsia="Times New Roman" w:hAnsi="Times New Roman" w:cs="Times New Roman"/>
                <w:color w:val="000000"/>
                <w:sz w:val="20"/>
                <w:szCs w:val="20"/>
              </w:rPr>
              <w:t>1.09</w:t>
            </w:r>
          </w:p>
        </w:tc>
      </w:tr>
      <w:tr w:rsidR="00A50D81" w:rsidRPr="00BB0C07" w:rsidTr="00550250">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5278" w:type="dxa"/>
            <w:shd w:val="clear" w:color="auto" w:fill="auto"/>
            <w:noWrap/>
          </w:tcPr>
          <w:p w:rsidR="00A50D81" w:rsidRPr="00BB0C07" w:rsidRDefault="00A50D81" w:rsidP="00441C00">
            <w:pPr>
              <w:rPr>
                <w:rFonts w:ascii="Times New Roman" w:eastAsia="Times New Roman" w:hAnsi="Times New Roman" w:cs="Times New Roman"/>
                <w:b w:val="0"/>
                <w:color w:val="000000"/>
                <w:sz w:val="20"/>
                <w:szCs w:val="20"/>
              </w:rPr>
            </w:pPr>
          </w:p>
        </w:tc>
        <w:tc>
          <w:tcPr>
            <w:tcW w:w="752" w:type="dxa"/>
            <w:shd w:val="clear" w:color="auto" w:fill="auto"/>
            <w:noWrap/>
          </w:tcPr>
          <w:p w:rsidR="00A50D81" w:rsidRPr="00BB0C07" w:rsidRDefault="00A50D81" w:rsidP="00441C0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752" w:type="dxa"/>
            <w:shd w:val="clear" w:color="auto" w:fill="auto"/>
            <w:noWrap/>
          </w:tcPr>
          <w:p w:rsidR="00A50D81" w:rsidRPr="00BB0C07" w:rsidRDefault="00A50D81" w:rsidP="00441C0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596" w:type="dxa"/>
            <w:shd w:val="clear" w:color="auto" w:fill="auto"/>
            <w:noWrap/>
          </w:tcPr>
          <w:p w:rsidR="00A50D81" w:rsidRPr="00BB0C07" w:rsidRDefault="00A50D81" w:rsidP="00441C0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bl>
    <w:p w:rsidR="00785550" w:rsidRPr="00BB0C07" w:rsidRDefault="00785550" w:rsidP="00441C00">
      <w:pPr>
        <w:spacing w:after="0"/>
        <w:rPr>
          <w:rFonts w:ascii="Times New Roman" w:hAnsi="Times New Roman" w:cs="Times New Roman"/>
          <w:b/>
          <w:lang w:val="en-US"/>
        </w:rPr>
      </w:pPr>
      <w:r w:rsidRPr="00BB0C07">
        <w:rPr>
          <w:rFonts w:ascii="Times New Roman" w:hAnsi="Times New Roman" w:cs="Times New Roman"/>
          <w:b/>
          <w:lang w:val="en-US"/>
        </w:rPr>
        <w:t xml:space="preserve"> </w:t>
      </w:r>
      <w:r w:rsidRPr="00BB0C07">
        <w:rPr>
          <w:rFonts w:ascii="Times New Roman" w:hAnsi="Times New Roman" w:cs="Times New Roman"/>
          <w:b/>
          <w:lang w:val="en-US"/>
        </w:rPr>
        <w:br w:type="page"/>
      </w:r>
    </w:p>
    <w:p w:rsidR="00521BD6" w:rsidRPr="00BB0C07" w:rsidRDefault="00521BD6" w:rsidP="00441C00">
      <w:pPr>
        <w:spacing w:after="0"/>
        <w:ind w:left="1418" w:right="1394"/>
        <w:rPr>
          <w:rFonts w:ascii="Times New Roman" w:hAnsi="Times New Roman" w:cs="Times New Roman"/>
          <w:b/>
          <w:lang w:val="en-US"/>
        </w:rPr>
      </w:pPr>
    </w:p>
    <w:p w:rsidR="00521BD6" w:rsidRPr="00BB0C07" w:rsidRDefault="00521BD6" w:rsidP="00441C00">
      <w:pPr>
        <w:spacing w:after="0"/>
        <w:ind w:left="1418" w:right="1394"/>
        <w:rPr>
          <w:rFonts w:ascii="Times New Roman" w:hAnsi="Times New Roman" w:cs="Times New Roman"/>
          <w:b/>
          <w:lang w:val="en-US"/>
        </w:rPr>
      </w:pPr>
    </w:p>
    <w:p w:rsidR="00F15FE8" w:rsidRPr="00BB0C07" w:rsidRDefault="00D012F1" w:rsidP="00441C00">
      <w:pPr>
        <w:spacing w:after="0"/>
        <w:ind w:left="1418" w:right="1394"/>
        <w:rPr>
          <w:rFonts w:ascii="Times New Roman" w:hAnsi="Times New Roman" w:cs="Times New Roman"/>
          <w:lang w:val="en-US"/>
        </w:rPr>
      </w:pPr>
      <w:r w:rsidRPr="00BB0C07">
        <w:rPr>
          <w:rFonts w:ascii="Times New Roman" w:hAnsi="Times New Roman" w:cs="Times New Roman"/>
          <w:b/>
          <w:lang w:val="en-US"/>
        </w:rPr>
        <w:t xml:space="preserve">Table </w:t>
      </w:r>
      <w:r w:rsidR="00C4492C" w:rsidRPr="00BB0C07">
        <w:rPr>
          <w:rFonts w:ascii="Times New Roman" w:hAnsi="Times New Roman" w:cs="Times New Roman"/>
          <w:b/>
          <w:lang w:val="en-US"/>
        </w:rPr>
        <w:t>2</w:t>
      </w:r>
      <w:r w:rsidR="00785550" w:rsidRPr="00BB0C07">
        <w:rPr>
          <w:rFonts w:ascii="Times New Roman" w:hAnsi="Times New Roman" w:cs="Times New Roman"/>
          <w:b/>
          <w:lang w:val="en-US"/>
        </w:rPr>
        <w:t>.</w:t>
      </w:r>
      <w:r w:rsidR="00785550" w:rsidRPr="00BB0C07">
        <w:rPr>
          <w:rFonts w:ascii="Times New Roman" w:hAnsi="Times New Roman" w:cs="Times New Roman"/>
          <w:lang w:val="en-US"/>
        </w:rPr>
        <w:t xml:space="preserve"> The relative risk of ischemic stroke, major hemorrhage and myocardial i</w:t>
      </w:r>
      <w:r w:rsidR="00785550" w:rsidRPr="00BB0C07">
        <w:rPr>
          <w:rFonts w:ascii="Times New Roman" w:hAnsi="Times New Roman" w:cs="Times New Roman"/>
          <w:lang w:val="en-US"/>
        </w:rPr>
        <w:t>n</w:t>
      </w:r>
      <w:r w:rsidR="00785550" w:rsidRPr="00BB0C07">
        <w:rPr>
          <w:rFonts w:ascii="Times New Roman" w:hAnsi="Times New Roman" w:cs="Times New Roman"/>
          <w:lang w:val="en-US"/>
        </w:rPr>
        <w:t>farction of dabigatran (150 mg twice daily) versus vitamin K antagonists for different subgroup</w:t>
      </w:r>
      <w:r w:rsidR="00F15FE8" w:rsidRPr="00BB0C07">
        <w:rPr>
          <w:rFonts w:ascii="Times New Roman" w:hAnsi="Times New Roman" w:cs="Times New Roman"/>
          <w:lang w:val="en-US"/>
        </w:rPr>
        <w:t>s of the RE-LY study population.</w:t>
      </w:r>
    </w:p>
    <w:p w:rsidR="00785550" w:rsidRPr="00BB0C07" w:rsidRDefault="00785550" w:rsidP="00441C00">
      <w:pPr>
        <w:spacing w:after="0"/>
        <w:ind w:left="1418" w:right="1394"/>
        <w:rPr>
          <w:rFonts w:ascii="Times New Roman" w:hAnsi="Times New Roman" w:cs="Times New Roman"/>
          <w:lang w:val="en-US"/>
        </w:rPr>
      </w:pPr>
      <w:r w:rsidRPr="00BB0C07">
        <w:rPr>
          <w:rFonts w:ascii="Times New Roman" w:hAnsi="Times New Roman" w:cs="Times New Roman"/>
          <w:lang w:val="en-US"/>
        </w:rPr>
        <w:t xml:space="preserve"> </w:t>
      </w:r>
    </w:p>
    <w:tbl>
      <w:tblPr>
        <w:tblStyle w:val="Lichtearcering1"/>
        <w:tblW w:w="7717" w:type="dxa"/>
        <w:jc w:val="center"/>
        <w:tblInd w:w="-196" w:type="dxa"/>
        <w:tblBorders>
          <w:top w:val="single" w:sz="4" w:space="0" w:color="auto"/>
          <w:bottom w:val="single" w:sz="4" w:space="0" w:color="auto"/>
        </w:tblBorders>
        <w:tblLayout w:type="fixed"/>
        <w:tblLook w:val="04A0" w:firstRow="1" w:lastRow="0" w:firstColumn="1" w:lastColumn="0" w:noHBand="0" w:noVBand="1"/>
      </w:tblPr>
      <w:tblGrid>
        <w:gridCol w:w="3403"/>
        <w:gridCol w:w="939"/>
        <w:gridCol w:w="525"/>
        <w:gridCol w:w="851"/>
        <w:gridCol w:w="567"/>
        <w:gridCol w:w="865"/>
        <w:gridCol w:w="567"/>
      </w:tblGrid>
      <w:tr w:rsidR="00785550" w:rsidRPr="00D9154F" w:rsidTr="006575B0">
        <w:trPr>
          <w:cnfStyle w:val="100000000000" w:firstRow="1" w:lastRow="0" w:firstColumn="0" w:lastColumn="0" w:oddVBand="0" w:evenVBand="0" w:oddHBand="0"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il"/>
              <w:right w:val="none" w:sz="0" w:space="0" w:color="auto"/>
            </w:tcBorders>
          </w:tcPr>
          <w:p w:rsidR="00785550" w:rsidRPr="00BB0C07" w:rsidRDefault="00785550" w:rsidP="00441C00">
            <w:pPr>
              <w:rPr>
                <w:rFonts w:ascii="Times New Roman" w:hAnsi="Times New Roman" w:cs="Times New Roman"/>
                <w:sz w:val="20"/>
                <w:lang w:val="en-US"/>
              </w:rPr>
            </w:pPr>
          </w:p>
        </w:tc>
        <w:tc>
          <w:tcPr>
            <w:tcW w:w="4314" w:type="dxa"/>
            <w:gridSpan w:val="6"/>
            <w:tcBorders>
              <w:top w:val="single" w:sz="4" w:space="0" w:color="auto"/>
              <w:left w:val="none" w:sz="0" w:space="0" w:color="auto"/>
              <w:bottom w:val="single" w:sz="4" w:space="0" w:color="auto"/>
              <w:right w:val="none" w:sz="0" w:space="0" w:color="auto"/>
            </w:tcBorders>
            <w:vAlign w:val="center"/>
          </w:tcPr>
          <w:p w:rsidR="00785550" w:rsidRPr="00BB0C07" w:rsidRDefault="00785550" w:rsidP="006575B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BB0C07">
              <w:rPr>
                <w:rFonts w:ascii="Times New Roman" w:hAnsi="Times New Roman" w:cs="Times New Roman"/>
                <w:sz w:val="20"/>
                <w:lang w:val="en-US"/>
              </w:rPr>
              <w:t>Relative risk of dabigatran 150 mg BID vs. vitamin K antagonists</w:t>
            </w: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563"/>
          <w:jc w:val="center"/>
        </w:trPr>
        <w:tc>
          <w:tcPr>
            <w:cnfStyle w:val="001000000000" w:firstRow="0" w:lastRow="0" w:firstColumn="1" w:lastColumn="0" w:oddVBand="0" w:evenVBand="0" w:oddHBand="0" w:evenHBand="0" w:firstRowFirstColumn="0" w:firstRowLastColumn="0" w:lastRowFirstColumn="0" w:lastRowLastColumn="0"/>
            <w:tcW w:w="3403" w:type="dxa"/>
            <w:tcBorders>
              <w:top w:val="nil"/>
              <w:left w:val="none" w:sz="0" w:space="0" w:color="auto"/>
              <w:bottom w:val="single" w:sz="4" w:space="0" w:color="auto"/>
              <w:right w:val="none" w:sz="0" w:space="0" w:color="auto"/>
            </w:tcBorders>
            <w:shd w:val="clear" w:color="auto" w:fill="auto"/>
          </w:tcPr>
          <w:p w:rsidR="00785550" w:rsidRPr="00BB0C07" w:rsidRDefault="00785550" w:rsidP="00441C00">
            <w:pPr>
              <w:rPr>
                <w:rFonts w:ascii="Times New Roman" w:hAnsi="Times New Roman" w:cs="Times New Roman"/>
                <w:sz w:val="20"/>
                <w:lang w:val="en-US"/>
              </w:rPr>
            </w:pPr>
          </w:p>
        </w:tc>
        <w:tc>
          <w:tcPr>
            <w:tcW w:w="1464" w:type="dxa"/>
            <w:gridSpan w:val="2"/>
            <w:tcBorders>
              <w:top w:val="single" w:sz="4" w:space="0" w:color="auto"/>
              <w:left w:val="none" w:sz="0" w:space="0" w:color="auto"/>
              <w:bottom w:val="single" w:sz="4" w:space="0" w:color="auto"/>
              <w:right w:val="none" w:sz="0" w:space="0" w:color="auto"/>
            </w:tcBorders>
            <w:shd w:val="clear" w:color="auto" w:fill="auto"/>
            <w:vAlign w:val="center"/>
          </w:tcPr>
          <w:p w:rsidR="00785550" w:rsidRPr="00BB0C07" w:rsidRDefault="00785550" w:rsidP="006575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roofErr w:type="spellStart"/>
            <w:r w:rsidRPr="00BB0C07">
              <w:rPr>
                <w:rFonts w:ascii="Times New Roman" w:hAnsi="Times New Roman" w:cs="Times New Roman"/>
                <w:sz w:val="20"/>
              </w:rPr>
              <w:t>Ischemic</w:t>
            </w:r>
            <w:proofErr w:type="spellEnd"/>
          </w:p>
          <w:p w:rsidR="00785550" w:rsidRPr="00BB0C07" w:rsidRDefault="00785550" w:rsidP="006575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roofErr w:type="spellStart"/>
            <w:r w:rsidRPr="00BB0C07">
              <w:rPr>
                <w:rFonts w:ascii="Times New Roman" w:hAnsi="Times New Roman" w:cs="Times New Roman"/>
                <w:sz w:val="20"/>
              </w:rPr>
              <w:t>stroke</w:t>
            </w:r>
            <w:proofErr w:type="spellEnd"/>
            <w:r w:rsidRPr="00BB0C07">
              <w:rPr>
                <w:rFonts w:ascii="Times New Roman" w:hAnsi="Times New Roman" w:cs="Times New Roman"/>
                <w:sz w:val="20"/>
              </w:rPr>
              <w:t>*</w:t>
            </w:r>
          </w:p>
        </w:tc>
        <w:tc>
          <w:tcPr>
            <w:tcW w:w="1418" w:type="dxa"/>
            <w:gridSpan w:val="2"/>
            <w:tcBorders>
              <w:top w:val="single" w:sz="4" w:space="0" w:color="auto"/>
              <w:left w:val="none" w:sz="0" w:space="0" w:color="auto"/>
              <w:bottom w:val="single" w:sz="4" w:space="0" w:color="auto"/>
              <w:right w:val="none" w:sz="0" w:space="0" w:color="auto"/>
            </w:tcBorders>
            <w:shd w:val="clear" w:color="auto" w:fill="auto"/>
            <w:vAlign w:val="center"/>
          </w:tcPr>
          <w:p w:rsidR="00785550" w:rsidRPr="00BB0C07" w:rsidRDefault="00785550" w:rsidP="006575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Major</w:t>
            </w:r>
          </w:p>
          <w:p w:rsidR="00785550" w:rsidRPr="00BB0C07" w:rsidRDefault="00785550" w:rsidP="006575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roofErr w:type="spellStart"/>
            <w:r w:rsidRPr="00BB0C07">
              <w:rPr>
                <w:rFonts w:ascii="Times New Roman" w:hAnsi="Times New Roman" w:cs="Times New Roman"/>
                <w:sz w:val="20"/>
              </w:rPr>
              <w:t>hemorrhage</w:t>
            </w:r>
            <w:proofErr w:type="spellEnd"/>
          </w:p>
        </w:tc>
        <w:tc>
          <w:tcPr>
            <w:tcW w:w="1432" w:type="dxa"/>
            <w:gridSpan w:val="2"/>
            <w:tcBorders>
              <w:top w:val="single" w:sz="4" w:space="0" w:color="auto"/>
              <w:left w:val="none" w:sz="0" w:space="0" w:color="auto"/>
              <w:bottom w:val="single" w:sz="4" w:space="0" w:color="auto"/>
              <w:right w:val="none" w:sz="0" w:space="0" w:color="auto"/>
            </w:tcBorders>
            <w:shd w:val="clear" w:color="auto" w:fill="auto"/>
            <w:vAlign w:val="center"/>
          </w:tcPr>
          <w:p w:rsidR="00785550" w:rsidRPr="00BB0C07" w:rsidRDefault="00785550" w:rsidP="006575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roofErr w:type="spellStart"/>
            <w:r w:rsidRPr="00BB0C07">
              <w:rPr>
                <w:rFonts w:ascii="Times New Roman" w:hAnsi="Times New Roman" w:cs="Times New Roman"/>
                <w:sz w:val="20"/>
              </w:rPr>
              <w:t>Myocardial</w:t>
            </w:r>
            <w:proofErr w:type="spellEnd"/>
            <w:r w:rsidRPr="00BB0C07">
              <w:rPr>
                <w:rFonts w:ascii="Times New Roman" w:hAnsi="Times New Roman" w:cs="Times New Roman"/>
                <w:sz w:val="20"/>
              </w:rPr>
              <w:t xml:space="preserve"> </w:t>
            </w:r>
            <w:proofErr w:type="spellStart"/>
            <w:r w:rsidRPr="00BB0C07">
              <w:rPr>
                <w:rFonts w:ascii="Times New Roman" w:hAnsi="Times New Roman" w:cs="Times New Roman"/>
                <w:sz w:val="20"/>
              </w:rPr>
              <w:t>infarction</w:t>
            </w:r>
            <w:proofErr w:type="spellEnd"/>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tcBorders>
          </w:tcPr>
          <w:p w:rsidR="00785550" w:rsidRPr="00BB0C07" w:rsidRDefault="00785550" w:rsidP="00441C00">
            <w:pPr>
              <w:rPr>
                <w:rFonts w:ascii="Times New Roman" w:hAnsi="Times New Roman" w:cs="Times New Roman"/>
                <w:sz w:val="20"/>
              </w:rPr>
            </w:pPr>
          </w:p>
        </w:tc>
        <w:tc>
          <w:tcPr>
            <w:tcW w:w="939" w:type="dxa"/>
            <w:tcBorders>
              <w:top w:val="single" w:sz="4" w:space="0" w:color="auto"/>
            </w:tcBorders>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25" w:type="dxa"/>
            <w:tcBorders>
              <w:top w:val="single" w:sz="4" w:space="0" w:color="auto"/>
            </w:tcBorders>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851" w:type="dxa"/>
            <w:tcBorders>
              <w:top w:val="single" w:sz="4" w:space="0" w:color="auto"/>
            </w:tcBorders>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tcBorders>
              <w:top w:val="single" w:sz="4" w:space="0" w:color="auto"/>
            </w:tcBorders>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65" w:type="dxa"/>
            <w:tcBorders>
              <w:top w:val="single" w:sz="4" w:space="0" w:color="auto"/>
            </w:tcBorders>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tcBorders>
              <w:top w:val="single" w:sz="4" w:space="0" w:color="auto"/>
            </w:tcBorders>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3C071B">
            <w:pPr>
              <w:rPr>
                <w:rFonts w:ascii="Times New Roman" w:hAnsi="Times New Roman" w:cs="Times New Roman"/>
                <w:b w:val="0"/>
                <w:sz w:val="20"/>
              </w:rPr>
            </w:pPr>
            <w:proofErr w:type="spellStart"/>
            <w:r w:rsidRPr="00BB0C07">
              <w:rPr>
                <w:rFonts w:ascii="Times New Roman" w:hAnsi="Times New Roman" w:cs="Times New Roman"/>
                <w:b w:val="0"/>
                <w:sz w:val="20"/>
              </w:rPr>
              <w:t>All</w:t>
            </w:r>
            <w:proofErr w:type="spellEnd"/>
            <w:r w:rsidRPr="00BB0C07">
              <w:rPr>
                <w:rFonts w:ascii="Times New Roman" w:hAnsi="Times New Roman" w:cs="Times New Roman"/>
                <w:b w:val="0"/>
                <w:sz w:val="20"/>
              </w:rPr>
              <w:t xml:space="preserve"> </w:t>
            </w:r>
            <w:proofErr w:type="spellStart"/>
            <w:r w:rsidRPr="00BB0C07">
              <w:rPr>
                <w:rFonts w:ascii="Times New Roman" w:hAnsi="Times New Roman" w:cs="Times New Roman"/>
                <w:b w:val="0"/>
                <w:sz w:val="20"/>
              </w:rPr>
              <w:t>participants</w:t>
            </w:r>
            <w:proofErr w:type="spellEnd"/>
            <w:r w:rsidR="003C071B" w:rsidRPr="00BB0C07">
              <w:rPr>
                <w:rFonts w:ascii="Times New Roman" w:hAnsi="Times New Roman" w:cs="Times New Roman"/>
                <w:b w:val="0"/>
                <w:sz w:val="20"/>
              </w:rPr>
              <w:t xml:space="preserve"> (1</w:t>
            </w:r>
            <w:r w:rsidR="00C25ECA" w:rsidRPr="00BB0C07">
              <w:rPr>
                <w:rFonts w:ascii="Times New Roman" w:hAnsi="Times New Roman"/>
                <w:sz w:val="20"/>
              </w:rPr>
              <w:t>,2</w:t>
            </w:r>
            <w:r w:rsidR="003C071B" w:rsidRPr="00BB0C07">
              <w:rPr>
                <w:rFonts w:ascii="Times New Roman" w:hAnsi="Times New Roman" w:cs="Times New Roman"/>
                <w:b w:val="0"/>
                <w:sz w:val="20"/>
              </w:rPr>
              <w:t>)</w:t>
            </w:r>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0.76</w:t>
            </w: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0.93</w:t>
            </w: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1.27</w:t>
            </w: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41C00">
            <w:pPr>
              <w:ind w:left="284"/>
              <w:rPr>
                <w:rFonts w:ascii="Times New Roman" w:hAnsi="Times New Roman" w:cs="Times New Roman"/>
                <w:b w:val="0"/>
                <w:sz w:val="20"/>
              </w:rPr>
            </w:pPr>
            <w:r w:rsidRPr="00BB0C07">
              <w:rPr>
                <w:rFonts w:ascii="Times New Roman" w:hAnsi="Times New Roman" w:cs="Times New Roman"/>
                <w:b w:val="0"/>
                <w:sz w:val="20"/>
              </w:rPr>
              <w:t>Age</w:t>
            </w:r>
            <w:r w:rsidR="003C071B" w:rsidRPr="00BB0C07">
              <w:rPr>
                <w:rFonts w:ascii="Times New Roman" w:hAnsi="Times New Roman" w:cs="Times New Roman"/>
                <w:b w:val="0"/>
                <w:sz w:val="20"/>
              </w:rPr>
              <w:t xml:space="preserve"> (3)</w:t>
            </w:r>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25"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 xml:space="preserve">&lt;75 </w:t>
            </w:r>
            <w:proofErr w:type="spellStart"/>
            <w:r w:rsidRPr="00BB0C07">
              <w:rPr>
                <w:rFonts w:ascii="Times New Roman" w:hAnsi="Times New Roman" w:cs="Times New Roman"/>
                <w:b w:val="0"/>
                <w:sz w:val="20"/>
              </w:rPr>
              <w:t>years</w:t>
            </w:r>
            <w:proofErr w:type="spellEnd"/>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0.74</w:t>
            </w: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0.70</w:t>
            </w: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 xml:space="preserve">≥75 </w:t>
            </w:r>
            <w:proofErr w:type="spellStart"/>
            <w:r w:rsidRPr="00BB0C07">
              <w:rPr>
                <w:rFonts w:ascii="Times New Roman" w:hAnsi="Times New Roman" w:cs="Times New Roman"/>
                <w:b w:val="0"/>
                <w:sz w:val="20"/>
              </w:rPr>
              <w:t>years</w:t>
            </w:r>
            <w:proofErr w:type="spellEnd"/>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0.78</w:t>
            </w:r>
          </w:p>
        </w:tc>
        <w:tc>
          <w:tcPr>
            <w:tcW w:w="525"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1.17</w:t>
            </w: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41C00">
            <w:pPr>
              <w:ind w:left="284"/>
              <w:rPr>
                <w:rFonts w:ascii="Times New Roman" w:hAnsi="Times New Roman" w:cs="Times New Roman"/>
                <w:b w:val="0"/>
                <w:sz w:val="20"/>
              </w:rPr>
            </w:pPr>
            <w:r w:rsidRPr="00BB0C07">
              <w:rPr>
                <w:rFonts w:ascii="Times New Roman" w:hAnsi="Times New Roman" w:cs="Times New Roman"/>
                <w:b w:val="0"/>
                <w:sz w:val="20"/>
              </w:rPr>
              <w:t>Gender</w:t>
            </w:r>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Male</w:t>
            </w:r>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0.86</w:t>
            </w:r>
          </w:p>
        </w:tc>
        <w:tc>
          <w:tcPr>
            <w:tcW w:w="525" w:type="dxa"/>
            <w:shd w:val="clear" w:color="auto" w:fill="auto"/>
          </w:tcPr>
          <w:p w:rsidR="00785550" w:rsidRPr="00BB0C07" w:rsidRDefault="00455EEF" w:rsidP="00455E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w:t>
            </w:r>
            <w:r w:rsidR="00785550" w:rsidRPr="00BB0C07">
              <w:rPr>
                <w:rFonts w:ascii="Times New Roman" w:hAnsi="Times New Roman" w:cs="Times New Roman"/>
                <w:sz w:val="20"/>
              </w:rPr>
              <w:t>1</w:t>
            </w:r>
            <w:r w:rsidRPr="00BB0C07">
              <w:rPr>
                <w:rFonts w:ascii="Times New Roman" w:hAnsi="Times New Roman" w:cs="Times New Roman"/>
                <w:sz w:val="20"/>
              </w:rPr>
              <w:t>)</w:t>
            </w: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0.93</w:t>
            </w:r>
          </w:p>
        </w:tc>
        <w:tc>
          <w:tcPr>
            <w:tcW w:w="567" w:type="dxa"/>
            <w:shd w:val="clear" w:color="auto" w:fill="auto"/>
          </w:tcPr>
          <w:p w:rsidR="00785550" w:rsidRPr="00BB0C07" w:rsidRDefault="00455EEF" w:rsidP="00455E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w:t>
            </w:r>
            <w:r w:rsidR="00785550" w:rsidRPr="00BB0C07">
              <w:rPr>
                <w:rFonts w:ascii="Times New Roman" w:hAnsi="Times New Roman" w:cs="Times New Roman"/>
                <w:sz w:val="20"/>
              </w:rPr>
              <w:t>3</w:t>
            </w:r>
            <w:r w:rsidRPr="00BB0C07">
              <w:rPr>
                <w:rFonts w:ascii="Times New Roman" w:hAnsi="Times New Roman" w:cs="Times New Roman"/>
                <w:sz w:val="20"/>
              </w:rPr>
              <w:t>)</w:t>
            </w: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41C00">
            <w:pPr>
              <w:ind w:left="567"/>
              <w:rPr>
                <w:rFonts w:ascii="Times New Roman" w:hAnsi="Times New Roman" w:cs="Times New Roman"/>
                <w:b w:val="0"/>
                <w:sz w:val="20"/>
              </w:rPr>
            </w:pPr>
            <w:proofErr w:type="spellStart"/>
            <w:r w:rsidRPr="00BB0C07">
              <w:rPr>
                <w:rFonts w:ascii="Times New Roman" w:hAnsi="Times New Roman" w:cs="Times New Roman"/>
                <w:b w:val="0"/>
                <w:sz w:val="20"/>
              </w:rPr>
              <w:t>Female</w:t>
            </w:r>
            <w:proofErr w:type="spellEnd"/>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0.66</w:t>
            </w:r>
          </w:p>
        </w:tc>
        <w:tc>
          <w:tcPr>
            <w:tcW w:w="525" w:type="dxa"/>
            <w:tcBorders>
              <w:left w:val="none" w:sz="0" w:space="0" w:color="auto"/>
              <w:right w:val="none" w:sz="0" w:space="0" w:color="auto"/>
            </w:tcBorders>
            <w:shd w:val="clear" w:color="auto" w:fill="auto"/>
          </w:tcPr>
          <w:p w:rsidR="00785550" w:rsidRPr="00BB0C07" w:rsidRDefault="00455EEF"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w:t>
            </w:r>
            <w:r w:rsidR="00785550" w:rsidRPr="00BB0C07">
              <w:rPr>
                <w:rFonts w:ascii="Times New Roman" w:hAnsi="Times New Roman" w:cs="Times New Roman"/>
                <w:sz w:val="20"/>
              </w:rPr>
              <w:t>1</w:t>
            </w:r>
            <w:r w:rsidRPr="00BB0C07">
              <w:rPr>
                <w:rFonts w:ascii="Times New Roman" w:hAnsi="Times New Roman" w:cs="Times New Roman"/>
                <w:sz w:val="20"/>
              </w:rPr>
              <w:t>)</w:t>
            </w: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0.93</w:t>
            </w:r>
          </w:p>
        </w:tc>
        <w:tc>
          <w:tcPr>
            <w:tcW w:w="567" w:type="dxa"/>
            <w:tcBorders>
              <w:left w:val="none" w:sz="0" w:space="0" w:color="auto"/>
              <w:right w:val="none" w:sz="0" w:space="0" w:color="auto"/>
            </w:tcBorders>
            <w:shd w:val="clear" w:color="auto" w:fill="auto"/>
          </w:tcPr>
          <w:p w:rsidR="00785550" w:rsidRPr="00BB0C07" w:rsidRDefault="00455EEF" w:rsidP="00455E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w:t>
            </w:r>
            <w:r w:rsidR="00785550" w:rsidRPr="00BB0C07">
              <w:rPr>
                <w:rFonts w:ascii="Times New Roman" w:hAnsi="Times New Roman" w:cs="Times New Roman"/>
                <w:sz w:val="20"/>
              </w:rPr>
              <w:t>3</w:t>
            </w:r>
            <w:r w:rsidRPr="00BB0C07">
              <w:rPr>
                <w:rFonts w:ascii="Times New Roman" w:hAnsi="Times New Roman" w:cs="Times New Roman"/>
                <w:sz w:val="20"/>
              </w:rPr>
              <w:t>)</w:t>
            </w: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41C00">
            <w:pPr>
              <w:ind w:left="284"/>
              <w:rPr>
                <w:rFonts w:ascii="Times New Roman" w:hAnsi="Times New Roman" w:cs="Times New Roman"/>
                <w:b w:val="0"/>
                <w:sz w:val="20"/>
              </w:rPr>
            </w:pPr>
            <w:proofErr w:type="spellStart"/>
            <w:r w:rsidRPr="00BB0C07">
              <w:rPr>
                <w:rFonts w:ascii="Times New Roman" w:hAnsi="Times New Roman" w:cs="Times New Roman"/>
                <w:b w:val="0"/>
                <w:sz w:val="20"/>
              </w:rPr>
              <w:t>Ethnicity</w:t>
            </w:r>
            <w:proofErr w:type="spellEnd"/>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25"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41C00">
            <w:pPr>
              <w:ind w:left="567"/>
              <w:rPr>
                <w:rFonts w:ascii="Times New Roman" w:hAnsi="Times New Roman" w:cs="Times New Roman"/>
                <w:b w:val="0"/>
                <w:sz w:val="20"/>
              </w:rPr>
            </w:pPr>
            <w:proofErr w:type="spellStart"/>
            <w:r w:rsidRPr="00BB0C07">
              <w:rPr>
                <w:rFonts w:ascii="Times New Roman" w:hAnsi="Times New Roman" w:cs="Times New Roman"/>
                <w:b w:val="0"/>
                <w:sz w:val="20"/>
              </w:rPr>
              <w:t>Asian</w:t>
            </w:r>
            <w:proofErr w:type="spellEnd"/>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0.55</w:t>
            </w:r>
          </w:p>
        </w:tc>
        <w:tc>
          <w:tcPr>
            <w:tcW w:w="525" w:type="dxa"/>
            <w:tcBorders>
              <w:left w:val="none" w:sz="0" w:space="0" w:color="auto"/>
              <w:right w:val="none" w:sz="0" w:space="0" w:color="auto"/>
            </w:tcBorders>
            <w:shd w:val="clear" w:color="auto" w:fill="auto"/>
          </w:tcPr>
          <w:p w:rsidR="00785550" w:rsidRPr="00BB0C07" w:rsidRDefault="00455EEF" w:rsidP="00455E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w:t>
            </w:r>
            <w:r w:rsidR="00785550" w:rsidRPr="00BB0C07">
              <w:rPr>
                <w:rFonts w:ascii="Times New Roman" w:hAnsi="Times New Roman" w:cs="Times New Roman"/>
                <w:sz w:val="20"/>
              </w:rPr>
              <w:t>5</w:t>
            </w:r>
            <w:r w:rsidRPr="00BB0C07">
              <w:rPr>
                <w:rFonts w:ascii="Times New Roman" w:hAnsi="Times New Roman" w:cs="Times New Roman"/>
                <w:sz w:val="20"/>
              </w:rPr>
              <w:t>)</w:t>
            </w: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0.57</w:t>
            </w:r>
          </w:p>
        </w:tc>
        <w:tc>
          <w:tcPr>
            <w:tcW w:w="567" w:type="dxa"/>
            <w:tcBorders>
              <w:left w:val="none" w:sz="0" w:space="0" w:color="auto"/>
              <w:right w:val="none" w:sz="0" w:space="0" w:color="auto"/>
            </w:tcBorders>
            <w:shd w:val="clear" w:color="auto" w:fill="auto"/>
          </w:tcPr>
          <w:p w:rsidR="00785550" w:rsidRPr="00BB0C07" w:rsidRDefault="00455EEF" w:rsidP="00455E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w:t>
            </w:r>
            <w:r w:rsidR="00785550" w:rsidRPr="00BB0C07">
              <w:rPr>
                <w:rFonts w:ascii="Times New Roman" w:hAnsi="Times New Roman" w:cs="Times New Roman"/>
                <w:sz w:val="20"/>
              </w:rPr>
              <w:t>5</w:t>
            </w:r>
            <w:r w:rsidRPr="00BB0C07">
              <w:rPr>
                <w:rFonts w:ascii="Times New Roman" w:hAnsi="Times New Roman" w:cs="Times New Roman"/>
                <w:sz w:val="20"/>
              </w:rPr>
              <w:t>)</w:t>
            </w: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0.86</w:t>
            </w:r>
          </w:p>
        </w:tc>
        <w:tc>
          <w:tcPr>
            <w:tcW w:w="567" w:type="dxa"/>
            <w:tcBorders>
              <w:left w:val="none" w:sz="0" w:space="0" w:color="auto"/>
              <w:right w:val="none" w:sz="0" w:space="0" w:color="auto"/>
            </w:tcBorders>
            <w:shd w:val="clear" w:color="auto" w:fill="auto"/>
          </w:tcPr>
          <w:p w:rsidR="00785550" w:rsidRPr="00BB0C07" w:rsidRDefault="00455EEF" w:rsidP="00455E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w:t>
            </w:r>
            <w:r w:rsidR="00785550" w:rsidRPr="00BB0C07">
              <w:rPr>
                <w:rFonts w:ascii="Times New Roman" w:hAnsi="Times New Roman" w:cs="Times New Roman"/>
                <w:sz w:val="20"/>
              </w:rPr>
              <w:t>5</w:t>
            </w:r>
            <w:r w:rsidRPr="00BB0C07">
              <w:rPr>
                <w:rFonts w:ascii="Times New Roman" w:hAnsi="Times New Roman" w:cs="Times New Roman"/>
                <w:sz w:val="20"/>
              </w:rPr>
              <w:t>)</w:t>
            </w: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 xml:space="preserve">European/ </w:t>
            </w:r>
            <w:proofErr w:type="spellStart"/>
            <w:r w:rsidRPr="00BB0C07">
              <w:rPr>
                <w:rFonts w:ascii="Times New Roman" w:hAnsi="Times New Roman" w:cs="Times New Roman"/>
                <w:b w:val="0"/>
                <w:sz w:val="20"/>
              </w:rPr>
              <w:t>Arab</w:t>
            </w:r>
            <w:proofErr w:type="spellEnd"/>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0.88</w:t>
            </w:r>
          </w:p>
        </w:tc>
        <w:tc>
          <w:tcPr>
            <w:tcW w:w="525" w:type="dxa"/>
            <w:shd w:val="clear" w:color="auto" w:fill="auto"/>
          </w:tcPr>
          <w:p w:rsidR="00785550" w:rsidRPr="00BB0C07" w:rsidRDefault="00455EEF"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w:t>
            </w:r>
            <w:r w:rsidR="00785550" w:rsidRPr="00BB0C07">
              <w:rPr>
                <w:rFonts w:ascii="Times New Roman" w:hAnsi="Times New Roman" w:cs="Times New Roman"/>
                <w:sz w:val="20"/>
              </w:rPr>
              <w:t>1</w:t>
            </w:r>
            <w:r w:rsidRPr="00BB0C07">
              <w:rPr>
                <w:rFonts w:ascii="Times New Roman" w:hAnsi="Times New Roman" w:cs="Times New Roman"/>
                <w:sz w:val="20"/>
              </w:rPr>
              <w:t>)</w:t>
            </w: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1.00</w:t>
            </w:r>
          </w:p>
        </w:tc>
        <w:tc>
          <w:tcPr>
            <w:tcW w:w="567" w:type="dxa"/>
            <w:shd w:val="clear" w:color="auto" w:fill="auto"/>
          </w:tcPr>
          <w:p w:rsidR="00785550" w:rsidRPr="00BB0C07" w:rsidRDefault="00455EEF" w:rsidP="00455E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w:t>
            </w:r>
            <w:r w:rsidR="00785550" w:rsidRPr="00BB0C07">
              <w:rPr>
                <w:rFonts w:ascii="Times New Roman" w:hAnsi="Times New Roman" w:cs="Times New Roman"/>
                <w:sz w:val="20"/>
              </w:rPr>
              <w:t>5</w:t>
            </w:r>
            <w:r w:rsidRPr="00BB0C07">
              <w:rPr>
                <w:rFonts w:ascii="Times New Roman" w:hAnsi="Times New Roman" w:cs="Times New Roman"/>
                <w:sz w:val="20"/>
              </w:rPr>
              <w:t>)</w:t>
            </w: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1.32</w:t>
            </w:r>
          </w:p>
        </w:tc>
        <w:tc>
          <w:tcPr>
            <w:tcW w:w="567" w:type="dxa"/>
            <w:shd w:val="clear" w:color="auto" w:fill="auto"/>
          </w:tcPr>
          <w:p w:rsidR="00785550" w:rsidRPr="00BB0C07" w:rsidRDefault="00455EEF" w:rsidP="00455E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w:t>
            </w:r>
            <w:r w:rsidR="00785550" w:rsidRPr="00BB0C07">
              <w:rPr>
                <w:rFonts w:ascii="Times New Roman" w:hAnsi="Times New Roman" w:cs="Times New Roman"/>
                <w:sz w:val="20"/>
              </w:rPr>
              <w:t>5</w:t>
            </w:r>
            <w:r w:rsidRPr="00BB0C07">
              <w:rPr>
                <w:rFonts w:ascii="Times New Roman" w:hAnsi="Times New Roman" w:cs="Times New Roman"/>
                <w:sz w:val="20"/>
              </w:rPr>
              <w:t>)</w:t>
            </w: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41C00">
            <w:pPr>
              <w:ind w:left="567"/>
              <w:rPr>
                <w:rFonts w:ascii="Times New Roman" w:hAnsi="Times New Roman" w:cs="Times New Roman"/>
                <w:b w:val="0"/>
                <w:sz w:val="20"/>
              </w:rPr>
            </w:pPr>
            <w:proofErr w:type="spellStart"/>
            <w:r w:rsidRPr="00BB0C07">
              <w:rPr>
                <w:rFonts w:ascii="Times New Roman" w:hAnsi="Times New Roman" w:cs="Times New Roman"/>
                <w:b w:val="0"/>
                <w:sz w:val="20"/>
              </w:rPr>
              <w:t>Other</w:t>
            </w:r>
            <w:proofErr w:type="spellEnd"/>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0.69</w:t>
            </w: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w:t>
            </w: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1.00</w:t>
            </w:r>
          </w:p>
        </w:tc>
        <w:tc>
          <w:tcPr>
            <w:tcW w:w="567" w:type="dxa"/>
            <w:tcBorders>
              <w:left w:val="none" w:sz="0" w:space="0" w:color="auto"/>
              <w:right w:val="none" w:sz="0" w:space="0" w:color="auto"/>
            </w:tcBorders>
            <w:shd w:val="clear" w:color="auto" w:fill="auto"/>
          </w:tcPr>
          <w:p w:rsidR="00785550" w:rsidRPr="00BB0C07" w:rsidRDefault="00455EEF" w:rsidP="00455E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w:t>
            </w:r>
            <w:r w:rsidR="00785550" w:rsidRPr="00BB0C07">
              <w:rPr>
                <w:rFonts w:ascii="Times New Roman" w:hAnsi="Times New Roman" w:cs="Times New Roman"/>
                <w:sz w:val="20"/>
              </w:rPr>
              <w:t>5</w:t>
            </w:r>
            <w:r w:rsidRPr="00BB0C07">
              <w:rPr>
                <w:rFonts w:ascii="Times New Roman" w:hAnsi="Times New Roman" w:cs="Times New Roman"/>
                <w:sz w:val="20"/>
              </w:rPr>
              <w:t>)</w:t>
            </w: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1.00</w:t>
            </w:r>
          </w:p>
        </w:tc>
        <w:tc>
          <w:tcPr>
            <w:tcW w:w="567" w:type="dxa"/>
            <w:tcBorders>
              <w:left w:val="none" w:sz="0" w:space="0" w:color="auto"/>
              <w:right w:val="none" w:sz="0" w:space="0" w:color="auto"/>
            </w:tcBorders>
            <w:shd w:val="clear" w:color="auto" w:fill="auto"/>
          </w:tcPr>
          <w:p w:rsidR="00785550" w:rsidRPr="00BB0C07" w:rsidRDefault="00455EEF" w:rsidP="00455E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w:t>
            </w:r>
            <w:r w:rsidR="00785550" w:rsidRPr="00BB0C07">
              <w:rPr>
                <w:rFonts w:ascii="Times New Roman" w:hAnsi="Times New Roman" w:cs="Times New Roman"/>
                <w:sz w:val="20"/>
              </w:rPr>
              <w:t>5</w:t>
            </w:r>
            <w:r w:rsidRPr="00BB0C07">
              <w:rPr>
                <w:rFonts w:ascii="Times New Roman" w:hAnsi="Times New Roman" w:cs="Times New Roman"/>
                <w:sz w:val="20"/>
              </w:rPr>
              <w:t>)</w:t>
            </w: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55EEF">
            <w:pPr>
              <w:ind w:left="284"/>
              <w:rPr>
                <w:rFonts w:ascii="Times New Roman" w:hAnsi="Times New Roman" w:cs="Times New Roman"/>
                <w:b w:val="0"/>
                <w:sz w:val="20"/>
              </w:rPr>
            </w:pPr>
            <w:r w:rsidRPr="00BB0C07">
              <w:rPr>
                <w:rFonts w:ascii="Times New Roman" w:hAnsi="Times New Roman" w:cs="Times New Roman"/>
                <w:b w:val="0"/>
                <w:sz w:val="20"/>
              </w:rPr>
              <w:t xml:space="preserve">Prior </w:t>
            </w:r>
            <w:proofErr w:type="spellStart"/>
            <w:r w:rsidRPr="00BB0C07">
              <w:rPr>
                <w:rFonts w:ascii="Times New Roman" w:hAnsi="Times New Roman" w:cs="Times New Roman"/>
                <w:b w:val="0"/>
                <w:sz w:val="20"/>
              </w:rPr>
              <w:t>stroke</w:t>
            </w:r>
            <w:proofErr w:type="spellEnd"/>
            <w:r w:rsidRPr="00BB0C07">
              <w:rPr>
                <w:rFonts w:ascii="Times New Roman" w:hAnsi="Times New Roman" w:cs="Times New Roman"/>
                <w:b w:val="0"/>
                <w:sz w:val="20"/>
              </w:rPr>
              <w:t>/ TIA</w:t>
            </w:r>
            <w:r w:rsidR="00F15FE8" w:rsidRPr="00BB0C07">
              <w:rPr>
                <w:rFonts w:ascii="Times New Roman" w:hAnsi="Times New Roman" w:cs="Times New Roman"/>
                <w:b w:val="0"/>
                <w:sz w:val="20"/>
                <w:vertAlign w:val="superscript"/>
              </w:rPr>
              <w:t xml:space="preserve"> </w:t>
            </w:r>
            <w:r w:rsidR="00455EEF" w:rsidRPr="00BB0C07">
              <w:rPr>
                <w:rFonts w:ascii="Times New Roman" w:hAnsi="Times New Roman" w:cs="Times New Roman"/>
                <w:b w:val="0"/>
                <w:sz w:val="20"/>
              </w:rPr>
              <w:t>(</w:t>
            </w:r>
            <w:r w:rsidR="00F15FE8" w:rsidRPr="00BB0C07">
              <w:rPr>
                <w:rFonts w:ascii="Times New Roman" w:hAnsi="Times New Roman" w:cs="Times New Roman"/>
                <w:b w:val="0"/>
                <w:sz w:val="20"/>
              </w:rPr>
              <w:t>6</w:t>
            </w:r>
            <w:r w:rsidR="00455EEF" w:rsidRPr="00BB0C07">
              <w:rPr>
                <w:rFonts w:ascii="Times New Roman" w:hAnsi="Times New Roman" w:cs="Times New Roman"/>
                <w:b w:val="0"/>
                <w:sz w:val="20"/>
              </w:rPr>
              <w:t>)</w:t>
            </w:r>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25"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Yes</w:t>
            </w:r>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1.00</w:t>
            </w: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1.00</w:t>
            </w: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1.59</w:t>
            </w: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No</w:t>
            </w:r>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0.66</w:t>
            </w:r>
          </w:p>
        </w:tc>
        <w:tc>
          <w:tcPr>
            <w:tcW w:w="525"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0.90</w:t>
            </w: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1.19</w:t>
            </w: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55EEF">
            <w:pPr>
              <w:ind w:left="284"/>
              <w:rPr>
                <w:rFonts w:ascii="Times New Roman" w:hAnsi="Times New Roman" w:cs="Times New Roman"/>
                <w:b w:val="0"/>
                <w:sz w:val="20"/>
              </w:rPr>
            </w:pPr>
            <w:r w:rsidRPr="00BB0C07">
              <w:rPr>
                <w:rFonts w:ascii="Times New Roman" w:hAnsi="Times New Roman" w:cs="Times New Roman"/>
                <w:b w:val="0"/>
                <w:sz w:val="20"/>
              </w:rPr>
              <w:t>Prior MI/ CAD</w:t>
            </w:r>
            <w:r w:rsidR="00F15FE8" w:rsidRPr="00BB0C07">
              <w:rPr>
                <w:rFonts w:ascii="Times New Roman" w:hAnsi="Times New Roman" w:cs="Times New Roman"/>
                <w:b w:val="0"/>
                <w:sz w:val="20"/>
              </w:rPr>
              <w:t xml:space="preserve"> </w:t>
            </w:r>
            <w:r w:rsidR="00455EEF" w:rsidRPr="00BB0C07">
              <w:rPr>
                <w:rFonts w:ascii="Times New Roman" w:hAnsi="Times New Roman" w:cs="Times New Roman"/>
                <w:b w:val="0"/>
                <w:sz w:val="20"/>
              </w:rPr>
              <w:t>(</w:t>
            </w:r>
            <w:r w:rsidR="00F15FE8" w:rsidRPr="00BB0C07">
              <w:rPr>
                <w:rFonts w:ascii="Times New Roman" w:hAnsi="Times New Roman" w:cs="Times New Roman"/>
                <w:b w:val="0"/>
                <w:sz w:val="20"/>
              </w:rPr>
              <w:t>7</w:t>
            </w:r>
            <w:r w:rsidR="00455EEF" w:rsidRPr="00BB0C07">
              <w:rPr>
                <w:rFonts w:ascii="Times New Roman" w:hAnsi="Times New Roman" w:cs="Times New Roman"/>
                <w:b w:val="0"/>
                <w:sz w:val="20"/>
              </w:rPr>
              <w:t>)</w:t>
            </w:r>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Yes</w:t>
            </w:r>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0.88</w:t>
            </w:r>
          </w:p>
        </w:tc>
        <w:tc>
          <w:tcPr>
            <w:tcW w:w="525"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0.94</w:t>
            </w: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1.32</w:t>
            </w: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No</w:t>
            </w:r>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0.69</w:t>
            </w: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0.92</w:t>
            </w: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1.18</w:t>
            </w: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55EEF">
            <w:pPr>
              <w:ind w:left="284"/>
              <w:rPr>
                <w:rFonts w:ascii="Times New Roman" w:hAnsi="Times New Roman" w:cs="Times New Roman"/>
                <w:b w:val="0"/>
                <w:sz w:val="20"/>
              </w:rPr>
            </w:pPr>
            <w:r w:rsidRPr="00BB0C07">
              <w:rPr>
                <w:rFonts w:ascii="Times New Roman" w:hAnsi="Times New Roman" w:cs="Times New Roman"/>
                <w:b w:val="0"/>
                <w:sz w:val="20"/>
              </w:rPr>
              <w:t>Diabetes mellitus</w:t>
            </w:r>
            <w:r w:rsidR="00F15FE8" w:rsidRPr="00BB0C07">
              <w:rPr>
                <w:rFonts w:ascii="Times New Roman" w:hAnsi="Times New Roman" w:cs="Times New Roman"/>
                <w:b w:val="0"/>
                <w:sz w:val="20"/>
              </w:rPr>
              <w:t xml:space="preserve"> </w:t>
            </w:r>
            <w:r w:rsidR="00455EEF" w:rsidRPr="00BB0C07">
              <w:rPr>
                <w:rFonts w:ascii="Times New Roman" w:hAnsi="Times New Roman" w:cs="Times New Roman"/>
                <w:b w:val="0"/>
                <w:sz w:val="20"/>
              </w:rPr>
              <w:t>(</w:t>
            </w:r>
            <w:r w:rsidR="00F15FE8" w:rsidRPr="00BB0C07">
              <w:rPr>
                <w:rFonts w:ascii="Times New Roman" w:hAnsi="Times New Roman" w:cs="Times New Roman"/>
                <w:b w:val="0"/>
                <w:sz w:val="20"/>
              </w:rPr>
              <w:t>8</w:t>
            </w:r>
            <w:r w:rsidR="00455EEF" w:rsidRPr="00BB0C07">
              <w:rPr>
                <w:rFonts w:ascii="Times New Roman" w:hAnsi="Times New Roman" w:cs="Times New Roman"/>
                <w:b w:val="0"/>
                <w:sz w:val="20"/>
              </w:rPr>
              <w:t>)</w:t>
            </w:r>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25"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Yes</w:t>
            </w:r>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0.76</w:t>
            </w: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1.12</w:t>
            </w: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No</w:t>
            </w:r>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0.76</w:t>
            </w:r>
          </w:p>
        </w:tc>
        <w:tc>
          <w:tcPr>
            <w:tcW w:w="525"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0.86</w:t>
            </w: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55EEF">
            <w:pPr>
              <w:ind w:left="284"/>
              <w:rPr>
                <w:rFonts w:ascii="Times New Roman" w:hAnsi="Times New Roman" w:cs="Times New Roman"/>
                <w:b w:val="0"/>
                <w:sz w:val="20"/>
              </w:rPr>
            </w:pPr>
            <w:proofErr w:type="spellStart"/>
            <w:r w:rsidRPr="00BB0C07">
              <w:rPr>
                <w:rFonts w:ascii="Times New Roman" w:hAnsi="Times New Roman" w:cs="Times New Roman"/>
                <w:b w:val="0"/>
                <w:sz w:val="20"/>
              </w:rPr>
              <w:t>Heart</w:t>
            </w:r>
            <w:proofErr w:type="spellEnd"/>
            <w:r w:rsidRPr="00BB0C07">
              <w:rPr>
                <w:rFonts w:ascii="Times New Roman" w:hAnsi="Times New Roman" w:cs="Times New Roman"/>
                <w:b w:val="0"/>
                <w:sz w:val="20"/>
              </w:rPr>
              <w:t xml:space="preserve"> failure</w:t>
            </w:r>
            <w:r w:rsidR="00F15FE8" w:rsidRPr="00BB0C07">
              <w:rPr>
                <w:rFonts w:ascii="Times New Roman" w:hAnsi="Times New Roman" w:cs="Times New Roman"/>
                <w:b w:val="0"/>
                <w:sz w:val="20"/>
              </w:rPr>
              <w:t xml:space="preserve"> </w:t>
            </w:r>
            <w:r w:rsidR="00455EEF" w:rsidRPr="00BB0C07">
              <w:rPr>
                <w:rFonts w:ascii="Times New Roman" w:hAnsi="Times New Roman" w:cs="Times New Roman"/>
                <w:b w:val="0"/>
                <w:sz w:val="20"/>
              </w:rPr>
              <w:t>(9)</w:t>
            </w:r>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Yes</w:t>
            </w:r>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0.88</w:t>
            </w:r>
          </w:p>
        </w:tc>
        <w:tc>
          <w:tcPr>
            <w:tcW w:w="525"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0.79</w:t>
            </w: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No</w:t>
            </w:r>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0.71</w:t>
            </w: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0.98</w:t>
            </w: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55EEF">
            <w:pPr>
              <w:ind w:left="284"/>
              <w:rPr>
                <w:rFonts w:ascii="Times New Roman" w:hAnsi="Times New Roman" w:cs="Times New Roman"/>
                <w:b w:val="0"/>
                <w:sz w:val="20"/>
              </w:rPr>
            </w:pPr>
            <w:proofErr w:type="spellStart"/>
            <w:r w:rsidRPr="00BB0C07">
              <w:rPr>
                <w:rFonts w:ascii="Times New Roman" w:hAnsi="Times New Roman" w:cs="Times New Roman"/>
                <w:b w:val="0"/>
                <w:sz w:val="20"/>
              </w:rPr>
              <w:t>Hypertension</w:t>
            </w:r>
            <w:proofErr w:type="spellEnd"/>
            <w:r w:rsidR="00F15FE8" w:rsidRPr="00BB0C07">
              <w:rPr>
                <w:rFonts w:ascii="Times New Roman" w:hAnsi="Times New Roman" w:cs="Times New Roman"/>
                <w:b w:val="0"/>
                <w:sz w:val="20"/>
              </w:rPr>
              <w:t xml:space="preserve"> </w:t>
            </w:r>
            <w:r w:rsidR="00455EEF" w:rsidRPr="00BB0C07">
              <w:rPr>
                <w:rFonts w:ascii="Times New Roman" w:hAnsi="Times New Roman" w:cs="Times New Roman"/>
                <w:b w:val="0"/>
                <w:sz w:val="20"/>
              </w:rPr>
              <w:t>(</w:t>
            </w:r>
            <w:r w:rsidR="00F15FE8" w:rsidRPr="00BB0C07">
              <w:rPr>
                <w:rFonts w:ascii="Times New Roman" w:hAnsi="Times New Roman" w:cs="Times New Roman"/>
                <w:b w:val="0"/>
                <w:sz w:val="20"/>
              </w:rPr>
              <w:t>1</w:t>
            </w:r>
            <w:r w:rsidR="00455EEF" w:rsidRPr="00BB0C07">
              <w:rPr>
                <w:rFonts w:ascii="Times New Roman" w:hAnsi="Times New Roman" w:cs="Times New Roman"/>
                <w:b w:val="0"/>
                <w:sz w:val="20"/>
              </w:rPr>
              <w:t>)</w:t>
            </w:r>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25"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41C00">
            <w:pPr>
              <w:ind w:left="583"/>
              <w:rPr>
                <w:rFonts w:ascii="Times New Roman" w:hAnsi="Times New Roman" w:cs="Times New Roman"/>
                <w:b w:val="0"/>
                <w:sz w:val="20"/>
              </w:rPr>
            </w:pPr>
            <w:r w:rsidRPr="00BB0C07">
              <w:rPr>
                <w:rFonts w:ascii="Times New Roman" w:hAnsi="Times New Roman" w:cs="Times New Roman"/>
                <w:b w:val="0"/>
                <w:sz w:val="20"/>
              </w:rPr>
              <w:t>Yes</w:t>
            </w:r>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0.79</w:t>
            </w: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41C00">
            <w:pPr>
              <w:ind w:left="583"/>
              <w:rPr>
                <w:rFonts w:ascii="Times New Roman" w:hAnsi="Times New Roman" w:cs="Times New Roman"/>
                <w:b w:val="0"/>
                <w:sz w:val="20"/>
              </w:rPr>
            </w:pPr>
            <w:r w:rsidRPr="00BB0C07">
              <w:rPr>
                <w:rFonts w:ascii="Times New Roman" w:hAnsi="Times New Roman" w:cs="Times New Roman"/>
                <w:b w:val="0"/>
                <w:sz w:val="20"/>
              </w:rPr>
              <w:t>No</w:t>
            </w:r>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0.67</w:t>
            </w:r>
          </w:p>
        </w:tc>
        <w:tc>
          <w:tcPr>
            <w:tcW w:w="525"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55EEF">
            <w:pPr>
              <w:ind w:left="284"/>
              <w:rPr>
                <w:rFonts w:ascii="Times New Roman" w:hAnsi="Times New Roman" w:cs="Times New Roman"/>
                <w:b w:val="0"/>
                <w:sz w:val="20"/>
              </w:rPr>
            </w:pPr>
            <w:r w:rsidRPr="00BB0C07">
              <w:rPr>
                <w:rFonts w:ascii="Times New Roman" w:hAnsi="Times New Roman" w:cs="Times New Roman"/>
                <w:b w:val="0"/>
                <w:sz w:val="20"/>
              </w:rPr>
              <w:t>CHADS2-score</w:t>
            </w:r>
            <w:r w:rsidR="00F15FE8" w:rsidRPr="00BB0C07">
              <w:rPr>
                <w:rFonts w:ascii="Times New Roman" w:hAnsi="Times New Roman" w:cs="Times New Roman"/>
                <w:b w:val="0"/>
                <w:sz w:val="20"/>
              </w:rPr>
              <w:t xml:space="preserve"> </w:t>
            </w:r>
            <w:r w:rsidR="00455EEF" w:rsidRPr="00BB0C07">
              <w:rPr>
                <w:rFonts w:ascii="Times New Roman" w:hAnsi="Times New Roman" w:cs="Times New Roman"/>
                <w:b w:val="0"/>
                <w:sz w:val="20"/>
              </w:rPr>
              <w:t>(</w:t>
            </w:r>
            <w:r w:rsidR="00F15FE8" w:rsidRPr="00BB0C07">
              <w:rPr>
                <w:rFonts w:ascii="Times New Roman" w:hAnsi="Times New Roman" w:cs="Times New Roman"/>
                <w:b w:val="0"/>
                <w:sz w:val="20"/>
              </w:rPr>
              <w:t>10</w:t>
            </w:r>
            <w:r w:rsidR="00455EEF" w:rsidRPr="00BB0C07">
              <w:rPr>
                <w:rFonts w:ascii="Times New Roman" w:hAnsi="Times New Roman" w:cs="Times New Roman"/>
                <w:b w:val="0"/>
                <w:sz w:val="20"/>
              </w:rPr>
              <w:t>)</w:t>
            </w:r>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0-1</w:t>
            </w:r>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0.70</w:t>
            </w:r>
          </w:p>
        </w:tc>
        <w:tc>
          <w:tcPr>
            <w:tcW w:w="525"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0.74</w:t>
            </w: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2</w:t>
            </w:r>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0.71</w:t>
            </w: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0.92</w:t>
            </w: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3-6</w:t>
            </w:r>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0.81</w:t>
            </w:r>
          </w:p>
        </w:tc>
        <w:tc>
          <w:tcPr>
            <w:tcW w:w="525"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1.05</w:t>
            </w: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55EEF">
            <w:pPr>
              <w:ind w:left="284"/>
              <w:rPr>
                <w:rFonts w:ascii="Times New Roman" w:hAnsi="Times New Roman" w:cs="Times New Roman"/>
                <w:b w:val="0"/>
                <w:sz w:val="20"/>
              </w:rPr>
            </w:pPr>
            <w:proofErr w:type="spellStart"/>
            <w:r w:rsidRPr="00BB0C07">
              <w:rPr>
                <w:rFonts w:ascii="Times New Roman" w:hAnsi="Times New Roman" w:cs="Times New Roman"/>
                <w:b w:val="0"/>
                <w:sz w:val="20"/>
              </w:rPr>
              <w:t>Renal</w:t>
            </w:r>
            <w:proofErr w:type="spellEnd"/>
            <w:r w:rsidRPr="00BB0C07">
              <w:rPr>
                <w:rFonts w:ascii="Times New Roman" w:hAnsi="Times New Roman" w:cs="Times New Roman"/>
                <w:b w:val="0"/>
                <w:sz w:val="20"/>
              </w:rPr>
              <w:t xml:space="preserve"> </w:t>
            </w:r>
            <w:proofErr w:type="spellStart"/>
            <w:r w:rsidRPr="00BB0C07">
              <w:rPr>
                <w:rFonts w:ascii="Times New Roman" w:hAnsi="Times New Roman" w:cs="Times New Roman"/>
                <w:b w:val="0"/>
                <w:sz w:val="20"/>
              </w:rPr>
              <w:t>function</w:t>
            </w:r>
            <w:proofErr w:type="spellEnd"/>
            <w:r w:rsidR="00F15FE8" w:rsidRPr="00BB0C07">
              <w:rPr>
                <w:rFonts w:ascii="Times New Roman" w:hAnsi="Times New Roman" w:cs="Times New Roman"/>
                <w:b w:val="0"/>
                <w:sz w:val="20"/>
              </w:rPr>
              <w:t xml:space="preserve"> </w:t>
            </w:r>
            <w:r w:rsidR="00455EEF" w:rsidRPr="00BB0C07">
              <w:rPr>
                <w:rFonts w:ascii="Times New Roman" w:hAnsi="Times New Roman" w:cs="Times New Roman"/>
                <w:b w:val="0"/>
                <w:sz w:val="20"/>
              </w:rPr>
              <w:t>(</w:t>
            </w:r>
            <w:r w:rsidR="00F15FE8" w:rsidRPr="00BB0C07">
              <w:rPr>
                <w:rFonts w:ascii="Times New Roman" w:hAnsi="Times New Roman" w:cs="Times New Roman"/>
                <w:b w:val="0"/>
                <w:sz w:val="20"/>
              </w:rPr>
              <w:t>11</w:t>
            </w:r>
            <w:r w:rsidR="00455EEF" w:rsidRPr="00BB0C07">
              <w:rPr>
                <w:rFonts w:ascii="Times New Roman" w:hAnsi="Times New Roman" w:cs="Times New Roman"/>
                <w:b w:val="0"/>
                <w:sz w:val="20"/>
              </w:rPr>
              <w:t>)</w:t>
            </w:r>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CC &lt;50 ml/min</w:t>
            </w:r>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0.66</w:t>
            </w:r>
          </w:p>
        </w:tc>
        <w:tc>
          <w:tcPr>
            <w:tcW w:w="525"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1.00</w:t>
            </w: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CC 50-79 ml/min</w:t>
            </w:r>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0.80</w:t>
            </w: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0.91</w:t>
            </w: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41C00">
            <w:pPr>
              <w:ind w:left="567"/>
              <w:rPr>
                <w:rFonts w:ascii="Times New Roman" w:hAnsi="Times New Roman" w:cs="Times New Roman"/>
                <w:b w:val="0"/>
                <w:sz w:val="20"/>
              </w:rPr>
            </w:pPr>
            <w:r w:rsidRPr="00BB0C07">
              <w:rPr>
                <w:rFonts w:ascii="Times New Roman" w:hAnsi="Times New Roman" w:cs="Times New Roman"/>
                <w:b w:val="0"/>
                <w:sz w:val="20"/>
              </w:rPr>
              <w:t>CC ≥80 ml/min</w:t>
            </w:r>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0.79</w:t>
            </w:r>
          </w:p>
        </w:tc>
        <w:tc>
          <w:tcPr>
            <w:tcW w:w="525"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0.84</w:t>
            </w: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55EEF">
            <w:pPr>
              <w:ind w:left="284"/>
              <w:rPr>
                <w:rFonts w:ascii="Times New Roman" w:hAnsi="Times New Roman" w:cs="Times New Roman"/>
                <w:b w:val="0"/>
                <w:sz w:val="20"/>
                <w:lang w:val="en-US"/>
              </w:rPr>
            </w:pPr>
            <w:r w:rsidRPr="00BB0C07">
              <w:rPr>
                <w:rFonts w:ascii="Times New Roman" w:hAnsi="Times New Roman" w:cs="Times New Roman"/>
                <w:b w:val="0"/>
                <w:sz w:val="20"/>
                <w:lang w:val="en-US"/>
              </w:rPr>
              <w:t>Level of INR control</w:t>
            </w:r>
            <w:r w:rsidR="00F15FE8" w:rsidRPr="00BB0C07">
              <w:rPr>
                <w:rFonts w:ascii="Times New Roman" w:hAnsi="Times New Roman" w:cs="Times New Roman"/>
                <w:b w:val="0"/>
                <w:sz w:val="20"/>
                <w:lang w:val="en-US"/>
              </w:rPr>
              <w:t xml:space="preserve"> </w:t>
            </w:r>
            <w:r w:rsidR="00455EEF" w:rsidRPr="00BB0C07">
              <w:rPr>
                <w:rFonts w:ascii="Times New Roman" w:hAnsi="Times New Roman" w:cs="Times New Roman"/>
                <w:b w:val="0"/>
                <w:sz w:val="20"/>
                <w:lang w:val="en-US"/>
              </w:rPr>
              <w:t>(</w:t>
            </w:r>
            <w:r w:rsidR="00F15FE8" w:rsidRPr="00BB0C07">
              <w:rPr>
                <w:rFonts w:ascii="Times New Roman" w:hAnsi="Times New Roman" w:cs="Times New Roman"/>
                <w:b w:val="0"/>
                <w:sz w:val="20"/>
                <w:lang w:val="en-US"/>
              </w:rPr>
              <w:t>12</w:t>
            </w:r>
            <w:r w:rsidR="00455EEF" w:rsidRPr="00BB0C07">
              <w:rPr>
                <w:rFonts w:ascii="Times New Roman" w:hAnsi="Times New Roman" w:cs="Times New Roman"/>
                <w:b w:val="0"/>
                <w:sz w:val="20"/>
                <w:lang w:val="en-US"/>
              </w:rPr>
              <w:t>)</w:t>
            </w:r>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lang w:val="en-US"/>
              </w:rPr>
            </w:pP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lang w:val="en-US"/>
              </w:rPr>
            </w:pP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lang w:val="en-US"/>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41C00">
            <w:pPr>
              <w:ind w:left="567"/>
              <w:rPr>
                <w:rFonts w:ascii="Times New Roman" w:hAnsi="Times New Roman" w:cs="Times New Roman"/>
                <w:b w:val="0"/>
                <w:sz w:val="20"/>
              </w:rPr>
            </w:pPr>
            <w:proofErr w:type="spellStart"/>
            <w:r w:rsidRPr="00BB0C07">
              <w:rPr>
                <w:rFonts w:ascii="Times New Roman" w:hAnsi="Times New Roman" w:cs="Times New Roman"/>
                <w:b w:val="0"/>
                <w:sz w:val="20"/>
              </w:rPr>
              <w:t>Centre’s</w:t>
            </w:r>
            <w:proofErr w:type="spellEnd"/>
            <w:r w:rsidRPr="00BB0C07">
              <w:rPr>
                <w:rFonts w:ascii="Times New Roman" w:hAnsi="Times New Roman" w:cs="Times New Roman"/>
                <w:b w:val="0"/>
                <w:sz w:val="20"/>
              </w:rPr>
              <w:t xml:space="preserve"> TTR &lt;57.1%</w:t>
            </w:r>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0.67</w:t>
            </w:r>
          </w:p>
        </w:tc>
        <w:tc>
          <w:tcPr>
            <w:tcW w:w="525"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0.71</w:t>
            </w: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41C00">
            <w:pPr>
              <w:ind w:left="567"/>
              <w:rPr>
                <w:rFonts w:ascii="Times New Roman" w:hAnsi="Times New Roman" w:cs="Times New Roman"/>
                <w:b w:val="0"/>
                <w:sz w:val="20"/>
              </w:rPr>
            </w:pPr>
            <w:proofErr w:type="spellStart"/>
            <w:r w:rsidRPr="00BB0C07">
              <w:rPr>
                <w:rFonts w:ascii="Times New Roman" w:hAnsi="Times New Roman" w:cs="Times New Roman"/>
                <w:b w:val="0"/>
                <w:sz w:val="20"/>
              </w:rPr>
              <w:t>Centre’s</w:t>
            </w:r>
            <w:proofErr w:type="spellEnd"/>
            <w:r w:rsidRPr="00BB0C07">
              <w:rPr>
                <w:rFonts w:ascii="Times New Roman" w:hAnsi="Times New Roman" w:cs="Times New Roman"/>
                <w:b w:val="0"/>
                <w:sz w:val="20"/>
              </w:rPr>
              <w:t xml:space="preserve"> TTR 57.1-65.5%</w:t>
            </w:r>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0.59</w:t>
            </w: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0.81</w:t>
            </w: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rsidR="00785550" w:rsidRPr="00BB0C07" w:rsidRDefault="00785550" w:rsidP="00441C00">
            <w:pPr>
              <w:ind w:left="567"/>
              <w:rPr>
                <w:rFonts w:ascii="Times New Roman" w:hAnsi="Times New Roman" w:cs="Times New Roman"/>
                <w:b w:val="0"/>
                <w:sz w:val="20"/>
              </w:rPr>
            </w:pPr>
            <w:proofErr w:type="spellStart"/>
            <w:r w:rsidRPr="00BB0C07">
              <w:rPr>
                <w:rFonts w:ascii="Times New Roman" w:hAnsi="Times New Roman" w:cs="Times New Roman"/>
                <w:b w:val="0"/>
                <w:sz w:val="20"/>
              </w:rPr>
              <w:t>Centre’s</w:t>
            </w:r>
            <w:proofErr w:type="spellEnd"/>
            <w:r w:rsidRPr="00BB0C07">
              <w:rPr>
                <w:rFonts w:ascii="Times New Roman" w:hAnsi="Times New Roman" w:cs="Times New Roman"/>
                <w:b w:val="0"/>
                <w:sz w:val="20"/>
              </w:rPr>
              <w:t xml:space="preserve"> TTR 65.5-72.6%</w:t>
            </w:r>
          </w:p>
        </w:tc>
        <w:tc>
          <w:tcPr>
            <w:tcW w:w="939"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0.81</w:t>
            </w:r>
          </w:p>
        </w:tc>
        <w:tc>
          <w:tcPr>
            <w:tcW w:w="525"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51"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1.12</w:t>
            </w: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65" w:type="dxa"/>
            <w:shd w:val="clear" w:color="auto" w:fill="auto"/>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shd w:val="clear" w:color="auto" w:fill="auto"/>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3" w:type="dxa"/>
            <w:tcBorders>
              <w:left w:val="none" w:sz="0" w:space="0" w:color="auto"/>
              <w:right w:val="none" w:sz="0" w:space="0" w:color="auto"/>
            </w:tcBorders>
            <w:shd w:val="clear" w:color="auto" w:fill="auto"/>
          </w:tcPr>
          <w:p w:rsidR="00785550" w:rsidRPr="00BB0C07" w:rsidRDefault="00785550" w:rsidP="00441C00">
            <w:pPr>
              <w:ind w:left="567"/>
              <w:rPr>
                <w:rFonts w:ascii="Times New Roman" w:hAnsi="Times New Roman" w:cs="Times New Roman"/>
                <w:b w:val="0"/>
                <w:sz w:val="20"/>
              </w:rPr>
            </w:pPr>
            <w:proofErr w:type="spellStart"/>
            <w:r w:rsidRPr="00BB0C07">
              <w:rPr>
                <w:rFonts w:ascii="Times New Roman" w:hAnsi="Times New Roman" w:cs="Times New Roman"/>
                <w:b w:val="0"/>
                <w:sz w:val="20"/>
              </w:rPr>
              <w:t>Centre’s</w:t>
            </w:r>
            <w:proofErr w:type="spellEnd"/>
            <w:r w:rsidRPr="00BB0C07">
              <w:rPr>
                <w:rFonts w:ascii="Times New Roman" w:hAnsi="Times New Roman" w:cs="Times New Roman"/>
                <w:b w:val="0"/>
                <w:sz w:val="20"/>
              </w:rPr>
              <w:t xml:space="preserve"> TTR &gt;72.6%</w:t>
            </w:r>
          </w:p>
        </w:tc>
        <w:tc>
          <w:tcPr>
            <w:tcW w:w="939"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1.09</w:t>
            </w:r>
          </w:p>
        </w:tc>
        <w:tc>
          <w:tcPr>
            <w:tcW w:w="525"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51"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0C07">
              <w:rPr>
                <w:rFonts w:ascii="Times New Roman" w:hAnsi="Times New Roman" w:cs="Times New Roman"/>
                <w:sz w:val="20"/>
              </w:rPr>
              <w:t>1.16</w:t>
            </w: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c>
          <w:tcPr>
            <w:tcW w:w="865" w:type="dxa"/>
            <w:tcBorders>
              <w:left w:val="none" w:sz="0" w:space="0" w:color="auto"/>
              <w:right w:val="none" w:sz="0" w:space="0" w:color="auto"/>
            </w:tcBorders>
            <w:shd w:val="clear" w:color="auto" w:fill="auto"/>
          </w:tcPr>
          <w:p w:rsidR="00785550" w:rsidRPr="00BB0C07" w:rsidRDefault="00785550" w:rsidP="00441C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67" w:type="dxa"/>
            <w:tcBorders>
              <w:left w:val="none" w:sz="0" w:space="0" w:color="auto"/>
              <w:right w:val="none" w:sz="0" w:space="0" w:color="auto"/>
            </w:tcBorders>
            <w:shd w:val="clear" w:color="auto" w:fill="auto"/>
          </w:tcPr>
          <w:p w:rsidR="00785550" w:rsidRPr="00BB0C07" w:rsidRDefault="00785550" w:rsidP="00441C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vertAlign w:val="superscript"/>
              </w:rPr>
            </w:pPr>
          </w:p>
        </w:tc>
      </w:tr>
      <w:tr w:rsidR="00785550" w:rsidRPr="00BB0C07" w:rsidTr="006575B0">
        <w:trPr>
          <w:trHeight w:val="20"/>
          <w:jc w:val="center"/>
        </w:trPr>
        <w:tc>
          <w:tcPr>
            <w:cnfStyle w:val="001000000000" w:firstRow="0" w:lastRow="0" w:firstColumn="1" w:lastColumn="0" w:oddVBand="0" w:evenVBand="0" w:oddHBand="0" w:evenHBand="0" w:firstRowFirstColumn="0" w:firstRowLastColumn="0" w:lastRowFirstColumn="0" w:lastRowLastColumn="0"/>
            <w:tcW w:w="3403" w:type="dxa"/>
          </w:tcPr>
          <w:p w:rsidR="00785550" w:rsidRPr="00BB0C07" w:rsidRDefault="00785550" w:rsidP="00441C00">
            <w:pPr>
              <w:rPr>
                <w:rFonts w:ascii="Times New Roman" w:hAnsi="Times New Roman" w:cs="Times New Roman"/>
                <w:sz w:val="20"/>
              </w:rPr>
            </w:pPr>
          </w:p>
        </w:tc>
        <w:tc>
          <w:tcPr>
            <w:tcW w:w="939" w:type="dxa"/>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25" w:type="dxa"/>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51" w:type="dxa"/>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c>
          <w:tcPr>
            <w:tcW w:w="865" w:type="dxa"/>
          </w:tcPr>
          <w:p w:rsidR="00785550" w:rsidRPr="00BB0C07" w:rsidRDefault="00785550" w:rsidP="00441C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67" w:type="dxa"/>
          </w:tcPr>
          <w:p w:rsidR="00785550" w:rsidRPr="00BB0C07" w:rsidRDefault="00785550" w:rsidP="00441C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p>
        </w:tc>
      </w:tr>
    </w:tbl>
    <w:p w:rsidR="00785550" w:rsidRPr="00BB0C07" w:rsidRDefault="00785550" w:rsidP="00F15FE8">
      <w:pPr>
        <w:spacing w:after="0"/>
        <w:ind w:left="1418" w:right="1274"/>
        <w:rPr>
          <w:rFonts w:ascii="Times New Roman" w:hAnsi="Times New Roman" w:cs="Times New Roman"/>
          <w:sz w:val="20"/>
          <w:szCs w:val="20"/>
          <w:lang w:val="en-US"/>
        </w:rPr>
      </w:pPr>
      <w:r w:rsidRPr="00BB0C07">
        <w:rPr>
          <w:rFonts w:ascii="Times New Roman" w:hAnsi="Times New Roman" w:cs="Times New Roman"/>
          <w:sz w:val="20"/>
          <w:szCs w:val="20"/>
          <w:lang w:val="en-US"/>
        </w:rPr>
        <w:t>Abbreviations: SE</w:t>
      </w:r>
      <w:r w:rsidR="00F15FE8" w:rsidRPr="00BB0C07">
        <w:rPr>
          <w:rFonts w:ascii="Times New Roman" w:hAnsi="Times New Roman" w:cs="Times New Roman"/>
          <w:sz w:val="20"/>
          <w:szCs w:val="20"/>
          <w:lang w:val="en-US"/>
        </w:rPr>
        <w:t>,</w:t>
      </w:r>
      <w:r w:rsidRPr="00BB0C07">
        <w:rPr>
          <w:rFonts w:ascii="Times New Roman" w:hAnsi="Times New Roman" w:cs="Times New Roman"/>
          <w:sz w:val="20"/>
          <w:szCs w:val="20"/>
          <w:lang w:val="en-US"/>
        </w:rPr>
        <w:t xml:space="preserve"> systemic embolism; TTR</w:t>
      </w:r>
      <w:r w:rsidR="00F15FE8" w:rsidRPr="00BB0C07">
        <w:rPr>
          <w:rFonts w:ascii="Times New Roman" w:hAnsi="Times New Roman" w:cs="Times New Roman"/>
          <w:sz w:val="20"/>
          <w:szCs w:val="20"/>
          <w:lang w:val="en-US"/>
        </w:rPr>
        <w:t>,</w:t>
      </w:r>
      <w:r w:rsidRPr="00BB0C07">
        <w:rPr>
          <w:rFonts w:ascii="Times New Roman" w:hAnsi="Times New Roman" w:cs="Times New Roman"/>
          <w:sz w:val="20"/>
          <w:szCs w:val="20"/>
          <w:lang w:val="en-US"/>
        </w:rPr>
        <w:t xml:space="preserve"> time in therapeutic range.</w:t>
      </w:r>
    </w:p>
    <w:p w:rsidR="00785550" w:rsidRPr="00BB0C07" w:rsidRDefault="00785550" w:rsidP="00F15FE8">
      <w:pPr>
        <w:spacing w:after="0"/>
        <w:ind w:left="1418" w:right="1274"/>
        <w:rPr>
          <w:rFonts w:ascii="Times New Roman" w:hAnsi="Times New Roman" w:cs="Times New Roman"/>
          <w:sz w:val="20"/>
          <w:szCs w:val="20"/>
          <w:lang w:val="en-US"/>
        </w:rPr>
      </w:pPr>
      <w:r w:rsidRPr="00BB0C07">
        <w:rPr>
          <w:rFonts w:ascii="Times New Roman" w:hAnsi="Times New Roman" w:cs="Times New Roman"/>
          <w:sz w:val="20"/>
          <w:szCs w:val="20"/>
          <w:lang w:val="en-US"/>
        </w:rPr>
        <w:t>* The risk for ischemic stroke for was not reported with respect to subgroups based on age, ge</w:t>
      </w:r>
      <w:r w:rsidRPr="00BB0C07">
        <w:rPr>
          <w:rFonts w:ascii="Times New Roman" w:hAnsi="Times New Roman" w:cs="Times New Roman"/>
          <w:sz w:val="20"/>
          <w:szCs w:val="20"/>
          <w:lang w:val="en-US"/>
        </w:rPr>
        <w:t>n</w:t>
      </w:r>
      <w:r w:rsidRPr="00BB0C07">
        <w:rPr>
          <w:rFonts w:ascii="Times New Roman" w:hAnsi="Times New Roman" w:cs="Times New Roman"/>
          <w:sz w:val="20"/>
          <w:szCs w:val="20"/>
          <w:lang w:val="en-US"/>
        </w:rPr>
        <w:t>der, prior MI, heart failure, renal function, and time in therapeutic range. However, the risk of stroke and systemic embolism for these subgroups was reported. The risk of ischemic stroke was calculated on the assumption that, for dabigatran 150 mg, 83% of stroke/ SE equals an ischemic stroke, while this is 71% for VKAs</w:t>
      </w:r>
      <w:r w:rsidR="008B52DE" w:rsidRPr="00BB0C07">
        <w:rPr>
          <w:rFonts w:ascii="Times New Roman" w:hAnsi="Times New Roman" w:cs="Times New Roman"/>
          <w:sz w:val="20"/>
          <w:szCs w:val="20"/>
          <w:lang w:val="en-US"/>
        </w:rPr>
        <w:t xml:space="preserve"> (</w:t>
      </w:r>
      <w:r w:rsidR="00C25ECA" w:rsidRPr="00BB0C07">
        <w:rPr>
          <w:rFonts w:ascii="Times New Roman" w:hAnsi="Times New Roman"/>
          <w:sz w:val="20"/>
          <w:lang w:val="en-US"/>
        </w:rPr>
        <w:t>1</w:t>
      </w:r>
      <w:r w:rsidR="008B52DE" w:rsidRPr="00BB0C07">
        <w:rPr>
          <w:rFonts w:ascii="Times New Roman" w:hAnsi="Times New Roman" w:cs="Times New Roman"/>
          <w:sz w:val="20"/>
          <w:szCs w:val="20"/>
          <w:lang w:val="en-US"/>
        </w:rPr>
        <w:t>).</w:t>
      </w:r>
    </w:p>
    <w:p w:rsidR="00785550" w:rsidRPr="00BB0C07" w:rsidRDefault="00785550" w:rsidP="00F15FE8">
      <w:pPr>
        <w:spacing w:after="0"/>
        <w:ind w:left="1418" w:right="1274"/>
        <w:rPr>
          <w:rFonts w:ascii="Times New Roman" w:hAnsi="Times New Roman" w:cs="Times New Roman"/>
          <w:sz w:val="20"/>
          <w:szCs w:val="20"/>
          <w:lang w:val="en-US"/>
        </w:rPr>
        <w:sectPr w:rsidR="00785550" w:rsidRPr="00BB0C07" w:rsidSect="00CA5347">
          <w:headerReference w:type="default" r:id="rId9"/>
          <w:footerReference w:type="default" r:id="rId10"/>
          <w:pgSz w:w="11906" w:h="16838"/>
          <w:pgMar w:top="720" w:right="720" w:bottom="720" w:left="720" w:header="708" w:footer="708" w:gutter="0"/>
          <w:cols w:space="708"/>
          <w:docGrid w:linePitch="360"/>
        </w:sectPr>
      </w:pPr>
      <w:r w:rsidRPr="00BB0C07">
        <w:rPr>
          <w:rFonts w:ascii="Times New Roman" w:hAnsi="Times New Roman" w:cs="Times New Roman"/>
          <w:sz w:val="20"/>
          <w:szCs w:val="20"/>
          <w:lang w:val="en-US"/>
        </w:rPr>
        <w:t>† Calculated on the basis of information provided in Connolly et al., 2009</w:t>
      </w:r>
      <w:r w:rsidR="00F15FE8" w:rsidRPr="00BB0C07">
        <w:rPr>
          <w:rFonts w:ascii="Times New Roman" w:hAnsi="Times New Roman" w:cs="Times New Roman"/>
          <w:sz w:val="20"/>
          <w:szCs w:val="20"/>
          <w:lang w:val="en-US"/>
        </w:rPr>
        <w:t xml:space="preserve"> </w:t>
      </w:r>
      <w:r w:rsidR="00455EEF" w:rsidRPr="00BB0C07">
        <w:rPr>
          <w:rFonts w:ascii="Times New Roman" w:hAnsi="Times New Roman" w:cs="Times New Roman"/>
          <w:sz w:val="20"/>
          <w:szCs w:val="20"/>
          <w:lang w:val="en-US"/>
        </w:rPr>
        <w:t>(</w:t>
      </w:r>
      <w:r w:rsidR="00F15FE8" w:rsidRPr="00BB0C07">
        <w:rPr>
          <w:rFonts w:ascii="Times New Roman" w:hAnsi="Times New Roman" w:cs="Times New Roman"/>
          <w:sz w:val="20"/>
          <w:szCs w:val="20"/>
          <w:lang w:val="en-US"/>
        </w:rPr>
        <w:t>1</w:t>
      </w:r>
      <w:r w:rsidR="00455EEF" w:rsidRPr="00BB0C07">
        <w:rPr>
          <w:rFonts w:ascii="Times New Roman" w:hAnsi="Times New Roman" w:cs="Times New Roman"/>
          <w:sz w:val="20"/>
          <w:szCs w:val="20"/>
          <w:lang w:val="en-US"/>
        </w:rPr>
        <w:t>)</w:t>
      </w:r>
      <w:r w:rsidR="00F15FE8" w:rsidRPr="00BB0C07">
        <w:rPr>
          <w:rFonts w:ascii="Times New Roman" w:hAnsi="Times New Roman" w:cs="Times New Roman"/>
          <w:sz w:val="20"/>
          <w:szCs w:val="20"/>
          <w:lang w:val="en-US"/>
        </w:rPr>
        <w:t>,</w:t>
      </w:r>
      <w:r w:rsidRPr="00BB0C07">
        <w:rPr>
          <w:rFonts w:ascii="Times New Roman" w:hAnsi="Times New Roman" w:cs="Times New Roman"/>
          <w:sz w:val="20"/>
          <w:szCs w:val="20"/>
          <w:lang w:val="en-US"/>
        </w:rPr>
        <w:t xml:space="preserve"> and Hori et al., 2013</w:t>
      </w:r>
      <w:r w:rsidR="00F15FE8" w:rsidRPr="00BB0C07">
        <w:rPr>
          <w:rFonts w:ascii="Times New Roman" w:hAnsi="Times New Roman" w:cs="Times New Roman"/>
          <w:sz w:val="20"/>
          <w:szCs w:val="20"/>
          <w:lang w:val="en-US"/>
        </w:rPr>
        <w:t xml:space="preserve"> </w:t>
      </w:r>
      <w:r w:rsidR="00455EEF" w:rsidRPr="00BB0C07">
        <w:rPr>
          <w:rFonts w:ascii="Times New Roman" w:hAnsi="Times New Roman" w:cs="Times New Roman"/>
          <w:sz w:val="20"/>
          <w:szCs w:val="20"/>
          <w:lang w:val="en-US"/>
        </w:rPr>
        <w:t>(</w:t>
      </w:r>
      <w:r w:rsidR="00F15FE8" w:rsidRPr="00BB0C07">
        <w:rPr>
          <w:rFonts w:ascii="Times New Roman" w:hAnsi="Times New Roman" w:cs="Times New Roman"/>
          <w:sz w:val="20"/>
          <w:szCs w:val="20"/>
          <w:lang w:val="en-US"/>
        </w:rPr>
        <w:t>5</w:t>
      </w:r>
      <w:r w:rsidR="00455EEF" w:rsidRPr="00BB0C07">
        <w:rPr>
          <w:rFonts w:ascii="Times New Roman" w:hAnsi="Times New Roman" w:cs="Times New Roman"/>
          <w:sz w:val="20"/>
          <w:szCs w:val="20"/>
          <w:lang w:val="en-US"/>
        </w:rPr>
        <w:t>)</w:t>
      </w:r>
      <w:r w:rsidR="00F15FE8" w:rsidRPr="00BB0C07">
        <w:rPr>
          <w:rFonts w:ascii="Times New Roman" w:hAnsi="Times New Roman" w:cs="Times New Roman"/>
          <w:sz w:val="20"/>
          <w:szCs w:val="20"/>
          <w:lang w:val="en-US"/>
        </w:rPr>
        <w:t>.</w:t>
      </w:r>
      <w:r w:rsidRPr="00BB0C07">
        <w:rPr>
          <w:rFonts w:ascii="Times New Roman" w:hAnsi="Times New Roman" w:cs="Times New Roman"/>
          <w:sz w:val="20"/>
          <w:szCs w:val="20"/>
          <w:lang w:val="en-US"/>
        </w:rPr>
        <w:t xml:space="preserve"> </w:t>
      </w:r>
    </w:p>
    <w:p w:rsidR="00785550" w:rsidRPr="00BB0C07" w:rsidRDefault="00D012F1" w:rsidP="00441C00">
      <w:pPr>
        <w:spacing w:after="0"/>
        <w:rPr>
          <w:rFonts w:ascii="Times New Roman" w:hAnsi="Times New Roman" w:cs="Times New Roman"/>
          <w:lang w:val="en-US"/>
        </w:rPr>
      </w:pPr>
      <w:r w:rsidRPr="00BB0C07">
        <w:rPr>
          <w:rFonts w:ascii="Times New Roman" w:hAnsi="Times New Roman" w:cs="Times New Roman"/>
          <w:b/>
          <w:lang w:val="en-US"/>
        </w:rPr>
        <w:lastRenderedPageBreak/>
        <w:t>T</w:t>
      </w:r>
      <w:r w:rsidR="00785550" w:rsidRPr="00BB0C07">
        <w:rPr>
          <w:rFonts w:ascii="Times New Roman" w:hAnsi="Times New Roman" w:cs="Times New Roman"/>
          <w:b/>
          <w:lang w:val="en-US"/>
        </w:rPr>
        <w:t xml:space="preserve">able </w:t>
      </w:r>
      <w:r w:rsidR="00C4492C" w:rsidRPr="00BB0C07">
        <w:rPr>
          <w:rFonts w:ascii="Times New Roman" w:hAnsi="Times New Roman" w:cs="Times New Roman"/>
          <w:b/>
          <w:lang w:val="en-US"/>
        </w:rPr>
        <w:t>3</w:t>
      </w:r>
      <w:r w:rsidR="004C5A94" w:rsidRPr="00BB0C07">
        <w:rPr>
          <w:rFonts w:ascii="Times New Roman" w:hAnsi="Times New Roman" w:cs="Times New Roman"/>
          <w:b/>
          <w:lang w:val="en-US"/>
        </w:rPr>
        <w:t>.</w:t>
      </w:r>
      <w:r w:rsidR="00785550" w:rsidRPr="00BB0C07">
        <w:rPr>
          <w:rFonts w:ascii="Times New Roman" w:hAnsi="Times New Roman" w:cs="Times New Roman"/>
          <w:b/>
          <w:lang w:val="en-US"/>
        </w:rPr>
        <w:t xml:space="preserve"> </w:t>
      </w:r>
      <w:r w:rsidR="00785550" w:rsidRPr="00BB0C07">
        <w:rPr>
          <w:rFonts w:ascii="Times New Roman" w:hAnsi="Times New Roman" w:cs="Times New Roman"/>
          <w:lang w:val="en-US"/>
        </w:rPr>
        <w:t>Questions to assess the relevance of economic modeling studies</w:t>
      </w:r>
      <w:r w:rsidR="008B52DE" w:rsidRPr="00BB0C07">
        <w:rPr>
          <w:rFonts w:ascii="Times New Roman" w:hAnsi="Times New Roman" w:cs="Times New Roman"/>
          <w:lang w:val="en-US"/>
        </w:rPr>
        <w:t xml:space="preserve"> –</w:t>
      </w:r>
      <w:r w:rsidR="00785550" w:rsidRPr="00BB0C07">
        <w:rPr>
          <w:rFonts w:ascii="Times New Roman" w:hAnsi="Times New Roman" w:cs="Times New Roman"/>
          <w:lang w:val="en-US"/>
        </w:rPr>
        <w:t xml:space="preserve"> developed</w:t>
      </w:r>
      <w:r w:rsidR="008B52DE" w:rsidRPr="00BB0C07">
        <w:rPr>
          <w:rFonts w:ascii="Times New Roman" w:hAnsi="Times New Roman" w:cs="Times New Roman"/>
          <w:lang w:val="en-US"/>
        </w:rPr>
        <w:t xml:space="preserve"> </w:t>
      </w:r>
      <w:r w:rsidR="00785550" w:rsidRPr="00BB0C07">
        <w:rPr>
          <w:rFonts w:ascii="Times New Roman" w:hAnsi="Times New Roman" w:cs="Times New Roman"/>
          <w:lang w:val="en-US"/>
        </w:rPr>
        <w:t>by Caro et al.</w:t>
      </w:r>
      <w:r w:rsidR="008B52DE" w:rsidRPr="00BB0C07">
        <w:rPr>
          <w:rFonts w:ascii="Times New Roman" w:hAnsi="Times New Roman" w:cs="Times New Roman"/>
          <w:lang w:val="en-US"/>
        </w:rPr>
        <w:t xml:space="preserve"> (13) –</w:t>
      </w:r>
      <w:r w:rsidR="00785550" w:rsidRPr="00BB0C07">
        <w:rPr>
          <w:rFonts w:ascii="Times New Roman" w:hAnsi="Times New Roman" w:cs="Times New Roman"/>
          <w:lang w:val="en-US"/>
        </w:rPr>
        <w:t xml:space="preserve"> and explanation of why and how questions apply to studies on the cost-effectiveness of dabigatran as compared to vitamin K antagonists.</w:t>
      </w:r>
    </w:p>
    <w:p w:rsidR="00FB7395" w:rsidRPr="00BB0C07" w:rsidRDefault="00FB7395" w:rsidP="00441C00">
      <w:pPr>
        <w:spacing w:after="0"/>
        <w:rPr>
          <w:rFonts w:ascii="Times New Roman" w:hAnsi="Times New Roman" w:cs="Times New Roman"/>
          <w:lang w:val="en-US"/>
        </w:rPr>
      </w:pPr>
    </w:p>
    <w:tbl>
      <w:tblPr>
        <w:tblStyle w:val="Tabelraster"/>
        <w:tblpPr w:leftFromText="180" w:rightFromText="180" w:vertAnchor="text" w:horzAnchor="margin" w:tblpXSpec="center" w:tblpY="18"/>
        <w:tblW w:w="15168" w:type="dxa"/>
        <w:jc w:val="center"/>
        <w:tblCellMar>
          <w:top w:w="85" w:type="dxa"/>
          <w:left w:w="85" w:type="dxa"/>
          <w:bottom w:w="85" w:type="dxa"/>
          <w:right w:w="85" w:type="dxa"/>
        </w:tblCellMar>
        <w:tblLook w:val="04A0" w:firstRow="1" w:lastRow="0" w:firstColumn="1" w:lastColumn="0" w:noHBand="0" w:noVBand="1"/>
      </w:tblPr>
      <w:tblGrid>
        <w:gridCol w:w="1843"/>
        <w:gridCol w:w="5670"/>
        <w:gridCol w:w="5954"/>
        <w:gridCol w:w="1701"/>
      </w:tblGrid>
      <w:tr w:rsidR="00945D8F" w:rsidRPr="00BB0C07" w:rsidTr="00796078">
        <w:trPr>
          <w:trHeight w:val="304"/>
          <w:jc w:val="center"/>
        </w:trPr>
        <w:tc>
          <w:tcPr>
            <w:tcW w:w="1843" w:type="dxa"/>
            <w:shd w:val="clear" w:color="auto" w:fill="808080" w:themeFill="background1" w:themeFillShade="80"/>
            <w:vAlign w:val="center"/>
          </w:tcPr>
          <w:p w:rsidR="00C25ECA" w:rsidRPr="00BB0C07" w:rsidRDefault="00945D8F" w:rsidP="00C25ECA">
            <w:pPr>
              <w:jc w:val="center"/>
              <w:rPr>
                <w:rFonts w:ascii="Times New Roman" w:hAnsi="Times New Roman" w:cs="Times New Roman"/>
                <w:b/>
                <w:color w:val="FFFFFF" w:themeColor="background1"/>
                <w:lang w:val="en-US"/>
              </w:rPr>
            </w:pPr>
            <w:r w:rsidRPr="00BB0C07">
              <w:rPr>
                <w:rFonts w:ascii="Times New Roman" w:hAnsi="Times New Roman" w:cs="Times New Roman"/>
                <w:b/>
                <w:color w:val="FFFFFF" w:themeColor="background1"/>
                <w:lang w:val="en-US"/>
              </w:rPr>
              <w:t>(Helper) Que</w:t>
            </w:r>
            <w:r w:rsidRPr="00BB0C07">
              <w:rPr>
                <w:rFonts w:ascii="Times New Roman" w:hAnsi="Times New Roman" w:cs="Times New Roman"/>
                <w:b/>
                <w:color w:val="FFFFFF" w:themeColor="background1"/>
                <w:lang w:val="en-US"/>
              </w:rPr>
              <w:t>s</w:t>
            </w:r>
            <w:r w:rsidRPr="00BB0C07">
              <w:rPr>
                <w:rFonts w:ascii="Times New Roman" w:hAnsi="Times New Roman" w:cs="Times New Roman"/>
                <w:b/>
                <w:color w:val="FFFFFF" w:themeColor="background1"/>
                <w:lang w:val="en-US"/>
              </w:rPr>
              <w:t>tions</w:t>
            </w:r>
            <w:r w:rsidR="00796078" w:rsidRPr="00BB0C07">
              <w:rPr>
                <w:rFonts w:ascii="Times New Roman" w:hAnsi="Times New Roman" w:cs="Times New Roman"/>
                <w:b/>
                <w:color w:val="FFFFFF" w:themeColor="background1"/>
                <w:lang w:val="en-US"/>
              </w:rPr>
              <w:t xml:space="preserve"> (13)</w:t>
            </w:r>
          </w:p>
        </w:tc>
        <w:tc>
          <w:tcPr>
            <w:tcW w:w="5670" w:type="dxa"/>
            <w:shd w:val="clear" w:color="auto" w:fill="808080" w:themeFill="background1" w:themeFillShade="80"/>
            <w:vAlign w:val="center"/>
          </w:tcPr>
          <w:p w:rsidR="00C25ECA" w:rsidRPr="00BB0C07" w:rsidRDefault="00945D8F" w:rsidP="00C25ECA">
            <w:pPr>
              <w:jc w:val="center"/>
              <w:rPr>
                <w:rFonts w:ascii="Times New Roman" w:hAnsi="Times New Roman" w:cs="Times New Roman"/>
                <w:b/>
                <w:color w:val="FFFFFF" w:themeColor="background1"/>
                <w:lang w:val="en-US"/>
              </w:rPr>
            </w:pPr>
            <w:r w:rsidRPr="00BB0C07">
              <w:rPr>
                <w:rFonts w:ascii="Times New Roman" w:hAnsi="Times New Roman" w:cs="Times New Roman"/>
                <w:b/>
                <w:color w:val="FFFFFF" w:themeColor="background1"/>
                <w:lang w:val="en-US"/>
              </w:rPr>
              <w:t>Applicability of the questions to economic modeling stu</w:t>
            </w:r>
            <w:r w:rsidRPr="00BB0C07">
              <w:rPr>
                <w:rFonts w:ascii="Times New Roman" w:hAnsi="Times New Roman" w:cs="Times New Roman"/>
                <w:b/>
                <w:color w:val="FFFFFF" w:themeColor="background1"/>
                <w:lang w:val="en-US"/>
              </w:rPr>
              <w:t>d</w:t>
            </w:r>
            <w:r w:rsidRPr="00BB0C07">
              <w:rPr>
                <w:rFonts w:ascii="Times New Roman" w:hAnsi="Times New Roman" w:cs="Times New Roman"/>
                <w:b/>
                <w:color w:val="FFFFFF" w:themeColor="background1"/>
                <w:lang w:val="en-US"/>
              </w:rPr>
              <w:t>ies comparing dabigatran with VKAs</w:t>
            </w:r>
          </w:p>
        </w:tc>
        <w:tc>
          <w:tcPr>
            <w:tcW w:w="5954" w:type="dxa"/>
            <w:shd w:val="clear" w:color="auto" w:fill="808080" w:themeFill="background1" w:themeFillShade="80"/>
            <w:vAlign w:val="center"/>
          </w:tcPr>
          <w:p w:rsidR="00C25ECA" w:rsidRPr="00BB0C07" w:rsidRDefault="00945D8F" w:rsidP="00C25ECA">
            <w:pPr>
              <w:jc w:val="center"/>
              <w:rPr>
                <w:rFonts w:ascii="Times New Roman" w:hAnsi="Times New Roman" w:cs="Times New Roman"/>
                <w:b/>
                <w:color w:val="FFFFFF" w:themeColor="background1"/>
                <w:lang w:val="en-US"/>
              </w:rPr>
            </w:pPr>
            <w:r w:rsidRPr="00BB0C07">
              <w:rPr>
                <w:rFonts w:ascii="Times New Roman" w:hAnsi="Times New Roman" w:cs="Times New Roman"/>
                <w:b/>
                <w:color w:val="FFFFFF" w:themeColor="background1"/>
                <w:lang w:val="en-US"/>
              </w:rPr>
              <w:t>Questions applied to economic modeling studies comparing dabigatran with VKAs</w:t>
            </w:r>
          </w:p>
        </w:tc>
        <w:tc>
          <w:tcPr>
            <w:tcW w:w="1701" w:type="dxa"/>
            <w:shd w:val="clear" w:color="auto" w:fill="808080" w:themeFill="background1" w:themeFillShade="80"/>
            <w:vAlign w:val="center"/>
          </w:tcPr>
          <w:p w:rsidR="00945D8F" w:rsidRPr="00BB0C07" w:rsidRDefault="00945D8F" w:rsidP="000206FB">
            <w:pPr>
              <w:jc w:val="center"/>
              <w:rPr>
                <w:rFonts w:ascii="Times New Roman" w:hAnsi="Times New Roman" w:cs="Times New Roman"/>
                <w:b/>
                <w:color w:val="FFFFFF" w:themeColor="background1"/>
                <w:lang w:val="en-US"/>
              </w:rPr>
            </w:pPr>
            <w:r w:rsidRPr="00BB0C07">
              <w:rPr>
                <w:rFonts w:ascii="Times New Roman" w:hAnsi="Times New Roman" w:cs="Times New Roman"/>
                <w:b/>
                <w:color w:val="FFFFFF" w:themeColor="background1"/>
                <w:lang w:val="en-US"/>
              </w:rPr>
              <w:t>Link to que</w:t>
            </w:r>
            <w:r w:rsidRPr="00BB0C07">
              <w:rPr>
                <w:rFonts w:ascii="Times New Roman" w:hAnsi="Times New Roman" w:cs="Times New Roman"/>
                <w:b/>
                <w:color w:val="FFFFFF" w:themeColor="background1"/>
                <w:lang w:val="en-US"/>
              </w:rPr>
              <w:t>s</w:t>
            </w:r>
            <w:r w:rsidRPr="00BB0C07">
              <w:rPr>
                <w:rFonts w:ascii="Times New Roman" w:hAnsi="Times New Roman" w:cs="Times New Roman"/>
                <w:b/>
                <w:color w:val="FFFFFF" w:themeColor="background1"/>
                <w:lang w:val="en-US"/>
              </w:rPr>
              <w:t>tionnaire</w:t>
            </w:r>
          </w:p>
        </w:tc>
      </w:tr>
      <w:tr w:rsidR="00AC00D1" w:rsidRPr="00BB0C07" w:rsidTr="00BB0C07">
        <w:trPr>
          <w:trHeight w:val="283"/>
          <w:jc w:val="center"/>
        </w:trPr>
        <w:tc>
          <w:tcPr>
            <w:tcW w:w="15168" w:type="dxa"/>
            <w:gridSpan w:val="4"/>
            <w:shd w:val="clear" w:color="auto" w:fill="D9D9D9" w:themeFill="background1" w:themeFillShade="D9"/>
            <w:vAlign w:val="center"/>
          </w:tcPr>
          <w:p w:rsidR="00AC00D1" w:rsidRPr="00BB0C07" w:rsidRDefault="00AC00D1" w:rsidP="00C25ECA">
            <w:pPr>
              <w:ind w:left="284"/>
              <w:rPr>
                <w:rFonts w:ascii="Times New Roman" w:hAnsi="Times New Roman" w:cs="Times New Roman"/>
              </w:rPr>
            </w:pPr>
            <w:r w:rsidRPr="00BB0C07">
              <w:rPr>
                <w:rFonts w:ascii="Times New Roman" w:hAnsi="Times New Roman" w:cs="Times New Roman"/>
                <w:b/>
              </w:rPr>
              <w:t xml:space="preserve">Is </w:t>
            </w:r>
            <w:proofErr w:type="spellStart"/>
            <w:r w:rsidRPr="00BB0C07">
              <w:rPr>
                <w:rFonts w:ascii="Times New Roman" w:hAnsi="Times New Roman" w:cs="Times New Roman"/>
                <w:b/>
              </w:rPr>
              <w:t>the</w:t>
            </w:r>
            <w:proofErr w:type="spellEnd"/>
            <w:r w:rsidRPr="00BB0C07">
              <w:rPr>
                <w:rFonts w:ascii="Times New Roman" w:hAnsi="Times New Roman" w:cs="Times New Roman"/>
                <w:b/>
              </w:rPr>
              <w:t xml:space="preserve"> </w:t>
            </w:r>
            <w:proofErr w:type="spellStart"/>
            <w:r w:rsidRPr="00BB0C07">
              <w:rPr>
                <w:rFonts w:ascii="Times New Roman" w:hAnsi="Times New Roman" w:cs="Times New Roman"/>
                <w:b/>
              </w:rPr>
              <w:t>population</w:t>
            </w:r>
            <w:proofErr w:type="spellEnd"/>
            <w:r w:rsidRPr="00BB0C07">
              <w:rPr>
                <w:rFonts w:ascii="Times New Roman" w:hAnsi="Times New Roman" w:cs="Times New Roman"/>
                <w:b/>
              </w:rPr>
              <w:t xml:space="preserve"> relevant?</w:t>
            </w:r>
          </w:p>
        </w:tc>
      </w:tr>
      <w:tr w:rsidR="00945D8F" w:rsidRPr="00BB0C07" w:rsidTr="000206FB">
        <w:trPr>
          <w:trHeight w:val="357"/>
          <w:jc w:val="center"/>
        </w:trPr>
        <w:tc>
          <w:tcPr>
            <w:tcW w:w="1843" w:type="dxa"/>
            <w:vMerge w:val="restart"/>
            <w:vAlign w:val="center"/>
          </w:tcPr>
          <w:p w:rsidR="00C25ECA" w:rsidRPr="00BB0C07" w:rsidRDefault="00945D8F" w:rsidP="00C25ECA">
            <w:pPr>
              <w:ind w:left="142" w:hanging="142"/>
              <w:rPr>
                <w:rFonts w:ascii="Times New Roman" w:hAnsi="Times New Roman" w:cs="Times New Roman"/>
                <w:sz w:val="20"/>
                <w:szCs w:val="20"/>
                <w:lang w:val="en-US"/>
              </w:rPr>
            </w:pPr>
            <w:r w:rsidRPr="00BB0C07">
              <w:rPr>
                <w:rFonts w:ascii="Times New Roman" w:hAnsi="Times New Roman" w:cs="Times New Roman"/>
                <w:sz w:val="20"/>
                <w:szCs w:val="20"/>
                <w:lang w:val="en-US"/>
              </w:rPr>
              <w:t>Are demographics similar?</w:t>
            </w:r>
          </w:p>
        </w:tc>
        <w:tc>
          <w:tcPr>
            <w:tcW w:w="5670" w:type="dxa"/>
            <w:vMerge w:val="restart"/>
            <w:vAlign w:val="center"/>
          </w:tcPr>
          <w:p w:rsidR="00C25ECA" w:rsidRPr="00BB0C07" w:rsidRDefault="00945D8F" w:rsidP="00C25ECA">
            <w:pPr>
              <w:pStyle w:val="Lijstalinea"/>
              <w:numPr>
                <w:ilvl w:val="0"/>
                <w:numId w:val="15"/>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The risk of ischemic stroke increases with age, and is higher for women (1;14).</w:t>
            </w:r>
          </w:p>
          <w:p w:rsidR="00C25ECA" w:rsidRPr="00BB0C07" w:rsidRDefault="00945D8F" w:rsidP="00C25ECA">
            <w:pPr>
              <w:pStyle w:val="Lijstalinea"/>
              <w:numPr>
                <w:ilvl w:val="0"/>
                <w:numId w:val="15"/>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The RR of ischemic stroke of DBG vs. VKAs is influenced by gender and ethnicity (1;5).</w:t>
            </w:r>
          </w:p>
          <w:p w:rsidR="00C25ECA" w:rsidRPr="00BB0C07" w:rsidRDefault="00945D8F" w:rsidP="00C25ECA">
            <w:pPr>
              <w:pStyle w:val="Lijstalinea"/>
              <w:numPr>
                <w:ilvl w:val="0"/>
                <w:numId w:val="15"/>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The RR of major hemorrhage  of DBG vs. VKAs is influenced by age and ethnicity (3;5).</w:t>
            </w:r>
          </w:p>
        </w:tc>
        <w:tc>
          <w:tcPr>
            <w:tcW w:w="5954" w:type="dxa"/>
            <w:vAlign w:val="center"/>
          </w:tcPr>
          <w:p w:rsidR="00C25ECA" w:rsidRPr="00BB0C07" w:rsidRDefault="00945D8F" w:rsidP="00C25ECA">
            <w:pPr>
              <w:pStyle w:val="Lijstalinea"/>
              <w:numPr>
                <w:ilvl w:val="0"/>
                <w:numId w:val="13"/>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the age of the cohort similar to the target population?</w:t>
            </w:r>
          </w:p>
        </w:tc>
        <w:tc>
          <w:tcPr>
            <w:tcW w:w="1701" w:type="dxa"/>
            <w:vAlign w:val="center"/>
          </w:tcPr>
          <w:p w:rsidR="00945D8F" w:rsidRPr="00BB0C07" w:rsidRDefault="00945D8F" w:rsidP="005918C5">
            <w:pPr>
              <w:pStyle w:val="Lijstalinea"/>
              <w:numPr>
                <w:ilvl w:val="0"/>
                <w:numId w:val="21"/>
              </w:numPr>
              <w:ind w:left="297"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1</w:t>
            </w:r>
            <w:r w:rsidR="00E469F3" w:rsidRPr="00BB0C07">
              <w:rPr>
                <w:rFonts w:ascii="Times New Roman" w:hAnsi="Times New Roman" w:cs="Times New Roman"/>
                <w:sz w:val="20"/>
                <w:szCs w:val="20"/>
                <w:lang w:val="en-US"/>
              </w:rPr>
              <w:t>1</w:t>
            </w:r>
          </w:p>
        </w:tc>
      </w:tr>
      <w:tr w:rsidR="00945D8F" w:rsidRPr="00BB0C07" w:rsidTr="000206FB">
        <w:trPr>
          <w:trHeight w:val="357"/>
          <w:jc w:val="center"/>
        </w:trPr>
        <w:tc>
          <w:tcPr>
            <w:tcW w:w="1843" w:type="dxa"/>
            <w:vMerge/>
            <w:vAlign w:val="center"/>
          </w:tcPr>
          <w:p w:rsidR="00945D8F" w:rsidRPr="00BB0C07" w:rsidRDefault="00945D8F" w:rsidP="000206FB">
            <w:pPr>
              <w:ind w:left="142" w:hanging="142"/>
              <w:rPr>
                <w:rFonts w:ascii="Times New Roman" w:hAnsi="Times New Roman" w:cs="Times New Roman"/>
                <w:sz w:val="20"/>
                <w:szCs w:val="20"/>
                <w:lang w:val="en-US"/>
              </w:rPr>
            </w:pPr>
          </w:p>
        </w:tc>
        <w:tc>
          <w:tcPr>
            <w:tcW w:w="5670" w:type="dxa"/>
            <w:vMerge/>
            <w:vAlign w:val="center"/>
          </w:tcPr>
          <w:p w:rsidR="00945D8F" w:rsidRPr="00BB0C07" w:rsidRDefault="00945D8F" w:rsidP="000206FB">
            <w:pPr>
              <w:pStyle w:val="Lijstalinea"/>
              <w:numPr>
                <w:ilvl w:val="0"/>
                <w:numId w:val="3"/>
              </w:numPr>
              <w:ind w:left="289" w:hanging="289"/>
              <w:rPr>
                <w:rFonts w:ascii="Times New Roman" w:hAnsi="Times New Roman" w:cs="Times New Roman"/>
                <w:sz w:val="20"/>
                <w:szCs w:val="20"/>
                <w:lang w:val="en-US"/>
              </w:rPr>
            </w:pPr>
          </w:p>
        </w:tc>
        <w:tc>
          <w:tcPr>
            <w:tcW w:w="5954" w:type="dxa"/>
            <w:vAlign w:val="center"/>
          </w:tcPr>
          <w:p w:rsidR="00945D8F" w:rsidRPr="00BB0C07" w:rsidRDefault="00945D8F" w:rsidP="000206FB">
            <w:pPr>
              <w:pStyle w:val="Lijstalinea"/>
              <w:numPr>
                <w:ilvl w:val="0"/>
                <w:numId w:val="3"/>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the share of women in the cohort similar to the target population?</w:t>
            </w:r>
          </w:p>
        </w:tc>
        <w:tc>
          <w:tcPr>
            <w:tcW w:w="1701" w:type="dxa"/>
            <w:vAlign w:val="center"/>
          </w:tcPr>
          <w:p w:rsidR="00945D8F" w:rsidRPr="00BB0C07" w:rsidRDefault="00945D8F" w:rsidP="005918C5">
            <w:pPr>
              <w:pStyle w:val="Lijstalinea"/>
              <w:numPr>
                <w:ilvl w:val="0"/>
                <w:numId w:val="21"/>
              </w:numPr>
              <w:ind w:left="297"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 xml:space="preserve">Question </w:t>
            </w:r>
            <w:r w:rsidR="00E469F3" w:rsidRPr="00BB0C07">
              <w:rPr>
                <w:rFonts w:ascii="Times New Roman" w:hAnsi="Times New Roman" w:cs="Times New Roman"/>
                <w:sz w:val="20"/>
                <w:szCs w:val="20"/>
                <w:lang w:val="en-US"/>
              </w:rPr>
              <w:t>1</w:t>
            </w:r>
            <w:r w:rsidRPr="00BB0C07">
              <w:rPr>
                <w:rFonts w:ascii="Times New Roman" w:hAnsi="Times New Roman" w:cs="Times New Roman"/>
                <w:sz w:val="20"/>
                <w:szCs w:val="20"/>
                <w:lang w:val="en-US"/>
              </w:rPr>
              <w:t>2</w:t>
            </w:r>
          </w:p>
        </w:tc>
      </w:tr>
      <w:tr w:rsidR="00945D8F" w:rsidRPr="00BB0C07" w:rsidTr="000206FB">
        <w:trPr>
          <w:trHeight w:val="357"/>
          <w:jc w:val="center"/>
        </w:trPr>
        <w:tc>
          <w:tcPr>
            <w:tcW w:w="1843" w:type="dxa"/>
            <w:vMerge/>
            <w:vAlign w:val="center"/>
          </w:tcPr>
          <w:p w:rsidR="00945D8F" w:rsidRPr="00BB0C07" w:rsidRDefault="00945D8F" w:rsidP="000206FB">
            <w:pPr>
              <w:ind w:left="142" w:hanging="142"/>
              <w:rPr>
                <w:rFonts w:ascii="Times New Roman" w:hAnsi="Times New Roman" w:cs="Times New Roman"/>
                <w:sz w:val="20"/>
                <w:szCs w:val="20"/>
                <w:lang w:val="en-US"/>
              </w:rPr>
            </w:pPr>
          </w:p>
        </w:tc>
        <w:tc>
          <w:tcPr>
            <w:tcW w:w="5670" w:type="dxa"/>
            <w:vMerge/>
            <w:vAlign w:val="center"/>
          </w:tcPr>
          <w:p w:rsidR="00945D8F" w:rsidRPr="00BB0C07" w:rsidRDefault="00945D8F" w:rsidP="000206FB">
            <w:pPr>
              <w:pStyle w:val="Lijstalinea"/>
              <w:numPr>
                <w:ilvl w:val="0"/>
                <w:numId w:val="3"/>
              </w:numPr>
              <w:ind w:left="289" w:hanging="289"/>
              <w:rPr>
                <w:rFonts w:ascii="Times New Roman" w:hAnsi="Times New Roman" w:cs="Times New Roman"/>
                <w:sz w:val="20"/>
                <w:szCs w:val="20"/>
                <w:lang w:val="en-US"/>
              </w:rPr>
            </w:pPr>
          </w:p>
        </w:tc>
        <w:tc>
          <w:tcPr>
            <w:tcW w:w="5954" w:type="dxa"/>
            <w:vAlign w:val="center"/>
          </w:tcPr>
          <w:p w:rsidR="00945D8F" w:rsidRPr="00BB0C07" w:rsidRDefault="00945D8F" w:rsidP="000206FB">
            <w:pPr>
              <w:pStyle w:val="Lijstalinea"/>
              <w:numPr>
                <w:ilvl w:val="0"/>
                <w:numId w:val="3"/>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the share of patients with an Asian ethnicity in the cohort similar to the target population?</w:t>
            </w:r>
          </w:p>
        </w:tc>
        <w:tc>
          <w:tcPr>
            <w:tcW w:w="1701" w:type="dxa"/>
            <w:vAlign w:val="center"/>
          </w:tcPr>
          <w:p w:rsidR="00945D8F" w:rsidRPr="00BB0C07" w:rsidRDefault="00945D8F" w:rsidP="005918C5">
            <w:pPr>
              <w:pStyle w:val="Lijstalinea"/>
              <w:numPr>
                <w:ilvl w:val="0"/>
                <w:numId w:val="21"/>
              </w:numPr>
              <w:ind w:left="297"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 xml:space="preserve">Question </w:t>
            </w:r>
            <w:r w:rsidR="00E469F3" w:rsidRPr="00BB0C07">
              <w:rPr>
                <w:rFonts w:ascii="Times New Roman" w:hAnsi="Times New Roman" w:cs="Times New Roman"/>
                <w:sz w:val="20"/>
                <w:szCs w:val="20"/>
                <w:lang w:val="en-US"/>
              </w:rPr>
              <w:t>13</w:t>
            </w:r>
          </w:p>
        </w:tc>
      </w:tr>
      <w:tr w:rsidR="00945D8F" w:rsidRPr="00BB0C07" w:rsidTr="000206FB">
        <w:trPr>
          <w:trHeight w:val="357"/>
          <w:jc w:val="center"/>
        </w:trPr>
        <w:tc>
          <w:tcPr>
            <w:tcW w:w="1843" w:type="dxa"/>
            <w:vMerge/>
            <w:vAlign w:val="center"/>
          </w:tcPr>
          <w:p w:rsidR="00945D8F" w:rsidRPr="00BB0C07" w:rsidRDefault="00945D8F" w:rsidP="000206FB">
            <w:pPr>
              <w:ind w:left="142" w:hanging="142"/>
              <w:rPr>
                <w:rFonts w:ascii="Times New Roman" w:hAnsi="Times New Roman" w:cs="Times New Roman"/>
                <w:sz w:val="20"/>
                <w:szCs w:val="20"/>
                <w:lang w:val="en-US"/>
              </w:rPr>
            </w:pPr>
          </w:p>
        </w:tc>
        <w:tc>
          <w:tcPr>
            <w:tcW w:w="5670" w:type="dxa"/>
            <w:vMerge/>
            <w:vAlign w:val="center"/>
          </w:tcPr>
          <w:p w:rsidR="00945D8F" w:rsidRPr="00BB0C07" w:rsidRDefault="00945D8F" w:rsidP="000206FB">
            <w:pPr>
              <w:pStyle w:val="Lijstalinea"/>
              <w:numPr>
                <w:ilvl w:val="0"/>
                <w:numId w:val="3"/>
              </w:numPr>
              <w:ind w:left="289" w:hanging="289"/>
              <w:rPr>
                <w:rFonts w:ascii="Times New Roman" w:hAnsi="Times New Roman" w:cs="Times New Roman"/>
                <w:sz w:val="20"/>
                <w:szCs w:val="20"/>
                <w:lang w:val="en-US"/>
              </w:rPr>
            </w:pPr>
          </w:p>
        </w:tc>
        <w:tc>
          <w:tcPr>
            <w:tcW w:w="5954" w:type="dxa"/>
            <w:vAlign w:val="center"/>
          </w:tcPr>
          <w:p w:rsidR="00945D8F" w:rsidRPr="00BB0C07" w:rsidRDefault="00945D8F" w:rsidP="000206FB">
            <w:pPr>
              <w:pStyle w:val="Lijstalinea"/>
              <w:numPr>
                <w:ilvl w:val="0"/>
                <w:numId w:val="3"/>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the share of patients with an European ethnicity in the cohort similar to the target population?</w:t>
            </w:r>
          </w:p>
        </w:tc>
        <w:tc>
          <w:tcPr>
            <w:tcW w:w="1701" w:type="dxa"/>
            <w:vAlign w:val="center"/>
          </w:tcPr>
          <w:p w:rsidR="00945D8F" w:rsidRPr="00BB0C07" w:rsidRDefault="00945D8F" w:rsidP="005918C5">
            <w:pPr>
              <w:pStyle w:val="Lijstalinea"/>
              <w:numPr>
                <w:ilvl w:val="0"/>
                <w:numId w:val="21"/>
              </w:numPr>
              <w:ind w:left="297"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 xml:space="preserve">Question </w:t>
            </w:r>
            <w:r w:rsidR="00E469F3" w:rsidRPr="00BB0C07">
              <w:rPr>
                <w:rFonts w:ascii="Times New Roman" w:hAnsi="Times New Roman" w:cs="Times New Roman"/>
                <w:sz w:val="20"/>
                <w:szCs w:val="20"/>
                <w:lang w:val="en-US"/>
              </w:rPr>
              <w:t>14</w:t>
            </w:r>
          </w:p>
        </w:tc>
      </w:tr>
      <w:tr w:rsidR="00945D8F" w:rsidRPr="00BB0C07" w:rsidTr="000206FB">
        <w:trPr>
          <w:trHeight w:val="834"/>
          <w:jc w:val="center"/>
        </w:trPr>
        <w:tc>
          <w:tcPr>
            <w:tcW w:w="1843" w:type="dxa"/>
            <w:vMerge w:val="restart"/>
            <w:vAlign w:val="center"/>
          </w:tcPr>
          <w:p w:rsidR="00C25ECA" w:rsidRPr="00BB0C07" w:rsidRDefault="00945D8F" w:rsidP="00C25ECA">
            <w:pPr>
              <w:tabs>
                <w:tab w:val="left" w:pos="284"/>
              </w:tabs>
              <w:ind w:left="142" w:hanging="142"/>
              <w:rPr>
                <w:rFonts w:ascii="Times New Roman" w:hAnsi="Times New Roman" w:cs="Times New Roman"/>
                <w:sz w:val="20"/>
                <w:szCs w:val="20"/>
                <w:lang w:val="en-US"/>
              </w:rPr>
            </w:pPr>
            <w:r w:rsidRPr="00BB0C07">
              <w:rPr>
                <w:rFonts w:ascii="Times New Roman" w:hAnsi="Times New Roman" w:cs="Times New Roman"/>
                <w:sz w:val="20"/>
                <w:szCs w:val="20"/>
                <w:lang w:val="en-US"/>
              </w:rPr>
              <w:t>Are risk factors similar?</w:t>
            </w:r>
          </w:p>
        </w:tc>
        <w:tc>
          <w:tcPr>
            <w:tcW w:w="5670" w:type="dxa"/>
            <w:vMerge w:val="restart"/>
            <w:vAlign w:val="center"/>
          </w:tcPr>
          <w:p w:rsidR="00C25ECA" w:rsidRPr="00BB0C07" w:rsidRDefault="00945D8F" w:rsidP="00C25ECA">
            <w:pPr>
              <w:pStyle w:val="Lijstalinea"/>
              <w:numPr>
                <w:ilvl w:val="0"/>
                <w:numId w:val="16"/>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The risk of ischemic stroke is higher in patients who suffered a prior stroke or TIA (6).</w:t>
            </w:r>
          </w:p>
          <w:p w:rsidR="00C25ECA" w:rsidRPr="00BB0C07" w:rsidRDefault="00945D8F" w:rsidP="00C25ECA">
            <w:pPr>
              <w:pStyle w:val="Lijstalinea"/>
              <w:numPr>
                <w:ilvl w:val="0"/>
                <w:numId w:val="16"/>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The risk of MI is higher in patients who suffered a prior MI (15).</w:t>
            </w:r>
          </w:p>
          <w:p w:rsidR="00C25ECA" w:rsidRPr="00BB0C07" w:rsidRDefault="00945D8F" w:rsidP="00C25ECA">
            <w:pPr>
              <w:pStyle w:val="Lijstalinea"/>
              <w:numPr>
                <w:ilvl w:val="0"/>
                <w:numId w:val="16"/>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The RR of ischemic stroke of DBG vs. VKAs is higher in p</w:t>
            </w:r>
            <w:r w:rsidRPr="00BB0C07">
              <w:rPr>
                <w:rFonts w:ascii="Times New Roman" w:hAnsi="Times New Roman" w:cs="Times New Roman"/>
                <w:sz w:val="20"/>
                <w:szCs w:val="20"/>
                <w:lang w:val="en-US"/>
              </w:rPr>
              <w:t>a</w:t>
            </w:r>
            <w:r w:rsidRPr="00BB0C07">
              <w:rPr>
                <w:rFonts w:ascii="Times New Roman" w:hAnsi="Times New Roman" w:cs="Times New Roman"/>
                <w:sz w:val="20"/>
                <w:szCs w:val="20"/>
                <w:lang w:val="en-US"/>
              </w:rPr>
              <w:t>tients with a prior stroke or TIA and/or MI (6).</w:t>
            </w:r>
          </w:p>
          <w:p w:rsidR="00C25ECA" w:rsidRPr="00BB0C07" w:rsidRDefault="00945D8F" w:rsidP="00C25ECA">
            <w:pPr>
              <w:pStyle w:val="Lijstalinea"/>
              <w:numPr>
                <w:ilvl w:val="0"/>
                <w:numId w:val="16"/>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The RR of MI of DBG vs. VKAs is higher in patients with prior stroke or TIA and/or MI (6).</w:t>
            </w:r>
          </w:p>
        </w:tc>
        <w:tc>
          <w:tcPr>
            <w:tcW w:w="5954" w:type="dxa"/>
            <w:vAlign w:val="center"/>
          </w:tcPr>
          <w:p w:rsidR="00C25ECA" w:rsidRPr="00BB0C07" w:rsidRDefault="00945D8F" w:rsidP="00C25ECA">
            <w:pPr>
              <w:pStyle w:val="Lijstalinea"/>
              <w:numPr>
                <w:ilvl w:val="0"/>
                <w:numId w:val="14"/>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the share of patients with a prior stroke or TIA similar to the target population?</w:t>
            </w:r>
          </w:p>
        </w:tc>
        <w:tc>
          <w:tcPr>
            <w:tcW w:w="1701" w:type="dxa"/>
            <w:vAlign w:val="center"/>
          </w:tcPr>
          <w:p w:rsidR="00945D8F" w:rsidRPr="00BB0C07" w:rsidRDefault="00E469F3" w:rsidP="005918C5">
            <w:pPr>
              <w:pStyle w:val="Lijstalinea"/>
              <w:numPr>
                <w:ilvl w:val="0"/>
                <w:numId w:val="21"/>
              </w:numPr>
              <w:ind w:left="297"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15</w:t>
            </w:r>
          </w:p>
        </w:tc>
      </w:tr>
      <w:tr w:rsidR="00945D8F" w:rsidRPr="00BB0C07" w:rsidTr="000206FB">
        <w:trPr>
          <w:trHeight w:val="834"/>
          <w:jc w:val="center"/>
        </w:trPr>
        <w:tc>
          <w:tcPr>
            <w:tcW w:w="1843" w:type="dxa"/>
            <w:vMerge/>
            <w:vAlign w:val="center"/>
          </w:tcPr>
          <w:p w:rsidR="00945D8F" w:rsidRPr="00BB0C07" w:rsidRDefault="00945D8F" w:rsidP="000206FB">
            <w:pPr>
              <w:tabs>
                <w:tab w:val="left" w:pos="284"/>
              </w:tabs>
              <w:ind w:left="142" w:hanging="142"/>
              <w:rPr>
                <w:rFonts w:ascii="Times New Roman" w:hAnsi="Times New Roman" w:cs="Times New Roman"/>
                <w:sz w:val="20"/>
                <w:szCs w:val="20"/>
                <w:lang w:val="en-US"/>
              </w:rPr>
            </w:pPr>
          </w:p>
        </w:tc>
        <w:tc>
          <w:tcPr>
            <w:tcW w:w="5670" w:type="dxa"/>
            <w:vMerge/>
            <w:vAlign w:val="center"/>
          </w:tcPr>
          <w:p w:rsidR="00945D8F" w:rsidRPr="00BB0C07" w:rsidRDefault="00945D8F" w:rsidP="000206FB">
            <w:pPr>
              <w:pStyle w:val="Lijstalinea"/>
              <w:numPr>
                <w:ilvl w:val="0"/>
                <w:numId w:val="5"/>
              </w:numPr>
              <w:ind w:left="289" w:hanging="289"/>
              <w:rPr>
                <w:rFonts w:ascii="Times New Roman" w:hAnsi="Times New Roman" w:cs="Times New Roman"/>
                <w:sz w:val="20"/>
                <w:szCs w:val="20"/>
                <w:lang w:val="en-US"/>
              </w:rPr>
            </w:pPr>
          </w:p>
        </w:tc>
        <w:tc>
          <w:tcPr>
            <w:tcW w:w="5954" w:type="dxa"/>
            <w:vAlign w:val="center"/>
          </w:tcPr>
          <w:p w:rsidR="00945D8F" w:rsidRPr="00BB0C07" w:rsidRDefault="00945D8F" w:rsidP="002166DD">
            <w:pPr>
              <w:pStyle w:val="Lijstalinea"/>
              <w:numPr>
                <w:ilvl w:val="0"/>
                <w:numId w:val="14"/>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the share of patients with a prior MI similar to the target popul</w:t>
            </w:r>
            <w:r w:rsidRPr="00BB0C07">
              <w:rPr>
                <w:rFonts w:ascii="Times New Roman" w:hAnsi="Times New Roman" w:cs="Times New Roman"/>
                <w:sz w:val="20"/>
                <w:szCs w:val="20"/>
                <w:lang w:val="en-US"/>
              </w:rPr>
              <w:t>a</w:t>
            </w:r>
            <w:r w:rsidRPr="00BB0C07">
              <w:rPr>
                <w:rFonts w:ascii="Times New Roman" w:hAnsi="Times New Roman" w:cs="Times New Roman"/>
                <w:sz w:val="20"/>
                <w:szCs w:val="20"/>
                <w:lang w:val="en-US"/>
              </w:rPr>
              <w:t>tion?</w:t>
            </w:r>
          </w:p>
        </w:tc>
        <w:tc>
          <w:tcPr>
            <w:tcW w:w="1701" w:type="dxa"/>
            <w:vAlign w:val="center"/>
          </w:tcPr>
          <w:p w:rsidR="00945D8F" w:rsidRPr="00BB0C07" w:rsidRDefault="00E469F3" w:rsidP="005918C5">
            <w:pPr>
              <w:pStyle w:val="Lijstalinea"/>
              <w:numPr>
                <w:ilvl w:val="0"/>
                <w:numId w:val="21"/>
              </w:numPr>
              <w:ind w:left="297"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16</w:t>
            </w:r>
          </w:p>
        </w:tc>
      </w:tr>
      <w:tr w:rsidR="00945D8F" w:rsidRPr="00BB0C07" w:rsidTr="000206FB">
        <w:trPr>
          <w:trHeight w:val="588"/>
          <w:jc w:val="center"/>
        </w:trPr>
        <w:tc>
          <w:tcPr>
            <w:tcW w:w="1843" w:type="dxa"/>
            <w:vMerge w:val="restart"/>
            <w:vAlign w:val="center"/>
          </w:tcPr>
          <w:p w:rsidR="00C25ECA" w:rsidRPr="00BB0C07" w:rsidRDefault="00945D8F" w:rsidP="00C25ECA">
            <w:pPr>
              <w:ind w:left="142" w:hanging="142"/>
              <w:rPr>
                <w:rFonts w:ascii="Times New Roman" w:hAnsi="Times New Roman" w:cs="Times New Roman"/>
                <w:sz w:val="20"/>
                <w:szCs w:val="20"/>
              </w:rPr>
            </w:pPr>
            <w:r w:rsidRPr="00BB0C07">
              <w:rPr>
                <w:rFonts w:ascii="Times New Roman" w:hAnsi="Times New Roman" w:cs="Times New Roman"/>
                <w:sz w:val="20"/>
                <w:szCs w:val="20"/>
                <w:lang w:val="en-US"/>
              </w:rPr>
              <w:t>Are behaviors sim</w:t>
            </w:r>
            <w:r w:rsidRPr="00BB0C07">
              <w:rPr>
                <w:rFonts w:ascii="Times New Roman" w:hAnsi="Times New Roman" w:cs="Times New Roman"/>
                <w:sz w:val="20"/>
                <w:szCs w:val="20"/>
                <w:lang w:val="en-US"/>
              </w:rPr>
              <w:t>i</w:t>
            </w:r>
            <w:r w:rsidRPr="00BB0C07">
              <w:rPr>
                <w:rFonts w:ascii="Times New Roman" w:hAnsi="Times New Roman" w:cs="Times New Roman"/>
                <w:sz w:val="20"/>
                <w:szCs w:val="20"/>
                <w:lang w:val="en-US"/>
              </w:rPr>
              <w:t>lar</w:t>
            </w:r>
            <w:r w:rsidRPr="00BB0C07">
              <w:rPr>
                <w:rFonts w:ascii="Times New Roman" w:hAnsi="Times New Roman" w:cs="Times New Roman"/>
                <w:sz w:val="20"/>
                <w:szCs w:val="20"/>
              </w:rPr>
              <w:t>?</w:t>
            </w:r>
          </w:p>
        </w:tc>
        <w:tc>
          <w:tcPr>
            <w:tcW w:w="5670" w:type="dxa"/>
            <w:vMerge w:val="restart"/>
            <w:vAlign w:val="center"/>
          </w:tcPr>
          <w:p w:rsidR="00C25ECA" w:rsidRPr="00BB0C07" w:rsidRDefault="00945D8F" w:rsidP="00C25ECA">
            <w:pPr>
              <w:pStyle w:val="Lijstalinea"/>
              <w:numPr>
                <w:ilvl w:val="0"/>
                <w:numId w:val="5"/>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DBG users have a higher rate of discontinuation than VKA users (1).</w:t>
            </w:r>
            <w:r w:rsidRPr="00BB0C07">
              <w:rPr>
                <w:rFonts w:ascii="Times New Roman" w:hAnsi="Times New Roman" w:cs="Times New Roman"/>
                <w:sz w:val="20"/>
                <w:szCs w:val="20"/>
                <w:vertAlign w:val="superscript"/>
                <w:lang w:val="en-US"/>
              </w:rPr>
              <w:t xml:space="preserve"> </w:t>
            </w:r>
            <w:r w:rsidRPr="00BB0C07">
              <w:rPr>
                <w:rFonts w:ascii="Times New Roman" w:hAnsi="Times New Roman" w:cs="Times New Roman"/>
                <w:sz w:val="20"/>
                <w:szCs w:val="20"/>
                <w:lang w:val="en-US"/>
              </w:rPr>
              <w:t>Discontinuation of treatment is associated with at least one consultation to assess further options for anticoagulation.</w:t>
            </w:r>
          </w:p>
          <w:p w:rsidR="00C25ECA" w:rsidRPr="00BB0C07" w:rsidRDefault="00945D8F" w:rsidP="00C25ECA">
            <w:pPr>
              <w:pStyle w:val="Lijstalinea"/>
              <w:numPr>
                <w:ilvl w:val="0"/>
                <w:numId w:val="5"/>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 xml:space="preserve">Non-adherence impacts all health outcomes, and is higher in clinical practice than during trials (16). </w:t>
            </w:r>
          </w:p>
        </w:tc>
        <w:tc>
          <w:tcPr>
            <w:tcW w:w="5954" w:type="dxa"/>
            <w:vAlign w:val="center"/>
          </w:tcPr>
          <w:p w:rsidR="00C25ECA" w:rsidRPr="00BB0C07" w:rsidRDefault="00945D8F" w:rsidP="00C25ECA">
            <w:pPr>
              <w:pStyle w:val="Lijstalinea"/>
              <w:numPr>
                <w:ilvl w:val="0"/>
                <w:numId w:val="4"/>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the rate of discontinuation in the model similar to clinical pra</w:t>
            </w:r>
            <w:r w:rsidRPr="00BB0C07">
              <w:rPr>
                <w:rFonts w:ascii="Times New Roman" w:hAnsi="Times New Roman" w:cs="Times New Roman"/>
                <w:sz w:val="20"/>
                <w:szCs w:val="20"/>
                <w:lang w:val="en-US"/>
              </w:rPr>
              <w:t>c</w:t>
            </w:r>
            <w:r w:rsidRPr="00BB0C07">
              <w:rPr>
                <w:rFonts w:ascii="Times New Roman" w:hAnsi="Times New Roman" w:cs="Times New Roman"/>
                <w:sz w:val="20"/>
                <w:szCs w:val="20"/>
                <w:lang w:val="en-US"/>
              </w:rPr>
              <w:t>tice, and is discontinuation associated with at least one consultation?</w:t>
            </w:r>
          </w:p>
        </w:tc>
        <w:tc>
          <w:tcPr>
            <w:tcW w:w="1701" w:type="dxa"/>
            <w:vAlign w:val="center"/>
          </w:tcPr>
          <w:p w:rsidR="00945D8F" w:rsidRPr="00BB0C07" w:rsidRDefault="00E469F3" w:rsidP="005918C5">
            <w:pPr>
              <w:pStyle w:val="Lijstalinea"/>
              <w:numPr>
                <w:ilvl w:val="0"/>
                <w:numId w:val="21"/>
              </w:numPr>
              <w:ind w:left="297"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17</w:t>
            </w:r>
          </w:p>
        </w:tc>
      </w:tr>
      <w:tr w:rsidR="00AC00D1" w:rsidRPr="00BB0C07" w:rsidTr="00BB0C07">
        <w:trPr>
          <w:trHeight w:val="588"/>
          <w:jc w:val="center"/>
        </w:trPr>
        <w:tc>
          <w:tcPr>
            <w:tcW w:w="1843" w:type="dxa"/>
            <w:vMerge/>
            <w:vAlign w:val="center"/>
          </w:tcPr>
          <w:p w:rsidR="00AC00D1" w:rsidRPr="00BB0C07" w:rsidRDefault="00AC00D1" w:rsidP="000206FB">
            <w:pPr>
              <w:tabs>
                <w:tab w:val="left" w:pos="284"/>
              </w:tabs>
              <w:ind w:left="142" w:hanging="142"/>
              <w:rPr>
                <w:rFonts w:ascii="Times New Roman" w:hAnsi="Times New Roman" w:cs="Times New Roman"/>
                <w:sz w:val="20"/>
                <w:szCs w:val="20"/>
                <w:lang w:val="en-US"/>
              </w:rPr>
            </w:pPr>
          </w:p>
        </w:tc>
        <w:tc>
          <w:tcPr>
            <w:tcW w:w="5670" w:type="dxa"/>
            <w:vMerge/>
            <w:vAlign w:val="center"/>
          </w:tcPr>
          <w:p w:rsidR="00AC00D1" w:rsidRPr="00BB0C07" w:rsidRDefault="00AC00D1" w:rsidP="000206FB">
            <w:pPr>
              <w:pStyle w:val="Lijstalinea"/>
              <w:numPr>
                <w:ilvl w:val="0"/>
                <w:numId w:val="4"/>
              </w:numPr>
              <w:ind w:left="289" w:hanging="289"/>
              <w:rPr>
                <w:rFonts w:ascii="Times New Roman" w:hAnsi="Times New Roman" w:cs="Times New Roman"/>
                <w:sz w:val="20"/>
                <w:szCs w:val="20"/>
                <w:lang w:val="en-US"/>
              </w:rPr>
            </w:pPr>
          </w:p>
        </w:tc>
        <w:tc>
          <w:tcPr>
            <w:tcW w:w="5954" w:type="dxa"/>
            <w:vAlign w:val="center"/>
          </w:tcPr>
          <w:p w:rsidR="00AC00D1" w:rsidRPr="00BB0C07" w:rsidRDefault="00AC00D1" w:rsidP="00C25ECA">
            <w:pPr>
              <w:pStyle w:val="Lijstalinea"/>
              <w:numPr>
                <w:ilvl w:val="0"/>
                <w:numId w:val="4"/>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the impact of non-adherence included in the data or sensitivity analyses?</w:t>
            </w:r>
          </w:p>
        </w:tc>
        <w:tc>
          <w:tcPr>
            <w:tcW w:w="1701" w:type="dxa"/>
            <w:vAlign w:val="center"/>
          </w:tcPr>
          <w:p w:rsidR="00AC00D1" w:rsidRPr="00BB0C07" w:rsidRDefault="00AC00D1" w:rsidP="00C25ECA">
            <w:pPr>
              <w:pStyle w:val="Lijstalinea"/>
              <w:numPr>
                <w:ilvl w:val="0"/>
                <w:numId w:val="21"/>
              </w:numPr>
              <w:ind w:left="297" w:hanging="284"/>
              <w:rPr>
                <w:rFonts w:ascii="Times New Roman" w:hAnsi="Times New Roman"/>
                <w:sz w:val="20"/>
                <w:lang w:val="en-US"/>
              </w:rPr>
            </w:pPr>
            <w:r w:rsidRPr="00BB0C07">
              <w:rPr>
                <w:rFonts w:ascii="Times New Roman" w:hAnsi="Times New Roman" w:cs="Times New Roman"/>
                <w:sz w:val="20"/>
                <w:szCs w:val="20"/>
                <w:lang w:val="en-US"/>
              </w:rPr>
              <w:t>Question 18</w:t>
            </w:r>
          </w:p>
        </w:tc>
      </w:tr>
      <w:tr w:rsidR="00945D8F" w:rsidRPr="00BB0C07" w:rsidTr="000206FB">
        <w:trPr>
          <w:jc w:val="center"/>
        </w:trPr>
        <w:tc>
          <w:tcPr>
            <w:tcW w:w="1843" w:type="dxa"/>
            <w:vAlign w:val="center"/>
          </w:tcPr>
          <w:p w:rsidR="00C25ECA" w:rsidRPr="00BB0C07" w:rsidRDefault="00945D8F" w:rsidP="00C25ECA">
            <w:pPr>
              <w:ind w:left="142" w:hanging="142"/>
              <w:rPr>
                <w:rFonts w:ascii="Times New Roman" w:hAnsi="Times New Roman" w:cs="Times New Roman"/>
                <w:sz w:val="20"/>
                <w:szCs w:val="20"/>
                <w:lang w:val="en-US"/>
              </w:rPr>
            </w:pPr>
            <w:r w:rsidRPr="00BB0C07">
              <w:rPr>
                <w:rFonts w:ascii="Times New Roman" w:hAnsi="Times New Roman" w:cs="Times New Roman"/>
                <w:sz w:val="20"/>
                <w:szCs w:val="20"/>
                <w:lang w:val="en-US"/>
              </w:rPr>
              <w:t>Is the medical co</w:t>
            </w:r>
            <w:r w:rsidRPr="00BB0C07">
              <w:rPr>
                <w:rFonts w:ascii="Times New Roman" w:hAnsi="Times New Roman" w:cs="Times New Roman"/>
                <w:sz w:val="20"/>
                <w:szCs w:val="20"/>
                <w:lang w:val="en-US"/>
              </w:rPr>
              <w:t>n</w:t>
            </w:r>
            <w:r w:rsidRPr="00BB0C07">
              <w:rPr>
                <w:rFonts w:ascii="Times New Roman" w:hAnsi="Times New Roman" w:cs="Times New Roman"/>
                <w:sz w:val="20"/>
                <w:szCs w:val="20"/>
                <w:lang w:val="en-US"/>
              </w:rPr>
              <w:t>dition similar?</w:t>
            </w:r>
          </w:p>
        </w:tc>
        <w:tc>
          <w:tcPr>
            <w:tcW w:w="5670" w:type="dxa"/>
            <w:vAlign w:val="center"/>
          </w:tcPr>
          <w:p w:rsidR="00C25ECA" w:rsidRPr="00BB0C07" w:rsidRDefault="00945D8F" w:rsidP="00C25ECA">
            <w:pPr>
              <w:rPr>
                <w:rFonts w:ascii="Times New Roman" w:hAnsi="Times New Roman"/>
                <w:i/>
                <w:sz w:val="20"/>
                <w:lang w:val="en-US"/>
              </w:rPr>
            </w:pPr>
            <w:r w:rsidRPr="00BB0C07">
              <w:rPr>
                <w:rFonts w:ascii="Times New Roman" w:hAnsi="Times New Roman" w:cs="Times New Roman"/>
                <w:i/>
                <w:sz w:val="20"/>
                <w:szCs w:val="20"/>
                <w:lang w:val="en-US"/>
              </w:rPr>
              <w:t>Following from the inclusion criteria, all studies assess the cost-effectiveness</w:t>
            </w:r>
            <w:r w:rsidR="00C25ECA" w:rsidRPr="00BB0C07">
              <w:rPr>
                <w:rFonts w:ascii="Times New Roman" w:hAnsi="Times New Roman"/>
                <w:i/>
                <w:sz w:val="20"/>
                <w:lang w:val="en-US"/>
              </w:rPr>
              <w:t xml:space="preserve"> of </w:t>
            </w:r>
            <w:r w:rsidRPr="00BB0C07">
              <w:rPr>
                <w:rFonts w:ascii="Times New Roman" w:hAnsi="Times New Roman" w:cs="Times New Roman"/>
                <w:i/>
                <w:sz w:val="20"/>
                <w:szCs w:val="20"/>
                <w:lang w:val="en-US"/>
              </w:rPr>
              <w:t>dabigatran and</w:t>
            </w:r>
            <w:r w:rsidR="00C25ECA" w:rsidRPr="00BB0C07">
              <w:rPr>
                <w:rFonts w:ascii="Times New Roman" w:hAnsi="Times New Roman"/>
                <w:i/>
                <w:sz w:val="20"/>
                <w:lang w:val="en-US"/>
              </w:rPr>
              <w:t xml:space="preserve"> VKAs in patients with </w:t>
            </w:r>
            <w:r w:rsidRPr="00BB0C07">
              <w:rPr>
                <w:rFonts w:ascii="Times New Roman" w:hAnsi="Times New Roman" w:cs="Times New Roman"/>
                <w:i/>
                <w:sz w:val="20"/>
                <w:szCs w:val="20"/>
                <w:lang w:val="en-US"/>
              </w:rPr>
              <w:t>atrial fibrill</w:t>
            </w:r>
            <w:r w:rsidRPr="00BB0C07">
              <w:rPr>
                <w:rFonts w:ascii="Times New Roman" w:hAnsi="Times New Roman" w:cs="Times New Roman"/>
                <w:i/>
                <w:sz w:val="20"/>
                <w:szCs w:val="20"/>
                <w:lang w:val="en-US"/>
              </w:rPr>
              <w:t>a</w:t>
            </w:r>
            <w:r w:rsidRPr="00BB0C07">
              <w:rPr>
                <w:rFonts w:ascii="Times New Roman" w:hAnsi="Times New Roman" w:cs="Times New Roman"/>
                <w:i/>
                <w:sz w:val="20"/>
                <w:szCs w:val="20"/>
                <w:lang w:val="en-US"/>
              </w:rPr>
              <w:t>tion</w:t>
            </w:r>
            <w:r w:rsidR="00C25ECA" w:rsidRPr="00BB0C07">
              <w:rPr>
                <w:rFonts w:ascii="Times New Roman" w:hAnsi="Times New Roman"/>
                <w:i/>
                <w:sz w:val="20"/>
                <w:lang w:val="en-US"/>
              </w:rPr>
              <w:t>.</w:t>
            </w:r>
          </w:p>
        </w:tc>
        <w:tc>
          <w:tcPr>
            <w:tcW w:w="5954" w:type="dxa"/>
            <w:vAlign w:val="center"/>
          </w:tcPr>
          <w:p w:rsidR="00C25ECA" w:rsidRPr="00BB0C07" w:rsidRDefault="00945D8F" w:rsidP="00C25ECA">
            <w:pPr>
              <w:pStyle w:val="Lijstalinea"/>
              <w:ind w:left="284"/>
              <w:rPr>
                <w:rFonts w:ascii="Times New Roman" w:hAnsi="Times New Roman"/>
                <w:i/>
                <w:sz w:val="20"/>
                <w:lang w:val="en-US"/>
              </w:rPr>
            </w:pPr>
            <w:r w:rsidRPr="00BB0C07">
              <w:rPr>
                <w:rFonts w:ascii="Times New Roman" w:hAnsi="Times New Roman" w:cs="Times New Roman"/>
                <w:i/>
                <w:sz w:val="20"/>
                <w:szCs w:val="20"/>
                <w:lang w:val="en-US"/>
              </w:rPr>
              <w:t>None</w:t>
            </w:r>
          </w:p>
        </w:tc>
        <w:tc>
          <w:tcPr>
            <w:tcW w:w="1701" w:type="dxa"/>
            <w:vAlign w:val="center"/>
          </w:tcPr>
          <w:p w:rsidR="00945D8F" w:rsidRPr="00BB0C07" w:rsidRDefault="00571D1F" w:rsidP="005918C5">
            <w:pPr>
              <w:pStyle w:val="Lijstalinea"/>
              <w:numPr>
                <w:ilvl w:val="0"/>
                <w:numId w:val="21"/>
              </w:numPr>
              <w:ind w:left="297" w:hanging="284"/>
              <w:rPr>
                <w:rFonts w:ascii="Times New Roman" w:hAnsi="Times New Roman" w:cs="Times New Roman"/>
                <w:i/>
                <w:sz w:val="20"/>
                <w:szCs w:val="20"/>
                <w:lang w:val="en-US"/>
              </w:rPr>
            </w:pPr>
            <w:r w:rsidRPr="00BB0C07">
              <w:rPr>
                <w:rFonts w:ascii="Times New Roman" w:hAnsi="Times New Roman" w:cs="Times New Roman"/>
                <w:sz w:val="20"/>
                <w:szCs w:val="20"/>
                <w:lang w:val="en-US"/>
              </w:rPr>
              <w:t>Not applicable</w:t>
            </w:r>
          </w:p>
        </w:tc>
      </w:tr>
    </w:tbl>
    <w:p w:rsidR="00571D1F" w:rsidRPr="00BB0C07" w:rsidRDefault="00571D1F" w:rsidP="00FB7395">
      <w:pPr>
        <w:spacing w:after="0" w:line="240" w:lineRule="auto"/>
        <w:rPr>
          <w:rFonts w:ascii="Times New Roman" w:hAnsi="Times New Roman" w:cs="Times New Roman"/>
          <w:sz w:val="20"/>
          <w:szCs w:val="20"/>
          <w:lang w:val="en-US"/>
        </w:rPr>
      </w:pPr>
    </w:p>
    <w:p w:rsidR="00785550" w:rsidRPr="00BB0C07" w:rsidRDefault="00785550" w:rsidP="00FB7395">
      <w:pPr>
        <w:spacing w:after="0" w:line="240" w:lineRule="auto"/>
        <w:rPr>
          <w:rFonts w:ascii="Times New Roman" w:hAnsi="Times New Roman" w:cs="Times New Roman"/>
          <w:sz w:val="20"/>
          <w:szCs w:val="20"/>
          <w:lang w:val="en-US"/>
        </w:rPr>
      </w:pPr>
      <w:r w:rsidRPr="00BB0C07">
        <w:rPr>
          <w:rFonts w:ascii="Times New Roman" w:hAnsi="Times New Roman" w:cs="Times New Roman"/>
          <w:sz w:val="20"/>
          <w:szCs w:val="20"/>
          <w:lang w:val="en-US"/>
        </w:rPr>
        <w:t xml:space="preserve">Abbreviations: DBG = dabigatran; GIH = </w:t>
      </w:r>
      <w:proofErr w:type="spellStart"/>
      <w:r w:rsidRPr="00BB0C07">
        <w:rPr>
          <w:rFonts w:ascii="Times New Roman" w:hAnsi="Times New Roman" w:cs="Times New Roman"/>
          <w:sz w:val="20"/>
          <w:szCs w:val="20"/>
          <w:lang w:val="en-US"/>
        </w:rPr>
        <w:t>gastrointestional</w:t>
      </w:r>
      <w:proofErr w:type="spellEnd"/>
      <w:r w:rsidRPr="00BB0C07">
        <w:rPr>
          <w:rFonts w:ascii="Times New Roman" w:hAnsi="Times New Roman" w:cs="Times New Roman"/>
          <w:sz w:val="20"/>
          <w:szCs w:val="20"/>
          <w:lang w:val="en-US"/>
        </w:rPr>
        <w:t xml:space="preserve"> hemorrhage;</w:t>
      </w:r>
      <w:r w:rsidR="00900C4A" w:rsidRPr="00BB0C07">
        <w:rPr>
          <w:rFonts w:ascii="Times New Roman" w:hAnsi="Times New Roman" w:cs="Times New Roman"/>
          <w:sz w:val="20"/>
          <w:szCs w:val="20"/>
          <w:lang w:val="en-US"/>
        </w:rPr>
        <w:t xml:space="preserve"> ICH = intracranial hemorrhage</w:t>
      </w:r>
      <w:r w:rsidRPr="00BB0C07">
        <w:rPr>
          <w:rFonts w:ascii="Times New Roman" w:hAnsi="Times New Roman" w:cs="Times New Roman"/>
          <w:sz w:val="20"/>
          <w:szCs w:val="20"/>
          <w:lang w:val="en-US"/>
        </w:rPr>
        <w:t xml:space="preserve"> </w:t>
      </w:r>
      <w:r w:rsidR="00900C4A" w:rsidRPr="00BB0C07">
        <w:rPr>
          <w:rFonts w:ascii="Times New Roman" w:hAnsi="Times New Roman" w:cs="Times New Roman"/>
          <w:sz w:val="20"/>
          <w:szCs w:val="20"/>
          <w:lang w:val="en-US"/>
        </w:rPr>
        <w:t xml:space="preserve">MI = myocardial infarction; </w:t>
      </w:r>
      <w:proofErr w:type="spellStart"/>
      <w:r w:rsidRPr="00BB0C07">
        <w:rPr>
          <w:rFonts w:ascii="Times New Roman" w:hAnsi="Times New Roman" w:cs="Times New Roman"/>
          <w:sz w:val="20"/>
          <w:szCs w:val="20"/>
          <w:lang w:val="en-US"/>
        </w:rPr>
        <w:t>nGI</w:t>
      </w:r>
      <w:proofErr w:type="spellEnd"/>
      <w:r w:rsidRPr="00BB0C07">
        <w:rPr>
          <w:rFonts w:ascii="Times New Roman" w:hAnsi="Times New Roman" w:cs="Times New Roman"/>
          <w:sz w:val="20"/>
          <w:szCs w:val="20"/>
          <w:lang w:val="en-US"/>
        </w:rPr>
        <w:t>-ECH = non-gastrointestinal extracranial hemo</w:t>
      </w:r>
      <w:r w:rsidRPr="00BB0C07">
        <w:rPr>
          <w:rFonts w:ascii="Times New Roman" w:hAnsi="Times New Roman" w:cs="Times New Roman"/>
          <w:sz w:val="20"/>
          <w:szCs w:val="20"/>
          <w:lang w:val="en-US"/>
        </w:rPr>
        <w:t>r</w:t>
      </w:r>
      <w:r w:rsidRPr="00BB0C07">
        <w:rPr>
          <w:rFonts w:ascii="Times New Roman" w:hAnsi="Times New Roman" w:cs="Times New Roman"/>
          <w:sz w:val="20"/>
          <w:szCs w:val="20"/>
          <w:lang w:val="en-US"/>
        </w:rPr>
        <w:t>rhage; INR = international normalized ratio; RR = relative risk; TIA = transient ischemic attack; TTR = time in therapeutic range; VKA = vitamin K antagonist.</w:t>
      </w:r>
    </w:p>
    <w:tbl>
      <w:tblPr>
        <w:tblStyle w:val="Tabelraster"/>
        <w:tblpPr w:leftFromText="141" w:rightFromText="141" w:vertAnchor="text" w:horzAnchor="margin" w:tblpXSpec="center" w:tblpY="480"/>
        <w:tblW w:w="15111" w:type="dxa"/>
        <w:jc w:val="center"/>
        <w:tblCellMar>
          <w:top w:w="85" w:type="dxa"/>
          <w:left w:w="85" w:type="dxa"/>
          <w:bottom w:w="85" w:type="dxa"/>
          <w:right w:w="85" w:type="dxa"/>
        </w:tblCellMar>
        <w:tblLook w:val="04A0" w:firstRow="1" w:lastRow="0" w:firstColumn="1" w:lastColumn="0" w:noHBand="0" w:noVBand="1"/>
      </w:tblPr>
      <w:tblGrid>
        <w:gridCol w:w="1839"/>
        <w:gridCol w:w="5901"/>
        <w:gridCol w:w="5528"/>
        <w:gridCol w:w="1843"/>
      </w:tblGrid>
      <w:tr w:rsidR="00796078" w:rsidRPr="00BB0C07" w:rsidTr="002166DD">
        <w:trPr>
          <w:jc w:val="center"/>
        </w:trPr>
        <w:tc>
          <w:tcPr>
            <w:tcW w:w="1839" w:type="dxa"/>
            <w:shd w:val="clear" w:color="auto" w:fill="808080" w:themeFill="background1" w:themeFillShade="80"/>
            <w:vAlign w:val="center"/>
          </w:tcPr>
          <w:p w:rsidR="00C25ECA" w:rsidRPr="00BB0C07" w:rsidRDefault="00796078" w:rsidP="00C25ECA">
            <w:pPr>
              <w:jc w:val="center"/>
              <w:rPr>
                <w:rFonts w:ascii="Times New Roman" w:hAnsi="Times New Roman" w:cs="Times New Roman"/>
                <w:b/>
                <w:lang w:val="en-US"/>
              </w:rPr>
            </w:pPr>
            <w:r w:rsidRPr="00BB0C07">
              <w:rPr>
                <w:rFonts w:ascii="Times New Roman" w:hAnsi="Times New Roman" w:cs="Times New Roman"/>
                <w:b/>
                <w:color w:val="FFFFFF" w:themeColor="background1"/>
                <w:lang w:val="en-US"/>
              </w:rPr>
              <w:lastRenderedPageBreak/>
              <w:t>(Helper) Que</w:t>
            </w:r>
            <w:r w:rsidRPr="00BB0C07">
              <w:rPr>
                <w:rFonts w:ascii="Times New Roman" w:hAnsi="Times New Roman" w:cs="Times New Roman"/>
                <w:b/>
                <w:color w:val="FFFFFF" w:themeColor="background1"/>
                <w:lang w:val="en-US"/>
              </w:rPr>
              <w:t>s</w:t>
            </w:r>
            <w:r w:rsidRPr="00BB0C07">
              <w:rPr>
                <w:rFonts w:ascii="Times New Roman" w:hAnsi="Times New Roman" w:cs="Times New Roman"/>
                <w:b/>
                <w:color w:val="FFFFFF" w:themeColor="background1"/>
                <w:lang w:val="en-US"/>
              </w:rPr>
              <w:t>tions (13)</w:t>
            </w:r>
          </w:p>
        </w:tc>
        <w:tc>
          <w:tcPr>
            <w:tcW w:w="5901" w:type="dxa"/>
            <w:shd w:val="clear" w:color="auto" w:fill="808080" w:themeFill="background1" w:themeFillShade="80"/>
            <w:vAlign w:val="center"/>
          </w:tcPr>
          <w:p w:rsidR="00C25ECA" w:rsidRPr="00BB0C07" w:rsidRDefault="00796078" w:rsidP="00C25ECA">
            <w:pPr>
              <w:jc w:val="center"/>
              <w:rPr>
                <w:rFonts w:ascii="Times New Roman" w:hAnsi="Times New Roman" w:cs="Times New Roman"/>
                <w:lang w:val="en-US"/>
              </w:rPr>
            </w:pPr>
            <w:r w:rsidRPr="00BB0C07">
              <w:rPr>
                <w:rFonts w:ascii="Times New Roman" w:hAnsi="Times New Roman" w:cs="Times New Roman"/>
                <w:b/>
                <w:color w:val="FFFFFF" w:themeColor="background1"/>
                <w:lang w:val="en-US"/>
              </w:rPr>
              <w:t>Applicability of the questions to economic modeling studies comparing dabigatran with VKAs</w:t>
            </w:r>
          </w:p>
        </w:tc>
        <w:tc>
          <w:tcPr>
            <w:tcW w:w="5528" w:type="dxa"/>
            <w:shd w:val="clear" w:color="auto" w:fill="808080" w:themeFill="background1" w:themeFillShade="80"/>
            <w:vAlign w:val="center"/>
          </w:tcPr>
          <w:p w:rsidR="00C25ECA" w:rsidRPr="00BB0C07" w:rsidRDefault="00796078" w:rsidP="00C25ECA">
            <w:pPr>
              <w:ind w:left="57"/>
              <w:jc w:val="center"/>
              <w:rPr>
                <w:rFonts w:ascii="Times New Roman" w:hAnsi="Times New Roman" w:cs="Times New Roman"/>
                <w:lang w:val="en-US"/>
              </w:rPr>
            </w:pPr>
            <w:r w:rsidRPr="00BB0C07">
              <w:rPr>
                <w:rFonts w:ascii="Times New Roman" w:hAnsi="Times New Roman" w:cs="Times New Roman"/>
                <w:b/>
                <w:color w:val="FFFFFF" w:themeColor="background1"/>
                <w:lang w:val="en-US"/>
              </w:rPr>
              <w:t>Questions applied to economic modeling studies co</w:t>
            </w:r>
            <w:r w:rsidRPr="00BB0C07">
              <w:rPr>
                <w:rFonts w:ascii="Times New Roman" w:hAnsi="Times New Roman" w:cs="Times New Roman"/>
                <w:b/>
                <w:color w:val="FFFFFF" w:themeColor="background1"/>
                <w:lang w:val="en-US"/>
              </w:rPr>
              <w:t>m</w:t>
            </w:r>
            <w:r w:rsidRPr="00BB0C07">
              <w:rPr>
                <w:rFonts w:ascii="Times New Roman" w:hAnsi="Times New Roman" w:cs="Times New Roman"/>
                <w:b/>
                <w:color w:val="FFFFFF" w:themeColor="background1"/>
                <w:lang w:val="en-US"/>
              </w:rPr>
              <w:t>paring dabigatran with VKAs</w:t>
            </w:r>
          </w:p>
        </w:tc>
        <w:tc>
          <w:tcPr>
            <w:tcW w:w="1843" w:type="dxa"/>
            <w:shd w:val="clear" w:color="auto" w:fill="808080" w:themeFill="background1" w:themeFillShade="80"/>
            <w:vAlign w:val="center"/>
          </w:tcPr>
          <w:p w:rsidR="00796078" w:rsidRPr="00BB0C07" w:rsidRDefault="00796078" w:rsidP="00796078">
            <w:pPr>
              <w:ind w:left="57"/>
              <w:jc w:val="center"/>
              <w:rPr>
                <w:rFonts w:ascii="Times New Roman" w:hAnsi="Times New Roman" w:cs="Times New Roman"/>
                <w:b/>
                <w:color w:val="FFFFFF" w:themeColor="background1"/>
                <w:lang w:val="en-US"/>
              </w:rPr>
            </w:pPr>
            <w:r w:rsidRPr="00BB0C07">
              <w:rPr>
                <w:rFonts w:ascii="Times New Roman" w:hAnsi="Times New Roman" w:cs="Times New Roman"/>
                <w:b/>
                <w:color w:val="FFFFFF" w:themeColor="background1"/>
                <w:lang w:val="en-US"/>
              </w:rPr>
              <w:t>Link to que</w:t>
            </w:r>
            <w:r w:rsidRPr="00BB0C07">
              <w:rPr>
                <w:rFonts w:ascii="Times New Roman" w:hAnsi="Times New Roman" w:cs="Times New Roman"/>
                <w:b/>
                <w:color w:val="FFFFFF" w:themeColor="background1"/>
                <w:lang w:val="en-US"/>
              </w:rPr>
              <w:t>s</w:t>
            </w:r>
            <w:r w:rsidRPr="00BB0C07">
              <w:rPr>
                <w:rFonts w:ascii="Times New Roman" w:hAnsi="Times New Roman" w:cs="Times New Roman"/>
                <w:b/>
                <w:color w:val="FFFFFF" w:themeColor="background1"/>
                <w:lang w:val="en-US"/>
              </w:rPr>
              <w:t>tionnaire</w:t>
            </w:r>
          </w:p>
        </w:tc>
      </w:tr>
      <w:tr w:rsidR="000206FB" w:rsidRPr="00D9154F" w:rsidTr="002166DD">
        <w:trPr>
          <w:trHeight w:val="283"/>
          <w:jc w:val="center"/>
        </w:trPr>
        <w:tc>
          <w:tcPr>
            <w:tcW w:w="7740" w:type="dxa"/>
            <w:gridSpan w:val="2"/>
            <w:shd w:val="clear" w:color="auto" w:fill="D9D9D9" w:themeFill="background1" w:themeFillShade="D9"/>
            <w:vAlign w:val="center"/>
          </w:tcPr>
          <w:p w:rsidR="000206FB" w:rsidRPr="00BB0C07" w:rsidRDefault="000206FB" w:rsidP="000206FB">
            <w:pPr>
              <w:ind w:left="284"/>
              <w:rPr>
                <w:rFonts w:ascii="Times New Roman" w:hAnsi="Times New Roman" w:cs="Times New Roman"/>
                <w:sz w:val="20"/>
                <w:szCs w:val="20"/>
                <w:lang w:val="en-US"/>
              </w:rPr>
            </w:pPr>
            <w:r w:rsidRPr="00BB0C07">
              <w:rPr>
                <w:rFonts w:ascii="Times New Roman" w:hAnsi="Times New Roman" w:cs="Times New Roman"/>
                <w:b/>
                <w:lang w:val="en-GB"/>
              </w:rPr>
              <w:t>Is the population relevant? (continued)</w:t>
            </w:r>
          </w:p>
        </w:tc>
        <w:tc>
          <w:tcPr>
            <w:tcW w:w="5528" w:type="dxa"/>
            <w:shd w:val="clear" w:color="auto" w:fill="D9D9D9" w:themeFill="background1" w:themeFillShade="D9"/>
            <w:vAlign w:val="center"/>
          </w:tcPr>
          <w:p w:rsidR="000206FB" w:rsidRPr="00BB0C07" w:rsidRDefault="000206FB" w:rsidP="000206FB">
            <w:pPr>
              <w:pStyle w:val="Lijstalinea"/>
              <w:ind w:left="284"/>
              <w:rPr>
                <w:rFonts w:ascii="Times New Roman" w:hAnsi="Times New Roman" w:cs="Times New Roman"/>
                <w:sz w:val="20"/>
                <w:szCs w:val="20"/>
                <w:lang w:val="en-US"/>
              </w:rPr>
            </w:pPr>
          </w:p>
        </w:tc>
        <w:tc>
          <w:tcPr>
            <w:tcW w:w="1843" w:type="dxa"/>
            <w:shd w:val="clear" w:color="auto" w:fill="D9D9D9" w:themeFill="background1" w:themeFillShade="D9"/>
            <w:vAlign w:val="center"/>
          </w:tcPr>
          <w:p w:rsidR="000206FB" w:rsidRPr="00BB0C07" w:rsidRDefault="000206FB" w:rsidP="000206FB">
            <w:pPr>
              <w:pStyle w:val="Lijstalinea"/>
              <w:ind w:left="284"/>
              <w:rPr>
                <w:rFonts w:ascii="Times New Roman" w:hAnsi="Times New Roman" w:cs="Times New Roman"/>
                <w:sz w:val="20"/>
                <w:szCs w:val="20"/>
                <w:lang w:val="en-US"/>
              </w:rPr>
            </w:pPr>
          </w:p>
        </w:tc>
      </w:tr>
      <w:tr w:rsidR="00571D1F" w:rsidRPr="00BB0C07" w:rsidTr="002166DD">
        <w:trPr>
          <w:trHeight w:val="414"/>
          <w:jc w:val="center"/>
        </w:trPr>
        <w:tc>
          <w:tcPr>
            <w:tcW w:w="1839" w:type="dxa"/>
            <w:vMerge w:val="restart"/>
            <w:shd w:val="clear" w:color="auto" w:fill="auto"/>
            <w:vAlign w:val="center"/>
          </w:tcPr>
          <w:p w:rsidR="00571D1F" w:rsidRPr="00BB0C07" w:rsidRDefault="00571D1F" w:rsidP="000206FB">
            <w:pPr>
              <w:ind w:left="142" w:hanging="142"/>
              <w:rPr>
                <w:rFonts w:ascii="Times New Roman" w:hAnsi="Times New Roman" w:cs="Times New Roman"/>
                <w:b/>
                <w:lang w:val="en-US"/>
              </w:rPr>
            </w:pPr>
            <w:r w:rsidRPr="00BB0C07">
              <w:rPr>
                <w:rFonts w:ascii="Times New Roman" w:hAnsi="Times New Roman" w:cs="Times New Roman"/>
                <w:sz w:val="20"/>
                <w:szCs w:val="20"/>
                <w:lang w:val="en-US"/>
              </w:rPr>
              <w:t>Are co-morbidities similar?</w:t>
            </w:r>
          </w:p>
        </w:tc>
        <w:tc>
          <w:tcPr>
            <w:tcW w:w="5901" w:type="dxa"/>
            <w:vMerge w:val="restart"/>
            <w:shd w:val="clear" w:color="auto" w:fill="auto"/>
            <w:vAlign w:val="center"/>
          </w:tcPr>
          <w:p w:rsidR="00571D1F" w:rsidRPr="00BB0C07" w:rsidRDefault="00571D1F" w:rsidP="000206FB">
            <w:pPr>
              <w:pStyle w:val="Lijstalinea"/>
              <w:numPr>
                <w:ilvl w:val="0"/>
                <w:numId w:val="6"/>
              </w:numPr>
              <w:ind w:left="289"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The risk of ischemic stroke is higher in patient with hypertension (1).</w:t>
            </w:r>
          </w:p>
          <w:p w:rsidR="00571D1F" w:rsidRPr="00BB0C07" w:rsidRDefault="00571D1F" w:rsidP="000206FB">
            <w:pPr>
              <w:pStyle w:val="Lijstalinea"/>
              <w:numPr>
                <w:ilvl w:val="0"/>
                <w:numId w:val="6"/>
              </w:numPr>
              <w:ind w:left="289"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The RR of ischemic stroke of DBG vs. VKAs is higher in patients with heart failure and/or hypertension, and lower in patients with renal impairment (CC&lt;50 ml/min) (1;9;11).</w:t>
            </w:r>
          </w:p>
          <w:p w:rsidR="00571D1F" w:rsidRPr="00BB0C07" w:rsidRDefault="00571D1F" w:rsidP="000206FB">
            <w:pPr>
              <w:pStyle w:val="Lijstalinea"/>
              <w:numPr>
                <w:ilvl w:val="0"/>
                <w:numId w:val="6"/>
              </w:numPr>
              <w:ind w:left="289"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The RR of major hemorrhage of DBG vs. VKAs is higher in p</w:t>
            </w:r>
            <w:r w:rsidRPr="00BB0C07">
              <w:rPr>
                <w:rFonts w:ascii="Times New Roman" w:hAnsi="Times New Roman" w:cs="Times New Roman"/>
                <w:sz w:val="20"/>
                <w:szCs w:val="20"/>
                <w:lang w:val="en-US"/>
              </w:rPr>
              <w:t>a</w:t>
            </w:r>
            <w:r w:rsidRPr="00BB0C07">
              <w:rPr>
                <w:rFonts w:ascii="Times New Roman" w:hAnsi="Times New Roman" w:cs="Times New Roman"/>
                <w:sz w:val="20"/>
                <w:szCs w:val="20"/>
                <w:lang w:val="en-US"/>
              </w:rPr>
              <w:t>tients with diabetes mellitus and/or in patients with renal impai</w:t>
            </w:r>
            <w:r w:rsidRPr="00BB0C07">
              <w:rPr>
                <w:rFonts w:ascii="Times New Roman" w:hAnsi="Times New Roman" w:cs="Times New Roman"/>
                <w:sz w:val="20"/>
                <w:szCs w:val="20"/>
                <w:lang w:val="en-US"/>
              </w:rPr>
              <w:t>r</w:t>
            </w:r>
            <w:r w:rsidRPr="00BB0C07">
              <w:rPr>
                <w:rFonts w:ascii="Times New Roman" w:hAnsi="Times New Roman" w:cs="Times New Roman"/>
                <w:sz w:val="20"/>
                <w:szCs w:val="20"/>
                <w:lang w:val="en-US"/>
              </w:rPr>
              <w:t>ment (CC&lt;50 ml/min), and lower in patients with heart failure (8;9;11).</w:t>
            </w:r>
          </w:p>
        </w:tc>
        <w:tc>
          <w:tcPr>
            <w:tcW w:w="5528" w:type="dxa"/>
            <w:shd w:val="clear" w:color="auto" w:fill="auto"/>
            <w:vAlign w:val="center"/>
          </w:tcPr>
          <w:p w:rsidR="00571D1F" w:rsidRPr="00BB0C07" w:rsidRDefault="00571D1F" w:rsidP="000206FB">
            <w:pPr>
              <w:pStyle w:val="Lijstalinea"/>
              <w:numPr>
                <w:ilvl w:val="0"/>
                <w:numId w:val="22"/>
              </w:numPr>
              <w:ind w:left="284" w:hanging="284"/>
              <w:rPr>
                <w:rFonts w:ascii="Times New Roman" w:hAnsi="Times New Roman" w:cs="Times New Roman"/>
                <w:lang w:val="en-US"/>
              </w:rPr>
            </w:pPr>
            <w:r w:rsidRPr="00BB0C07">
              <w:rPr>
                <w:rFonts w:ascii="Times New Roman" w:hAnsi="Times New Roman" w:cs="Times New Roman"/>
                <w:sz w:val="20"/>
                <w:szCs w:val="20"/>
                <w:lang w:val="en-US"/>
              </w:rPr>
              <w:t>Is the share of patients with diabetes mellitus similar to the target population?</w:t>
            </w:r>
          </w:p>
        </w:tc>
        <w:tc>
          <w:tcPr>
            <w:tcW w:w="1843" w:type="dxa"/>
            <w:vAlign w:val="center"/>
          </w:tcPr>
          <w:p w:rsidR="00571D1F" w:rsidRPr="00BB0C07" w:rsidRDefault="00571D1F" w:rsidP="005918C5">
            <w:pPr>
              <w:pStyle w:val="Lijstalinea"/>
              <w:numPr>
                <w:ilvl w:val="0"/>
                <w:numId w:val="23"/>
              </w:numPr>
              <w:ind w:left="284" w:hanging="284"/>
              <w:rPr>
                <w:rFonts w:ascii="Times New Roman" w:hAnsi="Times New Roman" w:cs="Times New Roman"/>
                <w:lang w:val="en-US"/>
              </w:rPr>
            </w:pPr>
            <w:r w:rsidRPr="00BB0C07">
              <w:rPr>
                <w:rFonts w:ascii="Times New Roman" w:hAnsi="Times New Roman" w:cs="Times New Roman"/>
                <w:sz w:val="20"/>
                <w:szCs w:val="20"/>
                <w:lang w:val="en-US"/>
              </w:rPr>
              <w:t>Question 19</w:t>
            </w:r>
          </w:p>
        </w:tc>
      </w:tr>
      <w:tr w:rsidR="00571D1F" w:rsidRPr="00BB0C07" w:rsidTr="002166DD">
        <w:trPr>
          <w:trHeight w:val="414"/>
          <w:jc w:val="center"/>
        </w:trPr>
        <w:tc>
          <w:tcPr>
            <w:tcW w:w="1839" w:type="dxa"/>
            <w:vMerge/>
            <w:shd w:val="clear" w:color="auto" w:fill="auto"/>
            <w:vAlign w:val="center"/>
          </w:tcPr>
          <w:p w:rsidR="00571D1F" w:rsidRPr="00BB0C07" w:rsidRDefault="00571D1F" w:rsidP="000206FB">
            <w:pPr>
              <w:ind w:left="142" w:hanging="142"/>
              <w:rPr>
                <w:rFonts w:ascii="Times New Roman" w:hAnsi="Times New Roman" w:cs="Times New Roman"/>
                <w:sz w:val="20"/>
                <w:szCs w:val="20"/>
                <w:lang w:val="en-US"/>
              </w:rPr>
            </w:pPr>
          </w:p>
        </w:tc>
        <w:tc>
          <w:tcPr>
            <w:tcW w:w="5901" w:type="dxa"/>
            <w:vMerge/>
            <w:shd w:val="clear" w:color="auto" w:fill="auto"/>
            <w:vAlign w:val="center"/>
          </w:tcPr>
          <w:p w:rsidR="00571D1F" w:rsidRPr="00BB0C07" w:rsidRDefault="00571D1F" w:rsidP="000206FB">
            <w:pPr>
              <w:pStyle w:val="Lijstalinea"/>
              <w:numPr>
                <w:ilvl w:val="0"/>
                <w:numId w:val="6"/>
              </w:numPr>
              <w:ind w:left="289" w:hanging="284"/>
              <w:rPr>
                <w:rFonts w:ascii="Times New Roman" w:hAnsi="Times New Roman" w:cs="Times New Roman"/>
                <w:sz w:val="20"/>
                <w:szCs w:val="20"/>
                <w:lang w:val="en-US"/>
              </w:rPr>
            </w:pPr>
          </w:p>
        </w:tc>
        <w:tc>
          <w:tcPr>
            <w:tcW w:w="5528" w:type="dxa"/>
            <w:shd w:val="clear" w:color="auto" w:fill="auto"/>
            <w:vAlign w:val="center"/>
          </w:tcPr>
          <w:p w:rsidR="00571D1F" w:rsidRPr="00BB0C07" w:rsidRDefault="00571D1F" w:rsidP="000206FB">
            <w:pPr>
              <w:pStyle w:val="Lijstalinea"/>
              <w:numPr>
                <w:ilvl w:val="0"/>
                <w:numId w:val="22"/>
              </w:numPr>
              <w:ind w:left="284" w:hanging="284"/>
              <w:rPr>
                <w:rFonts w:ascii="Times New Roman" w:hAnsi="Times New Roman" w:cs="Times New Roman"/>
                <w:lang w:val="en-US"/>
              </w:rPr>
            </w:pPr>
            <w:r w:rsidRPr="00BB0C07">
              <w:rPr>
                <w:rFonts w:ascii="Times New Roman" w:hAnsi="Times New Roman" w:cs="Times New Roman"/>
                <w:sz w:val="20"/>
                <w:szCs w:val="20"/>
                <w:lang w:val="en-US"/>
              </w:rPr>
              <w:t>Is the share of patients with heart failure similar to the target population?</w:t>
            </w:r>
          </w:p>
        </w:tc>
        <w:tc>
          <w:tcPr>
            <w:tcW w:w="1843" w:type="dxa"/>
            <w:vAlign w:val="center"/>
          </w:tcPr>
          <w:p w:rsidR="00571D1F" w:rsidRPr="00BB0C07" w:rsidRDefault="00571D1F" w:rsidP="005918C5">
            <w:pPr>
              <w:pStyle w:val="Lijstalinea"/>
              <w:numPr>
                <w:ilvl w:val="0"/>
                <w:numId w:val="23"/>
              </w:numPr>
              <w:ind w:left="284" w:hanging="284"/>
              <w:rPr>
                <w:rFonts w:ascii="Times New Roman" w:hAnsi="Times New Roman" w:cs="Times New Roman"/>
                <w:lang w:val="en-US"/>
              </w:rPr>
            </w:pPr>
            <w:r w:rsidRPr="00BB0C07">
              <w:rPr>
                <w:rFonts w:ascii="Times New Roman" w:hAnsi="Times New Roman" w:cs="Times New Roman"/>
                <w:sz w:val="20"/>
                <w:szCs w:val="20"/>
                <w:lang w:val="en-US"/>
              </w:rPr>
              <w:t>Question 20</w:t>
            </w:r>
          </w:p>
        </w:tc>
      </w:tr>
      <w:tr w:rsidR="00571D1F" w:rsidRPr="00BB0C07" w:rsidTr="002166DD">
        <w:trPr>
          <w:trHeight w:val="414"/>
          <w:jc w:val="center"/>
        </w:trPr>
        <w:tc>
          <w:tcPr>
            <w:tcW w:w="1839" w:type="dxa"/>
            <w:vMerge/>
            <w:shd w:val="clear" w:color="auto" w:fill="auto"/>
            <w:vAlign w:val="center"/>
          </w:tcPr>
          <w:p w:rsidR="00571D1F" w:rsidRPr="00BB0C07" w:rsidRDefault="00571D1F" w:rsidP="000206FB">
            <w:pPr>
              <w:ind w:left="142" w:hanging="142"/>
              <w:rPr>
                <w:rFonts w:ascii="Times New Roman" w:hAnsi="Times New Roman" w:cs="Times New Roman"/>
                <w:sz w:val="20"/>
                <w:szCs w:val="20"/>
                <w:lang w:val="en-US"/>
              </w:rPr>
            </w:pPr>
          </w:p>
        </w:tc>
        <w:tc>
          <w:tcPr>
            <w:tcW w:w="5901" w:type="dxa"/>
            <w:vMerge/>
            <w:shd w:val="clear" w:color="auto" w:fill="auto"/>
            <w:vAlign w:val="center"/>
          </w:tcPr>
          <w:p w:rsidR="00571D1F" w:rsidRPr="00BB0C07" w:rsidRDefault="00571D1F" w:rsidP="000206FB">
            <w:pPr>
              <w:pStyle w:val="Lijstalinea"/>
              <w:numPr>
                <w:ilvl w:val="0"/>
                <w:numId w:val="6"/>
              </w:numPr>
              <w:ind w:left="289" w:hanging="284"/>
              <w:rPr>
                <w:rFonts w:ascii="Times New Roman" w:hAnsi="Times New Roman" w:cs="Times New Roman"/>
                <w:sz w:val="20"/>
                <w:szCs w:val="20"/>
                <w:lang w:val="en-US"/>
              </w:rPr>
            </w:pPr>
          </w:p>
        </w:tc>
        <w:tc>
          <w:tcPr>
            <w:tcW w:w="5528" w:type="dxa"/>
            <w:shd w:val="clear" w:color="auto" w:fill="auto"/>
            <w:vAlign w:val="center"/>
          </w:tcPr>
          <w:p w:rsidR="00571D1F" w:rsidRPr="00BB0C07" w:rsidRDefault="00571D1F" w:rsidP="000206FB">
            <w:pPr>
              <w:pStyle w:val="Lijstalinea"/>
              <w:numPr>
                <w:ilvl w:val="0"/>
                <w:numId w:val="22"/>
              </w:numPr>
              <w:ind w:left="284" w:hanging="284"/>
              <w:rPr>
                <w:rFonts w:ascii="Times New Roman" w:hAnsi="Times New Roman" w:cs="Times New Roman"/>
                <w:lang w:val="en-US"/>
              </w:rPr>
            </w:pPr>
            <w:r w:rsidRPr="00BB0C07">
              <w:rPr>
                <w:rFonts w:ascii="Times New Roman" w:hAnsi="Times New Roman" w:cs="Times New Roman"/>
                <w:sz w:val="20"/>
                <w:szCs w:val="20"/>
                <w:lang w:val="en-US"/>
              </w:rPr>
              <w:t>Is the share of patients with hypertension similar to the target population?</w:t>
            </w:r>
          </w:p>
        </w:tc>
        <w:tc>
          <w:tcPr>
            <w:tcW w:w="1843" w:type="dxa"/>
            <w:vAlign w:val="center"/>
          </w:tcPr>
          <w:p w:rsidR="00571D1F" w:rsidRPr="00BB0C07" w:rsidRDefault="00571D1F" w:rsidP="005918C5">
            <w:pPr>
              <w:pStyle w:val="Lijstalinea"/>
              <w:numPr>
                <w:ilvl w:val="0"/>
                <w:numId w:val="23"/>
              </w:numPr>
              <w:ind w:left="284" w:hanging="284"/>
              <w:rPr>
                <w:rFonts w:ascii="Times New Roman" w:hAnsi="Times New Roman" w:cs="Times New Roman"/>
                <w:lang w:val="en-US"/>
              </w:rPr>
            </w:pPr>
            <w:r w:rsidRPr="00BB0C07">
              <w:rPr>
                <w:rFonts w:ascii="Times New Roman" w:hAnsi="Times New Roman" w:cs="Times New Roman"/>
                <w:sz w:val="20"/>
                <w:szCs w:val="20"/>
                <w:lang w:val="en-US"/>
              </w:rPr>
              <w:t>Question 21</w:t>
            </w:r>
          </w:p>
        </w:tc>
      </w:tr>
      <w:tr w:rsidR="00571D1F" w:rsidRPr="00BB0C07" w:rsidTr="002166DD">
        <w:trPr>
          <w:trHeight w:val="414"/>
          <w:jc w:val="center"/>
        </w:trPr>
        <w:tc>
          <w:tcPr>
            <w:tcW w:w="1839" w:type="dxa"/>
            <w:vMerge/>
            <w:shd w:val="clear" w:color="auto" w:fill="auto"/>
            <w:vAlign w:val="center"/>
          </w:tcPr>
          <w:p w:rsidR="00571D1F" w:rsidRPr="00BB0C07" w:rsidRDefault="00571D1F" w:rsidP="000206FB">
            <w:pPr>
              <w:ind w:left="142" w:hanging="142"/>
              <w:rPr>
                <w:rFonts w:ascii="Times New Roman" w:hAnsi="Times New Roman" w:cs="Times New Roman"/>
                <w:sz w:val="20"/>
                <w:szCs w:val="20"/>
                <w:lang w:val="en-US"/>
              </w:rPr>
            </w:pPr>
          </w:p>
        </w:tc>
        <w:tc>
          <w:tcPr>
            <w:tcW w:w="5901" w:type="dxa"/>
            <w:vMerge/>
            <w:shd w:val="clear" w:color="auto" w:fill="auto"/>
            <w:vAlign w:val="center"/>
          </w:tcPr>
          <w:p w:rsidR="00571D1F" w:rsidRPr="00BB0C07" w:rsidRDefault="00571D1F" w:rsidP="000206FB">
            <w:pPr>
              <w:pStyle w:val="Lijstalinea"/>
              <w:numPr>
                <w:ilvl w:val="0"/>
                <w:numId w:val="6"/>
              </w:numPr>
              <w:ind w:left="289" w:hanging="284"/>
              <w:rPr>
                <w:rFonts w:ascii="Times New Roman" w:hAnsi="Times New Roman" w:cs="Times New Roman"/>
                <w:sz w:val="20"/>
                <w:szCs w:val="20"/>
                <w:lang w:val="en-US"/>
              </w:rPr>
            </w:pPr>
          </w:p>
        </w:tc>
        <w:tc>
          <w:tcPr>
            <w:tcW w:w="5528" w:type="dxa"/>
            <w:shd w:val="clear" w:color="auto" w:fill="auto"/>
            <w:vAlign w:val="center"/>
          </w:tcPr>
          <w:p w:rsidR="00571D1F" w:rsidRPr="00BB0C07" w:rsidRDefault="00571D1F" w:rsidP="000206FB">
            <w:pPr>
              <w:pStyle w:val="Lijstalinea"/>
              <w:numPr>
                <w:ilvl w:val="0"/>
                <w:numId w:val="22"/>
              </w:numPr>
              <w:ind w:left="284" w:hanging="284"/>
              <w:rPr>
                <w:rFonts w:ascii="Times New Roman" w:hAnsi="Times New Roman" w:cs="Times New Roman"/>
                <w:lang w:val="en-US"/>
              </w:rPr>
            </w:pPr>
            <w:r w:rsidRPr="00BB0C07">
              <w:rPr>
                <w:rFonts w:ascii="Times New Roman" w:hAnsi="Times New Roman" w:cs="Times New Roman"/>
                <w:sz w:val="20"/>
                <w:szCs w:val="20"/>
                <w:lang w:val="en-US"/>
              </w:rPr>
              <w:t>Is the average renal function similar to the target population?</w:t>
            </w:r>
          </w:p>
        </w:tc>
        <w:tc>
          <w:tcPr>
            <w:tcW w:w="1843" w:type="dxa"/>
            <w:vAlign w:val="center"/>
          </w:tcPr>
          <w:p w:rsidR="00571D1F" w:rsidRPr="00BB0C07" w:rsidRDefault="005918C5" w:rsidP="005918C5">
            <w:pPr>
              <w:pStyle w:val="Lijstalinea"/>
              <w:numPr>
                <w:ilvl w:val="0"/>
                <w:numId w:val="23"/>
              </w:numPr>
              <w:ind w:left="284" w:hanging="284"/>
              <w:rPr>
                <w:rFonts w:ascii="Times New Roman" w:hAnsi="Times New Roman" w:cs="Times New Roman"/>
                <w:lang w:val="en-US"/>
              </w:rPr>
            </w:pPr>
            <w:r w:rsidRPr="00BB0C07">
              <w:rPr>
                <w:rFonts w:ascii="Times New Roman" w:hAnsi="Times New Roman"/>
                <w:sz w:val="20"/>
                <w:szCs w:val="20"/>
                <w:lang w:val="en-US"/>
              </w:rPr>
              <w:t>Not applicable*</w:t>
            </w:r>
          </w:p>
        </w:tc>
      </w:tr>
      <w:tr w:rsidR="00571D1F" w:rsidRPr="00D9154F" w:rsidTr="002166DD">
        <w:trPr>
          <w:jc w:val="center"/>
        </w:trPr>
        <w:tc>
          <w:tcPr>
            <w:tcW w:w="7740" w:type="dxa"/>
            <w:gridSpan w:val="2"/>
            <w:shd w:val="clear" w:color="auto" w:fill="D9D9D9" w:themeFill="background1" w:themeFillShade="D9"/>
            <w:vAlign w:val="center"/>
          </w:tcPr>
          <w:p w:rsidR="00C25ECA" w:rsidRPr="00BB0C07" w:rsidRDefault="00571D1F" w:rsidP="00C25ECA">
            <w:pPr>
              <w:ind w:left="284"/>
              <w:rPr>
                <w:rFonts w:ascii="Times New Roman" w:hAnsi="Times New Roman" w:cs="Times New Roman"/>
                <w:lang w:val="en-US"/>
              </w:rPr>
            </w:pPr>
            <w:r w:rsidRPr="00BB0C07">
              <w:rPr>
                <w:rFonts w:ascii="Times New Roman" w:hAnsi="Times New Roman" w:cs="Times New Roman"/>
                <w:b/>
                <w:lang w:val="en-US"/>
              </w:rPr>
              <w:t>Are any critical interventions missing?</w:t>
            </w:r>
          </w:p>
        </w:tc>
        <w:tc>
          <w:tcPr>
            <w:tcW w:w="5528" w:type="dxa"/>
            <w:shd w:val="clear" w:color="auto" w:fill="D9D9D9" w:themeFill="background1" w:themeFillShade="D9"/>
          </w:tcPr>
          <w:p w:rsidR="00C25ECA" w:rsidRPr="00BB0C07" w:rsidRDefault="00C25ECA" w:rsidP="00C25ECA">
            <w:pPr>
              <w:ind w:left="720" w:hanging="360"/>
              <w:rPr>
                <w:rFonts w:ascii="Times New Roman" w:hAnsi="Times New Roman" w:cs="Times New Roman"/>
                <w:lang w:val="en-US"/>
              </w:rPr>
            </w:pPr>
          </w:p>
        </w:tc>
        <w:tc>
          <w:tcPr>
            <w:tcW w:w="1843" w:type="dxa"/>
            <w:shd w:val="clear" w:color="auto" w:fill="D9D9D9" w:themeFill="background1" w:themeFillShade="D9"/>
          </w:tcPr>
          <w:p w:rsidR="00571D1F" w:rsidRPr="00BB0C07" w:rsidRDefault="00571D1F" w:rsidP="000206FB">
            <w:pPr>
              <w:ind w:left="720" w:hanging="360"/>
              <w:rPr>
                <w:rFonts w:ascii="Times New Roman" w:hAnsi="Times New Roman" w:cs="Times New Roman"/>
                <w:lang w:val="en-US"/>
              </w:rPr>
            </w:pPr>
          </w:p>
        </w:tc>
      </w:tr>
      <w:tr w:rsidR="00571D1F" w:rsidRPr="00BB0C07" w:rsidTr="002166DD">
        <w:trPr>
          <w:jc w:val="center"/>
        </w:trPr>
        <w:tc>
          <w:tcPr>
            <w:tcW w:w="1839" w:type="dxa"/>
            <w:vAlign w:val="center"/>
          </w:tcPr>
          <w:p w:rsidR="00C25ECA" w:rsidRPr="00BB0C07" w:rsidRDefault="00571D1F" w:rsidP="00C25ECA">
            <w:pPr>
              <w:ind w:left="142" w:hanging="142"/>
              <w:rPr>
                <w:rFonts w:ascii="Times New Roman" w:hAnsi="Times New Roman" w:cs="Times New Roman"/>
                <w:sz w:val="20"/>
                <w:szCs w:val="20"/>
                <w:lang w:val="en-US"/>
              </w:rPr>
            </w:pPr>
            <w:r w:rsidRPr="00BB0C07">
              <w:rPr>
                <w:rFonts w:ascii="Times New Roman" w:hAnsi="Times New Roman" w:cs="Times New Roman"/>
                <w:sz w:val="20"/>
                <w:szCs w:val="20"/>
                <w:lang w:val="en-US"/>
              </w:rPr>
              <w:t>Does the analyzed intervention match the intervention of interest?</w:t>
            </w:r>
          </w:p>
        </w:tc>
        <w:tc>
          <w:tcPr>
            <w:tcW w:w="5901" w:type="dxa"/>
            <w:vAlign w:val="center"/>
          </w:tcPr>
          <w:p w:rsidR="00C25ECA" w:rsidRPr="00BB0C07" w:rsidRDefault="00571D1F" w:rsidP="00C25ECA">
            <w:pPr>
              <w:rPr>
                <w:rFonts w:ascii="Times New Roman" w:hAnsi="Times New Roman" w:cs="Times New Roman"/>
                <w:sz w:val="20"/>
                <w:szCs w:val="20"/>
                <w:lang w:val="en-US"/>
              </w:rPr>
            </w:pPr>
            <w:r w:rsidRPr="00BB0C07">
              <w:rPr>
                <w:rFonts w:ascii="Times New Roman" w:hAnsi="Times New Roman" w:cs="Times New Roman"/>
                <w:sz w:val="20"/>
                <w:szCs w:val="20"/>
                <w:lang w:val="en-US"/>
              </w:rPr>
              <w:t>The intervention of interest is DBG in a dose of 150 mg 2 times daily. DBG 110 mg 2 times daily is not approved in the US. Therefore, DBG in sequential dosing (150 mg for patients aged &lt; 75 and 110 mg for patients aged ≥ 75) is also not applicable to the US.</w:t>
            </w:r>
          </w:p>
        </w:tc>
        <w:tc>
          <w:tcPr>
            <w:tcW w:w="5528" w:type="dxa"/>
            <w:vAlign w:val="center"/>
          </w:tcPr>
          <w:p w:rsidR="00C25ECA" w:rsidRPr="00BB0C07" w:rsidRDefault="00571D1F" w:rsidP="00C25ECA">
            <w:pPr>
              <w:pStyle w:val="Lijstalinea"/>
              <w:numPr>
                <w:ilvl w:val="0"/>
                <w:numId w:val="22"/>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Does cost-effectiveness of DBG pertain to a dose of 150 mg twice daily?</w:t>
            </w:r>
          </w:p>
        </w:tc>
        <w:tc>
          <w:tcPr>
            <w:tcW w:w="1843" w:type="dxa"/>
            <w:vAlign w:val="center"/>
          </w:tcPr>
          <w:p w:rsidR="00571D1F" w:rsidRPr="00BB0C07" w:rsidRDefault="000206FB" w:rsidP="005918C5">
            <w:pPr>
              <w:pStyle w:val="Lijstalinea"/>
              <w:numPr>
                <w:ilvl w:val="0"/>
                <w:numId w:val="23"/>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22</w:t>
            </w:r>
          </w:p>
        </w:tc>
      </w:tr>
      <w:tr w:rsidR="00571D1F" w:rsidRPr="00BB0C07" w:rsidTr="002166DD">
        <w:trPr>
          <w:jc w:val="center"/>
        </w:trPr>
        <w:tc>
          <w:tcPr>
            <w:tcW w:w="1839" w:type="dxa"/>
            <w:vAlign w:val="center"/>
          </w:tcPr>
          <w:p w:rsidR="00C25ECA" w:rsidRPr="00BB0C07" w:rsidRDefault="00571D1F" w:rsidP="00C25ECA">
            <w:pPr>
              <w:ind w:left="142" w:hanging="142"/>
              <w:rPr>
                <w:rFonts w:ascii="Times New Roman" w:hAnsi="Times New Roman" w:cs="Times New Roman"/>
                <w:sz w:val="20"/>
                <w:szCs w:val="20"/>
                <w:lang w:val="en-US"/>
              </w:rPr>
            </w:pPr>
            <w:r w:rsidRPr="00BB0C07">
              <w:rPr>
                <w:rFonts w:ascii="Times New Roman" w:hAnsi="Times New Roman" w:cs="Times New Roman"/>
                <w:sz w:val="20"/>
                <w:szCs w:val="20"/>
                <w:lang w:val="en-US"/>
              </w:rPr>
              <w:t>Have all relevant comparators been considered?</w:t>
            </w:r>
          </w:p>
        </w:tc>
        <w:tc>
          <w:tcPr>
            <w:tcW w:w="5901" w:type="dxa"/>
            <w:vAlign w:val="center"/>
          </w:tcPr>
          <w:p w:rsidR="00C25ECA" w:rsidRPr="00BB0C07" w:rsidRDefault="00571D1F" w:rsidP="00C25ECA">
            <w:pPr>
              <w:rPr>
                <w:rFonts w:ascii="Times New Roman" w:hAnsi="Times New Roman" w:cs="Times New Roman"/>
                <w:sz w:val="20"/>
                <w:szCs w:val="20"/>
                <w:lang w:val="en-US"/>
              </w:rPr>
            </w:pPr>
            <w:r w:rsidRPr="00BB0C07">
              <w:rPr>
                <w:rFonts w:ascii="Times New Roman" w:hAnsi="Times New Roman" w:cs="Times New Roman"/>
                <w:sz w:val="20"/>
                <w:szCs w:val="20"/>
                <w:lang w:val="en-US"/>
              </w:rPr>
              <w:t>Following from the inclusion criteria, all studies use VKAs as a co</w:t>
            </w:r>
            <w:r w:rsidRPr="00BB0C07">
              <w:rPr>
                <w:rFonts w:ascii="Times New Roman" w:hAnsi="Times New Roman" w:cs="Times New Roman"/>
                <w:sz w:val="20"/>
                <w:szCs w:val="20"/>
                <w:lang w:val="en-US"/>
              </w:rPr>
              <w:t>m</w:t>
            </w:r>
            <w:r w:rsidRPr="00BB0C07">
              <w:rPr>
                <w:rFonts w:ascii="Times New Roman" w:hAnsi="Times New Roman" w:cs="Times New Roman"/>
                <w:sz w:val="20"/>
                <w:szCs w:val="20"/>
                <w:lang w:val="en-US"/>
              </w:rPr>
              <w:t>parator against DBG. The effectiveness of VKAs greatly depends on the time in therapeutic range (TTR). The mean TTR was 64.4% in the RE-LY trial, but is lower in US clinical practice, estimated to be ~55%, varying between 54% and 64% (17</w:t>
            </w:r>
            <w:r w:rsidRPr="00BB0C07">
              <w:rPr>
                <w:lang w:val="en-US"/>
              </w:rPr>
              <w:sym w:font="Symbol" w:char="F02D"/>
            </w:r>
            <w:r w:rsidRPr="00BB0C07">
              <w:rPr>
                <w:rFonts w:ascii="Times New Roman" w:hAnsi="Times New Roman" w:cs="Times New Roman"/>
                <w:sz w:val="20"/>
                <w:szCs w:val="20"/>
                <w:lang w:val="en-US"/>
              </w:rPr>
              <w:t>19).</w:t>
            </w:r>
          </w:p>
        </w:tc>
        <w:tc>
          <w:tcPr>
            <w:tcW w:w="5528" w:type="dxa"/>
            <w:vAlign w:val="center"/>
          </w:tcPr>
          <w:p w:rsidR="00C25ECA" w:rsidRPr="00BB0C07" w:rsidRDefault="00571D1F" w:rsidP="00C25ECA">
            <w:pPr>
              <w:pStyle w:val="Lijstalinea"/>
              <w:numPr>
                <w:ilvl w:val="0"/>
                <w:numId w:val="10"/>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Was the time in therapeutic range of VKAs similar to clinical practice?</w:t>
            </w:r>
          </w:p>
        </w:tc>
        <w:tc>
          <w:tcPr>
            <w:tcW w:w="1843" w:type="dxa"/>
            <w:vAlign w:val="center"/>
          </w:tcPr>
          <w:p w:rsidR="00571D1F" w:rsidRPr="00BB0C07" w:rsidRDefault="000206FB" w:rsidP="005918C5">
            <w:pPr>
              <w:pStyle w:val="Lijstalinea"/>
              <w:numPr>
                <w:ilvl w:val="0"/>
                <w:numId w:val="23"/>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23</w:t>
            </w:r>
          </w:p>
        </w:tc>
      </w:tr>
      <w:tr w:rsidR="002166DD" w:rsidRPr="00BB0C07" w:rsidTr="002166DD">
        <w:trPr>
          <w:trHeight w:val="680"/>
          <w:jc w:val="center"/>
        </w:trPr>
        <w:tc>
          <w:tcPr>
            <w:tcW w:w="1839" w:type="dxa"/>
            <w:vMerge w:val="restart"/>
            <w:vAlign w:val="center"/>
          </w:tcPr>
          <w:p w:rsidR="00C25ECA" w:rsidRPr="00BB0C07" w:rsidRDefault="002166DD" w:rsidP="00C25ECA">
            <w:pPr>
              <w:ind w:left="142" w:hanging="142"/>
              <w:rPr>
                <w:rFonts w:ascii="Times New Roman" w:hAnsi="Times New Roman" w:cs="Times New Roman"/>
                <w:sz w:val="20"/>
                <w:szCs w:val="20"/>
                <w:lang w:val="en-US"/>
              </w:rPr>
            </w:pPr>
            <w:r w:rsidRPr="00BB0C07">
              <w:rPr>
                <w:rFonts w:ascii="Times New Roman" w:hAnsi="Times New Roman" w:cs="Times New Roman"/>
                <w:sz w:val="20"/>
                <w:szCs w:val="20"/>
                <w:lang w:val="en-US"/>
              </w:rPr>
              <w:t>Does the bac</w:t>
            </w:r>
            <w:r w:rsidRPr="00BB0C07">
              <w:rPr>
                <w:rFonts w:ascii="Times New Roman" w:hAnsi="Times New Roman" w:cs="Times New Roman"/>
                <w:sz w:val="20"/>
                <w:szCs w:val="20"/>
                <w:lang w:val="en-US"/>
              </w:rPr>
              <w:t>k</w:t>
            </w:r>
            <w:r w:rsidRPr="00BB0C07">
              <w:rPr>
                <w:rFonts w:ascii="Times New Roman" w:hAnsi="Times New Roman" w:cs="Times New Roman"/>
                <w:sz w:val="20"/>
                <w:szCs w:val="20"/>
                <w:lang w:val="en-US"/>
              </w:rPr>
              <w:t>ground care in the model match yours?</w:t>
            </w:r>
          </w:p>
        </w:tc>
        <w:tc>
          <w:tcPr>
            <w:tcW w:w="5901" w:type="dxa"/>
            <w:vMerge w:val="restart"/>
            <w:vAlign w:val="center"/>
          </w:tcPr>
          <w:p w:rsidR="00C25ECA" w:rsidRPr="00BB0C07" w:rsidRDefault="002166DD" w:rsidP="00C25ECA">
            <w:pPr>
              <w:pStyle w:val="Lijstalinea"/>
              <w:numPr>
                <w:ilvl w:val="0"/>
                <w:numId w:val="7"/>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Patients visit a physician start of DBG, and often one month ther</w:t>
            </w:r>
            <w:r w:rsidRPr="00BB0C07">
              <w:rPr>
                <w:rFonts w:ascii="Times New Roman" w:hAnsi="Times New Roman" w:cs="Times New Roman"/>
                <w:sz w:val="20"/>
                <w:szCs w:val="20"/>
                <w:lang w:val="en-US"/>
              </w:rPr>
              <w:t>e</w:t>
            </w:r>
            <w:r w:rsidRPr="00BB0C07">
              <w:rPr>
                <w:rFonts w:ascii="Times New Roman" w:hAnsi="Times New Roman" w:cs="Times New Roman"/>
                <w:sz w:val="20"/>
                <w:szCs w:val="20"/>
                <w:lang w:val="en-US"/>
              </w:rPr>
              <w:t>after to assess tolerance of the drug. AHA/ ACC/ HRS guidelines advise a renal function test before starting DBG (20).</w:t>
            </w:r>
          </w:p>
          <w:p w:rsidR="00C25ECA" w:rsidRPr="00BB0C07" w:rsidRDefault="002166DD" w:rsidP="00C25ECA">
            <w:pPr>
              <w:pStyle w:val="Lijstalinea"/>
              <w:numPr>
                <w:ilvl w:val="0"/>
                <w:numId w:val="7"/>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Patients with moderate renal impairment, and/or patients who are aged ≥ 75 years, require annual monitoring of renal function with DBG (20).</w:t>
            </w:r>
          </w:p>
        </w:tc>
        <w:tc>
          <w:tcPr>
            <w:tcW w:w="5528" w:type="dxa"/>
            <w:vAlign w:val="center"/>
          </w:tcPr>
          <w:p w:rsidR="00C25ECA" w:rsidRPr="00BB0C07" w:rsidRDefault="002166DD" w:rsidP="00C25ECA">
            <w:pPr>
              <w:pStyle w:val="Lijstalinea"/>
              <w:numPr>
                <w:ilvl w:val="0"/>
                <w:numId w:val="10"/>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the nature and frequency of monitoring with the start of DBG in line with US clinical guidelines (at least 2 visits and 1 renal function test in the first 2 months)?</w:t>
            </w:r>
          </w:p>
        </w:tc>
        <w:tc>
          <w:tcPr>
            <w:tcW w:w="1843" w:type="dxa"/>
            <w:vAlign w:val="center"/>
          </w:tcPr>
          <w:p w:rsidR="002166DD" w:rsidRPr="00BB0C07" w:rsidRDefault="002166DD" w:rsidP="005918C5">
            <w:pPr>
              <w:pStyle w:val="Lijstalinea"/>
              <w:numPr>
                <w:ilvl w:val="0"/>
                <w:numId w:val="23"/>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24</w:t>
            </w:r>
          </w:p>
        </w:tc>
      </w:tr>
      <w:tr w:rsidR="002166DD" w:rsidRPr="00BB0C07" w:rsidTr="002166DD">
        <w:trPr>
          <w:trHeight w:val="680"/>
          <w:jc w:val="center"/>
        </w:trPr>
        <w:tc>
          <w:tcPr>
            <w:tcW w:w="1839" w:type="dxa"/>
            <w:vMerge/>
            <w:vAlign w:val="center"/>
          </w:tcPr>
          <w:p w:rsidR="00C25ECA" w:rsidRPr="00BB0C07" w:rsidRDefault="00C25ECA" w:rsidP="00C25ECA">
            <w:pPr>
              <w:ind w:left="142" w:hanging="142"/>
              <w:rPr>
                <w:rFonts w:ascii="Times New Roman" w:hAnsi="Times New Roman" w:cs="Times New Roman"/>
                <w:sz w:val="20"/>
                <w:szCs w:val="20"/>
                <w:lang w:val="en-US"/>
              </w:rPr>
            </w:pPr>
          </w:p>
        </w:tc>
        <w:tc>
          <w:tcPr>
            <w:tcW w:w="5901" w:type="dxa"/>
            <w:vMerge/>
            <w:vAlign w:val="center"/>
          </w:tcPr>
          <w:p w:rsidR="00C25ECA" w:rsidRPr="00BB0C07" w:rsidRDefault="00C25ECA" w:rsidP="00C25ECA">
            <w:pPr>
              <w:rPr>
                <w:rFonts w:ascii="Times New Roman" w:hAnsi="Times New Roman" w:cs="Times New Roman"/>
                <w:sz w:val="20"/>
                <w:szCs w:val="20"/>
                <w:lang w:val="en-US"/>
              </w:rPr>
            </w:pPr>
          </w:p>
        </w:tc>
        <w:tc>
          <w:tcPr>
            <w:tcW w:w="5528" w:type="dxa"/>
            <w:vAlign w:val="center"/>
          </w:tcPr>
          <w:p w:rsidR="00C25ECA" w:rsidRPr="00BB0C07" w:rsidRDefault="002166DD" w:rsidP="00C25ECA">
            <w:pPr>
              <w:pStyle w:val="Lijstalinea"/>
              <w:numPr>
                <w:ilvl w:val="0"/>
                <w:numId w:val="10"/>
              </w:numPr>
              <w:ind w:left="284" w:hanging="284"/>
              <w:rPr>
                <w:rFonts w:ascii="Times New Roman" w:hAnsi="Times New Roman"/>
                <w:sz w:val="20"/>
                <w:lang w:val="en-US"/>
              </w:rPr>
            </w:pPr>
            <w:r w:rsidRPr="00BB0C07">
              <w:rPr>
                <w:rFonts w:ascii="Times New Roman" w:hAnsi="Times New Roman" w:cs="Times New Roman"/>
                <w:sz w:val="20"/>
                <w:szCs w:val="20"/>
                <w:lang w:val="en-US"/>
              </w:rPr>
              <w:t>Is the nature and frequency of monitoring of DBG in line with US clinical guidelines (annual monitoring of renal function in vulnerable patients)?</w:t>
            </w:r>
          </w:p>
        </w:tc>
        <w:tc>
          <w:tcPr>
            <w:tcW w:w="1843" w:type="dxa"/>
            <w:vAlign w:val="center"/>
          </w:tcPr>
          <w:p w:rsidR="002166DD" w:rsidRPr="00BB0C07" w:rsidRDefault="002166DD" w:rsidP="005918C5">
            <w:pPr>
              <w:pStyle w:val="Lijstalinea"/>
              <w:numPr>
                <w:ilvl w:val="0"/>
                <w:numId w:val="23"/>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25</w:t>
            </w:r>
          </w:p>
        </w:tc>
      </w:tr>
    </w:tbl>
    <w:p w:rsidR="00C25ECA" w:rsidRPr="00BB0C07" w:rsidRDefault="00C90FA0" w:rsidP="00C25ECA">
      <w:pPr>
        <w:tabs>
          <w:tab w:val="left" w:pos="142"/>
        </w:tabs>
        <w:spacing w:after="0"/>
        <w:ind w:left="142" w:hanging="142"/>
        <w:rPr>
          <w:rFonts w:ascii="Times New Roman" w:hAnsi="Times New Roman" w:cs="Times New Roman"/>
          <w:lang w:val="en-US"/>
        </w:rPr>
      </w:pPr>
      <w:r w:rsidRPr="00BB0C07">
        <w:rPr>
          <w:rFonts w:ascii="Times New Roman" w:hAnsi="Times New Roman" w:cs="Times New Roman"/>
          <w:b/>
          <w:lang w:val="en-US"/>
        </w:rPr>
        <w:t>Table 3.</w:t>
      </w:r>
      <w:r w:rsidRPr="00BB0C07">
        <w:rPr>
          <w:rFonts w:ascii="Times New Roman" w:hAnsi="Times New Roman" w:cs="Times New Roman"/>
          <w:lang w:val="en-US"/>
        </w:rPr>
        <w:t xml:space="preserve"> Continued (1).</w:t>
      </w:r>
    </w:p>
    <w:p w:rsidR="00C25ECA" w:rsidRPr="00BB0C07" w:rsidRDefault="00C25ECA" w:rsidP="00C25ECA">
      <w:pPr>
        <w:tabs>
          <w:tab w:val="left" w:pos="142"/>
        </w:tabs>
        <w:spacing w:after="0" w:line="240" w:lineRule="auto"/>
        <w:ind w:left="142" w:hanging="142"/>
        <w:rPr>
          <w:rFonts w:ascii="Times New Roman" w:hAnsi="Times New Roman"/>
          <w:sz w:val="20"/>
          <w:szCs w:val="20"/>
          <w:lang w:val="en-US"/>
        </w:rPr>
      </w:pPr>
    </w:p>
    <w:p w:rsidR="00C90FA0" w:rsidRPr="00BB0C07" w:rsidRDefault="005918C5" w:rsidP="00C90FA0">
      <w:pPr>
        <w:tabs>
          <w:tab w:val="left" w:pos="142"/>
        </w:tabs>
        <w:spacing w:after="0" w:line="240" w:lineRule="auto"/>
        <w:ind w:left="142" w:hanging="142"/>
        <w:rPr>
          <w:rFonts w:ascii="Times New Roman" w:hAnsi="Times New Roman" w:cs="Times New Roman"/>
          <w:lang w:val="en-US"/>
        </w:rPr>
      </w:pPr>
      <w:r w:rsidRPr="00BB0C07">
        <w:rPr>
          <w:rFonts w:ascii="Times New Roman" w:hAnsi="Times New Roman"/>
          <w:sz w:val="20"/>
          <w:szCs w:val="20"/>
          <w:lang w:val="en-US"/>
        </w:rPr>
        <w:t>* Information was lacking on the prevalence of renal impairment in the target population.</w:t>
      </w:r>
    </w:p>
    <w:p w:rsidR="00C25ECA" w:rsidRPr="00BB0C07" w:rsidRDefault="00C25ECA" w:rsidP="00C25ECA">
      <w:pPr>
        <w:tabs>
          <w:tab w:val="left" w:pos="142"/>
        </w:tabs>
        <w:spacing w:after="0" w:line="240" w:lineRule="auto"/>
        <w:ind w:left="142" w:hanging="142"/>
        <w:rPr>
          <w:rFonts w:ascii="Times New Roman" w:hAnsi="Times New Roman"/>
          <w:b/>
          <w:lang w:val="en-US"/>
        </w:rPr>
      </w:pPr>
    </w:p>
    <w:p w:rsidR="00C25ECA" w:rsidRPr="00BB0C07" w:rsidRDefault="00C25ECA" w:rsidP="00C25ECA">
      <w:pPr>
        <w:rPr>
          <w:rFonts w:ascii="Times New Roman" w:hAnsi="Times New Roman"/>
          <w:b/>
          <w:lang w:val="en-US"/>
        </w:rPr>
      </w:pPr>
    </w:p>
    <w:tbl>
      <w:tblPr>
        <w:tblStyle w:val="Tabelraster"/>
        <w:tblpPr w:leftFromText="141" w:rightFromText="141" w:vertAnchor="text" w:horzAnchor="margin" w:tblpXSpec="center" w:tblpY="497"/>
        <w:tblW w:w="15111" w:type="dxa"/>
        <w:tblCellMar>
          <w:top w:w="85" w:type="dxa"/>
          <w:left w:w="85" w:type="dxa"/>
          <w:bottom w:w="85" w:type="dxa"/>
          <w:right w:w="85" w:type="dxa"/>
        </w:tblCellMar>
        <w:tblLook w:val="04A0" w:firstRow="1" w:lastRow="0" w:firstColumn="1" w:lastColumn="0" w:noHBand="0" w:noVBand="1"/>
      </w:tblPr>
      <w:tblGrid>
        <w:gridCol w:w="1839"/>
        <w:gridCol w:w="5050"/>
        <w:gridCol w:w="6521"/>
        <w:gridCol w:w="1701"/>
      </w:tblGrid>
      <w:tr w:rsidR="007A4583" w:rsidRPr="00BB0C07" w:rsidTr="00796078">
        <w:tc>
          <w:tcPr>
            <w:tcW w:w="1839" w:type="dxa"/>
            <w:shd w:val="clear" w:color="auto" w:fill="808080" w:themeFill="background1" w:themeFillShade="80"/>
            <w:vAlign w:val="center"/>
          </w:tcPr>
          <w:p w:rsidR="00C25ECA" w:rsidRPr="00BB0C07" w:rsidRDefault="00796078" w:rsidP="00C25ECA">
            <w:pPr>
              <w:jc w:val="center"/>
              <w:rPr>
                <w:rFonts w:ascii="Times New Roman" w:hAnsi="Times New Roman" w:cs="Times New Roman"/>
                <w:b/>
                <w:lang w:val="en-US"/>
              </w:rPr>
            </w:pPr>
            <w:r w:rsidRPr="00BB0C07">
              <w:rPr>
                <w:rFonts w:ascii="Times New Roman" w:hAnsi="Times New Roman" w:cs="Times New Roman"/>
                <w:b/>
                <w:color w:val="FFFFFF" w:themeColor="background1"/>
                <w:lang w:val="en-US"/>
              </w:rPr>
              <w:t>(Helper) Que</w:t>
            </w:r>
            <w:r w:rsidRPr="00BB0C07">
              <w:rPr>
                <w:rFonts w:ascii="Times New Roman" w:hAnsi="Times New Roman" w:cs="Times New Roman"/>
                <w:b/>
                <w:color w:val="FFFFFF" w:themeColor="background1"/>
                <w:lang w:val="en-US"/>
              </w:rPr>
              <w:t>s</w:t>
            </w:r>
            <w:r w:rsidRPr="00BB0C07">
              <w:rPr>
                <w:rFonts w:ascii="Times New Roman" w:hAnsi="Times New Roman" w:cs="Times New Roman"/>
                <w:b/>
                <w:color w:val="FFFFFF" w:themeColor="background1"/>
                <w:lang w:val="en-US"/>
              </w:rPr>
              <w:t>tions (13)</w:t>
            </w:r>
          </w:p>
        </w:tc>
        <w:tc>
          <w:tcPr>
            <w:tcW w:w="5050" w:type="dxa"/>
            <w:shd w:val="clear" w:color="auto" w:fill="808080" w:themeFill="background1" w:themeFillShade="80"/>
            <w:vAlign w:val="center"/>
          </w:tcPr>
          <w:p w:rsidR="00C25ECA" w:rsidRPr="00BB0C07" w:rsidRDefault="00796078" w:rsidP="00C25ECA">
            <w:pPr>
              <w:jc w:val="center"/>
              <w:rPr>
                <w:rFonts w:ascii="Times New Roman" w:hAnsi="Times New Roman" w:cs="Times New Roman"/>
                <w:lang w:val="en-US"/>
              </w:rPr>
            </w:pPr>
            <w:r w:rsidRPr="00BB0C07">
              <w:rPr>
                <w:rFonts w:ascii="Times New Roman" w:hAnsi="Times New Roman" w:cs="Times New Roman"/>
                <w:b/>
                <w:color w:val="FFFFFF" w:themeColor="background1"/>
                <w:lang w:val="en-US"/>
              </w:rPr>
              <w:t>Applicability of the questions to economic modeling studies comparing dabigatran with VKAs</w:t>
            </w:r>
          </w:p>
        </w:tc>
        <w:tc>
          <w:tcPr>
            <w:tcW w:w="6521" w:type="dxa"/>
            <w:shd w:val="clear" w:color="auto" w:fill="808080" w:themeFill="background1" w:themeFillShade="80"/>
            <w:vAlign w:val="center"/>
          </w:tcPr>
          <w:p w:rsidR="00C25ECA" w:rsidRPr="00BB0C07" w:rsidRDefault="00796078" w:rsidP="00C25ECA">
            <w:pPr>
              <w:ind w:left="57"/>
              <w:jc w:val="center"/>
              <w:rPr>
                <w:rFonts w:ascii="Times New Roman" w:hAnsi="Times New Roman" w:cs="Times New Roman"/>
                <w:lang w:val="en-US"/>
              </w:rPr>
            </w:pPr>
            <w:r w:rsidRPr="00BB0C07">
              <w:rPr>
                <w:rFonts w:ascii="Times New Roman" w:hAnsi="Times New Roman" w:cs="Times New Roman"/>
                <w:b/>
                <w:color w:val="FFFFFF" w:themeColor="background1"/>
                <w:lang w:val="en-US"/>
              </w:rPr>
              <w:t>Questions applied to economic modeling studies comparing dabigatran with VKAs</w:t>
            </w:r>
          </w:p>
        </w:tc>
        <w:tc>
          <w:tcPr>
            <w:tcW w:w="1701" w:type="dxa"/>
            <w:shd w:val="clear" w:color="auto" w:fill="808080" w:themeFill="background1" w:themeFillShade="80"/>
            <w:vAlign w:val="center"/>
          </w:tcPr>
          <w:p w:rsidR="00796078" w:rsidRPr="00BB0C07" w:rsidRDefault="00796078" w:rsidP="00796078">
            <w:pPr>
              <w:ind w:left="57"/>
              <w:jc w:val="center"/>
              <w:rPr>
                <w:rFonts w:ascii="Times New Roman" w:hAnsi="Times New Roman" w:cs="Times New Roman"/>
                <w:b/>
                <w:color w:val="FFFFFF" w:themeColor="background1"/>
                <w:lang w:val="en-US"/>
              </w:rPr>
            </w:pPr>
            <w:r w:rsidRPr="00BB0C07">
              <w:rPr>
                <w:rFonts w:ascii="Times New Roman" w:hAnsi="Times New Roman" w:cs="Times New Roman"/>
                <w:b/>
                <w:color w:val="FFFFFF" w:themeColor="background1"/>
                <w:lang w:val="en-US"/>
              </w:rPr>
              <w:t>Link to que</w:t>
            </w:r>
            <w:r w:rsidRPr="00BB0C07">
              <w:rPr>
                <w:rFonts w:ascii="Times New Roman" w:hAnsi="Times New Roman" w:cs="Times New Roman"/>
                <w:b/>
                <w:color w:val="FFFFFF" w:themeColor="background1"/>
                <w:lang w:val="en-US"/>
              </w:rPr>
              <w:t>s</w:t>
            </w:r>
            <w:r w:rsidRPr="00BB0C07">
              <w:rPr>
                <w:rFonts w:ascii="Times New Roman" w:hAnsi="Times New Roman" w:cs="Times New Roman"/>
                <w:b/>
                <w:color w:val="FFFFFF" w:themeColor="background1"/>
                <w:lang w:val="en-US"/>
              </w:rPr>
              <w:t>tionnaire</w:t>
            </w:r>
          </w:p>
        </w:tc>
      </w:tr>
      <w:tr w:rsidR="00C90FA0" w:rsidRPr="00BB0C07" w:rsidTr="00900C4A">
        <w:trPr>
          <w:trHeight w:val="283"/>
        </w:trPr>
        <w:tc>
          <w:tcPr>
            <w:tcW w:w="6889" w:type="dxa"/>
            <w:gridSpan w:val="2"/>
            <w:shd w:val="clear" w:color="auto" w:fill="D9D9D9" w:themeFill="background1" w:themeFillShade="D9"/>
            <w:vAlign w:val="center"/>
          </w:tcPr>
          <w:p w:rsidR="00C25ECA" w:rsidRPr="00BB0C07" w:rsidRDefault="00C90FA0" w:rsidP="00C25ECA">
            <w:pPr>
              <w:ind w:left="284"/>
              <w:rPr>
                <w:rFonts w:ascii="Times New Roman" w:hAnsi="Times New Roman"/>
                <w:sz w:val="20"/>
                <w:lang w:val="en-US"/>
              </w:rPr>
            </w:pPr>
            <w:r w:rsidRPr="00BB0C07">
              <w:rPr>
                <w:rFonts w:ascii="Times New Roman" w:hAnsi="Times New Roman" w:cs="Times New Roman"/>
                <w:b/>
                <w:lang w:val="en-US"/>
              </w:rPr>
              <w:t>Are any critical interventions missing?</w:t>
            </w:r>
            <w:r w:rsidRPr="00BB0C07">
              <w:rPr>
                <w:rFonts w:ascii="Times New Roman" w:hAnsi="Times New Roman" w:cs="Times New Roman"/>
                <w:b/>
                <w:lang w:val="en-GB"/>
              </w:rPr>
              <w:t xml:space="preserve"> (continued)</w:t>
            </w:r>
          </w:p>
        </w:tc>
        <w:tc>
          <w:tcPr>
            <w:tcW w:w="6521" w:type="dxa"/>
            <w:shd w:val="clear" w:color="auto" w:fill="D9D9D9" w:themeFill="background1" w:themeFillShade="D9"/>
            <w:vAlign w:val="center"/>
          </w:tcPr>
          <w:p w:rsidR="00C25ECA" w:rsidRPr="00BB0C07" w:rsidRDefault="00C25ECA" w:rsidP="00C25ECA">
            <w:pPr>
              <w:pStyle w:val="Lijstalinea"/>
              <w:ind w:left="284"/>
              <w:rPr>
                <w:rFonts w:ascii="Times New Roman" w:hAnsi="Times New Roman"/>
                <w:sz w:val="20"/>
                <w:lang w:val="en-US"/>
              </w:rPr>
            </w:pPr>
          </w:p>
        </w:tc>
        <w:tc>
          <w:tcPr>
            <w:tcW w:w="1701" w:type="dxa"/>
            <w:shd w:val="clear" w:color="auto" w:fill="D9D9D9" w:themeFill="background1" w:themeFillShade="D9"/>
            <w:vAlign w:val="center"/>
          </w:tcPr>
          <w:p w:rsidR="00C90FA0" w:rsidRPr="00BB0C07" w:rsidRDefault="00C90FA0" w:rsidP="00C90FA0">
            <w:pPr>
              <w:pStyle w:val="Lijstalinea"/>
              <w:ind w:left="284"/>
              <w:rPr>
                <w:rFonts w:ascii="Times New Roman" w:hAnsi="Times New Roman" w:cs="Times New Roman"/>
                <w:sz w:val="20"/>
                <w:szCs w:val="20"/>
                <w:lang w:val="en-US"/>
              </w:rPr>
            </w:pPr>
          </w:p>
        </w:tc>
      </w:tr>
      <w:tr w:rsidR="005918C5" w:rsidRPr="00BB0C07" w:rsidTr="00900C4A">
        <w:trPr>
          <w:trHeight w:val="414"/>
        </w:trPr>
        <w:tc>
          <w:tcPr>
            <w:tcW w:w="1839" w:type="dxa"/>
            <w:vMerge w:val="restart"/>
            <w:shd w:val="clear" w:color="auto" w:fill="auto"/>
            <w:vAlign w:val="center"/>
          </w:tcPr>
          <w:p w:rsidR="00C25ECA" w:rsidRPr="00BB0C07" w:rsidRDefault="005918C5" w:rsidP="00C25ECA">
            <w:pPr>
              <w:ind w:left="142" w:hanging="142"/>
              <w:rPr>
                <w:rFonts w:ascii="Times New Roman" w:hAnsi="Times New Roman" w:cs="Times New Roman"/>
                <w:sz w:val="20"/>
                <w:szCs w:val="20"/>
                <w:lang w:val="en-US"/>
              </w:rPr>
            </w:pPr>
            <w:r w:rsidRPr="00BB0C07">
              <w:rPr>
                <w:rFonts w:ascii="Times New Roman" w:hAnsi="Times New Roman" w:cs="Times New Roman"/>
                <w:sz w:val="20"/>
                <w:szCs w:val="20"/>
                <w:lang w:val="en-US"/>
              </w:rPr>
              <w:t>Does the bac</w:t>
            </w:r>
            <w:r w:rsidRPr="00BB0C07">
              <w:rPr>
                <w:rFonts w:ascii="Times New Roman" w:hAnsi="Times New Roman" w:cs="Times New Roman"/>
                <w:sz w:val="20"/>
                <w:szCs w:val="20"/>
                <w:lang w:val="en-US"/>
              </w:rPr>
              <w:t>k</w:t>
            </w:r>
            <w:r w:rsidRPr="00BB0C07">
              <w:rPr>
                <w:rFonts w:ascii="Times New Roman" w:hAnsi="Times New Roman" w:cs="Times New Roman"/>
                <w:sz w:val="20"/>
                <w:szCs w:val="20"/>
                <w:lang w:val="en-US"/>
              </w:rPr>
              <w:t>ground care in the model match yours (continued)?</w:t>
            </w:r>
          </w:p>
        </w:tc>
        <w:tc>
          <w:tcPr>
            <w:tcW w:w="5050" w:type="dxa"/>
            <w:vMerge w:val="restart"/>
            <w:shd w:val="clear" w:color="auto" w:fill="auto"/>
            <w:vAlign w:val="center"/>
          </w:tcPr>
          <w:p w:rsidR="00C25ECA" w:rsidRPr="00BB0C07" w:rsidRDefault="005918C5" w:rsidP="00C25ECA">
            <w:pPr>
              <w:pStyle w:val="Lijstalinea"/>
              <w:numPr>
                <w:ilvl w:val="0"/>
                <w:numId w:val="7"/>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It is advised that patients undergo intensified monitoring with the start of VKAs (at least 4 physician or INR clinic visits in the first 2 months) before long-term follow-up (21).</w:t>
            </w:r>
          </w:p>
          <w:p w:rsidR="00C25ECA" w:rsidRPr="00BB0C07" w:rsidRDefault="005918C5" w:rsidP="00C25ECA">
            <w:pPr>
              <w:pStyle w:val="Lijstalinea"/>
              <w:numPr>
                <w:ilvl w:val="0"/>
                <w:numId w:val="6"/>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Patients need regular INR monitoring with the use of VKAs. It is advised that patients with stable INR levels are monitored at least once every month (21).</w:t>
            </w:r>
          </w:p>
        </w:tc>
        <w:tc>
          <w:tcPr>
            <w:tcW w:w="6521" w:type="dxa"/>
            <w:shd w:val="clear" w:color="auto" w:fill="auto"/>
            <w:vAlign w:val="center"/>
          </w:tcPr>
          <w:p w:rsidR="00C25ECA" w:rsidRPr="00BB0C07" w:rsidRDefault="005918C5" w:rsidP="00C25ECA">
            <w:pPr>
              <w:pStyle w:val="Lijstalinea"/>
              <w:numPr>
                <w:ilvl w:val="0"/>
                <w:numId w:val="24"/>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the nature and frequency of monitoring with the start of VKAs in line with US clinical guidelines (at least 4 visits to INR clinic or physician in the first 2 months)?</w:t>
            </w:r>
          </w:p>
        </w:tc>
        <w:tc>
          <w:tcPr>
            <w:tcW w:w="1701" w:type="dxa"/>
            <w:vAlign w:val="center"/>
          </w:tcPr>
          <w:p w:rsidR="005918C5" w:rsidRPr="00BB0C07" w:rsidRDefault="005918C5" w:rsidP="00796078">
            <w:pPr>
              <w:pStyle w:val="Lijstalinea"/>
              <w:numPr>
                <w:ilvl w:val="0"/>
                <w:numId w:val="23"/>
              </w:numPr>
              <w:ind w:left="284" w:hanging="284"/>
              <w:rPr>
                <w:rFonts w:ascii="Times New Roman" w:hAnsi="Times New Roman" w:cs="Times New Roman"/>
                <w:lang w:val="en-US"/>
              </w:rPr>
            </w:pPr>
            <w:r w:rsidRPr="00BB0C07">
              <w:rPr>
                <w:rFonts w:ascii="Times New Roman" w:hAnsi="Times New Roman" w:cs="Times New Roman"/>
                <w:sz w:val="20"/>
                <w:szCs w:val="20"/>
                <w:lang w:val="en-US"/>
              </w:rPr>
              <w:t>Question 26</w:t>
            </w:r>
          </w:p>
        </w:tc>
      </w:tr>
      <w:tr w:rsidR="005918C5" w:rsidRPr="00BB0C07" w:rsidTr="00900C4A">
        <w:trPr>
          <w:trHeight w:val="414"/>
        </w:trPr>
        <w:tc>
          <w:tcPr>
            <w:tcW w:w="1839" w:type="dxa"/>
            <w:vMerge/>
            <w:shd w:val="clear" w:color="auto" w:fill="auto"/>
            <w:vAlign w:val="center"/>
          </w:tcPr>
          <w:p w:rsidR="005918C5" w:rsidRPr="00BB0C07" w:rsidRDefault="005918C5" w:rsidP="00C90FA0">
            <w:pPr>
              <w:ind w:left="142" w:hanging="142"/>
              <w:rPr>
                <w:rFonts w:ascii="Times New Roman" w:hAnsi="Times New Roman" w:cs="Times New Roman"/>
                <w:sz w:val="20"/>
                <w:szCs w:val="20"/>
                <w:lang w:val="en-US"/>
              </w:rPr>
            </w:pPr>
          </w:p>
        </w:tc>
        <w:tc>
          <w:tcPr>
            <w:tcW w:w="5050" w:type="dxa"/>
            <w:vMerge/>
            <w:shd w:val="clear" w:color="auto" w:fill="auto"/>
            <w:vAlign w:val="center"/>
          </w:tcPr>
          <w:p w:rsidR="005918C5" w:rsidRPr="00BB0C07" w:rsidRDefault="005918C5" w:rsidP="005918C5">
            <w:pPr>
              <w:rPr>
                <w:rFonts w:ascii="Times New Roman" w:hAnsi="Times New Roman" w:cs="Times New Roman"/>
                <w:sz w:val="20"/>
                <w:szCs w:val="20"/>
                <w:lang w:val="en-US"/>
              </w:rPr>
            </w:pPr>
          </w:p>
        </w:tc>
        <w:tc>
          <w:tcPr>
            <w:tcW w:w="6521" w:type="dxa"/>
            <w:shd w:val="clear" w:color="auto" w:fill="auto"/>
            <w:vAlign w:val="center"/>
          </w:tcPr>
          <w:p w:rsidR="005918C5" w:rsidRPr="00BB0C07" w:rsidRDefault="005918C5" w:rsidP="005918C5">
            <w:pPr>
              <w:pStyle w:val="Lijstalinea"/>
              <w:numPr>
                <w:ilvl w:val="0"/>
                <w:numId w:val="24"/>
              </w:numPr>
              <w:ind w:left="284" w:hanging="284"/>
              <w:rPr>
                <w:rFonts w:ascii="Times New Roman" w:hAnsi="Times New Roman" w:cs="Times New Roman"/>
                <w:lang w:val="en-US"/>
              </w:rPr>
            </w:pPr>
            <w:r w:rsidRPr="00BB0C07">
              <w:rPr>
                <w:rFonts w:ascii="Times New Roman" w:hAnsi="Times New Roman" w:cs="Times New Roman"/>
                <w:sz w:val="20"/>
                <w:szCs w:val="20"/>
                <w:lang w:val="en-US"/>
              </w:rPr>
              <w:t>Is the nature and frequency of monitoring of VKAs in line with US clinical guidelines (is there at least 12 times INR monitoring per year)?</w:t>
            </w:r>
          </w:p>
        </w:tc>
        <w:tc>
          <w:tcPr>
            <w:tcW w:w="1701" w:type="dxa"/>
            <w:vAlign w:val="center"/>
          </w:tcPr>
          <w:p w:rsidR="005918C5" w:rsidRPr="00BB0C07" w:rsidRDefault="005918C5" w:rsidP="00796078">
            <w:pPr>
              <w:pStyle w:val="Lijstalinea"/>
              <w:numPr>
                <w:ilvl w:val="0"/>
                <w:numId w:val="23"/>
              </w:numPr>
              <w:ind w:left="284" w:hanging="284"/>
              <w:rPr>
                <w:rFonts w:ascii="Times New Roman" w:hAnsi="Times New Roman" w:cs="Times New Roman"/>
                <w:lang w:val="en-US"/>
              </w:rPr>
            </w:pPr>
            <w:r w:rsidRPr="00BB0C07">
              <w:rPr>
                <w:rFonts w:ascii="Times New Roman" w:hAnsi="Times New Roman" w:cs="Times New Roman"/>
                <w:sz w:val="20"/>
                <w:szCs w:val="20"/>
                <w:lang w:val="en-US"/>
              </w:rPr>
              <w:t>Question 27</w:t>
            </w:r>
          </w:p>
        </w:tc>
      </w:tr>
      <w:tr w:rsidR="008E76E3" w:rsidRPr="00D9154F" w:rsidTr="00900C4A">
        <w:trPr>
          <w:trHeight w:val="283"/>
        </w:trPr>
        <w:tc>
          <w:tcPr>
            <w:tcW w:w="6889" w:type="dxa"/>
            <w:gridSpan w:val="2"/>
            <w:shd w:val="clear" w:color="auto" w:fill="D9D9D9" w:themeFill="background1" w:themeFillShade="D9"/>
            <w:vAlign w:val="center"/>
          </w:tcPr>
          <w:p w:rsidR="008E76E3" w:rsidRPr="00BB0C07" w:rsidRDefault="008E76E3" w:rsidP="008E76E3">
            <w:pPr>
              <w:ind w:left="284"/>
              <w:rPr>
                <w:rFonts w:ascii="Times New Roman" w:hAnsi="Times New Roman" w:cs="Times New Roman"/>
                <w:sz w:val="20"/>
                <w:szCs w:val="20"/>
                <w:lang w:val="en-US"/>
              </w:rPr>
            </w:pPr>
            <w:r w:rsidRPr="00BB0C07">
              <w:rPr>
                <w:rFonts w:ascii="Times New Roman" w:hAnsi="Times New Roman" w:cs="Times New Roman"/>
                <w:b/>
                <w:lang w:val="en-US"/>
              </w:rPr>
              <w:t>Are any relevant outcomes missing?</w:t>
            </w:r>
          </w:p>
        </w:tc>
        <w:tc>
          <w:tcPr>
            <w:tcW w:w="6521" w:type="dxa"/>
            <w:shd w:val="clear" w:color="auto" w:fill="D9D9D9" w:themeFill="background1" w:themeFillShade="D9"/>
            <w:vAlign w:val="center"/>
          </w:tcPr>
          <w:p w:rsidR="008E76E3" w:rsidRPr="00BB0C07" w:rsidRDefault="008E76E3" w:rsidP="008E76E3">
            <w:pPr>
              <w:pStyle w:val="Lijstalinea"/>
              <w:ind w:left="284"/>
              <w:rPr>
                <w:rFonts w:ascii="Times New Roman" w:hAnsi="Times New Roman" w:cs="Times New Roman"/>
                <w:sz w:val="20"/>
                <w:szCs w:val="20"/>
                <w:lang w:val="en-US"/>
              </w:rPr>
            </w:pPr>
          </w:p>
        </w:tc>
        <w:tc>
          <w:tcPr>
            <w:tcW w:w="1701" w:type="dxa"/>
            <w:shd w:val="clear" w:color="auto" w:fill="D9D9D9" w:themeFill="background1" w:themeFillShade="D9"/>
            <w:vAlign w:val="center"/>
          </w:tcPr>
          <w:p w:rsidR="008E76E3" w:rsidRPr="00BB0C07" w:rsidRDefault="008E76E3" w:rsidP="008E76E3">
            <w:pPr>
              <w:pStyle w:val="Lijstalinea"/>
              <w:ind w:left="284"/>
              <w:rPr>
                <w:rFonts w:ascii="Times New Roman" w:hAnsi="Times New Roman" w:cs="Times New Roman"/>
                <w:sz w:val="20"/>
                <w:szCs w:val="20"/>
                <w:lang w:val="en-US"/>
              </w:rPr>
            </w:pPr>
          </w:p>
        </w:tc>
      </w:tr>
      <w:tr w:rsidR="00C90FA0" w:rsidRPr="00BB0C07" w:rsidTr="00900C4A">
        <w:trPr>
          <w:trHeight w:val="283"/>
        </w:trPr>
        <w:tc>
          <w:tcPr>
            <w:tcW w:w="1839" w:type="dxa"/>
            <w:vMerge w:val="restart"/>
            <w:shd w:val="clear" w:color="auto" w:fill="auto"/>
            <w:vAlign w:val="center"/>
          </w:tcPr>
          <w:p w:rsidR="00C25ECA" w:rsidRPr="00BB0C07" w:rsidRDefault="00C90FA0" w:rsidP="00C25ECA">
            <w:pPr>
              <w:ind w:left="142" w:hanging="142"/>
              <w:rPr>
                <w:rFonts w:ascii="Times New Roman" w:hAnsi="Times New Roman" w:cs="Times New Roman"/>
                <w:sz w:val="20"/>
                <w:szCs w:val="20"/>
                <w:lang w:val="en-US"/>
              </w:rPr>
            </w:pPr>
            <w:r w:rsidRPr="00BB0C07">
              <w:rPr>
                <w:rFonts w:ascii="Times New Roman" w:hAnsi="Times New Roman" w:cs="Times New Roman"/>
                <w:sz w:val="20"/>
                <w:szCs w:val="20"/>
                <w:lang w:val="en-US"/>
              </w:rPr>
              <w:t>Are the health ou</w:t>
            </w:r>
            <w:r w:rsidRPr="00BB0C07">
              <w:rPr>
                <w:rFonts w:ascii="Times New Roman" w:hAnsi="Times New Roman" w:cs="Times New Roman"/>
                <w:sz w:val="20"/>
                <w:szCs w:val="20"/>
                <w:lang w:val="en-US"/>
              </w:rPr>
              <w:t>t</w:t>
            </w:r>
            <w:r w:rsidRPr="00BB0C07">
              <w:rPr>
                <w:rFonts w:ascii="Times New Roman" w:hAnsi="Times New Roman" w:cs="Times New Roman"/>
                <w:sz w:val="20"/>
                <w:szCs w:val="20"/>
                <w:lang w:val="en-US"/>
              </w:rPr>
              <w:t>comes relevant?</w:t>
            </w:r>
          </w:p>
        </w:tc>
        <w:tc>
          <w:tcPr>
            <w:tcW w:w="5050" w:type="dxa"/>
            <w:vMerge w:val="restart"/>
            <w:shd w:val="clear" w:color="auto" w:fill="auto"/>
            <w:vAlign w:val="center"/>
          </w:tcPr>
          <w:p w:rsidR="00C25ECA" w:rsidRPr="00BB0C07" w:rsidRDefault="00C90FA0" w:rsidP="00C25ECA">
            <w:pPr>
              <w:pStyle w:val="Lijstalinea"/>
              <w:numPr>
                <w:ilvl w:val="0"/>
                <w:numId w:val="6"/>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Relevant clinical events are: ischemic stroke, TIA, sy</w:t>
            </w:r>
            <w:r w:rsidRPr="00BB0C07">
              <w:rPr>
                <w:rFonts w:ascii="Times New Roman" w:hAnsi="Times New Roman" w:cs="Times New Roman"/>
                <w:sz w:val="20"/>
                <w:szCs w:val="20"/>
                <w:lang w:val="en-US"/>
              </w:rPr>
              <w:t>s</w:t>
            </w:r>
            <w:r w:rsidRPr="00BB0C07">
              <w:rPr>
                <w:rFonts w:ascii="Times New Roman" w:hAnsi="Times New Roman" w:cs="Times New Roman"/>
                <w:sz w:val="20"/>
                <w:szCs w:val="20"/>
                <w:lang w:val="en-US"/>
              </w:rPr>
              <w:t xml:space="preserve">temic embolism, pulmonary embolism, </w:t>
            </w:r>
            <w:r w:rsidR="00900C4A" w:rsidRPr="00BB0C07">
              <w:rPr>
                <w:rFonts w:ascii="Times New Roman" w:hAnsi="Times New Roman" w:cs="Times New Roman"/>
                <w:sz w:val="20"/>
                <w:szCs w:val="20"/>
                <w:lang w:val="en-US"/>
              </w:rPr>
              <w:t>MI</w:t>
            </w:r>
            <w:r w:rsidRPr="00BB0C07">
              <w:rPr>
                <w:rFonts w:ascii="Times New Roman" w:hAnsi="Times New Roman" w:cs="Times New Roman"/>
                <w:sz w:val="20"/>
                <w:szCs w:val="20"/>
                <w:lang w:val="en-US"/>
              </w:rPr>
              <w:t xml:space="preserve">, </w:t>
            </w:r>
            <w:r w:rsidR="00900C4A" w:rsidRPr="00BB0C07">
              <w:rPr>
                <w:rFonts w:ascii="Times New Roman" w:hAnsi="Times New Roman" w:cs="Times New Roman"/>
                <w:sz w:val="20"/>
                <w:szCs w:val="20"/>
                <w:lang w:val="en-US"/>
              </w:rPr>
              <w:t>ICH</w:t>
            </w:r>
            <w:r w:rsidRPr="00BB0C07">
              <w:rPr>
                <w:rFonts w:ascii="Times New Roman" w:hAnsi="Times New Roman" w:cs="Times New Roman"/>
                <w:sz w:val="20"/>
                <w:szCs w:val="20"/>
                <w:lang w:val="en-US"/>
              </w:rPr>
              <w:t>, major gastrointestinal hemorrhage (GIH), major non-gastrointestinal extracranial hemorrhage (</w:t>
            </w:r>
            <w:proofErr w:type="spellStart"/>
            <w:r w:rsidRPr="00BB0C07">
              <w:rPr>
                <w:rFonts w:ascii="Times New Roman" w:hAnsi="Times New Roman" w:cs="Times New Roman"/>
                <w:sz w:val="20"/>
                <w:szCs w:val="20"/>
                <w:lang w:val="en-US"/>
              </w:rPr>
              <w:t>nGI</w:t>
            </w:r>
            <w:proofErr w:type="spellEnd"/>
            <w:r w:rsidRPr="00BB0C07">
              <w:rPr>
                <w:rFonts w:ascii="Times New Roman" w:hAnsi="Times New Roman" w:cs="Times New Roman"/>
                <w:sz w:val="20"/>
                <w:szCs w:val="20"/>
                <w:lang w:val="en-US"/>
              </w:rPr>
              <w:t>-ECH), m</w:t>
            </w:r>
            <w:r w:rsidRPr="00BB0C07">
              <w:rPr>
                <w:rFonts w:ascii="Times New Roman" w:hAnsi="Times New Roman" w:cs="Times New Roman"/>
                <w:sz w:val="20"/>
                <w:szCs w:val="20"/>
                <w:lang w:val="en-US"/>
              </w:rPr>
              <w:t>i</w:t>
            </w:r>
            <w:r w:rsidRPr="00BB0C07">
              <w:rPr>
                <w:rFonts w:ascii="Times New Roman" w:hAnsi="Times New Roman" w:cs="Times New Roman"/>
                <w:sz w:val="20"/>
                <w:szCs w:val="20"/>
                <w:lang w:val="en-US"/>
              </w:rPr>
              <w:t>nor hemorrhage, and dyspepsia (1</w:t>
            </w:r>
            <w:r w:rsidRPr="00BB0C07">
              <w:rPr>
                <w:lang w:val="en-US"/>
              </w:rPr>
              <w:sym w:font="Symbol" w:char="F02D"/>
            </w:r>
            <w:r w:rsidRPr="00BB0C07">
              <w:rPr>
                <w:rFonts w:ascii="Times New Roman" w:hAnsi="Times New Roman" w:cs="Times New Roman"/>
                <w:sz w:val="20"/>
                <w:szCs w:val="20"/>
                <w:lang w:val="en-US"/>
              </w:rPr>
              <w:t>3).</w:t>
            </w:r>
          </w:p>
        </w:tc>
        <w:tc>
          <w:tcPr>
            <w:tcW w:w="6521" w:type="dxa"/>
            <w:shd w:val="clear" w:color="auto" w:fill="auto"/>
            <w:vAlign w:val="center"/>
          </w:tcPr>
          <w:p w:rsidR="00C25ECA" w:rsidRPr="00BB0C07" w:rsidRDefault="00C90FA0" w:rsidP="00C25ECA">
            <w:pPr>
              <w:pStyle w:val="Lijstalinea"/>
              <w:numPr>
                <w:ilvl w:val="0"/>
                <w:numId w:val="24"/>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ischemic stroke taken into account as a separate clinical event?</w:t>
            </w:r>
          </w:p>
        </w:tc>
        <w:tc>
          <w:tcPr>
            <w:tcW w:w="1701" w:type="dxa"/>
            <w:vAlign w:val="center"/>
          </w:tcPr>
          <w:p w:rsidR="00C90FA0" w:rsidRPr="00BB0C07" w:rsidRDefault="00C90FA0" w:rsidP="00796078">
            <w:pPr>
              <w:pStyle w:val="Lijstalinea"/>
              <w:numPr>
                <w:ilvl w:val="0"/>
                <w:numId w:val="23"/>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1a</w:t>
            </w:r>
          </w:p>
        </w:tc>
      </w:tr>
      <w:tr w:rsidR="00C90FA0" w:rsidRPr="00BB0C07" w:rsidTr="00900C4A">
        <w:trPr>
          <w:trHeight w:val="283"/>
        </w:trPr>
        <w:tc>
          <w:tcPr>
            <w:tcW w:w="1839" w:type="dxa"/>
            <w:vMerge/>
            <w:shd w:val="clear" w:color="auto" w:fill="auto"/>
            <w:vAlign w:val="center"/>
          </w:tcPr>
          <w:p w:rsidR="00C90FA0" w:rsidRPr="00BB0C07" w:rsidRDefault="00C90FA0" w:rsidP="00C90FA0">
            <w:pPr>
              <w:ind w:left="142" w:hanging="142"/>
              <w:rPr>
                <w:rFonts w:ascii="Times New Roman" w:hAnsi="Times New Roman" w:cs="Times New Roman"/>
                <w:sz w:val="20"/>
                <w:szCs w:val="20"/>
                <w:lang w:val="en-US"/>
              </w:rPr>
            </w:pPr>
          </w:p>
        </w:tc>
        <w:tc>
          <w:tcPr>
            <w:tcW w:w="5050" w:type="dxa"/>
            <w:vMerge/>
            <w:shd w:val="clear" w:color="auto" w:fill="auto"/>
            <w:vAlign w:val="center"/>
          </w:tcPr>
          <w:p w:rsidR="00C90FA0" w:rsidRPr="00BB0C07" w:rsidRDefault="00C90FA0" w:rsidP="00C90FA0">
            <w:pPr>
              <w:rPr>
                <w:rFonts w:ascii="Times New Roman" w:hAnsi="Times New Roman" w:cs="Times New Roman"/>
                <w:sz w:val="20"/>
                <w:szCs w:val="20"/>
                <w:lang w:val="en-US"/>
              </w:rPr>
            </w:pPr>
          </w:p>
        </w:tc>
        <w:tc>
          <w:tcPr>
            <w:tcW w:w="6521" w:type="dxa"/>
            <w:shd w:val="clear" w:color="auto" w:fill="auto"/>
            <w:vAlign w:val="center"/>
          </w:tcPr>
          <w:p w:rsidR="00C25ECA" w:rsidRPr="00BB0C07" w:rsidRDefault="00C90FA0" w:rsidP="00C25ECA">
            <w:pPr>
              <w:pStyle w:val="Lijstalinea"/>
              <w:numPr>
                <w:ilvl w:val="0"/>
                <w:numId w:val="25"/>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TIA taken into account as a separate clinical event?</w:t>
            </w:r>
          </w:p>
        </w:tc>
        <w:tc>
          <w:tcPr>
            <w:tcW w:w="1701" w:type="dxa"/>
            <w:vAlign w:val="center"/>
          </w:tcPr>
          <w:p w:rsidR="00C25ECA" w:rsidRPr="00BB0C07" w:rsidRDefault="00C90FA0" w:rsidP="00C25ECA">
            <w:pPr>
              <w:pStyle w:val="Lijstalinea"/>
              <w:numPr>
                <w:ilvl w:val="0"/>
                <w:numId w:val="23"/>
              </w:numPr>
              <w:ind w:left="284" w:hanging="284"/>
              <w:rPr>
                <w:rFonts w:ascii="Times New Roman" w:hAnsi="Times New Roman"/>
                <w:sz w:val="20"/>
                <w:lang w:val="en-US"/>
              </w:rPr>
            </w:pPr>
            <w:r w:rsidRPr="00BB0C07">
              <w:rPr>
                <w:rFonts w:ascii="Times New Roman" w:hAnsi="Times New Roman" w:cs="Times New Roman"/>
                <w:sz w:val="20"/>
                <w:szCs w:val="20"/>
                <w:lang w:val="en-US"/>
              </w:rPr>
              <w:t>Question 2</w:t>
            </w:r>
          </w:p>
        </w:tc>
      </w:tr>
      <w:tr w:rsidR="00C90FA0" w:rsidRPr="00BB0C07" w:rsidTr="00900C4A">
        <w:trPr>
          <w:trHeight w:val="283"/>
        </w:trPr>
        <w:tc>
          <w:tcPr>
            <w:tcW w:w="1839" w:type="dxa"/>
            <w:vMerge/>
            <w:shd w:val="clear" w:color="auto" w:fill="auto"/>
            <w:vAlign w:val="center"/>
          </w:tcPr>
          <w:p w:rsidR="00C25ECA" w:rsidRPr="00BB0C07" w:rsidRDefault="00C25ECA" w:rsidP="00C25ECA">
            <w:pPr>
              <w:ind w:left="142" w:hanging="142"/>
              <w:rPr>
                <w:rFonts w:ascii="Times New Roman" w:hAnsi="Times New Roman" w:cs="Times New Roman"/>
                <w:sz w:val="20"/>
                <w:szCs w:val="20"/>
                <w:lang w:val="en-US"/>
              </w:rPr>
            </w:pPr>
          </w:p>
        </w:tc>
        <w:tc>
          <w:tcPr>
            <w:tcW w:w="5050" w:type="dxa"/>
            <w:vMerge/>
            <w:shd w:val="clear" w:color="auto" w:fill="auto"/>
            <w:vAlign w:val="center"/>
          </w:tcPr>
          <w:p w:rsidR="00C90FA0" w:rsidRPr="00BB0C07" w:rsidRDefault="00C90FA0" w:rsidP="00C90FA0">
            <w:pPr>
              <w:rPr>
                <w:rFonts w:ascii="Times New Roman" w:hAnsi="Times New Roman" w:cs="Times New Roman"/>
                <w:sz w:val="20"/>
                <w:szCs w:val="20"/>
                <w:lang w:val="en-US"/>
              </w:rPr>
            </w:pPr>
          </w:p>
        </w:tc>
        <w:tc>
          <w:tcPr>
            <w:tcW w:w="6521" w:type="dxa"/>
            <w:shd w:val="clear" w:color="auto" w:fill="auto"/>
            <w:vAlign w:val="center"/>
          </w:tcPr>
          <w:p w:rsidR="00C25ECA" w:rsidRPr="00BB0C07" w:rsidRDefault="00C90FA0" w:rsidP="00C25ECA">
            <w:pPr>
              <w:pStyle w:val="Lijstalinea"/>
              <w:numPr>
                <w:ilvl w:val="0"/>
                <w:numId w:val="25"/>
              </w:numPr>
              <w:ind w:left="284" w:hanging="284"/>
              <w:rPr>
                <w:rFonts w:ascii="Times New Roman" w:hAnsi="Times New Roman"/>
                <w:sz w:val="20"/>
                <w:lang w:val="en-US"/>
              </w:rPr>
            </w:pPr>
            <w:r w:rsidRPr="00BB0C07">
              <w:rPr>
                <w:rFonts w:ascii="Times New Roman" w:hAnsi="Times New Roman" w:cs="Times New Roman"/>
                <w:sz w:val="20"/>
                <w:szCs w:val="20"/>
                <w:lang w:val="en-US"/>
              </w:rPr>
              <w:t>Is systemic embolism taken into account as a separate clinical event?</w:t>
            </w:r>
          </w:p>
        </w:tc>
        <w:tc>
          <w:tcPr>
            <w:tcW w:w="1701" w:type="dxa"/>
            <w:vAlign w:val="center"/>
          </w:tcPr>
          <w:p w:rsidR="00C25ECA" w:rsidRPr="00BB0C07" w:rsidRDefault="00C90FA0" w:rsidP="00C25ECA">
            <w:pPr>
              <w:pStyle w:val="Lijstalinea"/>
              <w:numPr>
                <w:ilvl w:val="0"/>
                <w:numId w:val="23"/>
              </w:numPr>
              <w:ind w:left="284" w:hanging="284"/>
              <w:rPr>
                <w:rFonts w:ascii="Times New Roman" w:hAnsi="Times New Roman"/>
                <w:sz w:val="20"/>
                <w:lang w:val="en-US"/>
              </w:rPr>
            </w:pPr>
            <w:r w:rsidRPr="00BB0C07">
              <w:rPr>
                <w:rFonts w:ascii="Times New Roman" w:hAnsi="Times New Roman" w:cs="Times New Roman"/>
                <w:sz w:val="20"/>
                <w:szCs w:val="20"/>
                <w:lang w:val="en-US"/>
              </w:rPr>
              <w:t>Question 3</w:t>
            </w:r>
          </w:p>
        </w:tc>
      </w:tr>
      <w:tr w:rsidR="00C90FA0" w:rsidRPr="00BB0C07" w:rsidTr="00900C4A">
        <w:trPr>
          <w:trHeight w:val="283"/>
        </w:trPr>
        <w:tc>
          <w:tcPr>
            <w:tcW w:w="1839" w:type="dxa"/>
            <w:vMerge/>
            <w:shd w:val="clear" w:color="auto" w:fill="auto"/>
            <w:vAlign w:val="center"/>
          </w:tcPr>
          <w:p w:rsidR="00C90FA0" w:rsidRPr="00BB0C07" w:rsidRDefault="00C90FA0" w:rsidP="00C90FA0">
            <w:pPr>
              <w:ind w:left="142" w:hanging="142"/>
              <w:rPr>
                <w:rFonts w:ascii="Times New Roman" w:hAnsi="Times New Roman" w:cs="Times New Roman"/>
                <w:sz w:val="20"/>
                <w:szCs w:val="20"/>
                <w:lang w:val="en-US"/>
              </w:rPr>
            </w:pPr>
          </w:p>
        </w:tc>
        <w:tc>
          <w:tcPr>
            <w:tcW w:w="5050" w:type="dxa"/>
            <w:vMerge/>
            <w:shd w:val="clear" w:color="auto" w:fill="auto"/>
            <w:vAlign w:val="center"/>
          </w:tcPr>
          <w:p w:rsidR="00C90FA0" w:rsidRPr="00BB0C07" w:rsidRDefault="00C90FA0" w:rsidP="00C90FA0">
            <w:pPr>
              <w:rPr>
                <w:rFonts w:ascii="Times New Roman" w:hAnsi="Times New Roman" w:cs="Times New Roman"/>
                <w:sz w:val="20"/>
                <w:szCs w:val="20"/>
                <w:lang w:val="en-US"/>
              </w:rPr>
            </w:pPr>
          </w:p>
        </w:tc>
        <w:tc>
          <w:tcPr>
            <w:tcW w:w="6521" w:type="dxa"/>
            <w:shd w:val="clear" w:color="auto" w:fill="auto"/>
            <w:vAlign w:val="center"/>
          </w:tcPr>
          <w:p w:rsidR="00C90FA0" w:rsidRPr="00BB0C07" w:rsidRDefault="00C90FA0" w:rsidP="00C90FA0">
            <w:pPr>
              <w:pStyle w:val="Lijstalinea"/>
              <w:numPr>
                <w:ilvl w:val="0"/>
                <w:numId w:val="25"/>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pulmonary embolism taken into account as a separate clinical event?</w:t>
            </w:r>
          </w:p>
        </w:tc>
        <w:tc>
          <w:tcPr>
            <w:tcW w:w="1701" w:type="dxa"/>
            <w:vAlign w:val="center"/>
          </w:tcPr>
          <w:p w:rsidR="00C90FA0" w:rsidRPr="00BB0C07" w:rsidRDefault="00C90FA0" w:rsidP="00796078">
            <w:pPr>
              <w:pStyle w:val="Lijstalinea"/>
              <w:numPr>
                <w:ilvl w:val="0"/>
                <w:numId w:val="23"/>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4</w:t>
            </w:r>
          </w:p>
        </w:tc>
      </w:tr>
      <w:tr w:rsidR="00C90FA0" w:rsidRPr="00BB0C07" w:rsidTr="00900C4A">
        <w:trPr>
          <w:trHeight w:val="283"/>
        </w:trPr>
        <w:tc>
          <w:tcPr>
            <w:tcW w:w="1839" w:type="dxa"/>
            <w:vMerge/>
            <w:shd w:val="clear" w:color="auto" w:fill="auto"/>
            <w:vAlign w:val="center"/>
          </w:tcPr>
          <w:p w:rsidR="00C90FA0" w:rsidRPr="00BB0C07" w:rsidRDefault="00C90FA0" w:rsidP="00C90FA0">
            <w:pPr>
              <w:ind w:left="142" w:hanging="142"/>
              <w:rPr>
                <w:rFonts w:ascii="Times New Roman" w:hAnsi="Times New Roman" w:cs="Times New Roman"/>
                <w:sz w:val="20"/>
                <w:szCs w:val="20"/>
                <w:lang w:val="en-US"/>
              </w:rPr>
            </w:pPr>
          </w:p>
        </w:tc>
        <w:tc>
          <w:tcPr>
            <w:tcW w:w="5050" w:type="dxa"/>
            <w:vMerge/>
            <w:shd w:val="clear" w:color="auto" w:fill="auto"/>
            <w:vAlign w:val="center"/>
          </w:tcPr>
          <w:p w:rsidR="00C90FA0" w:rsidRPr="00BB0C07" w:rsidRDefault="00C90FA0" w:rsidP="00C90FA0">
            <w:pPr>
              <w:rPr>
                <w:rFonts w:ascii="Times New Roman" w:hAnsi="Times New Roman" w:cs="Times New Roman"/>
                <w:sz w:val="20"/>
                <w:szCs w:val="20"/>
                <w:lang w:val="en-US"/>
              </w:rPr>
            </w:pPr>
          </w:p>
        </w:tc>
        <w:tc>
          <w:tcPr>
            <w:tcW w:w="6521" w:type="dxa"/>
            <w:shd w:val="clear" w:color="auto" w:fill="auto"/>
            <w:vAlign w:val="center"/>
          </w:tcPr>
          <w:p w:rsidR="00C90FA0" w:rsidRPr="00BB0C07" w:rsidRDefault="00C90FA0" w:rsidP="00C90FA0">
            <w:pPr>
              <w:pStyle w:val="Lijstalinea"/>
              <w:numPr>
                <w:ilvl w:val="0"/>
                <w:numId w:val="25"/>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 xml:space="preserve">Is </w:t>
            </w:r>
            <w:r w:rsidR="00900C4A" w:rsidRPr="00BB0C07">
              <w:rPr>
                <w:rFonts w:ascii="Times New Roman" w:hAnsi="Times New Roman" w:cs="Times New Roman"/>
                <w:sz w:val="20"/>
                <w:szCs w:val="20"/>
                <w:lang w:val="en-US"/>
              </w:rPr>
              <w:t>MI</w:t>
            </w:r>
            <w:r w:rsidRPr="00BB0C07">
              <w:rPr>
                <w:rFonts w:ascii="Times New Roman" w:hAnsi="Times New Roman" w:cs="Times New Roman"/>
                <w:sz w:val="20"/>
                <w:szCs w:val="20"/>
                <w:lang w:val="en-US"/>
              </w:rPr>
              <w:t xml:space="preserve"> taken into account as a separate clinical event?</w:t>
            </w:r>
          </w:p>
        </w:tc>
        <w:tc>
          <w:tcPr>
            <w:tcW w:w="1701" w:type="dxa"/>
            <w:vAlign w:val="center"/>
          </w:tcPr>
          <w:p w:rsidR="00C90FA0" w:rsidRPr="00BB0C07" w:rsidRDefault="00C90FA0" w:rsidP="00796078">
            <w:pPr>
              <w:pStyle w:val="Lijstalinea"/>
              <w:numPr>
                <w:ilvl w:val="0"/>
                <w:numId w:val="23"/>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5a</w:t>
            </w:r>
          </w:p>
        </w:tc>
      </w:tr>
      <w:tr w:rsidR="00C90FA0" w:rsidRPr="00BB0C07" w:rsidTr="00900C4A">
        <w:trPr>
          <w:trHeight w:val="283"/>
        </w:trPr>
        <w:tc>
          <w:tcPr>
            <w:tcW w:w="1839" w:type="dxa"/>
            <w:vMerge/>
            <w:shd w:val="clear" w:color="auto" w:fill="auto"/>
            <w:vAlign w:val="center"/>
          </w:tcPr>
          <w:p w:rsidR="00C90FA0" w:rsidRPr="00BB0C07" w:rsidRDefault="00C90FA0" w:rsidP="00C90FA0">
            <w:pPr>
              <w:ind w:left="142" w:hanging="142"/>
              <w:rPr>
                <w:rFonts w:ascii="Times New Roman" w:hAnsi="Times New Roman" w:cs="Times New Roman"/>
                <w:sz w:val="20"/>
                <w:szCs w:val="20"/>
                <w:lang w:val="en-US"/>
              </w:rPr>
            </w:pPr>
          </w:p>
        </w:tc>
        <w:tc>
          <w:tcPr>
            <w:tcW w:w="5050" w:type="dxa"/>
            <w:vMerge/>
            <w:shd w:val="clear" w:color="auto" w:fill="auto"/>
            <w:vAlign w:val="center"/>
          </w:tcPr>
          <w:p w:rsidR="00C90FA0" w:rsidRPr="00BB0C07" w:rsidRDefault="00C90FA0" w:rsidP="00C90FA0">
            <w:pPr>
              <w:rPr>
                <w:rFonts w:ascii="Times New Roman" w:hAnsi="Times New Roman" w:cs="Times New Roman"/>
                <w:sz w:val="20"/>
                <w:szCs w:val="20"/>
                <w:lang w:val="en-US"/>
              </w:rPr>
            </w:pPr>
          </w:p>
        </w:tc>
        <w:tc>
          <w:tcPr>
            <w:tcW w:w="6521" w:type="dxa"/>
            <w:shd w:val="clear" w:color="auto" w:fill="auto"/>
            <w:vAlign w:val="center"/>
          </w:tcPr>
          <w:p w:rsidR="00C90FA0" w:rsidRPr="00BB0C07" w:rsidRDefault="00C90FA0" w:rsidP="00C90FA0">
            <w:pPr>
              <w:pStyle w:val="Lijstalinea"/>
              <w:numPr>
                <w:ilvl w:val="0"/>
                <w:numId w:val="25"/>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 xml:space="preserve">Is </w:t>
            </w:r>
            <w:r w:rsidR="00900C4A" w:rsidRPr="00BB0C07">
              <w:rPr>
                <w:rFonts w:ascii="Times New Roman" w:hAnsi="Times New Roman" w:cs="Times New Roman"/>
                <w:sz w:val="20"/>
                <w:szCs w:val="20"/>
                <w:lang w:val="en-US"/>
              </w:rPr>
              <w:t>ICH</w:t>
            </w:r>
            <w:r w:rsidRPr="00BB0C07">
              <w:rPr>
                <w:rFonts w:ascii="Times New Roman" w:hAnsi="Times New Roman" w:cs="Times New Roman"/>
                <w:sz w:val="20"/>
                <w:szCs w:val="20"/>
                <w:lang w:val="en-US"/>
              </w:rPr>
              <w:t xml:space="preserve"> taken into account as separate clinical event?</w:t>
            </w:r>
          </w:p>
        </w:tc>
        <w:tc>
          <w:tcPr>
            <w:tcW w:w="1701" w:type="dxa"/>
            <w:vAlign w:val="center"/>
          </w:tcPr>
          <w:p w:rsidR="00C90FA0" w:rsidRPr="00BB0C07" w:rsidRDefault="00C90FA0" w:rsidP="00796078">
            <w:pPr>
              <w:pStyle w:val="Lijstalinea"/>
              <w:numPr>
                <w:ilvl w:val="0"/>
                <w:numId w:val="23"/>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6a</w:t>
            </w:r>
          </w:p>
        </w:tc>
      </w:tr>
      <w:tr w:rsidR="00C90FA0" w:rsidRPr="00BB0C07" w:rsidTr="00900C4A">
        <w:trPr>
          <w:trHeight w:val="283"/>
        </w:trPr>
        <w:tc>
          <w:tcPr>
            <w:tcW w:w="1839" w:type="dxa"/>
            <w:vMerge/>
            <w:shd w:val="clear" w:color="auto" w:fill="auto"/>
            <w:vAlign w:val="center"/>
          </w:tcPr>
          <w:p w:rsidR="00C25ECA" w:rsidRPr="00BB0C07" w:rsidRDefault="00C25ECA" w:rsidP="00C25ECA">
            <w:pPr>
              <w:ind w:left="142" w:hanging="142"/>
              <w:rPr>
                <w:rFonts w:ascii="Times New Roman" w:hAnsi="Times New Roman" w:cs="Times New Roman"/>
                <w:sz w:val="20"/>
                <w:szCs w:val="20"/>
                <w:lang w:val="en-US"/>
              </w:rPr>
            </w:pPr>
          </w:p>
        </w:tc>
        <w:tc>
          <w:tcPr>
            <w:tcW w:w="5050" w:type="dxa"/>
            <w:vMerge/>
            <w:shd w:val="clear" w:color="auto" w:fill="auto"/>
            <w:vAlign w:val="center"/>
          </w:tcPr>
          <w:p w:rsidR="00C90FA0" w:rsidRPr="00BB0C07" w:rsidRDefault="00C90FA0" w:rsidP="00C90FA0">
            <w:pPr>
              <w:rPr>
                <w:rFonts w:ascii="Times New Roman" w:hAnsi="Times New Roman" w:cs="Times New Roman"/>
                <w:sz w:val="20"/>
                <w:szCs w:val="20"/>
                <w:lang w:val="en-US"/>
              </w:rPr>
            </w:pPr>
          </w:p>
        </w:tc>
        <w:tc>
          <w:tcPr>
            <w:tcW w:w="6521" w:type="dxa"/>
            <w:shd w:val="clear" w:color="auto" w:fill="auto"/>
            <w:vAlign w:val="center"/>
          </w:tcPr>
          <w:p w:rsidR="00C25ECA" w:rsidRPr="00BB0C07" w:rsidRDefault="00C90FA0" w:rsidP="00C25ECA">
            <w:pPr>
              <w:pStyle w:val="Lijstalinea"/>
              <w:numPr>
                <w:ilvl w:val="0"/>
                <w:numId w:val="25"/>
              </w:numPr>
              <w:ind w:left="284" w:hanging="284"/>
              <w:rPr>
                <w:rFonts w:ascii="Times New Roman" w:hAnsi="Times New Roman"/>
                <w:sz w:val="20"/>
                <w:lang w:val="en-US"/>
              </w:rPr>
            </w:pPr>
            <w:r w:rsidRPr="00BB0C07">
              <w:rPr>
                <w:rFonts w:ascii="Times New Roman" w:hAnsi="Times New Roman" w:cs="Times New Roman"/>
                <w:sz w:val="20"/>
                <w:szCs w:val="20"/>
                <w:lang w:val="en-US"/>
              </w:rPr>
              <w:t xml:space="preserve">Is extracranial hemorrhage taken into account as a separate clinical event, and are GIH and </w:t>
            </w:r>
            <w:proofErr w:type="spellStart"/>
            <w:r w:rsidRPr="00BB0C07">
              <w:rPr>
                <w:rFonts w:ascii="Times New Roman" w:hAnsi="Times New Roman" w:cs="Times New Roman"/>
                <w:sz w:val="20"/>
                <w:szCs w:val="20"/>
                <w:lang w:val="en-US"/>
              </w:rPr>
              <w:t>nGI</w:t>
            </w:r>
            <w:proofErr w:type="spellEnd"/>
            <w:r w:rsidRPr="00BB0C07">
              <w:rPr>
                <w:rFonts w:ascii="Times New Roman" w:hAnsi="Times New Roman" w:cs="Times New Roman"/>
                <w:sz w:val="20"/>
                <w:szCs w:val="20"/>
                <w:lang w:val="en-US"/>
              </w:rPr>
              <w:t>-ECH separated?</w:t>
            </w:r>
          </w:p>
        </w:tc>
        <w:tc>
          <w:tcPr>
            <w:tcW w:w="1701" w:type="dxa"/>
            <w:vAlign w:val="center"/>
          </w:tcPr>
          <w:p w:rsidR="00C25ECA" w:rsidRPr="00BB0C07" w:rsidRDefault="00C90FA0" w:rsidP="00C25ECA">
            <w:pPr>
              <w:pStyle w:val="Lijstalinea"/>
              <w:numPr>
                <w:ilvl w:val="0"/>
                <w:numId w:val="23"/>
              </w:numPr>
              <w:ind w:left="284" w:hanging="284"/>
              <w:rPr>
                <w:rFonts w:ascii="Times New Roman" w:hAnsi="Times New Roman"/>
                <w:sz w:val="20"/>
                <w:lang w:val="en-US"/>
              </w:rPr>
            </w:pPr>
            <w:r w:rsidRPr="00BB0C07">
              <w:rPr>
                <w:rFonts w:ascii="Times New Roman" w:hAnsi="Times New Roman" w:cs="Times New Roman"/>
                <w:sz w:val="20"/>
                <w:szCs w:val="20"/>
                <w:lang w:val="en-US"/>
              </w:rPr>
              <w:t>Question 7</w:t>
            </w:r>
          </w:p>
        </w:tc>
      </w:tr>
      <w:tr w:rsidR="00AC00D1" w:rsidRPr="00BB0C07" w:rsidTr="00BB0C07">
        <w:trPr>
          <w:trHeight w:val="283"/>
        </w:trPr>
        <w:tc>
          <w:tcPr>
            <w:tcW w:w="1839" w:type="dxa"/>
            <w:vMerge/>
            <w:shd w:val="clear" w:color="auto" w:fill="auto"/>
            <w:vAlign w:val="center"/>
          </w:tcPr>
          <w:p w:rsidR="00AC00D1" w:rsidRPr="00BB0C07" w:rsidRDefault="00AC00D1" w:rsidP="00C90FA0">
            <w:pPr>
              <w:ind w:left="142" w:hanging="142"/>
              <w:rPr>
                <w:rFonts w:ascii="Times New Roman" w:hAnsi="Times New Roman" w:cs="Times New Roman"/>
                <w:sz w:val="20"/>
                <w:szCs w:val="20"/>
                <w:lang w:val="en-US"/>
              </w:rPr>
            </w:pPr>
          </w:p>
        </w:tc>
        <w:tc>
          <w:tcPr>
            <w:tcW w:w="5050" w:type="dxa"/>
            <w:vMerge/>
            <w:shd w:val="clear" w:color="auto" w:fill="auto"/>
            <w:vAlign w:val="center"/>
          </w:tcPr>
          <w:p w:rsidR="00AC00D1" w:rsidRPr="00BB0C07" w:rsidRDefault="00AC00D1" w:rsidP="00C90FA0">
            <w:pPr>
              <w:rPr>
                <w:rFonts w:ascii="Times New Roman" w:hAnsi="Times New Roman" w:cs="Times New Roman"/>
                <w:sz w:val="20"/>
                <w:szCs w:val="20"/>
                <w:lang w:val="en-US"/>
              </w:rPr>
            </w:pPr>
          </w:p>
        </w:tc>
        <w:tc>
          <w:tcPr>
            <w:tcW w:w="6521" w:type="dxa"/>
            <w:shd w:val="clear" w:color="auto" w:fill="auto"/>
            <w:vAlign w:val="center"/>
          </w:tcPr>
          <w:p w:rsidR="00AC00D1" w:rsidRPr="00BB0C07" w:rsidRDefault="00AC00D1" w:rsidP="00C25ECA">
            <w:pPr>
              <w:pStyle w:val="Lijstalinea"/>
              <w:numPr>
                <w:ilvl w:val="0"/>
                <w:numId w:val="25"/>
              </w:numPr>
              <w:ind w:left="284" w:hanging="284"/>
              <w:rPr>
                <w:rFonts w:ascii="Times New Roman" w:hAnsi="Times New Roman"/>
                <w:lang w:val="en-US"/>
              </w:rPr>
            </w:pPr>
            <w:r w:rsidRPr="00BB0C07">
              <w:rPr>
                <w:rFonts w:ascii="Times New Roman" w:hAnsi="Times New Roman" w:cs="Times New Roman"/>
                <w:sz w:val="20"/>
                <w:szCs w:val="20"/>
                <w:lang w:val="en-US"/>
              </w:rPr>
              <w:t>Is minor hemorrhage taken into account as a separate clinical event?</w:t>
            </w:r>
          </w:p>
        </w:tc>
        <w:tc>
          <w:tcPr>
            <w:tcW w:w="1701" w:type="dxa"/>
            <w:vAlign w:val="center"/>
          </w:tcPr>
          <w:p w:rsidR="00AC00D1" w:rsidRPr="00BB0C07" w:rsidRDefault="00AC00D1" w:rsidP="00C25ECA">
            <w:pPr>
              <w:pStyle w:val="Lijstalinea"/>
              <w:numPr>
                <w:ilvl w:val="0"/>
                <w:numId w:val="23"/>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8</w:t>
            </w:r>
          </w:p>
        </w:tc>
      </w:tr>
      <w:tr w:rsidR="00C90FA0" w:rsidRPr="00BB0C07" w:rsidTr="00900C4A">
        <w:trPr>
          <w:trHeight w:val="283"/>
        </w:trPr>
        <w:tc>
          <w:tcPr>
            <w:tcW w:w="1839" w:type="dxa"/>
            <w:vMerge/>
            <w:shd w:val="clear" w:color="auto" w:fill="auto"/>
            <w:vAlign w:val="center"/>
          </w:tcPr>
          <w:p w:rsidR="00C25ECA" w:rsidRPr="00BB0C07" w:rsidRDefault="00C25ECA" w:rsidP="00C25ECA">
            <w:pPr>
              <w:ind w:left="142" w:hanging="142"/>
              <w:rPr>
                <w:rFonts w:ascii="Times New Roman" w:hAnsi="Times New Roman" w:cs="Times New Roman"/>
                <w:sz w:val="20"/>
                <w:szCs w:val="20"/>
                <w:lang w:val="en-US"/>
              </w:rPr>
            </w:pPr>
          </w:p>
        </w:tc>
        <w:tc>
          <w:tcPr>
            <w:tcW w:w="5050" w:type="dxa"/>
            <w:vMerge/>
            <w:shd w:val="clear" w:color="auto" w:fill="auto"/>
            <w:vAlign w:val="center"/>
          </w:tcPr>
          <w:p w:rsidR="00C90FA0" w:rsidRPr="00BB0C07" w:rsidRDefault="00C90FA0" w:rsidP="00C90FA0">
            <w:pPr>
              <w:rPr>
                <w:rFonts w:ascii="Times New Roman" w:hAnsi="Times New Roman" w:cs="Times New Roman"/>
                <w:sz w:val="20"/>
                <w:szCs w:val="20"/>
                <w:lang w:val="en-US"/>
              </w:rPr>
            </w:pPr>
          </w:p>
        </w:tc>
        <w:tc>
          <w:tcPr>
            <w:tcW w:w="6521" w:type="dxa"/>
            <w:shd w:val="clear" w:color="auto" w:fill="auto"/>
            <w:vAlign w:val="center"/>
          </w:tcPr>
          <w:p w:rsidR="00C25ECA" w:rsidRPr="00BB0C07" w:rsidRDefault="00C90FA0" w:rsidP="00C25ECA">
            <w:pPr>
              <w:pStyle w:val="Lijstalinea"/>
              <w:numPr>
                <w:ilvl w:val="0"/>
                <w:numId w:val="25"/>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dyspepsia into account as a separate clinical event?</w:t>
            </w:r>
          </w:p>
        </w:tc>
        <w:tc>
          <w:tcPr>
            <w:tcW w:w="1701" w:type="dxa"/>
            <w:vAlign w:val="center"/>
          </w:tcPr>
          <w:p w:rsidR="00C25ECA" w:rsidRPr="00BB0C07" w:rsidRDefault="00C90FA0" w:rsidP="00C25ECA">
            <w:pPr>
              <w:pStyle w:val="Lijstalinea"/>
              <w:numPr>
                <w:ilvl w:val="0"/>
                <w:numId w:val="23"/>
              </w:numPr>
              <w:ind w:left="284" w:hanging="284"/>
              <w:rPr>
                <w:rFonts w:ascii="Times New Roman" w:hAnsi="Times New Roman"/>
                <w:sz w:val="20"/>
                <w:lang w:val="en-US"/>
              </w:rPr>
            </w:pPr>
            <w:r w:rsidRPr="00BB0C07">
              <w:rPr>
                <w:rFonts w:ascii="Times New Roman" w:hAnsi="Times New Roman" w:cs="Times New Roman"/>
                <w:sz w:val="20"/>
                <w:szCs w:val="20"/>
                <w:lang w:val="en-US"/>
              </w:rPr>
              <w:t>Question 9a</w:t>
            </w:r>
          </w:p>
        </w:tc>
      </w:tr>
    </w:tbl>
    <w:p w:rsidR="00785550" w:rsidRPr="00BB0C07" w:rsidRDefault="00D012F1" w:rsidP="00C90FA0">
      <w:pPr>
        <w:tabs>
          <w:tab w:val="left" w:pos="142"/>
        </w:tabs>
        <w:spacing w:after="0"/>
        <w:ind w:left="142" w:hanging="142"/>
        <w:rPr>
          <w:rFonts w:ascii="Times New Roman" w:hAnsi="Times New Roman" w:cs="Times New Roman"/>
          <w:lang w:val="en-US"/>
        </w:rPr>
      </w:pPr>
      <w:r w:rsidRPr="00BB0C07">
        <w:rPr>
          <w:rFonts w:ascii="Times New Roman" w:hAnsi="Times New Roman" w:cs="Times New Roman"/>
          <w:b/>
          <w:lang w:val="en-US"/>
        </w:rPr>
        <w:t>T</w:t>
      </w:r>
      <w:r w:rsidR="00785550" w:rsidRPr="00BB0C07">
        <w:rPr>
          <w:rFonts w:ascii="Times New Roman" w:hAnsi="Times New Roman" w:cs="Times New Roman"/>
          <w:b/>
          <w:lang w:val="en-US"/>
        </w:rPr>
        <w:t xml:space="preserve">able </w:t>
      </w:r>
      <w:r w:rsidR="00C4492C" w:rsidRPr="00BB0C07">
        <w:rPr>
          <w:rFonts w:ascii="Times New Roman" w:hAnsi="Times New Roman" w:cs="Times New Roman"/>
          <w:b/>
          <w:lang w:val="en-US"/>
        </w:rPr>
        <w:t>3</w:t>
      </w:r>
      <w:r w:rsidR="004C5A94" w:rsidRPr="00BB0C07">
        <w:rPr>
          <w:rFonts w:ascii="Times New Roman" w:hAnsi="Times New Roman" w:cs="Times New Roman"/>
          <w:b/>
          <w:lang w:val="en-US"/>
        </w:rPr>
        <w:t>.</w:t>
      </w:r>
      <w:r w:rsidR="00455EEF" w:rsidRPr="00BB0C07">
        <w:rPr>
          <w:rFonts w:ascii="Times New Roman" w:hAnsi="Times New Roman" w:cs="Times New Roman"/>
          <w:lang w:val="en-US"/>
        </w:rPr>
        <w:t xml:space="preserve"> C</w:t>
      </w:r>
      <w:r w:rsidR="00785550" w:rsidRPr="00BB0C07">
        <w:rPr>
          <w:rFonts w:ascii="Times New Roman" w:hAnsi="Times New Roman" w:cs="Times New Roman"/>
          <w:lang w:val="en-US"/>
        </w:rPr>
        <w:t>ontinued</w:t>
      </w:r>
      <w:r w:rsidR="00C90FA0" w:rsidRPr="00BB0C07">
        <w:rPr>
          <w:rFonts w:ascii="Times New Roman" w:hAnsi="Times New Roman" w:cs="Times New Roman"/>
          <w:lang w:val="en-US"/>
        </w:rPr>
        <w:t xml:space="preserve"> (2)</w:t>
      </w:r>
      <w:r w:rsidR="00785550" w:rsidRPr="00BB0C07">
        <w:rPr>
          <w:rFonts w:ascii="Times New Roman" w:hAnsi="Times New Roman" w:cs="Times New Roman"/>
          <w:lang w:val="en-US"/>
        </w:rPr>
        <w:t>.</w:t>
      </w:r>
    </w:p>
    <w:p w:rsidR="005918C5" w:rsidRPr="00BB0C07" w:rsidRDefault="005918C5">
      <w:pPr>
        <w:rPr>
          <w:rFonts w:ascii="Times New Roman" w:hAnsi="Times New Roman" w:cs="Times New Roman"/>
          <w:b/>
          <w:lang w:val="en-US"/>
        </w:rPr>
      </w:pPr>
      <w:r w:rsidRPr="00BB0C07">
        <w:rPr>
          <w:rFonts w:ascii="Times New Roman" w:hAnsi="Times New Roman" w:cs="Times New Roman"/>
          <w:b/>
          <w:lang w:val="en-US"/>
        </w:rPr>
        <w:br w:type="page"/>
      </w:r>
    </w:p>
    <w:p w:rsidR="00555682" w:rsidRPr="00BB0C07" w:rsidRDefault="00D012F1" w:rsidP="008E76E3">
      <w:pPr>
        <w:rPr>
          <w:rFonts w:ascii="Times New Roman" w:hAnsi="Times New Roman" w:cs="Times New Roman"/>
          <w:lang w:val="en-US"/>
        </w:rPr>
      </w:pPr>
      <w:r w:rsidRPr="00BB0C07">
        <w:rPr>
          <w:rFonts w:ascii="Times New Roman" w:hAnsi="Times New Roman" w:cs="Times New Roman"/>
          <w:b/>
          <w:lang w:val="en-US"/>
        </w:rPr>
        <w:lastRenderedPageBreak/>
        <w:t>T</w:t>
      </w:r>
      <w:r w:rsidR="00785550" w:rsidRPr="00BB0C07">
        <w:rPr>
          <w:rFonts w:ascii="Times New Roman" w:hAnsi="Times New Roman" w:cs="Times New Roman"/>
          <w:b/>
          <w:lang w:val="en-US"/>
        </w:rPr>
        <w:t xml:space="preserve">able </w:t>
      </w:r>
      <w:r w:rsidR="00C4492C" w:rsidRPr="00BB0C07">
        <w:rPr>
          <w:rFonts w:ascii="Times New Roman" w:hAnsi="Times New Roman" w:cs="Times New Roman"/>
          <w:b/>
          <w:lang w:val="en-US"/>
        </w:rPr>
        <w:t>3</w:t>
      </w:r>
      <w:r w:rsidR="004C5A94" w:rsidRPr="00BB0C07">
        <w:rPr>
          <w:rFonts w:ascii="Times New Roman" w:hAnsi="Times New Roman" w:cs="Times New Roman"/>
          <w:b/>
          <w:lang w:val="en-US"/>
        </w:rPr>
        <w:t>.</w:t>
      </w:r>
      <w:r w:rsidR="00785550" w:rsidRPr="00BB0C07">
        <w:rPr>
          <w:rFonts w:ascii="Times New Roman" w:hAnsi="Times New Roman" w:cs="Times New Roman"/>
          <w:lang w:val="en-US"/>
        </w:rPr>
        <w:t xml:space="preserve"> </w:t>
      </w:r>
      <w:r w:rsidR="00455EEF" w:rsidRPr="00BB0C07">
        <w:rPr>
          <w:rFonts w:ascii="Times New Roman" w:hAnsi="Times New Roman" w:cs="Times New Roman"/>
          <w:lang w:val="en-US"/>
        </w:rPr>
        <w:t>C</w:t>
      </w:r>
      <w:r w:rsidR="00785550" w:rsidRPr="00BB0C07">
        <w:rPr>
          <w:rFonts w:ascii="Times New Roman" w:hAnsi="Times New Roman" w:cs="Times New Roman"/>
          <w:lang w:val="en-US"/>
        </w:rPr>
        <w:t>ontinued</w:t>
      </w:r>
      <w:r w:rsidR="00C90FA0" w:rsidRPr="00BB0C07">
        <w:rPr>
          <w:rFonts w:ascii="Times New Roman" w:hAnsi="Times New Roman" w:cs="Times New Roman"/>
          <w:lang w:val="en-US"/>
        </w:rPr>
        <w:t xml:space="preserve"> (3)</w:t>
      </w:r>
      <w:r w:rsidR="00785550" w:rsidRPr="00BB0C07">
        <w:rPr>
          <w:rFonts w:ascii="Times New Roman" w:hAnsi="Times New Roman" w:cs="Times New Roman"/>
          <w:lang w:val="en-US"/>
        </w:rPr>
        <w:t>.</w:t>
      </w:r>
    </w:p>
    <w:tbl>
      <w:tblPr>
        <w:tblStyle w:val="Tabelraster"/>
        <w:tblW w:w="15394" w:type="dxa"/>
        <w:tblCellMar>
          <w:top w:w="85" w:type="dxa"/>
          <w:left w:w="85" w:type="dxa"/>
          <w:bottom w:w="85" w:type="dxa"/>
          <w:right w:w="85" w:type="dxa"/>
        </w:tblCellMar>
        <w:tblLook w:val="04A0" w:firstRow="1" w:lastRow="0" w:firstColumn="1" w:lastColumn="0" w:noHBand="0" w:noVBand="1"/>
      </w:tblPr>
      <w:tblGrid>
        <w:gridCol w:w="2353"/>
        <w:gridCol w:w="84"/>
        <w:gridCol w:w="5586"/>
        <w:gridCol w:w="5670"/>
        <w:gridCol w:w="1701"/>
      </w:tblGrid>
      <w:tr w:rsidR="00796078" w:rsidRPr="00BB0C07" w:rsidTr="00E94488">
        <w:trPr>
          <w:trHeight w:val="567"/>
        </w:trPr>
        <w:tc>
          <w:tcPr>
            <w:tcW w:w="2437" w:type="dxa"/>
            <w:gridSpan w:val="2"/>
            <w:shd w:val="clear" w:color="auto" w:fill="808080" w:themeFill="background1" w:themeFillShade="80"/>
            <w:vAlign w:val="center"/>
          </w:tcPr>
          <w:p w:rsidR="00796078" w:rsidRPr="00BB0C07" w:rsidRDefault="00796078" w:rsidP="00796078">
            <w:pPr>
              <w:tabs>
                <w:tab w:val="left" w:pos="0"/>
              </w:tabs>
              <w:jc w:val="center"/>
              <w:rPr>
                <w:rFonts w:ascii="Times New Roman" w:hAnsi="Times New Roman" w:cs="Times New Roman"/>
                <w:b/>
                <w:lang w:val="en-US"/>
              </w:rPr>
            </w:pPr>
            <w:r w:rsidRPr="00BB0C07">
              <w:rPr>
                <w:rFonts w:ascii="Times New Roman" w:hAnsi="Times New Roman" w:cs="Times New Roman"/>
                <w:b/>
                <w:color w:val="FFFFFF" w:themeColor="background1"/>
                <w:lang w:val="en-US"/>
              </w:rPr>
              <w:t>(Helper) Questions (13)</w:t>
            </w:r>
          </w:p>
        </w:tc>
        <w:tc>
          <w:tcPr>
            <w:tcW w:w="5586" w:type="dxa"/>
            <w:shd w:val="clear" w:color="auto" w:fill="808080" w:themeFill="background1" w:themeFillShade="80"/>
            <w:vAlign w:val="center"/>
          </w:tcPr>
          <w:p w:rsidR="00796078" w:rsidRPr="00BB0C07" w:rsidRDefault="00796078" w:rsidP="00796078">
            <w:pPr>
              <w:tabs>
                <w:tab w:val="left" w:pos="0"/>
              </w:tabs>
              <w:jc w:val="center"/>
              <w:rPr>
                <w:rFonts w:ascii="Times New Roman" w:hAnsi="Times New Roman" w:cs="Times New Roman"/>
                <w:lang w:val="en-US"/>
              </w:rPr>
            </w:pPr>
            <w:r w:rsidRPr="00BB0C07">
              <w:rPr>
                <w:rFonts w:ascii="Times New Roman" w:hAnsi="Times New Roman" w:cs="Times New Roman"/>
                <w:b/>
                <w:color w:val="FFFFFF" w:themeColor="background1"/>
                <w:lang w:val="en-US"/>
              </w:rPr>
              <w:t>Applicability of the questions to economic modeling stu</w:t>
            </w:r>
            <w:r w:rsidRPr="00BB0C07">
              <w:rPr>
                <w:rFonts w:ascii="Times New Roman" w:hAnsi="Times New Roman" w:cs="Times New Roman"/>
                <w:b/>
                <w:color w:val="FFFFFF" w:themeColor="background1"/>
                <w:lang w:val="en-US"/>
              </w:rPr>
              <w:t>d</w:t>
            </w:r>
            <w:r w:rsidRPr="00BB0C07">
              <w:rPr>
                <w:rFonts w:ascii="Times New Roman" w:hAnsi="Times New Roman" w:cs="Times New Roman"/>
                <w:b/>
                <w:color w:val="FFFFFF" w:themeColor="background1"/>
                <w:lang w:val="en-US"/>
              </w:rPr>
              <w:t>ies comparing dabigatran with VKAs</w:t>
            </w:r>
          </w:p>
        </w:tc>
        <w:tc>
          <w:tcPr>
            <w:tcW w:w="5670" w:type="dxa"/>
            <w:shd w:val="clear" w:color="auto" w:fill="808080" w:themeFill="background1" w:themeFillShade="80"/>
            <w:vAlign w:val="center"/>
          </w:tcPr>
          <w:p w:rsidR="00796078" w:rsidRPr="00BB0C07" w:rsidRDefault="00796078" w:rsidP="00796078">
            <w:pPr>
              <w:tabs>
                <w:tab w:val="left" w:pos="0"/>
              </w:tabs>
              <w:jc w:val="center"/>
              <w:rPr>
                <w:rFonts w:ascii="Times New Roman" w:hAnsi="Times New Roman" w:cs="Times New Roman"/>
                <w:lang w:val="en-US"/>
              </w:rPr>
            </w:pPr>
            <w:r w:rsidRPr="00BB0C07">
              <w:rPr>
                <w:rFonts w:ascii="Times New Roman" w:hAnsi="Times New Roman" w:cs="Times New Roman"/>
                <w:b/>
                <w:color w:val="FFFFFF" w:themeColor="background1"/>
                <w:lang w:val="en-US"/>
              </w:rPr>
              <w:t>Questions applied to economic modeling studies compa</w:t>
            </w:r>
            <w:r w:rsidRPr="00BB0C07">
              <w:rPr>
                <w:rFonts w:ascii="Times New Roman" w:hAnsi="Times New Roman" w:cs="Times New Roman"/>
                <w:b/>
                <w:color w:val="FFFFFF" w:themeColor="background1"/>
                <w:lang w:val="en-US"/>
              </w:rPr>
              <w:t>r</w:t>
            </w:r>
            <w:r w:rsidRPr="00BB0C07">
              <w:rPr>
                <w:rFonts w:ascii="Times New Roman" w:hAnsi="Times New Roman" w:cs="Times New Roman"/>
                <w:b/>
                <w:color w:val="FFFFFF" w:themeColor="background1"/>
                <w:lang w:val="en-US"/>
              </w:rPr>
              <w:t>ing dabigatran with VKAs</w:t>
            </w:r>
          </w:p>
        </w:tc>
        <w:tc>
          <w:tcPr>
            <w:tcW w:w="1701" w:type="dxa"/>
            <w:shd w:val="clear" w:color="auto" w:fill="808080" w:themeFill="background1" w:themeFillShade="80"/>
            <w:vAlign w:val="center"/>
          </w:tcPr>
          <w:p w:rsidR="00796078" w:rsidRPr="00BB0C07" w:rsidRDefault="00796078" w:rsidP="00796078">
            <w:pPr>
              <w:tabs>
                <w:tab w:val="left" w:pos="0"/>
              </w:tabs>
              <w:jc w:val="center"/>
              <w:rPr>
                <w:rFonts w:ascii="Times New Roman" w:hAnsi="Times New Roman" w:cs="Times New Roman"/>
                <w:b/>
                <w:color w:val="FFFFFF" w:themeColor="background1"/>
                <w:lang w:val="en-US"/>
              </w:rPr>
            </w:pPr>
            <w:r w:rsidRPr="00BB0C07">
              <w:rPr>
                <w:rFonts w:ascii="Times New Roman" w:hAnsi="Times New Roman" w:cs="Times New Roman"/>
                <w:b/>
                <w:color w:val="FFFFFF" w:themeColor="background1"/>
                <w:lang w:val="en-US"/>
              </w:rPr>
              <w:t>Link to que</w:t>
            </w:r>
            <w:r w:rsidRPr="00BB0C07">
              <w:rPr>
                <w:rFonts w:ascii="Times New Roman" w:hAnsi="Times New Roman" w:cs="Times New Roman"/>
                <w:b/>
                <w:color w:val="FFFFFF" w:themeColor="background1"/>
                <w:lang w:val="en-US"/>
              </w:rPr>
              <w:t>s</w:t>
            </w:r>
            <w:r w:rsidRPr="00BB0C07">
              <w:rPr>
                <w:rFonts w:ascii="Times New Roman" w:hAnsi="Times New Roman" w:cs="Times New Roman"/>
                <w:b/>
                <w:color w:val="FFFFFF" w:themeColor="background1"/>
                <w:lang w:val="en-US"/>
              </w:rPr>
              <w:t>tionnaire</w:t>
            </w:r>
          </w:p>
        </w:tc>
      </w:tr>
      <w:tr w:rsidR="008E76E3" w:rsidRPr="00D9154F" w:rsidTr="00E94488">
        <w:tc>
          <w:tcPr>
            <w:tcW w:w="8023" w:type="dxa"/>
            <w:gridSpan w:val="3"/>
            <w:shd w:val="clear" w:color="auto" w:fill="D9D9D9" w:themeFill="background1" w:themeFillShade="D9"/>
            <w:vAlign w:val="center"/>
          </w:tcPr>
          <w:p w:rsidR="008E76E3" w:rsidRPr="00BB0C07" w:rsidRDefault="008E76E3" w:rsidP="008E76E3">
            <w:pPr>
              <w:ind w:left="284"/>
              <w:rPr>
                <w:rFonts w:ascii="Times New Roman" w:hAnsi="Times New Roman" w:cs="Times New Roman"/>
                <w:lang w:val="en-US"/>
              </w:rPr>
            </w:pPr>
            <w:r w:rsidRPr="00BB0C07">
              <w:rPr>
                <w:rFonts w:ascii="Times New Roman" w:hAnsi="Times New Roman" w:cs="Times New Roman"/>
                <w:b/>
                <w:lang w:val="en-US"/>
              </w:rPr>
              <w:t>Are any relevant outcomes missing (continued)?</w:t>
            </w:r>
          </w:p>
        </w:tc>
        <w:tc>
          <w:tcPr>
            <w:tcW w:w="5670" w:type="dxa"/>
            <w:shd w:val="clear" w:color="auto" w:fill="D9D9D9" w:themeFill="background1" w:themeFillShade="D9"/>
          </w:tcPr>
          <w:p w:rsidR="008E76E3" w:rsidRPr="00BB0C07" w:rsidRDefault="008E76E3" w:rsidP="00441C00">
            <w:pPr>
              <w:ind w:left="720" w:hanging="360"/>
              <w:rPr>
                <w:rFonts w:ascii="Times New Roman" w:hAnsi="Times New Roman" w:cs="Times New Roman"/>
                <w:lang w:val="en-US"/>
              </w:rPr>
            </w:pPr>
          </w:p>
        </w:tc>
        <w:tc>
          <w:tcPr>
            <w:tcW w:w="1701" w:type="dxa"/>
            <w:shd w:val="clear" w:color="auto" w:fill="D9D9D9" w:themeFill="background1" w:themeFillShade="D9"/>
          </w:tcPr>
          <w:p w:rsidR="008E76E3" w:rsidRPr="00BB0C07" w:rsidRDefault="008E76E3" w:rsidP="00441C00">
            <w:pPr>
              <w:ind w:left="720" w:hanging="360"/>
              <w:rPr>
                <w:rFonts w:ascii="Times New Roman" w:hAnsi="Times New Roman" w:cs="Times New Roman"/>
                <w:lang w:val="en-US"/>
              </w:rPr>
            </w:pPr>
          </w:p>
        </w:tc>
      </w:tr>
      <w:tr w:rsidR="00796078" w:rsidRPr="00BB0C07" w:rsidTr="00E94488">
        <w:trPr>
          <w:trHeight w:val="340"/>
        </w:trPr>
        <w:tc>
          <w:tcPr>
            <w:tcW w:w="2353" w:type="dxa"/>
            <w:vMerge w:val="restart"/>
            <w:vAlign w:val="center"/>
          </w:tcPr>
          <w:p w:rsidR="00796078" w:rsidRPr="00BB0C07" w:rsidRDefault="00796078" w:rsidP="00796078">
            <w:p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Are the health outcomes relevant (continued)?</w:t>
            </w:r>
          </w:p>
        </w:tc>
        <w:tc>
          <w:tcPr>
            <w:tcW w:w="5670" w:type="dxa"/>
            <w:gridSpan w:val="2"/>
            <w:vMerge w:val="restart"/>
            <w:vAlign w:val="center"/>
          </w:tcPr>
          <w:p w:rsidR="00796078" w:rsidRPr="00BB0C07" w:rsidRDefault="00796078" w:rsidP="00796078">
            <w:pPr>
              <w:pStyle w:val="Lijstalinea"/>
              <w:numPr>
                <w:ilvl w:val="0"/>
                <w:numId w:val="8"/>
              </w:numPr>
              <w:ind w:left="227" w:hanging="227"/>
              <w:rPr>
                <w:rFonts w:ascii="Times New Roman" w:hAnsi="Times New Roman" w:cs="Times New Roman"/>
                <w:sz w:val="20"/>
                <w:szCs w:val="20"/>
                <w:lang w:val="en-US"/>
              </w:rPr>
            </w:pPr>
            <w:r w:rsidRPr="00BB0C07">
              <w:rPr>
                <w:rFonts w:ascii="Times New Roman" w:hAnsi="Times New Roman" w:cs="Times New Roman"/>
                <w:sz w:val="20"/>
                <w:szCs w:val="20"/>
                <w:lang w:val="en-US"/>
              </w:rPr>
              <w:t>Some clinical events can cause permanent changes in the health status of patients (such as disability or chronic pain), that are a</w:t>
            </w:r>
            <w:r w:rsidRPr="00BB0C07">
              <w:rPr>
                <w:rFonts w:ascii="Times New Roman" w:hAnsi="Times New Roman" w:cs="Times New Roman"/>
                <w:sz w:val="20"/>
                <w:szCs w:val="20"/>
                <w:lang w:val="en-US"/>
              </w:rPr>
              <w:t>s</w:t>
            </w:r>
            <w:r w:rsidRPr="00BB0C07">
              <w:rPr>
                <w:rFonts w:ascii="Times New Roman" w:hAnsi="Times New Roman" w:cs="Times New Roman"/>
                <w:sz w:val="20"/>
                <w:szCs w:val="20"/>
                <w:lang w:val="en-US"/>
              </w:rPr>
              <w:t xml:space="preserve">sociated with disutility or costs. </w:t>
            </w:r>
          </w:p>
          <w:p w:rsidR="00796078" w:rsidRPr="00BB0C07" w:rsidRDefault="00796078" w:rsidP="00796078">
            <w:pPr>
              <w:pStyle w:val="Lijstalinea"/>
              <w:numPr>
                <w:ilvl w:val="1"/>
                <w:numId w:val="8"/>
              </w:numPr>
              <w:ind w:left="572" w:hanging="283"/>
              <w:rPr>
                <w:rFonts w:ascii="Times New Roman" w:hAnsi="Times New Roman" w:cs="Times New Roman"/>
                <w:sz w:val="20"/>
                <w:szCs w:val="20"/>
                <w:lang w:val="en-US"/>
              </w:rPr>
            </w:pPr>
            <w:r w:rsidRPr="00BB0C07">
              <w:rPr>
                <w:rFonts w:ascii="Times New Roman" w:hAnsi="Times New Roman" w:cs="Times New Roman"/>
                <w:sz w:val="20"/>
                <w:szCs w:val="20"/>
                <w:lang w:val="en-US"/>
              </w:rPr>
              <w:t xml:space="preserve">Strokes (ischemic and hemorrhagic) can result in disability. </w:t>
            </w:r>
          </w:p>
          <w:p w:rsidR="00796078" w:rsidRPr="00BB0C07" w:rsidRDefault="00796078" w:rsidP="00796078">
            <w:pPr>
              <w:pStyle w:val="Lijstalinea"/>
              <w:numPr>
                <w:ilvl w:val="1"/>
                <w:numId w:val="8"/>
              </w:numPr>
              <w:ind w:left="572" w:hanging="283"/>
              <w:rPr>
                <w:rFonts w:ascii="Times New Roman" w:hAnsi="Times New Roman" w:cs="Times New Roman"/>
                <w:sz w:val="20"/>
                <w:szCs w:val="20"/>
                <w:lang w:val="en-US"/>
              </w:rPr>
            </w:pPr>
            <w:r w:rsidRPr="00BB0C07">
              <w:rPr>
                <w:rFonts w:ascii="Times New Roman" w:hAnsi="Times New Roman" w:cs="Times New Roman"/>
                <w:sz w:val="20"/>
                <w:szCs w:val="20"/>
                <w:lang w:val="en-US"/>
              </w:rPr>
              <w:t xml:space="preserve">Pulmonary embolism can </w:t>
            </w:r>
            <w:r w:rsidR="00E94488">
              <w:rPr>
                <w:rFonts w:ascii="Times New Roman" w:hAnsi="Times New Roman" w:cs="Times New Roman"/>
                <w:sz w:val="20"/>
                <w:szCs w:val="20"/>
                <w:lang w:val="en-US"/>
              </w:rPr>
              <w:t>cause</w:t>
            </w:r>
            <w:r w:rsidRPr="00BB0C07">
              <w:rPr>
                <w:rFonts w:ascii="Times New Roman" w:hAnsi="Times New Roman" w:cs="Times New Roman"/>
                <w:sz w:val="20"/>
                <w:szCs w:val="20"/>
                <w:lang w:val="en-US"/>
              </w:rPr>
              <w:t xml:space="preserve"> ventricular dysfunction (22).</w:t>
            </w:r>
          </w:p>
          <w:p w:rsidR="00796078" w:rsidRPr="00BB0C07" w:rsidRDefault="00796078" w:rsidP="00796078">
            <w:pPr>
              <w:pStyle w:val="Lijstalinea"/>
              <w:numPr>
                <w:ilvl w:val="1"/>
                <w:numId w:val="8"/>
              </w:numPr>
              <w:ind w:left="572" w:hanging="283"/>
              <w:rPr>
                <w:rFonts w:ascii="Times New Roman" w:hAnsi="Times New Roman" w:cs="Times New Roman"/>
                <w:sz w:val="20"/>
                <w:szCs w:val="20"/>
                <w:lang w:val="en-US"/>
              </w:rPr>
            </w:pPr>
            <w:r w:rsidRPr="00BB0C07">
              <w:rPr>
                <w:rFonts w:ascii="Times New Roman" w:hAnsi="Times New Roman" w:cs="Times New Roman"/>
                <w:sz w:val="20"/>
                <w:szCs w:val="20"/>
                <w:lang w:val="en-US"/>
              </w:rPr>
              <w:t>MI can lead to heart failure (23).</w:t>
            </w:r>
          </w:p>
          <w:p w:rsidR="00796078" w:rsidRPr="00BB0C07" w:rsidRDefault="00796078" w:rsidP="00796078">
            <w:pPr>
              <w:pStyle w:val="Lijstalinea"/>
              <w:numPr>
                <w:ilvl w:val="1"/>
                <w:numId w:val="8"/>
              </w:numPr>
              <w:ind w:left="572" w:hanging="283"/>
              <w:rPr>
                <w:rFonts w:ascii="Times New Roman" w:hAnsi="Times New Roman" w:cs="Times New Roman"/>
                <w:sz w:val="20"/>
                <w:szCs w:val="20"/>
                <w:lang w:val="en-US"/>
              </w:rPr>
            </w:pPr>
            <w:r w:rsidRPr="00BB0C07">
              <w:rPr>
                <w:rFonts w:ascii="Times New Roman" w:hAnsi="Times New Roman" w:cs="Times New Roman"/>
                <w:sz w:val="20"/>
                <w:szCs w:val="20"/>
                <w:lang w:val="en-US"/>
              </w:rPr>
              <w:t xml:space="preserve">Dyspepsia is associated with discomfort/pain and the use of proton pump inhibitors (24). </w:t>
            </w:r>
          </w:p>
        </w:tc>
        <w:tc>
          <w:tcPr>
            <w:tcW w:w="5670" w:type="dxa"/>
            <w:vAlign w:val="center"/>
          </w:tcPr>
          <w:p w:rsidR="00796078" w:rsidRPr="00BB0C07" w:rsidRDefault="00796078" w:rsidP="00796078">
            <w:pPr>
              <w:pStyle w:val="Lijstalinea"/>
              <w:numPr>
                <w:ilvl w:val="0"/>
                <w:numId w:val="25"/>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ischemic stroke associated with a risk of permanent disutility?</w:t>
            </w:r>
          </w:p>
        </w:tc>
        <w:tc>
          <w:tcPr>
            <w:tcW w:w="1701" w:type="dxa"/>
            <w:vAlign w:val="center"/>
          </w:tcPr>
          <w:p w:rsidR="00796078" w:rsidRPr="00BB0C07" w:rsidRDefault="00796078" w:rsidP="002166DD">
            <w:pPr>
              <w:pStyle w:val="Lijstalinea"/>
              <w:numPr>
                <w:ilvl w:val="0"/>
                <w:numId w:val="30"/>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1b</w:t>
            </w:r>
          </w:p>
        </w:tc>
      </w:tr>
      <w:tr w:rsidR="00796078" w:rsidRPr="00BB0C07" w:rsidTr="00E94488">
        <w:trPr>
          <w:trHeight w:val="340"/>
        </w:trPr>
        <w:tc>
          <w:tcPr>
            <w:tcW w:w="2353" w:type="dxa"/>
            <w:vMerge/>
            <w:vAlign w:val="center"/>
          </w:tcPr>
          <w:p w:rsidR="00796078" w:rsidRPr="00BB0C07" w:rsidRDefault="00796078" w:rsidP="00796078">
            <w:pPr>
              <w:ind w:left="284" w:hanging="284"/>
              <w:rPr>
                <w:rFonts w:ascii="Times New Roman" w:hAnsi="Times New Roman" w:cs="Times New Roman"/>
                <w:sz w:val="20"/>
                <w:szCs w:val="20"/>
                <w:lang w:val="en-US"/>
              </w:rPr>
            </w:pPr>
          </w:p>
        </w:tc>
        <w:tc>
          <w:tcPr>
            <w:tcW w:w="5670" w:type="dxa"/>
            <w:gridSpan w:val="2"/>
            <w:vMerge/>
            <w:vAlign w:val="center"/>
          </w:tcPr>
          <w:p w:rsidR="00796078" w:rsidRPr="00BB0C07" w:rsidRDefault="00796078" w:rsidP="00796078">
            <w:pPr>
              <w:pStyle w:val="Lijstalinea"/>
              <w:numPr>
                <w:ilvl w:val="0"/>
                <w:numId w:val="8"/>
              </w:numPr>
              <w:ind w:left="227" w:hanging="227"/>
              <w:rPr>
                <w:rFonts w:ascii="Times New Roman" w:hAnsi="Times New Roman" w:cs="Times New Roman"/>
                <w:sz w:val="20"/>
                <w:szCs w:val="20"/>
                <w:lang w:val="en-US"/>
              </w:rPr>
            </w:pPr>
          </w:p>
        </w:tc>
        <w:tc>
          <w:tcPr>
            <w:tcW w:w="5670" w:type="dxa"/>
            <w:vAlign w:val="center"/>
          </w:tcPr>
          <w:p w:rsidR="00796078" w:rsidRPr="00BB0C07" w:rsidRDefault="00796078" w:rsidP="00796078">
            <w:pPr>
              <w:pStyle w:val="Lijstalinea"/>
              <w:numPr>
                <w:ilvl w:val="0"/>
                <w:numId w:val="26"/>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ICH associated with a risk of permanent disutility?</w:t>
            </w:r>
          </w:p>
        </w:tc>
        <w:tc>
          <w:tcPr>
            <w:tcW w:w="1701" w:type="dxa"/>
            <w:vAlign w:val="center"/>
          </w:tcPr>
          <w:p w:rsidR="00796078" w:rsidRPr="00BB0C07" w:rsidRDefault="00796078" w:rsidP="002166DD">
            <w:pPr>
              <w:pStyle w:val="Lijstalinea"/>
              <w:numPr>
                <w:ilvl w:val="0"/>
                <w:numId w:val="30"/>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5b</w:t>
            </w:r>
          </w:p>
        </w:tc>
      </w:tr>
      <w:tr w:rsidR="00796078" w:rsidRPr="00BB0C07" w:rsidTr="00E94488">
        <w:trPr>
          <w:trHeight w:val="340"/>
        </w:trPr>
        <w:tc>
          <w:tcPr>
            <w:tcW w:w="2353" w:type="dxa"/>
            <w:vMerge/>
            <w:vAlign w:val="center"/>
          </w:tcPr>
          <w:p w:rsidR="00796078" w:rsidRPr="00BB0C07" w:rsidRDefault="00796078" w:rsidP="00796078">
            <w:pPr>
              <w:ind w:left="284" w:hanging="284"/>
              <w:rPr>
                <w:rFonts w:ascii="Times New Roman" w:hAnsi="Times New Roman" w:cs="Times New Roman"/>
                <w:sz w:val="20"/>
                <w:szCs w:val="20"/>
                <w:lang w:val="en-US"/>
              </w:rPr>
            </w:pPr>
          </w:p>
        </w:tc>
        <w:tc>
          <w:tcPr>
            <w:tcW w:w="5670" w:type="dxa"/>
            <w:gridSpan w:val="2"/>
            <w:vMerge/>
            <w:vAlign w:val="center"/>
          </w:tcPr>
          <w:p w:rsidR="00796078" w:rsidRPr="00BB0C07" w:rsidRDefault="00796078" w:rsidP="00796078">
            <w:pPr>
              <w:pStyle w:val="Lijstalinea"/>
              <w:numPr>
                <w:ilvl w:val="0"/>
                <w:numId w:val="8"/>
              </w:numPr>
              <w:ind w:left="227" w:hanging="227"/>
              <w:rPr>
                <w:rFonts w:ascii="Times New Roman" w:hAnsi="Times New Roman" w:cs="Times New Roman"/>
                <w:sz w:val="20"/>
                <w:szCs w:val="20"/>
                <w:lang w:val="en-US"/>
              </w:rPr>
            </w:pPr>
          </w:p>
        </w:tc>
        <w:tc>
          <w:tcPr>
            <w:tcW w:w="5670" w:type="dxa"/>
            <w:vAlign w:val="center"/>
          </w:tcPr>
          <w:p w:rsidR="00796078" w:rsidRPr="00BB0C07" w:rsidRDefault="00796078" w:rsidP="00796078">
            <w:pPr>
              <w:pStyle w:val="Lijstalinea"/>
              <w:numPr>
                <w:ilvl w:val="0"/>
                <w:numId w:val="26"/>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MI (possibly) associated with permanent disutility?</w:t>
            </w:r>
          </w:p>
        </w:tc>
        <w:tc>
          <w:tcPr>
            <w:tcW w:w="1701" w:type="dxa"/>
            <w:vAlign w:val="center"/>
          </w:tcPr>
          <w:p w:rsidR="00796078" w:rsidRPr="00BB0C07" w:rsidRDefault="00796078" w:rsidP="002166DD">
            <w:pPr>
              <w:pStyle w:val="Lijstalinea"/>
              <w:numPr>
                <w:ilvl w:val="0"/>
                <w:numId w:val="30"/>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6b</w:t>
            </w:r>
          </w:p>
        </w:tc>
      </w:tr>
      <w:tr w:rsidR="00796078" w:rsidRPr="00BB0C07" w:rsidTr="00E94488">
        <w:trPr>
          <w:trHeight w:val="340"/>
        </w:trPr>
        <w:tc>
          <w:tcPr>
            <w:tcW w:w="2353" w:type="dxa"/>
            <w:vMerge/>
            <w:vAlign w:val="center"/>
          </w:tcPr>
          <w:p w:rsidR="00796078" w:rsidRPr="00BB0C07" w:rsidRDefault="00796078" w:rsidP="00796078">
            <w:pPr>
              <w:ind w:left="284" w:hanging="284"/>
              <w:rPr>
                <w:rFonts w:ascii="Times New Roman" w:hAnsi="Times New Roman" w:cs="Times New Roman"/>
                <w:sz w:val="20"/>
                <w:szCs w:val="20"/>
                <w:lang w:val="en-US"/>
              </w:rPr>
            </w:pPr>
          </w:p>
        </w:tc>
        <w:tc>
          <w:tcPr>
            <w:tcW w:w="5670" w:type="dxa"/>
            <w:gridSpan w:val="2"/>
            <w:vMerge/>
            <w:vAlign w:val="center"/>
          </w:tcPr>
          <w:p w:rsidR="00796078" w:rsidRPr="00BB0C07" w:rsidRDefault="00796078" w:rsidP="00796078">
            <w:pPr>
              <w:pStyle w:val="Lijstalinea"/>
              <w:numPr>
                <w:ilvl w:val="0"/>
                <w:numId w:val="8"/>
              </w:numPr>
              <w:ind w:left="227" w:hanging="227"/>
              <w:rPr>
                <w:rFonts w:ascii="Times New Roman" w:hAnsi="Times New Roman" w:cs="Times New Roman"/>
                <w:sz w:val="20"/>
                <w:szCs w:val="20"/>
                <w:lang w:val="en-US"/>
              </w:rPr>
            </w:pPr>
          </w:p>
        </w:tc>
        <w:tc>
          <w:tcPr>
            <w:tcW w:w="5670" w:type="dxa"/>
            <w:vAlign w:val="center"/>
          </w:tcPr>
          <w:p w:rsidR="00796078" w:rsidRPr="00BB0C07" w:rsidRDefault="00796078" w:rsidP="00796078">
            <w:pPr>
              <w:pStyle w:val="Lijstalinea"/>
              <w:numPr>
                <w:ilvl w:val="0"/>
                <w:numId w:val="26"/>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dyspepsia associated with permanent disutility?</w:t>
            </w:r>
          </w:p>
        </w:tc>
        <w:tc>
          <w:tcPr>
            <w:tcW w:w="1701" w:type="dxa"/>
            <w:vAlign w:val="center"/>
          </w:tcPr>
          <w:p w:rsidR="00796078" w:rsidRPr="00BB0C07" w:rsidRDefault="00796078" w:rsidP="002166DD">
            <w:pPr>
              <w:pStyle w:val="Lijstalinea"/>
              <w:numPr>
                <w:ilvl w:val="0"/>
                <w:numId w:val="32"/>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9b</w:t>
            </w:r>
          </w:p>
        </w:tc>
      </w:tr>
      <w:tr w:rsidR="00796078" w:rsidRPr="00BB0C07" w:rsidTr="00E94488">
        <w:trPr>
          <w:trHeight w:val="397"/>
        </w:trPr>
        <w:tc>
          <w:tcPr>
            <w:tcW w:w="2353" w:type="dxa"/>
            <w:vMerge w:val="restart"/>
            <w:vAlign w:val="center"/>
          </w:tcPr>
          <w:p w:rsidR="00796078" w:rsidRPr="00BB0C07" w:rsidRDefault="00796078" w:rsidP="00796078">
            <w:p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Are the economic en</w:t>
            </w:r>
            <w:r w:rsidRPr="00BB0C07">
              <w:rPr>
                <w:rFonts w:ascii="Times New Roman" w:hAnsi="Times New Roman" w:cs="Times New Roman"/>
                <w:sz w:val="20"/>
                <w:szCs w:val="20"/>
                <w:lang w:val="en-US"/>
              </w:rPr>
              <w:t>d</w:t>
            </w:r>
            <w:r w:rsidRPr="00BB0C07">
              <w:rPr>
                <w:rFonts w:ascii="Times New Roman" w:hAnsi="Times New Roman" w:cs="Times New Roman"/>
                <w:sz w:val="20"/>
                <w:szCs w:val="20"/>
                <w:lang w:val="en-US"/>
              </w:rPr>
              <w:t>points relevant?</w:t>
            </w:r>
          </w:p>
        </w:tc>
        <w:tc>
          <w:tcPr>
            <w:tcW w:w="5670" w:type="dxa"/>
            <w:gridSpan w:val="2"/>
            <w:vMerge w:val="restart"/>
            <w:vAlign w:val="center"/>
          </w:tcPr>
          <w:p w:rsidR="00796078" w:rsidRPr="00BB0C07" w:rsidRDefault="00796078" w:rsidP="00796078">
            <w:pPr>
              <w:rPr>
                <w:rFonts w:ascii="Times New Roman" w:hAnsi="Times New Roman" w:cs="Times New Roman"/>
                <w:sz w:val="20"/>
                <w:szCs w:val="20"/>
                <w:lang w:val="en-US"/>
              </w:rPr>
            </w:pPr>
            <w:r w:rsidRPr="00BB0C07">
              <w:rPr>
                <w:rFonts w:ascii="Times New Roman" w:hAnsi="Times New Roman" w:cs="Times New Roman"/>
                <w:sz w:val="20"/>
                <w:szCs w:val="20"/>
                <w:lang w:val="en-US"/>
              </w:rPr>
              <w:t>For an economic modeling study to be more relevant for decision-makers, the costs for both clinical events and health states should be taken into account.</w:t>
            </w:r>
          </w:p>
        </w:tc>
        <w:tc>
          <w:tcPr>
            <w:tcW w:w="5670" w:type="dxa"/>
            <w:vAlign w:val="center"/>
          </w:tcPr>
          <w:p w:rsidR="00796078" w:rsidRPr="00BB0C07" w:rsidRDefault="00796078" w:rsidP="00796078">
            <w:pPr>
              <w:pStyle w:val="Lijstalinea"/>
              <w:numPr>
                <w:ilvl w:val="0"/>
                <w:numId w:val="27"/>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Are costs of the clinical event, as well as of the resulting health status, taken into account for ischemic stroke?</w:t>
            </w:r>
          </w:p>
        </w:tc>
        <w:tc>
          <w:tcPr>
            <w:tcW w:w="1701" w:type="dxa"/>
            <w:vAlign w:val="center"/>
          </w:tcPr>
          <w:p w:rsidR="00796078" w:rsidRPr="00BB0C07" w:rsidRDefault="00796078" w:rsidP="002166DD">
            <w:pPr>
              <w:pStyle w:val="Lijstalinea"/>
              <w:numPr>
                <w:ilvl w:val="0"/>
                <w:numId w:val="32"/>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1c</w:t>
            </w:r>
          </w:p>
        </w:tc>
      </w:tr>
      <w:tr w:rsidR="00796078" w:rsidRPr="00BB0C07" w:rsidTr="00E94488">
        <w:trPr>
          <w:trHeight w:val="454"/>
        </w:trPr>
        <w:tc>
          <w:tcPr>
            <w:tcW w:w="2353" w:type="dxa"/>
            <w:vMerge/>
            <w:vAlign w:val="center"/>
          </w:tcPr>
          <w:p w:rsidR="00796078" w:rsidRPr="00BB0C07" w:rsidRDefault="00796078" w:rsidP="00796078">
            <w:pPr>
              <w:ind w:left="284" w:hanging="284"/>
              <w:rPr>
                <w:rFonts w:ascii="Times New Roman" w:hAnsi="Times New Roman" w:cs="Times New Roman"/>
                <w:sz w:val="20"/>
                <w:szCs w:val="20"/>
                <w:lang w:val="en-US"/>
              </w:rPr>
            </w:pPr>
          </w:p>
        </w:tc>
        <w:tc>
          <w:tcPr>
            <w:tcW w:w="5670" w:type="dxa"/>
            <w:gridSpan w:val="2"/>
            <w:vMerge/>
            <w:vAlign w:val="center"/>
          </w:tcPr>
          <w:p w:rsidR="00796078" w:rsidRPr="00BB0C07" w:rsidRDefault="00796078" w:rsidP="00796078">
            <w:pPr>
              <w:rPr>
                <w:rFonts w:ascii="Times New Roman" w:hAnsi="Times New Roman" w:cs="Times New Roman"/>
                <w:sz w:val="20"/>
                <w:szCs w:val="20"/>
                <w:lang w:val="en-US"/>
              </w:rPr>
            </w:pPr>
          </w:p>
        </w:tc>
        <w:tc>
          <w:tcPr>
            <w:tcW w:w="5670" w:type="dxa"/>
            <w:vAlign w:val="center"/>
          </w:tcPr>
          <w:p w:rsidR="00796078" w:rsidRPr="00BB0C07" w:rsidRDefault="00796078" w:rsidP="00796078">
            <w:pPr>
              <w:pStyle w:val="Lijstalinea"/>
              <w:numPr>
                <w:ilvl w:val="0"/>
                <w:numId w:val="27"/>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Are costs of the clinical event, as well as of the resulting health status, taken into account for ICH?</w:t>
            </w:r>
          </w:p>
        </w:tc>
        <w:tc>
          <w:tcPr>
            <w:tcW w:w="1701" w:type="dxa"/>
            <w:vAlign w:val="center"/>
          </w:tcPr>
          <w:p w:rsidR="00796078" w:rsidRPr="00BB0C07" w:rsidRDefault="00796078" w:rsidP="002166DD">
            <w:pPr>
              <w:pStyle w:val="Lijstalinea"/>
              <w:numPr>
                <w:ilvl w:val="0"/>
                <w:numId w:val="32"/>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5c</w:t>
            </w:r>
          </w:p>
        </w:tc>
      </w:tr>
      <w:tr w:rsidR="00796078" w:rsidRPr="00BB0C07" w:rsidTr="00E94488">
        <w:trPr>
          <w:trHeight w:val="454"/>
        </w:trPr>
        <w:tc>
          <w:tcPr>
            <w:tcW w:w="2353" w:type="dxa"/>
            <w:vMerge/>
            <w:vAlign w:val="center"/>
          </w:tcPr>
          <w:p w:rsidR="00796078" w:rsidRPr="00BB0C07" w:rsidRDefault="00796078" w:rsidP="00796078">
            <w:pPr>
              <w:ind w:left="284" w:hanging="284"/>
              <w:rPr>
                <w:rFonts w:ascii="Times New Roman" w:hAnsi="Times New Roman" w:cs="Times New Roman"/>
                <w:sz w:val="20"/>
                <w:szCs w:val="20"/>
                <w:lang w:val="en-US"/>
              </w:rPr>
            </w:pPr>
          </w:p>
        </w:tc>
        <w:tc>
          <w:tcPr>
            <w:tcW w:w="5670" w:type="dxa"/>
            <w:gridSpan w:val="2"/>
            <w:vMerge/>
            <w:vAlign w:val="center"/>
          </w:tcPr>
          <w:p w:rsidR="00796078" w:rsidRPr="00BB0C07" w:rsidRDefault="00796078" w:rsidP="00796078">
            <w:pPr>
              <w:rPr>
                <w:rFonts w:ascii="Times New Roman" w:hAnsi="Times New Roman" w:cs="Times New Roman"/>
                <w:sz w:val="20"/>
                <w:szCs w:val="20"/>
                <w:lang w:val="en-US"/>
              </w:rPr>
            </w:pPr>
          </w:p>
        </w:tc>
        <w:tc>
          <w:tcPr>
            <w:tcW w:w="5670" w:type="dxa"/>
            <w:vAlign w:val="center"/>
          </w:tcPr>
          <w:p w:rsidR="00796078" w:rsidRPr="00BB0C07" w:rsidRDefault="00796078" w:rsidP="00796078">
            <w:pPr>
              <w:pStyle w:val="Lijstalinea"/>
              <w:numPr>
                <w:ilvl w:val="0"/>
                <w:numId w:val="27"/>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Are costs of the clinical event, as well as of the possible resul</w:t>
            </w:r>
            <w:r w:rsidRPr="00BB0C07">
              <w:rPr>
                <w:rFonts w:ascii="Times New Roman" w:hAnsi="Times New Roman" w:cs="Times New Roman"/>
                <w:sz w:val="20"/>
                <w:szCs w:val="20"/>
                <w:lang w:val="en-US"/>
              </w:rPr>
              <w:t>t</w:t>
            </w:r>
            <w:r w:rsidRPr="00BB0C07">
              <w:rPr>
                <w:rFonts w:ascii="Times New Roman" w:hAnsi="Times New Roman" w:cs="Times New Roman"/>
                <w:sz w:val="20"/>
                <w:szCs w:val="20"/>
                <w:lang w:val="en-US"/>
              </w:rPr>
              <w:t>ing health status, taken into account for MI?</w:t>
            </w:r>
          </w:p>
        </w:tc>
        <w:tc>
          <w:tcPr>
            <w:tcW w:w="1701" w:type="dxa"/>
            <w:vAlign w:val="center"/>
          </w:tcPr>
          <w:p w:rsidR="00796078" w:rsidRPr="00BB0C07" w:rsidRDefault="00796078" w:rsidP="002166DD">
            <w:pPr>
              <w:pStyle w:val="Lijstalinea"/>
              <w:numPr>
                <w:ilvl w:val="0"/>
                <w:numId w:val="32"/>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6c</w:t>
            </w:r>
          </w:p>
        </w:tc>
      </w:tr>
      <w:tr w:rsidR="00796078" w:rsidRPr="00BB0C07" w:rsidTr="00E94488">
        <w:trPr>
          <w:trHeight w:val="454"/>
        </w:trPr>
        <w:tc>
          <w:tcPr>
            <w:tcW w:w="2353" w:type="dxa"/>
            <w:vMerge/>
            <w:vAlign w:val="center"/>
          </w:tcPr>
          <w:p w:rsidR="00796078" w:rsidRPr="00BB0C07" w:rsidRDefault="00796078" w:rsidP="00796078">
            <w:pPr>
              <w:ind w:left="284" w:hanging="284"/>
              <w:rPr>
                <w:rFonts w:ascii="Times New Roman" w:hAnsi="Times New Roman" w:cs="Times New Roman"/>
                <w:sz w:val="20"/>
                <w:szCs w:val="20"/>
                <w:lang w:val="en-US"/>
              </w:rPr>
            </w:pPr>
          </w:p>
        </w:tc>
        <w:tc>
          <w:tcPr>
            <w:tcW w:w="5670" w:type="dxa"/>
            <w:gridSpan w:val="2"/>
            <w:vMerge/>
            <w:vAlign w:val="center"/>
          </w:tcPr>
          <w:p w:rsidR="00796078" w:rsidRPr="00BB0C07" w:rsidRDefault="00796078" w:rsidP="00796078">
            <w:pPr>
              <w:rPr>
                <w:rFonts w:ascii="Times New Roman" w:hAnsi="Times New Roman" w:cs="Times New Roman"/>
                <w:sz w:val="20"/>
                <w:szCs w:val="20"/>
                <w:lang w:val="en-US"/>
              </w:rPr>
            </w:pPr>
          </w:p>
        </w:tc>
        <w:tc>
          <w:tcPr>
            <w:tcW w:w="5670" w:type="dxa"/>
            <w:vAlign w:val="center"/>
          </w:tcPr>
          <w:p w:rsidR="00796078" w:rsidRPr="00BB0C07" w:rsidRDefault="00796078" w:rsidP="00796078">
            <w:pPr>
              <w:pStyle w:val="Lijstalinea"/>
              <w:numPr>
                <w:ilvl w:val="0"/>
                <w:numId w:val="27"/>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the occurrence of dyspepsia associated with a physician visit, and a possible prescription of a proton pump inhibitor?</w:t>
            </w:r>
          </w:p>
        </w:tc>
        <w:tc>
          <w:tcPr>
            <w:tcW w:w="1701" w:type="dxa"/>
            <w:vAlign w:val="center"/>
          </w:tcPr>
          <w:p w:rsidR="00796078" w:rsidRPr="00BB0C07" w:rsidRDefault="00796078" w:rsidP="002166DD">
            <w:pPr>
              <w:pStyle w:val="Lijstalinea"/>
              <w:numPr>
                <w:ilvl w:val="0"/>
                <w:numId w:val="33"/>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9c</w:t>
            </w:r>
          </w:p>
        </w:tc>
      </w:tr>
      <w:tr w:rsidR="00796078" w:rsidRPr="00BB0C07" w:rsidTr="00E94488">
        <w:tc>
          <w:tcPr>
            <w:tcW w:w="8023" w:type="dxa"/>
            <w:gridSpan w:val="3"/>
            <w:shd w:val="clear" w:color="auto" w:fill="D9D9D9" w:themeFill="background1" w:themeFillShade="D9"/>
            <w:vAlign w:val="center"/>
          </w:tcPr>
          <w:p w:rsidR="00796078" w:rsidRPr="00BB0C07" w:rsidRDefault="00796078" w:rsidP="00796078">
            <w:pPr>
              <w:ind w:left="284"/>
              <w:rPr>
                <w:rFonts w:ascii="Times New Roman" w:hAnsi="Times New Roman" w:cs="Times New Roman"/>
                <w:sz w:val="20"/>
                <w:szCs w:val="20"/>
                <w:lang w:val="en-US"/>
              </w:rPr>
            </w:pPr>
            <w:r w:rsidRPr="00BB0C07">
              <w:rPr>
                <w:rFonts w:ascii="Times New Roman" w:hAnsi="Times New Roman" w:cs="Times New Roman"/>
                <w:b/>
                <w:szCs w:val="20"/>
                <w:lang w:val="en-US"/>
              </w:rPr>
              <w:t>Is the context applicable?</w:t>
            </w:r>
          </w:p>
        </w:tc>
        <w:tc>
          <w:tcPr>
            <w:tcW w:w="5670" w:type="dxa"/>
            <w:shd w:val="clear" w:color="auto" w:fill="D9D9D9" w:themeFill="background1" w:themeFillShade="D9"/>
            <w:vAlign w:val="center"/>
          </w:tcPr>
          <w:p w:rsidR="00796078" w:rsidRPr="00BB0C07" w:rsidRDefault="00796078" w:rsidP="00796078">
            <w:pPr>
              <w:pStyle w:val="Lijstalinea"/>
              <w:ind w:left="360"/>
              <w:rPr>
                <w:rFonts w:ascii="Times New Roman" w:hAnsi="Times New Roman" w:cs="Times New Roman"/>
                <w:lang w:val="en-US"/>
              </w:rPr>
            </w:pPr>
          </w:p>
        </w:tc>
        <w:tc>
          <w:tcPr>
            <w:tcW w:w="1701" w:type="dxa"/>
            <w:shd w:val="clear" w:color="auto" w:fill="D9D9D9" w:themeFill="background1" w:themeFillShade="D9"/>
            <w:vAlign w:val="center"/>
          </w:tcPr>
          <w:p w:rsidR="00796078" w:rsidRPr="00BB0C07" w:rsidRDefault="00796078" w:rsidP="002166DD">
            <w:pPr>
              <w:pStyle w:val="Lijstalinea"/>
              <w:ind w:left="284"/>
              <w:rPr>
                <w:rFonts w:ascii="Times New Roman" w:hAnsi="Times New Roman" w:cs="Times New Roman"/>
                <w:lang w:val="en-US"/>
              </w:rPr>
            </w:pPr>
          </w:p>
        </w:tc>
      </w:tr>
      <w:tr w:rsidR="00796078" w:rsidRPr="00BB0C07" w:rsidTr="00E94488">
        <w:trPr>
          <w:trHeight w:val="680"/>
        </w:trPr>
        <w:tc>
          <w:tcPr>
            <w:tcW w:w="2437" w:type="dxa"/>
            <w:gridSpan w:val="2"/>
            <w:vAlign w:val="center"/>
          </w:tcPr>
          <w:p w:rsidR="00796078" w:rsidRPr="00BB0C07" w:rsidRDefault="00796078" w:rsidP="00796078">
            <w:p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 xml:space="preserve">Is the geographic location and health care system similar? </w:t>
            </w:r>
          </w:p>
        </w:tc>
        <w:tc>
          <w:tcPr>
            <w:tcW w:w="5586" w:type="dxa"/>
            <w:vAlign w:val="center"/>
          </w:tcPr>
          <w:p w:rsidR="00796078" w:rsidRPr="00BB0C07" w:rsidRDefault="00796078" w:rsidP="00796078">
            <w:pPr>
              <w:rPr>
                <w:rFonts w:ascii="Times New Roman" w:hAnsi="Times New Roman" w:cs="Times New Roman"/>
                <w:i/>
                <w:sz w:val="20"/>
                <w:szCs w:val="20"/>
                <w:lang w:val="en-US"/>
              </w:rPr>
            </w:pPr>
            <w:r w:rsidRPr="00BB0C07">
              <w:rPr>
                <w:rFonts w:ascii="Times New Roman" w:hAnsi="Times New Roman" w:cs="Times New Roman"/>
                <w:i/>
                <w:sz w:val="20"/>
                <w:szCs w:val="20"/>
                <w:lang w:val="en-US"/>
              </w:rPr>
              <w:t>The geographic location and health care system were not deemed relevant, as country-specific factors, such as monitoring and time in therapeutic range were already taken into account.</w:t>
            </w:r>
          </w:p>
        </w:tc>
        <w:tc>
          <w:tcPr>
            <w:tcW w:w="5670" w:type="dxa"/>
            <w:vAlign w:val="center"/>
          </w:tcPr>
          <w:p w:rsidR="00796078" w:rsidRPr="00BB0C07" w:rsidRDefault="00796078" w:rsidP="00796078">
            <w:pPr>
              <w:ind w:left="340"/>
              <w:rPr>
                <w:rFonts w:ascii="Times New Roman" w:hAnsi="Times New Roman" w:cs="Times New Roman"/>
                <w:i/>
                <w:sz w:val="20"/>
                <w:szCs w:val="20"/>
                <w:lang w:val="en-US"/>
              </w:rPr>
            </w:pPr>
            <w:r w:rsidRPr="00BB0C07">
              <w:rPr>
                <w:rFonts w:ascii="Times New Roman" w:hAnsi="Times New Roman" w:cs="Times New Roman"/>
                <w:i/>
                <w:sz w:val="20"/>
                <w:szCs w:val="20"/>
                <w:lang w:val="en-US"/>
              </w:rPr>
              <w:t>None</w:t>
            </w:r>
          </w:p>
        </w:tc>
        <w:tc>
          <w:tcPr>
            <w:tcW w:w="1701" w:type="dxa"/>
            <w:vAlign w:val="center"/>
          </w:tcPr>
          <w:p w:rsidR="00796078" w:rsidRPr="00BB0C07" w:rsidRDefault="002166DD" w:rsidP="002166DD">
            <w:pPr>
              <w:pStyle w:val="Lijstalinea"/>
              <w:numPr>
                <w:ilvl w:val="0"/>
                <w:numId w:val="33"/>
              </w:numPr>
              <w:ind w:left="284" w:hanging="284"/>
              <w:rPr>
                <w:rFonts w:ascii="Times New Roman" w:hAnsi="Times New Roman" w:cs="Times New Roman"/>
                <w:i/>
                <w:sz w:val="20"/>
                <w:szCs w:val="20"/>
                <w:lang w:val="en-US"/>
              </w:rPr>
            </w:pPr>
            <w:r w:rsidRPr="00BB0C07">
              <w:rPr>
                <w:rFonts w:ascii="Times New Roman" w:hAnsi="Times New Roman" w:cs="Times New Roman"/>
                <w:sz w:val="20"/>
                <w:szCs w:val="20"/>
                <w:lang w:val="en-US"/>
              </w:rPr>
              <w:t>Not applicable</w:t>
            </w:r>
          </w:p>
        </w:tc>
      </w:tr>
      <w:tr w:rsidR="00796078" w:rsidRPr="00BB0C07" w:rsidTr="00E94488">
        <w:trPr>
          <w:trHeight w:val="454"/>
        </w:trPr>
        <w:tc>
          <w:tcPr>
            <w:tcW w:w="2437" w:type="dxa"/>
            <w:gridSpan w:val="2"/>
            <w:vAlign w:val="center"/>
          </w:tcPr>
          <w:p w:rsidR="00796078" w:rsidRPr="00BB0C07" w:rsidRDefault="00796078" w:rsidP="00796078">
            <w:p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the time horizon applic</w:t>
            </w:r>
            <w:r w:rsidRPr="00BB0C07">
              <w:rPr>
                <w:rFonts w:ascii="Times New Roman" w:hAnsi="Times New Roman" w:cs="Times New Roman"/>
                <w:sz w:val="20"/>
                <w:szCs w:val="20"/>
                <w:lang w:val="en-US"/>
              </w:rPr>
              <w:t>a</w:t>
            </w:r>
            <w:r w:rsidRPr="00BB0C07">
              <w:rPr>
                <w:rFonts w:ascii="Times New Roman" w:hAnsi="Times New Roman" w:cs="Times New Roman"/>
                <w:sz w:val="20"/>
                <w:szCs w:val="20"/>
                <w:lang w:val="en-US"/>
              </w:rPr>
              <w:t>ble to your decision?</w:t>
            </w:r>
          </w:p>
        </w:tc>
        <w:tc>
          <w:tcPr>
            <w:tcW w:w="5586" w:type="dxa"/>
            <w:vAlign w:val="center"/>
          </w:tcPr>
          <w:p w:rsidR="00796078" w:rsidRPr="00BB0C07" w:rsidRDefault="00796078" w:rsidP="00796078">
            <w:pPr>
              <w:rPr>
                <w:rFonts w:ascii="Times New Roman" w:hAnsi="Times New Roman" w:cs="Times New Roman"/>
                <w:sz w:val="20"/>
                <w:szCs w:val="20"/>
                <w:lang w:val="en-US"/>
              </w:rPr>
            </w:pPr>
            <w:r w:rsidRPr="00BB0C07">
              <w:rPr>
                <w:rFonts w:ascii="Times New Roman" w:hAnsi="Times New Roman" w:cs="Times New Roman"/>
                <w:sz w:val="20"/>
                <w:szCs w:val="20"/>
                <w:lang w:val="en-US"/>
              </w:rPr>
              <w:t>Patients with atrial fibrillation need to receive lifelong anticoagul</w:t>
            </w:r>
            <w:r w:rsidRPr="00BB0C07">
              <w:rPr>
                <w:rFonts w:ascii="Times New Roman" w:hAnsi="Times New Roman" w:cs="Times New Roman"/>
                <w:sz w:val="20"/>
                <w:szCs w:val="20"/>
                <w:lang w:val="en-US"/>
              </w:rPr>
              <w:t>a</w:t>
            </w:r>
            <w:r w:rsidRPr="00BB0C07">
              <w:rPr>
                <w:rFonts w:ascii="Times New Roman" w:hAnsi="Times New Roman" w:cs="Times New Roman"/>
                <w:sz w:val="20"/>
                <w:szCs w:val="20"/>
                <w:lang w:val="en-US"/>
              </w:rPr>
              <w:t>tion treatment for the prevention of stroke.</w:t>
            </w:r>
          </w:p>
        </w:tc>
        <w:tc>
          <w:tcPr>
            <w:tcW w:w="5670" w:type="dxa"/>
            <w:vAlign w:val="center"/>
          </w:tcPr>
          <w:p w:rsidR="00796078" w:rsidRPr="00BB0C07" w:rsidRDefault="00796078" w:rsidP="00796078">
            <w:pPr>
              <w:pStyle w:val="Lijstalinea"/>
              <w:numPr>
                <w:ilvl w:val="0"/>
                <w:numId w:val="28"/>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Are the patients in the modeled cohort assumed to receive DBG or VKAs for the remainder of their life?</w:t>
            </w:r>
          </w:p>
        </w:tc>
        <w:tc>
          <w:tcPr>
            <w:tcW w:w="1701" w:type="dxa"/>
            <w:vAlign w:val="center"/>
          </w:tcPr>
          <w:p w:rsidR="00796078" w:rsidRPr="00BB0C07" w:rsidRDefault="00796078" w:rsidP="002166DD">
            <w:pPr>
              <w:pStyle w:val="Lijstalinea"/>
              <w:numPr>
                <w:ilvl w:val="0"/>
                <w:numId w:val="33"/>
              </w:num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Question 10</w:t>
            </w:r>
          </w:p>
        </w:tc>
      </w:tr>
      <w:tr w:rsidR="00E94488" w:rsidRPr="007A696E" w:rsidTr="00E94488">
        <w:trPr>
          <w:trHeight w:val="907"/>
        </w:trPr>
        <w:tc>
          <w:tcPr>
            <w:tcW w:w="2437" w:type="dxa"/>
            <w:gridSpan w:val="2"/>
            <w:vAlign w:val="center"/>
          </w:tcPr>
          <w:p w:rsidR="00E94488" w:rsidRPr="00BB0C07" w:rsidRDefault="00E94488" w:rsidP="00D9154F">
            <w:pPr>
              <w:ind w:left="284" w:hanging="284"/>
              <w:rPr>
                <w:rFonts w:ascii="Times New Roman" w:hAnsi="Times New Roman" w:cs="Times New Roman"/>
                <w:sz w:val="20"/>
                <w:szCs w:val="20"/>
                <w:lang w:val="en-US"/>
              </w:rPr>
            </w:pPr>
            <w:r w:rsidRPr="00BB0C07">
              <w:rPr>
                <w:rFonts w:ascii="Times New Roman" w:hAnsi="Times New Roman" w:cs="Times New Roman"/>
                <w:sz w:val="20"/>
                <w:szCs w:val="20"/>
                <w:lang w:val="en-US"/>
              </w:rPr>
              <w:t>Is the analytic perspective appropriate to your d</w:t>
            </w:r>
            <w:r w:rsidRPr="00BB0C07">
              <w:rPr>
                <w:rFonts w:ascii="Times New Roman" w:hAnsi="Times New Roman" w:cs="Times New Roman"/>
                <w:sz w:val="20"/>
                <w:szCs w:val="20"/>
                <w:lang w:val="en-US"/>
              </w:rPr>
              <w:t>e</w:t>
            </w:r>
            <w:r w:rsidRPr="00BB0C07">
              <w:rPr>
                <w:rFonts w:ascii="Times New Roman" w:hAnsi="Times New Roman" w:cs="Times New Roman"/>
                <w:sz w:val="20"/>
                <w:szCs w:val="20"/>
                <w:lang w:val="en-US"/>
              </w:rPr>
              <w:t>cision problem?</w:t>
            </w:r>
          </w:p>
        </w:tc>
        <w:tc>
          <w:tcPr>
            <w:tcW w:w="5586" w:type="dxa"/>
            <w:vAlign w:val="center"/>
          </w:tcPr>
          <w:p w:rsidR="00E94488" w:rsidRPr="00D57460" w:rsidRDefault="00E715D0" w:rsidP="00E12357">
            <w:pPr>
              <w:rPr>
                <w:rFonts w:ascii="Times New Roman" w:hAnsi="Times New Roman" w:cs="Times New Roman"/>
                <w:i/>
                <w:sz w:val="20"/>
                <w:szCs w:val="20"/>
                <w:lang w:val="en-US"/>
              </w:rPr>
            </w:pPr>
            <w:r>
              <w:rPr>
                <w:rFonts w:ascii="Times New Roman" w:hAnsi="Times New Roman" w:cs="Times New Roman"/>
                <w:i/>
                <w:sz w:val="20"/>
                <w:szCs w:val="20"/>
                <w:lang w:val="en-US"/>
              </w:rPr>
              <w:t xml:space="preserve">The context in this systematic review is defined </w:t>
            </w:r>
            <w:r w:rsidR="00E12357">
              <w:rPr>
                <w:rFonts w:ascii="Times New Roman" w:hAnsi="Times New Roman" w:cs="Times New Roman"/>
                <w:i/>
                <w:sz w:val="20"/>
                <w:szCs w:val="20"/>
                <w:lang w:val="en-US"/>
              </w:rPr>
              <w:t>as a</w:t>
            </w:r>
            <w:r>
              <w:rPr>
                <w:rFonts w:ascii="Times New Roman" w:hAnsi="Times New Roman" w:cs="Times New Roman"/>
                <w:i/>
                <w:sz w:val="20"/>
                <w:szCs w:val="20"/>
                <w:lang w:val="en-US"/>
              </w:rPr>
              <w:t xml:space="preserve"> region (i.e. the US), not </w:t>
            </w:r>
            <w:r w:rsidR="00E12357">
              <w:rPr>
                <w:rFonts w:ascii="Times New Roman" w:hAnsi="Times New Roman" w:cs="Times New Roman"/>
                <w:i/>
                <w:sz w:val="20"/>
                <w:szCs w:val="20"/>
                <w:lang w:val="en-US"/>
              </w:rPr>
              <w:t>as</w:t>
            </w:r>
            <w:r>
              <w:rPr>
                <w:rFonts w:ascii="Times New Roman" w:hAnsi="Times New Roman" w:cs="Times New Roman"/>
                <w:i/>
                <w:sz w:val="20"/>
                <w:szCs w:val="20"/>
                <w:lang w:val="en-US"/>
              </w:rPr>
              <w:t xml:space="preserve"> a decision problem. It is </w:t>
            </w:r>
            <w:r w:rsidR="00E12357">
              <w:rPr>
                <w:rFonts w:ascii="Times New Roman" w:hAnsi="Times New Roman" w:cs="Times New Roman"/>
                <w:i/>
                <w:sz w:val="20"/>
                <w:szCs w:val="20"/>
                <w:lang w:val="en-US"/>
              </w:rPr>
              <w:t xml:space="preserve">therefore </w:t>
            </w:r>
            <w:r>
              <w:rPr>
                <w:rFonts w:ascii="Times New Roman" w:hAnsi="Times New Roman" w:cs="Times New Roman"/>
                <w:i/>
                <w:sz w:val="20"/>
                <w:szCs w:val="20"/>
                <w:lang w:val="en-US"/>
              </w:rPr>
              <w:t>possible that a soci</w:t>
            </w:r>
            <w:r>
              <w:rPr>
                <w:rFonts w:ascii="Times New Roman" w:hAnsi="Times New Roman" w:cs="Times New Roman"/>
                <w:i/>
                <w:sz w:val="20"/>
                <w:szCs w:val="20"/>
                <w:lang w:val="en-US"/>
              </w:rPr>
              <w:t>e</w:t>
            </w:r>
            <w:r>
              <w:rPr>
                <w:rFonts w:ascii="Times New Roman" w:hAnsi="Times New Roman" w:cs="Times New Roman"/>
                <w:i/>
                <w:sz w:val="20"/>
                <w:szCs w:val="20"/>
                <w:lang w:val="en-US"/>
              </w:rPr>
              <w:t>tal or funder perspective</w:t>
            </w:r>
            <w:r w:rsidR="00E12357">
              <w:rPr>
                <w:rFonts w:ascii="Times New Roman" w:hAnsi="Times New Roman" w:cs="Times New Roman"/>
                <w:i/>
                <w:sz w:val="20"/>
                <w:szCs w:val="20"/>
                <w:lang w:val="en-US"/>
              </w:rPr>
              <w:t xml:space="preserve"> – e.g. </w:t>
            </w:r>
            <w:r w:rsidR="00E12357">
              <w:rPr>
                <w:rFonts w:ascii="Times New Roman" w:hAnsi="Times New Roman" w:cs="Times New Roman"/>
                <w:i/>
                <w:sz w:val="20"/>
                <w:szCs w:val="20"/>
                <w:lang w:val="en-US"/>
              </w:rPr>
              <w:t>private insurance, Me</w:t>
            </w:r>
            <w:r w:rsidR="00E12357">
              <w:rPr>
                <w:rFonts w:ascii="Times New Roman" w:hAnsi="Times New Roman" w:cs="Times New Roman"/>
                <w:i/>
                <w:sz w:val="20"/>
                <w:szCs w:val="20"/>
                <w:lang w:val="en-US"/>
              </w:rPr>
              <w:t>d</w:t>
            </w:r>
            <w:r w:rsidR="00E12357">
              <w:rPr>
                <w:rFonts w:ascii="Times New Roman" w:hAnsi="Times New Roman" w:cs="Times New Roman"/>
                <w:i/>
                <w:sz w:val="20"/>
                <w:szCs w:val="20"/>
                <w:lang w:val="en-US"/>
              </w:rPr>
              <w:t xml:space="preserve">icare or Medicaid </w:t>
            </w:r>
            <w:r w:rsidR="00E12357">
              <w:rPr>
                <w:rFonts w:ascii="Times New Roman" w:hAnsi="Times New Roman" w:cs="Times New Roman"/>
                <w:i/>
                <w:sz w:val="20"/>
                <w:szCs w:val="20"/>
                <w:lang w:val="en-US"/>
              </w:rPr>
              <w:t>– was chosen</w:t>
            </w:r>
            <w:r>
              <w:rPr>
                <w:rFonts w:ascii="Times New Roman" w:hAnsi="Times New Roman" w:cs="Times New Roman"/>
                <w:i/>
                <w:sz w:val="20"/>
                <w:szCs w:val="20"/>
                <w:lang w:val="en-US"/>
              </w:rPr>
              <w:t>,. However, o</w:t>
            </w:r>
            <w:r w:rsidR="00E94488">
              <w:rPr>
                <w:rFonts w:ascii="Times New Roman" w:hAnsi="Times New Roman" w:cs="Times New Roman"/>
                <w:i/>
                <w:sz w:val="20"/>
                <w:szCs w:val="20"/>
                <w:lang w:val="en-US"/>
              </w:rPr>
              <w:t>ne pers</w:t>
            </w:r>
            <w:bookmarkStart w:id="0" w:name="_GoBack"/>
            <w:bookmarkEnd w:id="0"/>
            <w:r w:rsidR="00E94488">
              <w:rPr>
                <w:rFonts w:ascii="Times New Roman" w:hAnsi="Times New Roman" w:cs="Times New Roman"/>
                <w:i/>
                <w:sz w:val="20"/>
                <w:szCs w:val="20"/>
                <w:lang w:val="en-US"/>
              </w:rPr>
              <w:t>pective was not co</w:t>
            </w:r>
            <w:r w:rsidR="00E94488">
              <w:rPr>
                <w:rFonts w:ascii="Times New Roman" w:hAnsi="Times New Roman" w:cs="Times New Roman"/>
                <w:i/>
                <w:sz w:val="20"/>
                <w:szCs w:val="20"/>
                <w:lang w:val="en-US"/>
              </w:rPr>
              <w:t>n</w:t>
            </w:r>
            <w:r w:rsidR="00E94488">
              <w:rPr>
                <w:rFonts w:ascii="Times New Roman" w:hAnsi="Times New Roman" w:cs="Times New Roman"/>
                <w:i/>
                <w:sz w:val="20"/>
                <w:szCs w:val="20"/>
                <w:lang w:val="en-US"/>
              </w:rPr>
              <w:t>sidered to be more or less appropriate by us befor</w:t>
            </w:r>
            <w:r w:rsidR="00E94488">
              <w:rPr>
                <w:rFonts w:ascii="Times New Roman" w:hAnsi="Times New Roman" w:cs="Times New Roman"/>
                <w:i/>
                <w:sz w:val="20"/>
                <w:szCs w:val="20"/>
                <w:lang w:val="en-US"/>
              </w:rPr>
              <w:t>e</w:t>
            </w:r>
            <w:r w:rsidR="00E94488">
              <w:rPr>
                <w:rFonts w:ascii="Times New Roman" w:hAnsi="Times New Roman" w:cs="Times New Roman"/>
                <w:i/>
                <w:sz w:val="20"/>
                <w:szCs w:val="20"/>
                <w:lang w:val="en-US"/>
              </w:rPr>
              <w:t>hand.</w:t>
            </w:r>
          </w:p>
        </w:tc>
        <w:tc>
          <w:tcPr>
            <w:tcW w:w="5670" w:type="dxa"/>
            <w:vAlign w:val="center"/>
          </w:tcPr>
          <w:p w:rsidR="00E94488" w:rsidRPr="00BB0C07" w:rsidRDefault="00E94488" w:rsidP="00D9154F">
            <w:pPr>
              <w:ind w:left="340"/>
              <w:rPr>
                <w:rFonts w:ascii="Times New Roman" w:hAnsi="Times New Roman" w:cs="Times New Roman"/>
                <w:i/>
                <w:sz w:val="20"/>
                <w:szCs w:val="20"/>
                <w:lang w:val="en-US"/>
              </w:rPr>
            </w:pPr>
            <w:r w:rsidRPr="00BB0C07">
              <w:rPr>
                <w:rFonts w:ascii="Times New Roman" w:hAnsi="Times New Roman" w:cs="Times New Roman"/>
                <w:i/>
                <w:sz w:val="20"/>
                <w:szCs w:val="20"/>
                <w:lang w:val="en-US"/>
              </w:rPr>
              <w:t>None</w:t>
            </w:r>
          </w:p>
        </w:tc>
        <w:tc>
          <w:tcPr>
            <w:tcW w:w="1701" w:type="dxa"/>
            <w:vAlign w:val="center"/>
          </w:tcPr>
          <w:p w:rsidR="00E94488" w:rsidRPr="00BB0C07" w:rsidRDefault="00E94488" w:rsidP="00D9154F">
            <w:pPr>
              <w:pStyle w:val="Lijstalinea"/>
              <w:numPr>
                <w:ilvl w:val="0"/>
                <w:numId w:val="33"/>
              </w:numPr>
              <w:ind w:left="284" w:hanging="284"/>
              <w:rPr>
                <w:rFonts w:ascii="Times New Roman" w:hAnsi="Times New Roman" w:cs="Times New Roman"/>
                <w:i/>
                <w:sz w:val="20"/>
                <w:szCs w:val="20"/>
                <w:lang w:val="en-US"/>
              </w:rPr>
            </w:pPr>
            <w:r w:rsidRPr="00BB0C07">
              <w:rPr>
                <w:rFonts w:ascii="Times New Roman" w:hAnsi="Times New Roman" w:cs="Times New Roman"/>
                <w:sz w:val="20"/>
                <w:szCs w:val="20"/>
                <w:lang w:val="en-US"/>
              </w:rPr>
              <w:t>Not applicable</w:t>
            </w:r>
          </w:p>
        </w:tc>
      </w:tr>
    </w:tbl>
    <w:p w:rsidR="0046083B" w:rsidRPr="00BB0C07" w:rsidRDefault="0046083B" w:rsidP="0046083B">
      <w:pPr>
        <w:spacing w:after="0"/>
        <w:rPr>
          <w:rFonts w:ascii="Times New Roman" w:hAnsi="Times New Roman" w:cs="Times New Roman"/>
          <w:lang w:val="en-US"/>
        </w:rPr>
        <w:sectPr w:rsidR="0046083B" w:rsidRPr="00BB0C07" w:rsidSect="00571D1F">
          <w:pgSz w:w="16838" w:h="11906" w:orient="landscape"/>
          <w:pgMar w:top="851" w:right="851" w:bottom="851" w:left="851" w:header="708" w:footer="708" w:gutter="0"/>
          <w:cols w:space="708"/>
          <w:docGrid w:linePitch="360"/>
        </w:sectPr>
      </w:pPr>
    </w:p>
    <w:p w:rsidR="0046083B" w:rsidRPr="00BB0C07" w:rsidRDefault="0046083B" w:rsidP="0046083B">
      <w:pPr>
        <w:rPr>
          <w:rFonts w:ascii="Times New Roman" w:hAnsi="Times New Roman" w:cs="Times New Roman"/>
          <w:b/>
          <w:lang w:val="en-US"/>
        </w:rPr>
        <w:sectPr w:rsidR="0046083B" w:rsidRPr="00BB0C07" w:rsidSect="0046083B">
          <w:type w:val="continuous"/>
          <w:pgSz w:w="16838" w:h="11906" w:orient="landscape"/>
          <w:pgMar w:top="720" w:right="720" w:bottom="720" w:left="720" w:header="708" w:footer="708" w:gutter="0"/>
          <w:cols w:space="708"/>
          <w:docGrid w:linePitch="360"/>
        </w:sectPr>
      </w:pPr>
    </w:p>
    <w:p w:rsidR="00F76375" w:rsidRPr="00BB0C07" w:rsidRDefault="00F76375" w:rsidP="00F76375">
      <w:pPr>
        <w:spacing w:after="0"/>
        <w:rPr>
          <w:rFonts w:ascii="Times New Roman" w:hAnsi="Times New Roman"/>
          <w:sz w:val="20"/>
          <w:szCs w:val="24"/>
          <w:lang w:val="en-US"/>
        </w:rPr>
      </w:pPr>
      <w:r w:rsidRPr="00BB0C07">
        <w:rPr>
          <w:rFonts w:ascii="Times New Roman" w:hAnsi="Times New Roman"/>
          <w:b/>
          <w:sz w:val="20"/>
          <w:szCs w:val="24"/>
          <w:lang w:val="en-US"/>
        </w:rPr>
        <w:lastRenderedPageBreak/>
        <w:t xml:space="preserve">Table 4. </w:t>
      </w:r>
      <w:r w:rsidRPr="00BB0C07">
        <w:rPr>
          <w:rFonts w:ascii="Times New Roman" w:hAnsi="Times New Roman"/>
          <w:sz w:val="20"/>
          <w:szCs w:val="24"/>
          <w:lang w:val="en-US"/>
        </w:rPr>
        <w:t>Overview of whether model-based economic evaluations on dabigatran vs. VKAs for the prevention of stroke in patients with AF in the United States are relevant with respect to different context-</w:t>
      </w:r>
      <w:r w:rsidRPr="00BB0C07">
        <w:rPr>
          <w:rFonts w:ascii="Times New Roman" w:hAnsi="Times New Roman"/>
          <w:i/>
          <w:sz w:val="20"/>
          <w:szCs w:val="24"/>
          <w:lang w:val="en-US"/>
        </w:rPr>
        <w:t>dependent</w:t>
      </w:r>
      <w:r w:rsidRPr="00BB0C07">
        <w:rPr>
          <w:rFonts w:ascii="Times New Roman" w:hAnsi="Times New Roman"/>
          <w:sz w:val="20"/>
          <w:szCs w:val="24"/>
          <w:lang w:val="en-US"/>
        </w:rPr>
        <w:t xml:space="preserve"> factors (set against the context of the United States).</w:t>
      </w:r>
    </w:p>
    <w:p w:rsidR="00F76375" w:rsidRPr="00BB0C07" w:rsidRDefault="00F76375" w:rsidP="00F76375">
      <w:pPr>
        <w:spacing w:after="0" w:line="240" w:lineRule="auto"/>
        <w:ind w:left="709" w:right="1700"/>
        <w:rPr>
          <w:rFonts w:ascii="Times New Roman" w:hAnsi="Times New Roman"/>
          <w:sz w:val="20"/>
          <w:szCs w:val="24"/>
          <w:lang w:val="en-US"/>
        </w:rPr>
      </w:pPr>
    </w:p>
    <w:tbl>
      <w:tblPr>
        <w:tblStyle w:val="Tabelraster"/>
        <w:tblW w:w="7824" w:type="dxa"/>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7"/>
        <w:gridCol w:w="425"/>
        <w:gridCol w:w="426"/>
        <w:gridCol w:w="426"/>
        <w:gridCol w:w="425"/>
        <w:gridCol w:w="425"/>
        <w:gridCol w:w="425"/>
        <w:gridCol w:w="170"/>
        <w:gridCol w:w="425"/>
      </w:tblGrid>
      <w:tr w:rsidR="00F76375" w:rsidRPr="00BB0C07" w:rsidTr="00BB0C07">
        <w:trPr>
          <w:trHeight w:val="436"/>
        </w:trPr>
        <w:tc>
          <w:tcPr>
            <w:tcW w:w="4677" w:type="dxa"/>
            <w:vAlign w:val="center"/>
          </w:tcPr>
          <w:p w:rsidR="00F76375" w:rsidRPr="00BB0C07" w:rsidRDefault="00F76375" w:rsidP="00BB0C07">
            <w:pPr>
              <w:jc w:val="right"/>
              <w:rPr>
                <w:rFonts w:ascii="Times New Roman" w:hAnsi="Times New Roman"/>
                <w:b/>
                <w:sz w:val="18"/>
                <w:lang w:val="en-US"/>
              </w:rPr>
            </w:pPr>
          </w:p>
        </w:tc>
        <w:tc>
          <w:tcPr>
            <w:tcW w:w="425" w:type="dxa"/>
            <w:tcBorders>
              <w:top w:val="single" w:sz="4" w:space="0" w:color="auto"/>
              <w:bottom w:val="nil"/>
              <w:right w:val="single" w:sz="4" w:space="0" w:color="auto"/>
            </w:tcBorders>
            <w:vAlign w:val="center"/>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[18]</w:t>
            </w:r>
          </w:p>
        </w:tc>
        <w:tc>
          <w:tcPr>
            <w:tcW w:w="426" w:type="dxa"/>
            <w:tcBorders>
              <w:top w:val="single" w:sz="4" w:space="0" w:color="auto"/>
              <w:left w:val="single" w:sz="4" w:space="0" w:color="auto"/>
              <w:bottom w:val="nil"/>
              <w:right w:val="single" w:sz="4" w:space="0" w:color="auto"/>
            </w:tcBorders>
            <w:vAlign w:val="center"/>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[19]</w:t>
            </w:r>
          </w:p>
        </w:tc>
        <w:tc>
          <w:tcPr>
            <w:tcW w:w="426" w:type="dxa"/>
            <w:tcBorders>
              <w:top w:val="single" w:sz="4" w:space="0" w:color="auto"/>
              <w:left w:val="single" w:sz="4" w:space="0" w:color="auto"/>
              <w:bottom w:val="nil"/>
              <w:right w:val="single" w:sz="4" w:space="0" w:color="auto"/>
            </w:tcBorders>
            <w:vAlign w:val="center"/>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[20]</w:t>
            </w:r>
          </w:p>
        </w:tc>
        <w:tc>
          <w:tcPr>
            <w:tcW w:w="425" w:type="dxa"/>
            <w:tcBorders>
              <w:top w:val="single" w:sz="4" w:space="0" w:color="auto"/>
              <w:left w:val="single" w:sz="4" w:space="0" w:color="auto"/>
              <w:bottom w:val="nil"/>
              <w:right w:val="single" w:sz="4" w:space="0" w:color="auto"/>
            </w:tcBorders>
            <w:vAlign w:val="center"/>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[21]</w:t>
            </w:r>
          </w:p>
        </w:tc>
        <w:tc>
          <w:tcPr>
            <w:tcW w:w="425" w:type="dxa"/>
            <w:tcBorders>
              <w:top w:val="single" w:sz="4" w:space="0" w:color="auto"/>
              <w:left w:val="single" w:sz="4" w:space="0" w:color="auto"/>
              <w:bottom w:val="nil"/>
              <w:right w:val="single" w:sz="4" w:space="0" w:color="auto"/>
            </w:tcBorders>
            <w:vAlign w:val="center"/>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[22]</w:t>
            </w:r>
          </w:p>
        </w:tc>
        <w:tc>
          <w:tcPr>
            <w:tcW w:w="425" w:type="dxa"/>
            <w:tcBorders>
              <w:top w:val="single" w:sz="4" w:space="0" w:color="auto"/>
              <w:left w:val="single" w:sz="4" w:space="0" w:color="auto"/>
              <w:bottom w:val="nil"/>
              <w:right w:val="nil"/>
            </w:tcBorders>
            <w:vAlign w:val="center"/>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[23]</w:t>
            </w:r>
          </w:p>
        </w:tc>
        <w:tc>
          <w:tcPr>
            <w:tcW w:w="170" w:type="dxa"/>
            <w:tcBorders>
              <w:top w:val="single" w:sz="4" w:space="0" w:color="auto"/>
              <w:left w:val="nil"/>
              <w:bottom w:val="nil"/>
              <w:right w:val="nil"/>
            </w:tcBorders>
          </w:tcPr>
          <w:p w:rsidR="00F76375" w:rsidRPr="00BB0C07" w:rsidRDefault="00F76375" w:rsidP="00BB0C07">
            <w:pPr>
              <w:jc w:val="center"/>
              <w:rPr>
                <w:rFonts w:ascii="Times New Roman" w:hAnsi="Times New Roman"/>
                <w:sz w:val="18"/>
                <w:lang w:val="en-US"/>
              </w:rPr>
            </w:pPr>
          </w:p>
        </w:tc>
        <w:tc>
          <w:tcPr>
            <w:tcW w:w="425" w:type="dxa"/>
            <w:tcBorders>
              <w:top w:val="single" w:sz="4" w:space="0" w:color="auto"/>
              <w:left w:val="nil"/>
              <w:bottom w:val="nil"/>
            </w:tcBorders>
            <w:vAlign w:val="center"/>
          </w:tcPr>
          <w:p w:rsidR="00F76375" w:rsidRPr="00BB0C07" w:rsidRDefault="00F76375" w:rsidP="00BB0C07">
            <w:pPr>
              <w:jc w:val="center"/>
              <w:rPr>
                <w:rFonts w:ascii="Times New Roman" w:hAnsi="Times New Roman"/>
                <w:sz w:val="18"/>
                <w:lang w:val="en-US"/>
              </w:rPr>
            </w:pPr>
            <w:r w:rsidRPr="00BB0C07">
              <w:rPr>
                <w:rFonts w:ascii="Times New Roman" w:hAnsi="Times New Roman"/>
                <w:b/>
              </w:rPr>
              <w:t>(%)</w:t>
            </w:r>
          </w:p>
        </w:tc>
      </w:tr>
      <w:tr w:rsidR="00F76375" w:rsidRPr="00D9154F" w:rsidTr="00BB0C07">
        <w:trPr>
          <w:trHeight w:val="20"/>
        </w:trPr>
        <w:tc>
          <w:tcPr>
            <w:tcW w:w="4677" w:type="dxa"/>
            <w:tcMar>
              <w:left w:w="57" w:type="dxa"/>
            </w:tcMar>
          </w:tcPr>
          <w:p w:rsidR="00F76375" w:rsidRPr="00BB0C07" w:rsidRDefault="00F76375" w:rsidP="00BB0C07">
            <w:pPr>
              <w:rPr>
                <w:rFonts w:ascii="Times New Roman" w:hAnsi="Times New Roman"/>
                <w:sz w:val="18"/>
                <w:lang w:val="en-US"/>
              </w:rPr>
            </w:pPr>
            <w:r w:rsidRPr="00BB0C07">
              <w:rPr>
                <w:rFonts w:ascii="Times New Roman" w:hAnsi="Times New Roman"/>
                <w:sz w:val="18"/>
                <w:lang w:val="en-US"/>
              </w:rPr>
              <w:t xml:space="preserve">Is the study cohort comparable to the US target population?* </w:t>
            </w:r>
          </w:p>
        </w:tc>
        <w:tc>
          <w:tcPr>
            <w:tcW w:w="425" w:type="dxa"/>
            <w:tcBorders>
              <w:top w:val="nil"/>
              <w:bottom w:val="nil"/>
              <w:right w:val="single" w:sz="4" w:space="0" w:color="auto"/>
            </w:tcBorders>
          </w:tcPr>
          <w:p w:rsidR="00F76375" w:rsidRPr="00BB0C07" w:rsidRDefault="00F76375" w:rsidP="00BB0C07">
            <w:pPr>
              <w:rPr>
                <w:rFonts w:ascii="Times New Roman" w:hAnsi="Times New Roman"/>
                <w:sz w:val="18"/>
                <w:lang w:val="en-US"/>
              </w:rPr>
            </w:pPr>
          </w:p>
        </w:tc>
        <w:tc>
          <w:tcPr>
            <w:tcW w:w="426" w:type="dxa"/>
            <w:tcBorders>
              <w:top w:val="nil"/>
              <w:left w:val="single" w:sz="4" w:space="0" w:color="auto"/>
              <w:bottom w:val="nil"/>
              <w:right w:val="single" w:sz="4" w:space="0" w:color="auto"/>
            </w:tcBorders>
          </w:tcPr>
          <w:p w:rsidR="00F76375" w:rsidRPr="00BB0C07" w:rsidRDefault="00F76375" w:rsidP="00BB0C07">
            <w:pPr>
              <w:rPr>
                <w:rFonts w:ascii="Times New Roman" w:hAnsi="Times New Roman"/>
                <w:sz w:val="18"/>
                <w:lang w:val="en-US"/>
              </w:rPr>
            </w:pPr>
          </w:p>
        </w:tc>
        <w:tc>
          <w:tcPr>
            <w:tcW w:w="426" w:type="dxa"/>
            <w:tcBorders>
              <w:top w:val="nil"/>
              <w:left w:val="single" w:sz="4" w:space="0" w:color="auto"/>
              <w:bottom w:val="nil"/>
              <w:right w:val="single" w:sz="4" w:space="0" w:color="auto"/>
            </w:tcBorders>
          </w:tcPr>
          <w:p w:rsidR="00F76375" w:rsidRPr="00BB0C07" w:rsidRDefault="00F76375" w:rsidP="00BB0C07">
            <w:pPr>
              <w:rPr>
                <w:rFonts w:ascii="Times New Roman" w:hAnsi="Times New Roman"/>
                <w:sz w:val="18"/>
                <w:lang w:val="en-US"/>
              </w:rPr>
            </w:pPr>
          </w:p>
        </w:tc>
        <w:tc>
          <w:tcPr>
            <w:tcW w:w="425" w:type="dxa"/>
            <w:tcBorders>
              <w:top w:val="nil"/>
              <w:left w:val="single" w:sz="4" w:space="0" w:color="auto"/>
              <w:bottom w:val="nil"/>
              <w:right w:val="single" w:sz="4" w:space="0" w:color="auto"/>
            </w:tcBorders>
          </w:tcPr>
          <w:p w:rsidR="00F76375" w:rsidRPr="00BB0C07" w:rsidRDefault="00F76375" w:rsidP="00BB0C07">
            <w:pPr>
              <w:rPr>
                <w:rFonts w:ascii="Times New Roman" w:hAnsi="Times New Roman"/>
                <w:sz w:val="18"/>
                <w:lang w:val="en-US"/>
              </w:rPr>
            </w:pPr>
          </w:p>
        </w:tc>
        <w:tc>
          <w:tcPr>
            <w:tcW w:w="425" w:type="dxa"/>
            <w:tcBorders>
              <w:top w:val="nil"/>
              <w:left w:val="single" w:sz="4" w:space="0" w:color="auto"/>
              <w:bottom w:val="nil"/>
              <w:right w:val="single" w:sz="4" w:space="0" w:color="auto"/>
            </w:tcBorders>
          </w:tcPr>
          <w:p w:rsidR="00F76375" w:rsidRPr="00BB0C07" w:rsidRDefault="00F76375" w:rsidP="00BB0C07">
            <w:pPr>
              <w:rPr>
                <w:rFonts w:ascii="Times New Roman" w:hAnsi="Times New Roman"/>
                <w:sz w:val="18"/>
                <w:lang w:val="en-US"/>
              </w:rPr>
            </w:pPr>
          </w:p>
        </w:tc>
        <w:tc>
          <w:tcPr>
            <w:tcW w:w="425" w:type="dxa"/>
            <w:tcBorders>
              <w:top w:val="nil"/>
              <w:left w:val="single" w:sz="4" w:space="0" w:color="auto"/>
              <w:bottom w:val="nil"/>
              <w:right w:val="nil"/>
            </w:tcBorders>
          </w:tcPr>
          <w:p w:rsidR="00F76375" w:rsidRPr="00BB0C07" w:rsidRDefault="00F76375" w:rsidP="00BB0C07">
            <w:pP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rPr>
                <w:rFonts w:ascii="Times New Roman" w:hAnsi="Times New Roman"/>
                <w:sz w:val="18"/>
                <w:lang w:val="en-US"/>
              </w:rPr>
            </w:pPr>
          </w:p>
        </w:tc>
      </w:tr>
      <w:tr w:rsidR="00F76375" w:rsidRPr="00D9154F" w:rsidTr="00BB0C07">
        <w:trPr>
          <w:trHeight w:hRule="exact" w:val="113"/>
        </w:trPr>
        <w:tc>
          <w:tcPr>
            <w:tcW w:w="4677" w:type="dxa"/>
            <w:tcMar>
              <w:left w:w="57" w:type="dxa"/>
            </w:tcMar>
          </w:tcPr>
          <w:p w:rsidR="00F76375" w:rsidRPr="00BB0C07" w:rsidRDefault="00F76375" w:rsidP="00BB0C07">
            <w:pPr>
              <w:rPr>
                <w:rFonts w:ascii="Times New Roman" w:hAnsi="Times New Roman"/>
                <w:b/>
                <w:sz w:val="18"/>
                <w:lang w:val="en-US"/>
              </w:rPr>
            </w:pPr>
          </w:p>
        </w:tc>
        <w:tc>
          <w:tcPr>
            <w:tcW w:w="425" w:type="dxa"/>
            <w:tcBorders>
              <w:top w:val="nil"/>
              <w:bottom w:val="nil"/>
              <w:right w:val="single" w:sz="4" w:space="0" w:color="auto"/>
            </w:tcBorders>
          </w:tcPr>
          <w:p w:rsidR="00F76375" w:rsidRPr="00BB0C07" w:rsidRDefault="00F76375" w:rsidP="00BB0C07">
            <w:pPr>
              <w:rPr>
                <w:rFonts w:ascii="Times New Roman" w:hAnsi="Times New Roman"/>
                <w:sz w:val="18"/>
                <w:lang w:val="en-US"/>
              </w:rPr>
            </w:pPr>
          </w:p>
        </w:tc>
        <w:tc>
          <w:tcPr>
            <w:tcW w:w="426" w:type="dxa"/>
            <w:tcBorders>
              <w:top w:val="nil"/>
              <w:left w:val="single" w:sz="4" w:space="0" w:color="auto"/>
              <w:bottom w:val="nil"/>
              <w:right w:val="single" w:sz="4" w:space="0" w:color="auto"/>
            </w:tcBorders>
          </w:tcPr>
          <w:p w:rsidR="00F76375" w:rsidRPr="00BB0C07" w:rsidRDefault="00F76375" w:rsidP="00BB0C07">
            <w:pPr>
              <w:rPr>
                <w:rFonts w:ascii="Times New Roman" w:hAnsi="Times New Roman"/>
                <w:sz w:val="18"/>
                <w:lang w:val="en-US"/>
              </w:rPr>
            </w:pPr>
          </w:p>
        </w:tc>
        <w:tc>
          <w:tcPr>
            <w:tcW w:w="426" w:type="dxa"/>
            <w:tcBorders>
              <w:top w:val="nil"/>
              <w:left w:val="single" w:sz="4" w:space="0" w:color="auto"/>
              <w:bottom w:val="nil"/>
              <w:right w:val="single" w:sz="4" w:space="0" w:color="auto"/>
            </w:tcBorders>
          </w:tcPr>
          <w:p w:rsidR="00F76375" w:rsidRPr="00BB0C07" w:rsidRDefault="00F76375" w:rsidP="00BB0C07">
            <w:pPr>
              <w:rPr>
                <w:rFonts w:ascii="Times New Roman" w:hAnsi="Times New Roman"/>
                <w:sz w:val="18"/>
                <w:lang w:val="en-US"/>
              </w:rPr>
            </w:pPr>
          </w:p>
        </w:tc>
        <w:tc>
          <w:tcPr>
            <w:tcW w:w="425" w:type="dxa"/>
            <w:tcBorders>
              <w:top w:val="nil"/>
              <w:left w:val="single" w:sz="4" w:space="0" w:color="auto"/>
              <w:bottom w:val="nil"/>
              <w:right w:val="single" w:sz="4" w:space="0" w:color="auto"/>
            </w:tcBorders>
          </w:tcPr>
          <w:p w:rsidR="00F76375" w:rsidRPr="00BB0C07" w:rsidRDefault="00F76375" w:rsidP="00BB0C07">
            <w:pPr>
              <w:rPr>
                <w:rFonts w:ascii="Times New Roman" w:hAnsi="Times New Roman"/>
                <w:sz w:val="18"/>
                <w:lang w:val="en-US"/>
              </w:rPr>
            </w:pPr>
          </w:p>
        </w:tc>
        <w:tc>
          <w:tcPr>
            <w:tcW w:w="425" w:type="dxa"/>
            <w:tcBorders>
              <w:top w:val="nil"/>
              <w:left w:val="single" w:sz="4" w:space="0" w:color="auto"/>
              <w:bottom w:val="nil"/>
              <w:right w:val="single" w:sz="4" w:space="0" w:color="auto"/>
            </w:tcBorders>
          </w:tcPr>
          <w:p w:rsidR="00F76375" w:rsidRPr="00BB0C07" w:rsidRDefault="00F76375" w:rsidP="00BB0C07">
            <w:pPr>
              <w:rPr>
                <w:rFonts w:ascii="Times New Roman" w:hAnsi="Times New Roman"/>
                <w:sz w:val="18"/>
                <w:lang w:val="en-US"/>
              </w:rPr>
            </w:pPr>
          </w:p>
        </w:tc>
        <w:tc>
          <w:tcPr>
            <w:tcW w:w="425" w:type="dxa"/>
            <w:tcBorders>
              <w:top w:val="nil"/>
              <w:left w:val="single" w:sz="4" w:space="0" w:color="auto"/>
              <w:bottom w:val="nil"/>
              <w:right w:val="nil"/>
            </w:tcBorders>
          </w:tcPr>
          <w:p w:rsidR="00F76375" w:rsidRPr="00BB0C07" w:rsidRDefault="00F76375" w:rsidP="00BB0C07">
            <w:pP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rPr>
                <w:rFonts w:ascii="Times New Roman" w:hAnsi="Times New Roman"/>
                <w:sz w:val="18"/>
                <w:lang w:val="en-US"/>
              </w:rPr>
            </w:pPr>
          </w:p>
        </w:tc>
      </w:tr>
      <w:tr w:rsidR="00F76375" w:rsidRPr="00BB0C07" w:rsidTr="00BB0C07">
        <w:trPr>
          <w:trHeight w:val="20"/>
        </w:trPr>
        <w:tc>
          <w:tcPr>
            <w:tcW w:w="4677" w:type="dxa"/>
            <w:tcMar>
              <w:left w:w="57" w:type="dxa"/>
            </w:tcMar>
          </w:tcPr>
          <w:p w:rsidR="00F76375" w:rsidRPr="00BB0C07" w:rsidRDefault="00F76375" w:rsidP="00BB0C07">
            <w:pPr>
              <w:ind w:left="289"/>
              <w:rPr>
                <w:rFonts w:ascii="Times New Roman" w:hAnsi="Times New Roman"/>
                <w:i/>
                <w:sz w:val="18"/>
              </w:rPr>
            </w:pPr>
            <w:r w:rsidRPr="00BB0C07">
              <w:rPr>
                <w:rFonts w:ascii="Times New Roman" w:hAnsi="Times New Roman"/>
                <w:i/>
                <w:sz w:val="18"/>
              </w:rPr>
              <w:t xml:space="preserve">Baseline </w:t>
            </w:r>
            <w:proofErr w:type="spellStart"/>
            <w:r w:rsidRPr="00BB0C07">
              <w:rPr>
                <w:rFonts w:ascii="Times New Roman" w:hAnsi="Times New Roman"/>
                <w:i/>
                <w:sz w:val="18"/>
              </w:rPr>
              <w:t>age</w:t>
            </w:r>
            <w:proofErr w:type="spellEnd"/>
          </w:p>
        </w:tc>
        <w:tc>
          <w:tcPr>
            <w:tcW w:w="425" w:type="dxa"/>
            <w:tcBorders>
              <w:top w:val="nil"/>
              <w:bottom w:val="nil"/>
              <w:right w:val="single" w:sz="4" w:space="0" w:color="auto"/>
            </w:tcBorders>
            <w:shd w:val="clear" w:color="auto" w:fill="548DD4" w:themeFill="text2" w:themeFillTint="99"/>
            <w:vAlign w:val="center"/>
          </w:tcPr>
          <w:p w:rsidR="00F76375" w:rsidRPr="00BB0C07" w:rsidRDefault="00F76375" w:rsidP="00BB0C07">
            <w:pPr>
              <w:jc w:val="center"/>
              <w:rPr>
                <w:rFonts w:ascii="Times New Roman" w:hAnsi="Times New Roman"/>
                <w:color w:val="548DD4" w:themeColor="text2" w:themeTint="99"/>
                <w:sz w:val="18"/>
              </w:rPr>
            </w:pPr>
          </w:p>
        </w:tc>
        <w:tc>
          <w:tcPr>
            <w:tcW w:w="426"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color w:val="FFC000"/>
                <w:sz w:val="18"/>
              </w:rPr>
            </w:pPr>
          </w:p>
        </w:tc>
        <w:tc>
          <w:tcPr>
            <w:tcW w:w="426"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color w:val="FFC000"/>
                <w:sz w:val="18"/>
              </w:rPr>
            </w:pPr>
          </w:p>
        </w:tc>
        <w:tc>
          <w:tcPr>
            <w:tcW w:w="425"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color w:val="FFC000"/>
                <w:sz w:val="18"/>
              </w:rPr>
            </w:pPr>
          </w:p>
        </w:tc>
        <w:tc>
          <w:tcPr>
            <w:tcW w:w="425"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color w:val="FFC000"/>
                <w:sz w:val="18"/>
              </w:rPr>
            </w:pPr>
          </w:p>
        </w:tc>
        <w:tc>
          <w:tcPr>
            <w:tcW w:w="425" w:type="dxa"/>
            <w:tcBorders>
              <w:top w:val="nil"/>
              <w:left w:val="single" w:sz="4" w:space="0" w:color="auto"/>
              <w:bottom w:val="nil"/>
              <w:right w:val="nil"/>
            </w:tcBorders>
            <w:shd w:val="clear" w:color="auto" w:fill="548DD4" w:themeFill="text2" w:themeFillTint="99"/>
          </w:tcPr>
          <w:p w:rsidR="00F76375" w:rsidRPr="00BB0C07" w:rsidRDefault="00F76375" w:rsidP="00BB0C07">
            <w:pPr>
              <w:jc w:val="center"/>
              <w:rPr>
                <w:rFonts w:ascii="Times New Roman" w:hAnsi="Times New Roman"/>
                <w:color w:val="FFC000"/>
                <w:sz w:val="18"/>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color w:val="FFC000"/>
                <w:sz w:val="18"/>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rPr>
            </w:pPr>
            <w:r w:rsidRPr="00BB0C07">
              <w:rPr>
                <w:rFonts w:ascii="Times New Roman" w:hAnsi="Times New Roman"/>
                <w:sz w:val="18"/>
              </w:rPr>
              <w:t>100</w:t>
            </w:r>
          </w:p>
        </w:tc>
      </w:tr>
      <w:tr w:rsidR="00F76375" w:rsidRPr="00BB0C07" w:rsidTr="00BB0C07">
        <w:trPr>
          <w:trHeight w:hRule="exact" w:val="113"/>
        </w:trPr>
        <w:tc>
          <w:tcPr>
            <w:tcW w:w="4677" w:type="dxa"/>
            <w:tcMar>
              <w:left w:w="57" w:type="dxa"/>
            </w:tcMar>
          </w:tcPr>
          <w:p w:rsidR="00F76375" w:rsidRPr="00BB0C07" w:rsidRDefault="00F76375" w:rsidP="00BB0C07">
            <w:pPr>
              <w:ind w:left="289"/>
              <w:rPr>
                <w:rFonts w:ascii="Times New Roman" w:hAnsi="Times New Roman"/>
                <w:i/>
                <w:sz w:val="18"/>
              </w:rPr>
            </w:pPr>
          </w:p>
        </w:tc>
        <w:tc>
          <w:tcPr>
            <w:tcW w:w="425" w:type="dxa"/>
            <w:tcBorders>
              <w:top w:val="nil"/>
              <w:bottom w:val="nil"/>
              <w:right w:val="single" w:sz="4" w:space="0" w:color="auto"/>
            </w:tcBorders>
            <w:shd w:val="clear" w:color="auto" w:fill="FFFFFF" w:themeFill="background1"/>
            <w:vAlign w:val="center"/>
          </w:tcPr>
          <w:p w:rsidR="00F76375" w:rsidRPr="00BB0C07" w:rsidRDefault="00F76375" w:rsidP="00BB0C07">
            <w:pPr>
              <w:jc w:val="center"/>
              <w:rPr>
                <w:rFonts w:ascii="Times New Roman" w:hAnsi="Times New Roman"/>
                <w:sz w:val="18"/>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rPr>
            </w:pPr>
          </w:p>
        </w:tc>
      </w:tr>
      <w:tr w:rsidR="00F76375" w:rsidRPr="00BB0C07" w:rsidTr="00BB0C07">
        <w:trPr>
          <w:trHeight w:val="227"/>
        </w:trPr>
        <w:tc>
          <w:tcPr>
            <w:tcW w:w="4677" w:type="dxa"/>
            <w:tcMar>
              <w:left w:w="57" w:type="dxa"/>
            </w:tcMar>
          </w:tcPr>
          <w:p w:rsidR="00F76375" w:rsidRPr="00BB0C07" w:rsidRDefault="00F76375" w:rsidP="00BB0C07">
            <w:pPr>
              <w:ind w:left="289"/>
              <w:rPr>
                <w:rFonts w:ascii="Times New Roman" w:hAnsi="Times New Roman"/>
                <w:i/>
                <w:sz w:val="18"/>
              </w:rPr>
            </w:pPr>
            <w:proofErr w:type="spellStart"/>
            <w:r w:rsidRPr="00BB0C07">
              <w:rPr>
                <w:rFonts w:ascii="Times New Roman" w:hAnsi="Times New Roman"/>
                <w:i/>
                <w:sz w:val="18"/>
              </w:rPr>
              <w:t>Women</w:t>
            </w:r>
            <w:proofErr w:type="spellEnd"/>
            <w:r w:rsidRPr="00BB0C07">
              <w:rPr>
                <w:rFonts w:ascii="Times New Roman" w:hAnsi="Times New Roman"/>
                <w:i/>
                <w:sz w:val="18"/>
              </w:rPr>
              <w:t xml:space="preserve"> (%)</w:t>
            </w:r>
          </w:p>
        </w:tc>
        <w:tc>
          <w:tcPr>
            <w:tcW w:w="425" w:type="dxa"/>
            <w:tcBorders>
              <w:top w:val="nil"/>
              <w:bottom w:val="nil"/>
              <w:right w:val="single" w:sz="4" w:space="0" w:color="auto"/>
            </w:tcBorders>
            <w:shd w:val="clear" w:color="auto" w:fill="FFC000"/>
            <w:vAlign w:val="center"/>
          </w:tcPr>
          <w:p w:rsidR="00F76375" w:rsidRPr="00BB0C07" w:rsidRDefault="00F76375" w:rsidP="00BB0C07">
            <w:pPr>
              <w:jc w:val="center"/>
              <w:rPr>
                <w:rFonts w:ascii="Times New Roman" w:hAnsi="Times New Roman"/>
                <w:color w:val="FFC000"/>
                <w:sz w:val="18"/>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color w:val="FFC000"/>
                <w:sz w:val="18"/>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color w:val="FFC000"/>
                <w:sz w:val="18"/>
              </w:rPr>
            </w:pPr>
          </w:p>
        </w:tc>
        <w:tc>
          <w:tcPr>
            <w:tcW w:w="425"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color w:val="FFC000"/>
                <w:sz w:val="18"/>
              </w:rPr>
            </w:pPr>
          </w:p>
        </w:tc>
        <w:tc>
          <w:tcPr>
            <w:tcW w:w="425"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color w:val="FFC000"/>
                <w:sz w:val="18"/>
              </w:rPr>
            </w:pPr>
          </w:p>
        </w:tc>
        <w:tc>
          <w:tcPr>
            <w:tcW w:w="425" w:type="dxa"/>
            <w:tcBorders>
              <w:top w:val="nil"/>
              <w:left w:val="single" w:sz="4" w:space="0" w:color="auto"/>
              <w:bottom w:val="nil"/>
              <w:right w:val="nil"/>
            </w:tcBorders>
            <w:shd w:val="clear" w:color="auto" w:fill="FFC000"/>
          </w:tcPr>
          <w:p w:rsidR="00F76375" w:rsidRPr="00BB0C07" w:rsidRDefault="00F76375" w:rsidP="00BB0C07">
            <w:pPr>
              <w:jc w:val="center"/>
              <w:rPr>
                <w:rFonts w:ascii="Times New Roman" w:hAnsi="Times New Roman"/>
                <w:color w:val="FFC000"/>
                <w:sz w:val="18"/>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color w:val="FFC000"/>
                <w:sz w:val="18"/>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rPr>
            </w:pPr>
            <w:r w:rsidRPr="00BB0C07">
              <w:rPr>
                <w:rFonts w:ascii="Times New Roman" w:hAnsi="Times New Roman"/>
                <w:sz w:val="18"/>
              </w:rPr>
              <w:t>0</w:t>
            </w:r>
          </w:p>
        </w:tc>
      </w:tr>
      <w:tr w:rsidR="00F76375" w:rsidRPr="00BB0C07" w:rsidTr="00BB0C07">
        <w:trPr>
          <w:trHeight w:hRule="exact" w:val="113"/>
        </w:trPr>
        <w:tc>
          <w:tcPr>
            <w:tcW w:w="4677" w:type="dxa"/>
            <w:tcMar>
              <w:left w:w="57" w:type="dxa"/>
            </w:tcMar>
          </w:tcPr>
          <w:p w:rsidR="00F76375" w:rsidRPr="00BB0C07" w:rsidRDefault="00F76375" w:rsidP="00BB0C07">
            <w:pPr>
              <w:ind w:left="289"/>
              <w:rPr>
                <w:rFonts w:ascii="Times New Roman" w:hAnsi="Times New Roman"/>
                <w:i/>
                <w:sz w:val="18"/>
              </w:rPr>
            </w:pPr>
          </w:p>
        </w:tc>
        <w:tc>
          <w:tcPr>
            <w:tcW w:w="425" w:type="dxa"/>
            <w:tcBorders>
              <w:top w:val="nil"/>
              <w:bottom w:val="nil"/>
              <w:right w:val="single" w:sz="4" w:space="0" w:color="auto"/>
            </w:tcBorders>
            <w:shd w:val="clear" w:color="auto" w:fill="FFFFFF" w:themeFill="background1"/>
            <w:vAlign w:val="center"/>
          </w:tcPr>
          <w:p w:rsidR="00F76375" w:rsidRPr="00BB0C07" w:rsidRDefault="00F76375" w:rsidP="00BB0C07">
            <w:pPr>
              <w:jc w:val="center"/>
              <w:rPr>
                <w:rFonts w:ascii="Times New Roman" w:hAnsi="Times New Roman"/>
                <w:sz w:val="18"/>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rPr>
            </w:pPr>
          </w:p>
        </w:tc>
      </w:tr>
      <w:tr w:rsidR="00F76375" w:rsidRPr="00BB0C07" w:rsidTr="00BB0C07">
        <w:trPr>
          <w:trHeight w:val="20"/>
        </w:trPr>
        <w:tc>
          <w:tcPr>
            <w:tcW w:w="4677" w:type="dxa"/>
            <w:tcMar>
              <w:left w:w="57" w:type="dxa"/>
            </w:tcMar>
          </w:tcPr>
          <w:p w:rsidR="00F76375" w:rsidRPr="00BB0C07" w:rsidRDefault="00F76375" w:rsidP="00BB0C07">
            <w:pPr>
              <w:ind w:left="289"/>
              <w:rPr>
                <w:rFonts w:ascii="Times New Roman" w:hAnsi="Times New Roman"/>
                <w:i/>
                <w:sz w:val="18"/>
                <w:lang w:val="en-US"/>
              </w:rPr>
            </w:pPr>
            <w:r w:rsidRPr="00BB0C07">
              <w:rPr>
                <w:rFonts w:ascii="Times New Roman" w:hAnsi="Times New Roman"/>
                <w:i/>
                <w:sz w:val="18"/>
                <w:lang w:val="en-US"/>
              </w:rPr>
              <w:t>Patients from Asian origin</w:t>
            </w:r>
            <w:r w:rsidRPr="00BB0C07">
              <w:rPr>
                <w:rFonts w:ascii="Times New Roman" w:hAnsi="Times New Roman"/>
                <w:i/>
                <w:sz w:val="18"/>
              </w:rPr>
              <w:t xml:space="preserve"> (%)</w:t>
            </w:r>
          </w:p>
        </w:tc>
        <w:tc>
          <w:tcPr>
            <w:tcW w:w="425" w:type="dxa"/>
            <w:tcBorders>
              <w:top w:val="nil"/>
              <w:bottom w:val="nil"/>
              <w:right w:val="single" w:sz="4" w:space="0" w:color="auto"/>
            </w:tcBorders>
            <w:shd w:val="clear" w:color="auto" w:fill="FFC000"/>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C000"/>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0</w:t>
            </w:r>
          </w:p>
        </w:tc>
      </w:tr>
      <w:tr w:rsidR="00F76375" w:rsidRPr="00BB0C07" w:rsidTr="00BB0C07">
        <w:trPr>
          <w:trHeight w:hRule="exact" w:val="113"/>
        </w:trPr>
        <w:tc>
          <w:tcPr>
            <w:tcW w:w="4677" w:type="dxa"/>
            <w:tcMar>
              <w:left w:w="57" w:type="dxa"/>
            </w:tcMar>
          </w:tcPr>
          <w:p w:rsidR="00F76375" w:rsidRPr="00BB0C07" w:rsidRDefault="00F76375" w:rsidP="00BB0C07">
            <w:pPr>
              <w:ind w:left="289"/>
              <w:rPr>
                <w:rFonts w:ascii="Times New Roman" w:hAnsi="Times New Roman"/>
                <w:i/>
                <w:sz w:val="18"/>
                <w:lang w:val="en-US"/>
              </w:rPr>
            </w:pPr>
          </w:p>
        </w:tc>
        <w:tc>
          <w:tcPr>
            <w:tcW w:w="425" w:type="dxa"/>
            <w:tcBorders>
              <w:top w:val="nil"/>
              <w:bottom w:val="nil"/>
              <w:right w:val="single" w:sz="4" w:space="0" w:color="auto"/>
            </w:tcBorders>
            <w:shd w:val="clear" w:color="auto" w:fill="FFFFFF" w:themeFill="background1"/>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p>
        </w:tc>
      </w:tr>
      <w:tr w:rsidR="00F76375" w:rsidRPr="00BB0C07" w:rsidTr="00BB0C07">
        <w:trPr>
          <w:trHeight w:val="20"/>
        </w:trPr>
        <w:tc>
          <w:tcPr>
            <w:tcW w:w="4677" w:type="dxa"/>
            <w:tcMar>
              <w:left w:w="57" w:type="dxa"/>
            </w:tcMar>
          </w:tcPr>
          <w:p w:rsidR="00F76375" w:rsidRPr="00BB0C07" w:rsidRDefault="00F76375" w:rsidP="00BB0C07">
            <w:pPr>
              <w:ind w:left="289"/>
              <w:rPr>
                <w:rFonts w:ascii="Times New Roman" w:hAnsi="Times New Roman"/>
                <w:i/>
                <w:sz w:val="18"/>
                <w:lang w:val="en-US"/>
              </w:rPr>
            </w:pPr>
            <w:r w:rsidRPr="00BB0C07">
              <w:rPr>
                <w:rFonts w:ascii="Times New Roman" w:hAnsi="Times New Roman"/>
                <w:i/>
                <w:sz w:val="18"/>
                <w:lang w:val="en-US"/>
              </w:rPr>
              <w:t>Patients from European origin</w:t>
            </w:r>
            <w:r w:rsidRPr="00BB0C07">
              <w:rPr>
                <w:rFonts w:ascii="Times New Roman" w:hAnsi="Times New Roman"/>
                <w:i/>
                <w:sz w:val="18"/>
              </w:rPr>
              <w:t xml:space="preserve"> (%)</w:t>
            </w:r>
          </w:p>
        </w:tc>
        <w:tc>
          <w:tcPr>
            <w:tcW w:w="425" w:type="dxa"/>
            <w:tcBorders>
              <w:top w:val="nil"/>
              <w:bottom w:val="nil"/>
              <w:right w:val="single" w:sz="4" w:space="0" w:color="auto"/>
            </w:tcBorders>
            <w:shd w:val="clear" w:color="auto" w:fill="FFC000"/>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C000"/>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0</w:t>
            </w:r>
          </w:p>
        </w:tc>
      </w:tr>
      <w:tr w:rsidR="00F76375" w:rsidRPr="00BB0C07" w:rsidTr="00BB0C07">
        <w:trPr>
          <w:trHeight w:hRule="exact" w:val="113"/>
        </w:trPr>
        <w:tc>
          <w:tcPr>
            <w:tcW w:w="4677" w:type="dxa"/>
            <w:tcMar>
              <w:left w:w="57" w:type="dxa"/>
            </w:tcMar>
          </w:tcPr>
          <w:p w:rsidR="00F76375" w:rsidRPr="00BB0C07" w:rsidRDefault="00F76375" w:rsidP="00BB0C07">
            <w:pPr>
              <w:ind w:left="289"/>
              <w:rPr>
                <w:rFonts w:ascii="Times New Roman" w:hAnsi="Times New Roman"/>
                <w:i/>
                <w:sz w:val="18"/>
                <w:lang w:val="en-US"/>
              </w:rPr>
            </w:pPr>
          </w:p>
        </w:tc>
        <w:tc>
          <w:tcPr>
            <w:tcW w:w="425" w:type="dxa"/>
            <w:tcBorders>
              <w:top w:val="nil"/>
              <w:bottom w:val="nil"/>
              <w:right w:val="single" w:sz="4" w:space="0" w:color="auto"/>
            </w:tcBorders>
            <w:shd w:val="clear" w:color="auto" w:fill="FFFFFF" w:themeFill="background1"/>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p>
        </w:tc>
      </w:tr>
      <w:tr w:rsidR="00F76375" w:rsidRPr="00BB0C07" w:rsidTr="00BB0C07">
        <w:trPr>
          <w:trHeight w:val="20"/>
        </w:trPr>
        <w:tc>
          <w:tcPr>
            <w:tcW w:w="4677" w:type="dxa"/>
            <w:tcMar>
              <w:left w:w="57" w:type="dxa"/>
            </w:tcMar>
          </w:tcPr>
          <w:p w:rsidR="00F76375" w:rsidRPr="00BB0C07" w:rsidRDefault="00F76375" w:rsidP="00BB0C07">
            <w:pPr>
              <w:ind w:left="289"/>
              <w:rPr>
                <w:rFonts w:ascii="Times New Roman" w:hAnsi="Times New Roman"/>
                <w:i/>
                <w:sz w:val="18"/>
                <w:lang w:val="en-US"/>
              </w:rPr>
            </w:pPr>
            <w:r w:rsidRPr="00BB0C07">
              <w:rPr>
                <w:rFonts w:ascii="Times New Roman" w:hAnsi="Times New Roman"/>
                <w:i/>
                <w:sz w:val="18"/>
                <w:lang w:val="en-US"/>
              </w:rPr>
              <w:t>Patients with prior stroke/ TIA (%)</w:t>
            </w:r>
          </w:p>
        </w:tc>
        <w:tc>
          <w:tcPr>
            <w:tcW w:w="425" w:type="dxa"/>
            <w:tcBorders>
              <w:top w:val="nil"/>
              <w:bottom w:val="nil"/>
              <w:right w:val="single" w:sz="4" w:space="0" w:color="auto"/>
            </w:tcBorders>
            <w:shd w:val="clear" w:color="auto" w:fill="548DD4" w:themeFill="text2" w:themeFillTint="99"/>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D9D9D9" w:themeFill="background1" w:themeFillShade="D9"/>
          </w:tcPr>
          <w:p w:rsidR="00F76375" w:rsidRPr="00BB0C07" w:rsidRDefault="00F76375" w:rsidP="00BB0C07">
            <w:pPr>
              <w:jc w:val="center"/>
              <w:rPr>
                <w:rFonts w:ascii="Times New Roman" w:hAnsi="Times New Roman"/>
                <w:color w:val="D9D9D9" w:themeColor="background1" w:themeShade="D9"/>
                <w:sz w:val="18"/>
                <w:lang w:val="en-US"/>
              </w:rPr>
            </w:pPr>
          </w:p>
        </w:tc>
        <w:tc>
          <w:tcPr>
            <w:tcW w:w="425" w:type="dxa"/>
            <w:tcBorders>
              <w:top w:val="nil"/>
              <w:left w:val="single" w:sz="4" w:space="0" w:color="auto"/>
              <w:bottom w:val="nil"/>
              <w:right w:val="single" w:sz="4" w:space="0" w:color="auto"/>
            </w:tcBorders>
            <w:shd w:val="clear" w:color="auto" w:fill="D9D9D9" w:themeFill="background1" w:themeFillShade="D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67</w:t>
            </w:r>
          </w:p>
        </w:tc>
      </w:tr>
      <w:tr w:rsidR="00F76375" w:rsidRPr="00BB0C07" w:rsidTr="00BB0C07">
        <w:trPr>
          <w:trHeight w:hRule="exact" w:val="113"/>
        </w:trPr>
        <w:tc>
          <w:tcPr>
            <w:tcW w:w="4677" w:type="dxa"/>
            <w:tcMar>
              <w:left w:w="57" w:type="dxa"/>
            </w:tcMar>
          </w:tcPr>
          <w:p w:rsidR="00F76375" w:rsidRPr="00BB0C07" w:rsidRDefault="00F76375" w:rsidP="00BB0C07">
            <w:pPr>
              <w:ind w:left="289"/>
              <w:rPr>
                <w:rFonts w:ascii="Times New Roman" w:hAnsi="Times New Roman"/>
                <w:i/>
                <w:sz w:val="18"/>
                <w:lang w:val="en-US"/>
              </w:rPr>
            </w:pPr>
          </w:p>
        </w:tc>
        <w:tc>
          <w:tcPr>
            <w:tcW w:w="425" w:type="dxa"/>
            <w:tcBorders>
              <w:top w:val="nil"/>
              <w:bottom w:val="nil"/>
              <w:right w:val="single" w:sz="4" w:space="0" w:color="auto"/>
            </w:tcBorders>
            <w:shd w:val="clear" w:color="auto" w:fill="FFFFFF" w:themeFill="background1"/>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p>
        </w:tc>
      </w:tr>
      <w:tr w:rsidR="00F76375" w:rsidRPr="00BB0C07" w:rsidTr="00BB0C07">
        <w:trPr>
          <w:trHeight w:val="20"/>
        </w:trPr>
        <w:tc>
          <w:tcPr>
            <w:tcW w:w="4677" w:type="dxa"/>
            <w:tcMar>
              <w:left w:w="57" w:type="dxa"/>
            </w:tcMar>
          </w:tcPr>
          <w:p w:rsidR="00F76375" w:rsidRPr="00BB0C07" w:rsidRDefault="00F76375" w:rsidP="00BB0C07">
            <w:pPr>
              <w:ind w:left="289"/>
              <w:rPr>
                <w:rFonts w:ascii="Times New Roman" w:hAnsi="Times New Roman"/>
                <w:i/>
                <w:sz w:val="18"/>
                <w:lang w:val="en-US"/>
              </w:rPr>
            </w:pPr>
            <w:r w:rsidRPr="00BB0C07">
              <w:rPr>
                <w:rFonts w:ascii="Times New Roman" w:hAnsi="Times New Roman"/>
                <w:i/>
                <w:sz w:val="18"/>
                <w:lang w:val="en-US"/>
              </w:rPr>
              <w:t>Patients with prior MI</w:t>
            </w:r>
            <w:r w:rsidRPr="00BB0C07">
              <w:rPr>
                <w:rFonts w:ascii="Times New Roman" w:hAnsi="Times New Roman"/>
                <w:i/>
                <w:sz w:val="18"/>
              </w:rPr>
              <w:t xml:space="preserve"> (%)</w:t>
            </w:r>
          </w:p>
        </w:tc>
        <w:tc>
          <w:tcPr>
            <w:tcW w:w="425" w:type="dxa"/>
            <w:tcBorders>
              <w:top w:val="nil"/>
              <w:bottom w:val="nil"/>
              <w:right w:val="single" w:sz="4" w:space="0" w:color="auto"/>
            </w:tcBorders>
            <w:shd w:val="clear" w:color="auto" w:fill="FFC000"/>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C000"/>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0</w:t>
            </w:r>
          </w:p>
        </w:tc>
      </w:tr>
      <w:tr w:rsidR="00F76375" w:rsidRPr="00BB0C07" w:rsidTr="00BB0C07">
        <w:trPr>
          <w:trHeight w:hRule="exact" w:val="113"/>
        </w:trPr>
        <w:tc>
          <w:tcPr>
            <w:tcW w:w="4677" w:type="dxa"/>
            <w:tcMar>
              <w:left w:w="57" w:type="dxa"/>
            </w:tcMar>
          </w:tcPr>
          <w:p w:rsidR="00F76375" w:rsidRPr="00BB0C07" w:rsidRDefault="00F76375" w:rsidP="00BB0C07">
            <w:pPr>
              <w:ind w:left="289"/>
              <w:rPr>
                <w:rFonts w:ascii="Times New Roman" w:hAnsi="Times New Roman"/>
                <w:i/>
                <w:sz w:val="18"/>
                <w:lang w:val="en-US"/>
              </w:rPr>
            </w:pPr>
          </w:p>
        </w:tc>
        <w:tc>
          <w:tcPr>
            <w:tcW w:w="425" w:type="dxa"/>
            <w:tcBorders>
              <w:top w:val="nil"/>
              <w:bottom w:val="nil"/>
              <w:right w:val="single" w:sz="4" w:space="0" w:color="auto"/>
            </w:tcBorders>
            <w:shd w:val="clear" w:color="auto" w:fill="FFFFFF" w:themeFill="background1"/>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p>
        </w:tc>
      </w:tr>
      <w:tr w:rsidR="00F76375" w:rsidRPr="00BB0C07" w:rsidTr="00BB0C07">
        <w:trPr>
          <w:trHeight w:val="20"/>
        </w:trPr>
        <w:tc>
          <w:tcPr>
            <w:tcW w:w="4677" w:type="dxa"/>
            <w:tcMar>
              <w:left w:w="57" w:type="dxa"/>
            </w:tcMar>
          </w:tcPr>
          <w:p w:rsidR="00F76375" w:rsidRPr="00BB0C07" w:rsidRDefault="00F76375" w:rsidP="00BB0C07">
            <w:pPr>
              <w:ind w:left="289"/>
              <w:rPr>
                <w:rFonts w:ascii="Times New Roman" w:hAnsi="Times New Roman"/>
                <w:i/>
                <w:sz w:val="18"/>
                <w:lang w:val="en-US"/>
              </w:rPr>
            </w:pPr>
            <w:r w:rsidRPr="00BB0C07">
              <w:rPr>
                <w:rFonts w:ascii="Times New Roman" w:hAnsi="Times New Roman"/>
                <w:i/>
                <w:sz w:val="18"/>
                <w:lang w:val="en-US"/>
              </w:rPr>
              <w:t>Rate/costs of drug discontinuation</w:t>
            </w:r>
          </w:p>
        </w:tc>
        <w:tc>
          <w:tcPr>
            <w:tcW w:w="425" w:type="dxa"/>
            <w:tcBorders>
              <w:top w:val="nil"/>
              <w:bottom w:val="nil"/>
              <w:right w:val="single" w:sz="4" w:space="0" w:color="auto"/>
            </w:tcBorders>
            <w:shd w:val="clear" w:color="auto" w:fill="FFC000"/>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C000"/>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0</w:t>
            </w:r>
          </w:p>
        </w:tc>
      </w:tr>
      <w:tr w:rsidR="00F76375" w:rsidRPr="00BB0C07" w:rsidTr="00BB0C07">
        <w:trPr>
          <w:trHeight w:hRule="exact" w:val="113"/>
        </w:trPr>
        <w:tc>
          <w:tcPr>
            <w:tcW w:w="4677" w:type="dxa"/>
            <w:tcMar>
              <w:left w:w="57" w:type="dxa"/>
            </w:tcMar>
          </w:tcPr>
          <w:p w:rsidR="00F76375" w:rsidRPr="00BB0C07" w:rsidRDefault="00F76375" w:rsidP="00BB0C07">
            <w:pPr>
              <w:ind w:left="289"/>
              <w:rPr>
                <w:rFonts w:ascii="Times New Roman" w:hAnsi="Times New Roman"/>
                <w:i/>
                <w:sz w:val="18"/>
                <w:lang w:val="en-US"/>
              </w:rPr>
            </w:pPr>
          </w:p>
        </w:tc>
        <w:tc>
          <w:tcPr>
            <w:tcW w:w="425" w:type="dxa"/>
            <w:tcBorders>
              <w:top w:val="nil"/>
              <w:bottom w:val="nil"/>
              <w:right w:val="single" w:sz="4" w:space="0" w:color="auto"/>
            </w:tcBorders>
            <w:shd w:val="clear" w:color="auto" w:fill="FFFFFF" w:themeFill="background1"/>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p>
        </w:tc>
      </w:tr>
      <w:tr w:rsidR="00F76375" w:rsidRPr="00BB0C07" w:rsidTr="00BB0C07">
        <w:trPr>
          <w:trHeight w:val="20"/>
        </w:trPr>
        <w:tc>
          <w:tcPr>
            <w:tcW w:w="4677" w:type="dxa"/>
            <w:tcMar>
              <w:left w:w="57" w:type="dxa"/>
            </w:tcMar>
          </w:tcPr>
          <w:p w:rsidR="00F76375" w:rsidRPr="00BB0C07" w:rsidRDefault="00F76375" w:rsidP="00BB0C07">
            <w:pPr>
              <w:ind w:left="289"/>
              <w:rPr>
                <w:rFonts w:ascii="Times New Roman" w:hAnsi="Times New Roman"/>
                <w:i/>
                <w:sz w:val="18"/>
              </w:rPr>
            </w:pPr>
            <w:r w:rsidRPr="00BB0C07">
              <w:rPr>
                <w:rFonts w:ascii="Times New Roman" w:hAnsi="Times New Roman"/>
                <w:i/>
                <w:sz w:val="18"/>
              </w:rPr>
              <w:t xml:space="preserve">Scenario </w:t>
            </w:r>
            <w:proofErr w:type="spellStart"/>
            <w:r w:rsidRPr="00BB0C07">
              <w:rPr>
                <w:rFonts w:ascii="Times New Roman" w:hAnsi="Times New Roman"/>
                <w:i/>
                <w:sz w:val="18"/>
              </w:rPr>
              <w:t>with</w:t>
            </w:r>
            <w:proofErr w:type="spellEnd"/>
            <w:r w:rsidRPr="00BB0C07">
              <w:rPr>
                <w:rFonts w:ascii="Times New Roman" w:hAnsi="Times New Roman"/>
                <w:i/>
                <w:sz w:val="18"/>
              </w:rPr>
              <w:t xml:space="preserve"> non-</w:t>
            </w:r>
            <w:proofErr w:type="spellStart"/>
            <w:r w:rsidRPr="00BB0C07">
              <w:rPr>
                <w:rFonts w:ascii="Times New Roman" w:hAnsi="Times New Roman"/>
                <w:i/>
                <w:sz w:val="18"/>
              </w:rPr>
              <w:t>adherence</w:t>
            </w:r>
            <w:proofErr w:type="spellEnd"/>
          </w:p>
        </w:tc>
        <w:tc>
          <w:tcPr>
            <w:tcW w:w="425" w:type="dxa"/>
            <w:tcBorders>
              <w:top w:val="nil"/>
              <w:bottom w:val="nil"/>
              <w:right w:val="single" w:sz="4" w:space="0" w:color="auto"/>
            </w:tcBorders>
            <w:shd w:val="clear" w:color="auto" w:fill="FFC000"/>
            <w:vAlign w:val="center"/>
          </w:tcPr>
          <w:p w:rsidR="00F76375" w:rsidRPr="00BB0C07" w:rsidRDefault="00F76375" w:rsidP="00BB0C07">
            <w:pPr>
              <w:jc w:val="center"/>
              <w:rPr>
                <w:rFonts w:ascii="Times New Roman" w:hAnsi="Times New Roman"/>
                <w:sz w:val="18"/>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rPr>
            </w:pPr>
          </w:p>
        </w:tc>
        <w:tc>
          <w:tcPr>
            <w:tcW w:w="425"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rPr>
            </w:pPr>
          </w:p>
        </w:tc>
        <w:tc>
          <w:tcPr>
            <w:tcW w:w="425"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rPr>
            </w:pPr>
          </w:p>
        </w:tc>
        <w:tc>
          <w:tcPr>
            <w:tcW w:w="425" w:type="dxa"/>
            <w:tcBorders>
              <w:top w:val="nil"/>
              <w:left w:val="single" w:sz="4" w:space="0" w:color="auto"/>
              <w:bottom w:val="nil"/>
              <w:right w:val="nil"/>
            </w:tcBorders>
            <w:shd w:val="clear" w:color="auto" w:fill="FFC000"/>
          </w:tcPr>
          <w:p w:rsidR="00F76375" w:rsidRPr="00BB0C07" w:rsidRDefault="00F76375" w:rsidP="00BB0C07">
            <w:pPr>
              <w:jc w:val="center"/>
              <w:rPr>
                <w:rFonts w:ascii="Times New Roman" w:hAnsi="Times New Roman"/>
                <w:sz w:val="18"/>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rPr>
            </w:pPr>
            <w:r w:rsidRPr="00BB0C07">
              <w:rPr>
                <w:rFonts w:ascii="Times New Roman" w:hAnsi="Times New Roman"/>
                <w:sz w:val="18"/>
              </w:rPr>
              <w:t>0</w:t>
            </w:r>
          </w:p>
        </w:tc>
      </w:tr>
      <w:tr w:rsidR="00F76375" w:rsidRPr="00BB0C07" w:rsidTr="00BB0C07">
        <w:trPr>
          <w:trHeight w:hRule="exact" w:val="113"/>
        </w:trPr>
        <w:tc>
          <w:tcPr>
            <w:tcW w:w="4677" w:type="dxa"/>
            <w:tcMar>
              <w:left w:w="57" w:type="dxa"/>
            </w:tcMar>
          </w:tcPr>
          <w:p w:rsidR="00F76375" w:rsidRPr="00BB0C07" w:rsidRDefault="00F76375" w:rsidP="00BB0C07">
            <w:pPr>
              <w:ind w:left="289"/>
              <w:rPr>
                <w:rFonts w:ascii="Times New Roman" w:hAnsi="Times New Roman"/>
                <w:i/>
                <w:sz w:val="18"/>
              </w:rPr>
            </w:pPr>
          </w:p>
        </w:tc>
        <w:tc>
          <w:tcPr>
            <w:tcW w:w="425" w:type="dxa"/>
            <w:tcBorders>
              <w:top w:val="nil"/>
              <w:bottom w:val="nil"/>
              <w:right w:val="single" w:sz="4" w:space="0" w:color="auto"/>
            </w:tcBorders>
            <w:shd w:val="clear" w:color="auto" w:fill="FFFFFF" w:themeFill="background1"/>
            <w:vAlign w:val="center"/>
          </w:tcPr>
          <w:p w:rsidR="00F76375" w:rsidRPr="00BB0C07" w:rsidRDefault="00F76375" w:rsidP="00BB0C07">
            <w:pPr>
              <w:jc w:val="center"/>
              <w:rPr>
                <w:rFonts w:ascii="Times New Roman" w:hAnsi="Times New Roman"/>
                <w:sz w:val="18"/>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rPr>
            </w:pPr>
          </w:p>
        </w:tc>
      </w:tr>
      <w:tr w:rsidR="00F76375" w:rsidRPr="00BB0C07" w:rsidTr="00BB0C07">
        <w:trPr>
          <w:trHeight w:val="20"/>
        </w:trPr>
        <w:tc>
          <w:tcPr>
            <w:tcW w:w="4677" w:type="dxa"/>
            <w:tcMar>
              <w:left w:w="57" w:type="dxa"/>
            </w:tcMar>
          </w:tcPr>
          <w:p w:rsidR="00F76375" w:rsidRPr="00BB0C07" w:rsidRDefault="00F76375" w:rsidP="00BB0C07">
            <w:pPr>
              <w:ind w:left="289"/>
              <w:rPr>
                <w:rFonts w:ascii="Times New Roman" w:hAnsi="Times New Roman"/>
                <w:i/>
                <w:sz w:val="18"/>
                <w:lang w:val="en-US"/>
              </w:rPr>
            </w:pPr>
            <w:r w:rsidRPr="00BB0C07">
              <w:rPr>
                <w:rFonts w:ascii="Times New Roman" w:hAnsi="Times New Roman"/>
                <w:i/>
                <w:sz w:val="18"/>
                <w:lang w:val="en-US"/>
              </w:rPr>
              <w:t>Patients with diabetes mellitus</w:t>
            </w:r>
            <w:r w:rsidRPr="00BB0C07">
              <w:rPr>
                <w:rFonts w:ascii="Times New Roman" w:hAnsi="Times New Roman"/>
                <w:i/>
                <w:sz w:val="18"/>
              </w:rPr>
              <w:t xml:space="preserve"> (%)</w:t>
            </w:r>
          </w:p>
        </w:tc>
        <w:tc>
          <w:tcPr>
            <w:tcW w:w="425" w:type="dxa"/>
            <w:tcBorders>
              <w:top w:val="nil"/>
              <w:bottom w:val="nil"/>
              <w:right w:val="single" w:sz="4" w:space="0" w:color="auto"/>
            </w:tcBorders>
            <w:shd w:val="clear" w:color="auto" w:fill="548DD4" w:themeFill="text2" w:themeFillTint="99"/>
            <w:vAlign w:val="center"/>
          </w:tcPr>
          <w:p w:rsidR="00F76375" w:rsidRPr="00BB0C07" w:rsidRDefault="00F76375" w:rsidP="00BB0C07">
            <w:pPr>
              <w:jc w:val="center"/>
              <w:rPr>
                <w:rFonts w:ascii="Times New Roman" w:hAnsi="Times New Roman"/>
                <w:color w:val="548DD4" w:themeColor="text2" w:themeTint="99"/>
                <w:sz w:val="18"/>
                <w:lang w:val="en-US"/>
              </w:rPr>
            </w:pPr>
          </w:p>
        </w:tc>
        <w:tc>
          <w:tcPr>
            <w:tcW w:w="426"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color w:val="FFC000"/>
                <w:sz w:val="18"/>
                <w:lang w:val="en-US"/>
              </w:rPr>
            </w:pPr>
          </w:p>
        </w:tc>
        <w:tc>
          <w:tcPr>
            <w:tcW w:w="425" w:type="dxa"/>
            <w:tcBorders>
              <w:top w:val="nil"/>
              <w:left w:val="single" w:sz="4" w:space="0" w:color="auto"/>
              <w:bottom w:val="nil"/>
              <w:right w:val="single" w:sz="4" w:space="0" w:color="auto"/>
            </w:tcBorders>
            <w:shd w:val="clear" w:color="auto" w:fill="D9D9D9" w:themeFill="background1" w:themeFillShade="D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D9D9D9" w:themeFill="background1" w:themeFillShade="D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C000"/>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33</w:t>
            </w:r>
          </w:p>
        </w:tc>
      </w:tr>
      <w:tr w:rsidR="00F76375" w:rsidRPr="00BB0C07" w:rsidTr="00BB0C07">
        <w:trPr>
          <w:trHeight w:hRule="exact" w:val="113"/>
        </w:trPr>
        <w:tc>
          <w:tcPr>
            <w:tcW w:w="4677" w:type="dxa"/>
            <w:tcMar>
              <w:left w:w="57" w:type="dxa"/>
            </w:tcMar>
          </w:tcPr>
          <w:p w:rsidR="00F76375" w:rsidRPr="00BB0C07" w:rsidRDefault="00F76375" w:rsidP="00BB0C07">
            <w:pPr>
              <w:ind w:left="289"/>
              <w:rPr>
                <w:rFonts w:ascii="Times New Roman" w:hAnsi="Times New Roman"/>
                <w:i/>
                <w:sz w:val="18"/>
                <w:lang w:val="en-US"/>
              </w:rPr>
            </w:pPr>
          </w:p>
        </w:tc>
        <w:tc>
          <w:tcPr>
            <w:tcW w:w="425" w:type="dxa"/>
            <w:tcBorders>
              <w:top w:val="nil"/>
              <w:bottom w:val="nil"/>
              <w:right w:val="single" w:sz="4" w:space="0" w:color="auto"/>
            </w:tcBorders>
            <w:shd w:val="clear" w:color="auto" w:fill="FFFFFF" w:themeFill="background1"/>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p>
        </w:tc>
      </w:tr>
      <w:tr w:rsidR="00F76375" w:rsidRPr="00BB0C07" w:rsidTr="00BB0C07">
        <w:trPr>
          <w:trHeight w:val="20"/>
        </w:trPr>
        <w:tc>
          <w:tcPr>
            <w:tcW w:w="4677" w:type="dxa"/>
            <w:tcMar>
              <w:left w:w="57" w:type="dxa"/>
            </w:tcMar>
          </w:tcPr>
          <w:p w:rsidR="00F76375" w:rsidRPr="00BB0C07" w:rsidRDefault="00F76375" w:rsidP="00BB0C07">
            <w:pPr>
              <w:ind w:left="289"/>
              <w:rPr>
                <w:rFonts w:ascii="Times New Roman" w:hAnsi="Times New Roman"/>
                <w:i/>
                <w:sz w:val="18"/>
                <w:lang w:val="en-US"/>
              </w:rPr>
            </w:pPr>
            <w:r w:rsidRPr="00BB0C07">
              <w:rPr>
                <w:rFonts w:ascii="Times New Roman" w:hAnsi="Times New Roman"/>
                <w:i/>
                <w:sz w:val="18"/>
                <w:lang w:val="en-US"/>
              </w:rPr>
              <w:t>Patients with heart failure</w:t>
            </w:r>
            <w:r w:rsidRPr="00BB0C07">
              <w:rPr>
                <w:rFonts w:ascii="Times New Roman" w:hAnsi="Times New Roman"/>
                <w:i/>
                <w:sz w:val="18"/>
              </w:rPr>
              <w:t xml:space="preserve"> (%)</w:t>
            </w:r>
          </w:p>
        </w:tc>
        <w:tc>
          <w:tcPr>
            <w:tcW w:w="425" w:type="dxa"/>
            <w:tcBorders>
              <w:top w:val="nil"/>
              <w:bottom w:val="nil"/>
              <w:right w:val="single" w:sz="4" w:space="0" w:color="auto"/>
            </w:tcBorders>
            <w:shd w:val="clear" w:color="auto" w:fill="548DD4" w:themeFill="text2" w:themeFillTint="99"/>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D9D9D9" w:themeFill="background1" w:themeFillShade="D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D9D9D9" w:themeFill="background1" w:themeFillShade="D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67</w:t>
            </w:r>
          </w:p>
        </w:tc>
      </w:tr>
      <w:tr w:rsidR="00F76375" w:rsidRPr="00BB0C07" w:rsidTr="00BB0C07">
        <w:trPr>
          <w:trHeight w:hRule="exact" w:val="113"/>
        </w:trPr>
        <w:tc>
          <w:tcPr>
            <w:tcW w:w="4677" w:type="dxa"/>
            <w:tcMar>
              <w:left w:w="57" w:type="dxa"/>
            </w:tcMar>
          </w:tcPr>
          <w:p w:rsidR="00F76375" w:rsidRPr="00BB0C07" w:rsidRDefault="00F76375" w:rsidP="00BB0C07">
            <w:pPr>
              <w:ind w:left="289"/>
              <w:rPr>
                <w:rFonts w:ascii="Times New Roman" w:hAnsi="Times New Roman"/>
                <w:i/>
                <w:sz w:val="18"/>
                <w:lang w:val="en-US"/>
              </w:rPr>
            </w:pPr>
          </w:p>
        </w:tc>
        <w:tc>
          <w:tcPr>
            <w:tcW w:w="425" w:type="dxa"/>
            <w:tcBorders>
              <w:top w:val="nil"/>
              <w:bottom w:val="nil"/>
              <w:right w:val="single" w:sz="4" w:space="0" w:color="auto"/>
            </w:tcBorders>
            <w:shd w:val="clear" w:color="auto" w:fill="FFFFFF" w:themeFill="background1"/>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p>
        </w:tc>
      </w:tr>
      <w:tr w:rsidR="00F76375" w:rsidRPr="00BB0C07" w:rsidTr="00BB0C07">
        <w:trPr>
          <w:trHeight w:hRule="exact" w:val="227"/>
        </w:trPr>
        <w:tc>
          <w:tcPr>
            <w:tcW w:w="4677" w:type="dxa"/>
            <w:tcMar>
              <w:left w:w="57" w:type="dxa"/>
            </w:tcMar>
          </w:tcPr>
          <w:p w:rsidR="00F76375" w:rsidRPr="00BB0C07" w:rsidRDefault="00F76375" w:rsidP="00BB0C07">
            <w:pPr>
              <w:ind w:left="289"/>
              <w:rPr>
                <w:rFonts w:ascii="Times New Roman" w:hAnsi="Times New Roman"/>
                <w:i/>
                <w:sz w:val="18"/>
                <w:lang w:val="en-US"/>
              </w:rPr>
            </w:pPr>
            <w:r w:rsidRPr="00BB0C07">
              <w:rPr>
                <w:rFonts w:ascii="Times New Roman" w:hAnsi="Times New Roman"/>
                <w:i/>
                <w:sz w:val="18"/>
                <w:lang w:val="en-US"/>
              </w:rPr>
              <w:t>Patients with hypertension</w:t>
            </w:r>
            <w:r w:rsidRPr="00BB0C07">
              <w:rPr>
                <w:rFonts w:ascii="Times New Roman" w:hAnsi="Times New Roman"/>
                <w:i/>
                <w:sz w:val="18"/>
              </w:rPr>
              <w:t xml:space="preserve"> (%)</w:t>
            </w:r>
          </w:p>
        </w:tc>
        <w:tc>
          <w:tcPr>
            <w:tcW w:w="425" w:type="dxa"/>
            <w:tcBorders>
              <w:top w:val="nil"/>
              <w:bottom w:val="nil"/>
              <w:right w:val="single" w:sz="4" w:space="0" w:color="auto"/>
            </w:tcBorders>
            <w:shd w:val="clear" w:color="auto" w:fill="548DD4" w:themeFill="text2" w:themeFillTint="99"/>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D9D9D9" w:themeFill="background1" w:themeFillShade="D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D9D9D9" w:themeFill="background1" w:themeFillShade="D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67</w:t>
            </w:r>
          </w:p>
        </w:tc>
      </w:tr>
      <w:tr w:rsidR="00F76375" w:rsidRPr="00BB0C07" w:rsidTr="00BB0C07">
        <w:trPr>
          <w:trHeight w:hRule="exact" w:val="113"/>
        </w:trPr>
        <w:tc>
          <w:tcPr>
            <w:tcW w:w="4677" w:type="dxa"/>
            <w:tcMar>
              <w:left w:w="57" w:type="dxa"/>
            </w:tcMar>
          </w:tcPr>
          <w:p w:rsidR="00F76375" w:rsidRPr="00BB0C07" w:rsidRDefault="00F76375" w:rsidP="00BB0C07">
            <w:pPr>
              <w:rPr>
                <w:rFonts w:ascii="Times New Roman" w:hAnsi="Times New Roman"/>
                <w:sz w:val="18"/>
                <w:lang w:val="en-US"/>
              </w:rPr>
            </w:pPr>
          </w:p>
        </w:tc>
        <w:tc>
          <w:tcPr>
            <w:tcW w:w="425" w:type="dxa"/>
            <w:tcBorders>
              <w:top w:val="nil"/>
              <w:bottom w:val="nil"/>
              <w:right w:val="single" w:sz="4" w:space="0" w:color="auto"/>
            </w:tcBorders>
            <w:shd w:val="clear" w:color="auto" w:fill="FFFFFF" w:themeFill="background1"/>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p>
        </w:tc>
      </w:tr>
      <w:tr w:rsidR="00F76375" w:rsidRPr="00D9154F" w:rsidTr="00BB0C07">
        <w:trPr>
          <w:trHeight w:val="20"/>
        </w:trPr>
        <w:tc>
          <w:tcPr>
            <w:tcW w:w="4677" w:type="dxa"/>
            <w:tcMar>
              <w:left w:w="57" w:type="dxa"/>
            </w:tcMar>
            <w:vAlign w:val="center"/>
          </w:tcPr>
          <w:p w:rsidR="00F76375" w:rsidRPr="00BB0C07" w:rsidRDefault="00F76375" w:rsidP="00BB0C07">
            <w:pPr>
              <w:rPr>
                <w:rFonts w:ascii="Times New Roman" w:hAnsi="Times New Roman"/>
                <w:sz w:val="18"/>
                <w:lang w:val="en-US"/>
              </w:rPr>
            </w:pPr>
            <w:r w:rsidRPr="00BB0C07">
              <w:rPr>
                <w:rFonts w:ascii="Times New Roman" w:hAnsi="Times New Roman"/>
                <w:sz w:val="18"/>
                <w:lang w:val="en-US"/>
              </w:rPr>
              <w:t>Are the treatments comparable to the US context?</w:t>
            </w:r>
          </w:p>
        </w:tc>
        <w:tc>
          <w:tcPr>
            <w:tcW w:w="425" w:type="dxa"/>
            <w:tcBorders>
              <w:top w:val="nil"/>
              <w:bottom w:val="nil"/>
              <w:right w:val="single" w:sz="4" w:space="0" w:color="auto"/>
            </w:tcBorders>
            <w:vAlign w:val="center"/>
          </w:tcPr>
          <w:p w:rsidR="00F76375" w:rsidRPr="00BB0C07" w:rsidRDefault="00F76375" w:rsidP="00BB0C07">
            <w:pP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vAlign w:val="center"/>
          </w:tcPr>
          <w:p w:rsidR="00F76375" w:rsidRPr="00BB0C07" w:rsidRDefault="00F76375" w:rsidP="00BB0C07">
            <w:pP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p>
        </w:tc>
      </w:tr>
      <w:tr w:rsidR="00F76375" w:rsidRPr="00D9154F" w:rsidTr="00BB0C07">
        <w:trPr>
          <w:trHeight w:hRule="exact" w:val="113"/>
        </w:trPr>
        <w:tc>
          <w:tcPr>
            <w:tcW w:w="4677" w:type="dxa"/>
            <w:tcMar>
              <w:left w:w="57" w:type="dxa"/>
            </w:tcMar>
          </w:tcPr>
          <w:p w:rsidR="00F76375" w:rsidRPr="00BB0C07" w:rsidRDefault="00F76375" w:rsidP="00BB0C07">
            <w:pPr>
              <w:rPr>
                <w:rFonts w:ascii="Times New Roman" w:hAnsi="Times New Roman"/>
                <w:b/>
                <w:sz w:val="18"/>
                <w:lang w:val="en-US"/>
              </w:rPr>
            </w:pPr>
          </w:p>
        </w:tc>
        <w:tc>
          <w:tcPr>
            <w:tcW w:w="425" w:type="dxa"/>
            <w:tcBorders>
              <w:top w:val="nil"/>
              <w:bottom w:val="nil"/>
              <w:right w:val="single" w:sz="4" w:space="0" w:color="auto"/>
            </w:tcBorders>
            <w:shd w:val="clear" w:color="auto" w:fill="FFFFFF" w:themeFill="background1"/>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p>
        </w:tc>
      </w:tr>
      <w:tr w:rsidR="00F76375" w:rsidRPr="00BB0C07" w:rsidTr="00BB0C07">
        <w:trPr>
          <w:trHeight w:val="20"/>
        </w:trPr>
        <w:tc>
          <w:tcPr>
            <w:tcW w:w="4677" w:type="dxa"/>
            <w:tcMar>
              <w:left w:w="57" w:type="dxa"/>
            </w:tcMar>
          </w:tcPr>
          <w:p w:rsidR="00F76375" w:rsidRPr="00BB0C07" w:rsidRDefault="00F76375" w:rsidP="00BB0C07">
            <w:pPr>
              <w:ind w:left="289"/>
              <w:rPr>
                <w:rFonts w:ascii="Times New Roman" w:hAnsi="Times New Roman"/>
                <w:i/>
                <w:sz w:val="18"/>
                <w:lang w:val="en-US"/>
              </w:rPr>
            </w:pPr>
            <w:r w:rsidRPr="00BB0C07">
              <w:rPr>
                <w:rFonts w:ascii="Times New Roman" w:hAnsi="Times New Roman"/>
                <w:i/>
                <w:sz w:val="18"/>
                <w:lang w:val="en-US"/>
              </w:rPr>
              <w:t>Dabigatran, 150 mg bid</w:t>
            </w:r>
          </w:p>
        </w:tc>
        <w:tc>
          <w:tcPr>
            <w:tcW w:w="425" w:type="dxa"/>
            <w:tcBorders>
              <w:top w:val="nil"/>
              <w:bottom w:val="nil"/>
              <w:right w:val="single" w:sz="4" w:space="0" w:color="auto"/>
            </w:tcBorders>
            <w:shd w:val="clear" w:color="auto" w:fill="548DD4" w:themeFill="text2" w:themeFillTint="99"/>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100</w:t>
            </w:r>
          </w:p>
        </w:tc>
      </w:tr>
      <w:tr w:rsidR="00F76375" w:rsidRPr="00BB0C07" w:rsidTr="00BB0C07">
        <w:trPr>
          <w:trHeight w:hRule="exact" w:val="113"/>
        </w:trPr>
        <w:tc>
          <w:tcPr>
            <w:tcW w:w="4677" w:type="dxa"/>
            <w:tcMar>
              <w:left w:w="57" w:type="dxa"/>
            </w:tcMar>
          </w:tcPr>
          <w:p w:rsidR="00F76375" w:rsidRPr="00BB0C07" w:rsidRDefault="00F76375" w:rsidP="00BB0C07">
            <w:pPr>
              <w:ind w:left="289"/>
              <w:rPr>
                <w:rFonts w:ascii="Times New Roman" w:hAnsi="Times New Roman"/>
                <w:i/>
                <w:sz w:val="18"/>
                <w:lang w:val="en-US"/>
              </w:rPr>
            </w:pPr>
          </w:p>
        </w:tc>
        <w:tc>
          <w:tcPr>
            <w:tcW w:w="425" w:type="dxa"/>
            <w:tcBorders>
              <w:top w:val="nil"/>
              <w:bottom w:val="nil"/>
              <w:right w:val="single" w:sz="4" w:space="0" w:color="auto"/>
            </w:tcBorders>
            <w:shd w:val="clear" w:color="auto" w:fill="FFFFFF" w:themeFill="background1"/>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p>
        </w:tc>
      </w:tr>
      <w:tr w:rsidR="00F76375" w:rsidRPr="00BB0C07" w:rsidTr="00BB0C07">
        <w:trPr>
          <w:trHeight w:val="20"/>
        </w:trPr>
        <w:tc>
          <w:tcPr>
            <w:tcW w:w="4677" w:type="dxa"/>
            <w:tcMar>
              <w:left w:w="57" w:type="dxa"/>
            </w:tcMar>
          </w:tcPr>
          <w:p w:rsidR="00F76375" w:rsidRPr="00BB0C07" w:rsidRDefault="00F76375" w:rsidP="00BB0C07">
            <w:pPr>
              <w:ind w:left="289"/>
              <w:rPr>
                <w:rFonts w:ascii="Times New Roman" w:hAnsi="Times New Roman"/>
                <w:i/>
                <w:sz w:val="18"/>
                <w:lang w:val="en-US"/>
              </w:rPr>
            </w:pPr>
            <w:r w:rsidRPr="00BB0C07">
              <w:rPr>
                <w:rFonts w:ascii="Times New Roman" w:hAnsi="Times New Roman"/>
                <w:i/>
                <w:sz w:val="18"/>
                <w:lang w:val="en-US"/>
              </w:rPr>
              <w:t>Time in therapeutic range of VKAs</w:t>
            </w:r>
          </w:p>
        </w:tc>
        <w:tc>
          <w:tcPr>
            <w:tcW w:w="425" w:type="dxa"/>
            <w:tcBorders>
              <w:top w:val="nil"/>
              <w:bottom w:val="nil"/>
              <w:right w:val="single" w:sz="4" w:space="0" w:color="auto"/>
            </w:tcBorders>
            <w:shd w:val="clear" w:color="auto" w:fill="FFC000"/>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C000"/>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17</w:t>
            </w:r>
          </w:p>
        </w:tc>
      </w:tr>
      <w:tr w:rsidR="00F76375" w:rsidRPr="00BB0C07" w:rsidTr="00BB0C07">
        <w:trPr>
          <w:trHeight w:hRule="exact" w:val="113"/>
        </w:trPr>
        <w:tc>
          <w:tcPr>
            <w:tcW w:w="4677" w:type="dxa"/>
            <w:tcMar>
              <w:left w:w="57" w:type="dxa"/>
            </w:tcMar>
          </w:tcPr>
          <w:p w:rsidR="00F76375" w:rsidRPr="00BB0C07" w:rsidRDefault="00F76375" w:rsidP="00BB0C07">
            <w:pPr>
              <w:ind w:left="289"/>
              <w:rPr>
                <w:rFonts w:ascii="Times New Roman" w:hAnsi="Times New Roman"/>
                <w:i/>
                <w:sz w:val="18"/>
                <w:lang w:val="en-US"/>
              </w:rPr>
            </w:pPr>
          </w:p>
        </w:tc>
        <w:tc>
          <w:tcPr>
            <w:tcW w:w="425" w:type="dxa"/>
            <w:tcBorders>
              <w:top w:val="nil"/>
              <w:bottom w:val="nil"/>
              <w:right w:val="single" w:sz="4" w:space="0" w:color="auto"/>
            </w:tcBorders>
            <w:shd w:val="clear" w:color="auto" w:fill="FFFFFF" w:themeFill="background1"/>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p>
        </w:tc>
      </w:tr>
      <w:tr w:rsidR="00F76375" w:rsidRPr="00BB0C07" w:rsidTr="00BB0C07">
        <w:trPr>
          <w:trHeight w:val="20"/>
        </w:trPr>
        <w:tc>
          <w:tcPr>
            <w:tcW w:w="4677" w:type="dxa"/>
            <w:tcMar>
              <w:left w:w="57" w:type="dxa"/>
            </w:tcMar>
          </w:tcPr>
          <w:p w:rsidR="00F76375" w:rsidRPr="00BB0C07" w:rsidRDefault="00F76375" w:rsidP="00BB0C07">
            <w:pPr>
              <w:ind w:left="289"/>
              <w:rPr>
                <w:rFonts w:ascii="Times New Roman" w:hAnsi="Times New Roman"/>
                <w:i/>
                <w:sz w:val="18"/>
                <w:lang w:val="en-US"/>
              </w:rPr>
            </w:pPr>
            <w:r w:rsidRPr="00BB0C07">
              <w:rPr>
                <w:rFonts w:ascii="Times New Roman" w:hAnsi="Times New Roman"/>
                <w:i/>
                <w:sz w:val="18"/>
                <w:lang w:val="en-US"/>
              </w:rPr>
              <w:t>Monitoring: start of dabigatran</w:t>
            </w:r>
          </w:p>
        </w:tc>
        <w:tc>
          <w:tcPr>
            <w:tcW w:w="425" w:type="dxa"/>
            <w:tcBorders>
              <w:top w:val="nil"/>
              <w:bottom w:val="nil"/>
              <w:right w:val="single" w:sz="4" w:space="0" w:color="auto"/>
            </w:tcBorders>
            <w:shd w:val="clear" w:color="auto" w:fill="548DD4" w:themeFill="text2" w:themeFillTint="99"/>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C000"/>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17</w:t>
            </w:r>
          </w:p>
        </w:tc>
      </w:tr>
      <w:tr w:rsidR="00F76375" w:rsidRPr="00BB0C07" w:rsidTr="00BB0C07">
        <w:trPr>
          <w:trHeight w:hRule="exact" w:val="113"/>
        </w:trPr>
        <w:tc>
          <w:tcPr>
            <w:tcW w:w="4677" w:type="dxa"/>
            <w:tcMar>
              <w:left w:w="57" w:type="dxa"/>
            </w:tcMar>
          </w:tcPr>
          <w:p w:rsidR="00F76375" w:rsidRPr="00BB0C07" w:rsidRDefault="00F76375" w:rsidP="00BB0C07">
            <w:pPr>
              <w:ind w:left="289"/>
              <w:rPr>
                <w:rFonts w:ascii="Times New Roman" w:hAnsi="Times New Roman"/>
                <w:i/>
                <w:sz w:val="18"/>
                <w:lang w:val="en-US"/>
              </w:rPr>
            </w:pPr>
          </w:p>
        </w:tc>
        <w:tc>
          <w:tcPr>
            <w:tcW w:w="425" w:type="dxa"/>
            <w:tcBorders>
              <w:top w:val="nil"/>
              <w:bottom w:val="nil"/>
              <w:right w:val="single" w:sz="4" w:space="0" w:color="auto"/>
            </w:tcBorders>
            <w:shd w:val="clear" w:color="auto" w:fill="FFFFFF" w:themeFill="background1"/>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p>
        </w:tc>
      </w:tr>
      <w:tr w:rsidR="00F76375" w:rsidRPr="00BB0C07" w:rsidTr="00BB0C07">
        <w:trPr>
          <w:trHeight w:val="20"/>
        </w:trPr>
        <w:tc>
          <w:tcPr>
            <w:tcW w:w="4677" w:type="dxa"/>
            <w:tcMar>
              <w:left w:w="57" w:type="dxa"/>
            </w:tcMar>
          </w:tcPr>
          <w:p w:rsidR="00F76375" w:rsidRPr="00BB0C07" w:rsidRDefault="00F76375" w:rsidP="00BB0C07">
            <w:pPr>
              <w:ind w:left="289"/>
              <w:rPr>
                <w:rFonts w:ascii="Times New Roman" w:hAnsi="Times New Roman"/>
                <w:i/>
                <w:sz w:val="18"/>
                <w:lang w:val="en-US"/>
              </w:rPr>
            </w:pPr>
            <w:r w:rsidRPr="00BB0C07">
              <w:rPr>
                <w:rFonts w:ascii="Times New Roman" w:hAnsi="Times New Roman"/>
                <w:i/>
                <w:sz w:val="18"/>
              </w:rPr>
              <w:t xml:space="preserve">Monitoring: </w:t>
            </w:r>
            <w:proofErr w:type="spellStart"/>
            <w:r w:rsidRPr="00BB0C07">
              <w:rPr>
                <w:rFonts w:ascii="Times New Roman" w:hAnsi="Times New Roman"/>
                <w:i/>
                <w:sz w:val="18"/>
              </w:rPr>
              <w:t>dabigatran</w:t>
            </w:r>
            <w:proofErr w:type="spellEnd"/>
            <w:r w:rsidRPr="00BB0C07">
              <w:rPr>
                <w:rFonts w:ascii="Times New Roman" w:hAnsi="Times New Roman"/>
                <w:i/>
                <w:sz w:val="18"/>
              </w:rPr>
              <w:t xml:space="preserve">, </w:t>
            </w:r>
            <w:proofErr w:type="spellStart"/>
            <w:r w:rsidRPr="00BB0C07">
              <w:rPr>
                <w:rFonts w:ascii="Times New Roman" w:hAnsi="Times New Roman"/>
                <w:i/>
                <w:sz w:val="18"/>
              </w:rPr>
              <w:t>continuous</w:t>
            </w:r>
            <w:proofErr w:type="spellEnd"/>
          </w:p>
        </w:tc>
        <w:tc>
          <w:tcPr>
            <w:tcW w:w="425" w:type="dxa"/>
            <w:tcBorders>
              <w:top w:val="nil"/>
              <w:bottom w:val="nil"/>
              <w:right w:val="single" w:sz="4" w:space="0" w:color="auto"/>
            </w:tcBorders>
            <w:shd w:val="clear" w:color="auto" w:fill="548DD4" w:themeFill="text2" w:themeFillTint="99"/>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C000"/>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50</w:t>
            </w:r>
          </w:p>
        </w:tc>
      </w:tr>
      <w:tr w:rsidR="00F76375" w:rsidRPr="00BB0C07" w:rsidTr="00BB0C07">
        <w:trPr>
          <w:trHeight w:hRule="exact" w:val="113"/>
        </w:trPr>
        <w:tc>
          <w:tcPr>
            <w:tcW w:w="4677" w:type="dxa"/>
            <w:tcMar>
              <w:left w:w="57" w:type="dxa"/>
            </w:tcMar>
          </w:tcPr>
          <w:p w:rsidR="00F76375" w:rsidRPr="00BB0C07" w:rsidRDefault="00F76375" w:rsidP="00BB0C07">
            <w:pPr>
              <w:ind w:left="289"/>
              <w:rPr>
                <w:rFonts w:ascii="Times New Roman" w:hAnsi="Times New Roman"/>
                <w:i/>
                <w:sz w:val="18"/>
                <w:lang w:val="en-US"/>
              </w:rPr>
            </w:pPr>
          </w:p>
        </w:tc>
        <w:tc>
          <w:tcPr>
            <w:tcW w:w="425" w:type="dxa"/>
            <w:tcBorders>
              <w:top w:val="nil"/>
              <w:bottom w:val="nil"/>
              <w:right w:val="single" w:sz="4" w:space="0" w:color="auto"/>
            </w:tcBorders>
            <w:shd w:val="clear" w:color="auto" w:fill="FFFFFF" w:themeFill="background1"/>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p>
        </w:tc>
      </w:tr>
      <w:tr w:rsidR="00F76375" w:rsidRPr="00BB0C07" w:rsidTr="00BB0C07">
        <w:trPr>
          <w:trHeight w:val="20"/>
        </w:trPr>
        <w:tc>
          <w:tcPr>
            <w:tcW w:w="4677" w:type="dxa"/>
            <w:tcMar>
              <w:left w:w="57" w:type="dxa"/>
            </w:tcMar>
          </w:tcPr>
          <w:p w:rsidR="00F76375" w:rsidRPr="00BB0C07" w:rsidRDefault="00F76375" w:rsidP="00BB0C07">
            <w:pPr>
              <w:ind w:left="289"/>
              <w:rPr>
                <w:rFonts w:ascii="Times New Roman" w:hAnsi="Times New Roman"/>
                <w:i/>
                <w:sz w:val="18"/>
                <w:lang w:val="en-US"/>
              </w:rPr>
            </w:pPr>
            <w:r w:rsidRPr="00BB0C07">
              <w:rPr>
                <w:rFonts w:ascii="Times New Roman" w:hAnsi="Times New Roman"/>
                <w:i/>
                <w:sz w:val="18"/>
                <w:lang w:val="en-US"/>
              </w:rPr>
              <w:t>Monitoring: start of VKAs</w:t>
            </w:r>
          </w:p>
        </w:tc>
        <w:tc>
          <w:tcPr>
            <w:tcW w:w="425" w:type="dxa"/>
            <w:tcBorders>
              <w:top w:val="nil"/>
              <w:bottom w:val="nil"/>
              <w:right w:val="single" w:sz="4" w:space="0" w:color="auto"/>
            </w:tcBorders>
            <w:shd w:val="clear" w:color="auto" w:fill="548DD4" w:themeFill="text2" w:themeFillTint="99"/>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C000"/>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C000"/>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33</w:t>
            </w:r>
          </w:p>
        </w:tc>
      </w:tr>
      <w:tr w:rsidR="00F76375" w:rsidRPr="00BB0C07" w:rsidTr="00BB0C07">
        <w:trPr>
          <w:trHeight w:hRule="exact" w:val="113"/>
        </w:trPr>
        <w:tc>
          <w:tcPr>
            <w:tcW w:w="4677" w:type="dxa"/>
            <w:tcMar>
              <w:left w:w="57" w:type="dxa"/>
            </w:tcMar>
          </w:tcPr>
          <w:p w:rsidR="00F76375" w:rsidRPr="00BB0C07" w:rsidRDefault="00F76375" w:rsidP="00BB0C07">
            <w:pPr>
              <w:ind w:left="289"/>
              <w:rPr>
                <w:rFonts w:ascii="Times New Roman" w:hAnsi="Times New Roman"/>
                <w:i/>
                <w:sz w:val="18"/>
                <w:lang w:val="en-US"/>
              </w:rPr>
            </w:pPr>
          </w:p>
        </w:tc>
        <w:tc>
          <w:tcPr>
            <w:tcW w:w="425" w:type="dxa"/>
            <w:tcBorders>
              <w:top w:val="nil"/>
              <w:bottom w:val="nil"/>
              <w:right w:val="single" w:sz="4" w:space="0" w:color="auto"/>
            </w:tcBorders>
            <w:shd w:val="clear" w:color="auto" w:fill="FFFFFF" w:themeFill="background1"/>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FFFFFF" w:themeFill="background1"/>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p>
        </w:tc>
      </w:tr>
      <w:tr w:rsidR="00F76375" w:rsidRPr="00BB0C07" w:rsidTr="00BB0C07">
        <w:trPr>
          <w:trHeight w:val="20"/>
        </w:trPr>
        <w:tc>
          <w:tcPr>
            <w:tcW w:w="4677" w:type="dxa"/>
            <w:tcMar>
              <w:left w:w="57" w:type="dxa"/>
            </w:tcMar>
          </w:tcPr>
          <w:p w:rsidR="00F76375" w:rsidRPr="00BB0C07" w:rsidRDefault="00F76375" w:rsidP="00BB0C07">
            <w:pPr>
              <w:ind w:left="289"/>
              <w:rPr>
                <w:rFonts w:ascii="Times New Roman" w:hAnsi="Times New Roman"/>
                <w:i/>
                <w:sz w:val="18"/>
              </w:rPr>
            </w:pPr>
            <w:r w:rsidRPr="00BB0C07">
              <w:rPr>
                <w:rFonts w:ascii="Times New Roman" w:hAnsi="Times New Roman"/>
                <w:i/>
                <w:sz w:val="18"/>
              </w:rPr>
              <w:t xml:space="preserve">Monitoring: </w:t>
            </w:r>
            <w:proofErr w:type="spellStart"/>
            <w:r w:rsidRPr="00BB0C07">
              <w:rPr>
                <w:rFonts w:ascii="Times New Roman" w:hAnsi="Times New Roman"/>
                <w:i/>
                <w:sz w:val="18"/>
              </w:rPr>
              <w:t>VKAs</w:t>
            </w:r>
            <w:proofErr w:type="spellEnd"/>
            <w:r w:rsidRPr="00BB0C07">
              <w:rPr>
                <w:rFonts w:ascii="Times New Roman" w:hAnsi="Times New Roman"/>
                <w:i/>
                <w:sz w:val="18"/>
              </w:rPr>
              <w:t xml:space="preserve">, </w:t>
            </w:r>
            <w:proofErr w:type="spellStart"/>
            <w:r w:rsidRPr="00BB0C07">
              <w:rPr>
                <w:rFonts w:ascii="Times New Roman" w:hAnsi="Times New Roman"/>
                <w:i/>
                <w:sz w:val="18"/>
              </w:rPr>
              <w:t>continuous</w:t>
            </w:r>
            <w:proofErr w:type="spellEnd"/>
          </w:p>
        </w:tc>
        <w:tc>
          <w:tcPr>
            <w:tcW w:w="425" w:type="dxa"/>
            <w:tcBorders>
              <w:top w:val="nil"/>
              <w:bottom w:val="nil"/>
              <w:right w:val="single" w:sz="4" w:space="0" w:color="auto"/>
            </w:tcBorders>
            <w:shd w:val="clear" w:color="auto" w:fill="548DD4" w:themeFill="text2" w:themeFillTint="99"/>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nil"/>
              <w:right w:val="single" w:sz="4" w:space="0" w:color="auto"/>
            </w:tcBorders>
            <w:shd w:val="clear" w:color="auto" w:fill="D9D9D9" w:themeFill="background1" w:themeFillShade="D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single" w:sz="4" w:space="0" w:color="auto"/>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nil"/>
              <w:right w:val="nil"/>
            </w:tcBorders>
            <w:shd w:val="clear" w:color="auto" w:fill="548DD4" w:themeFill="text2" w:themeFillTint="99"/>
          </w:tcPr>
          <w:p w:rsidR="00F76375" w:rsidRPr="00BB0C07" w:rsidRDefault="00F76375" w:rsidP="00BB0C07">
            <w:pPr>
              <w:jc w:val="center"/>
              <w:rPr>
                <w:rFonts w:ascii="Times New Roman" w:hAnsi="Times New Roman"/>
                <w:sz w:val="18"/>
                <w:lang w:val="en-US"/>
              </w:rPr>
            </w:pPr>
          </w:p>
        </w:tc>
        <w:tc>
          <w:tcPr>
            <w:tcW w:w="170" w:type="dxa"/>
            <w:tcBorders>
              <w:top w:val="nil"/>
              <w:left w:val="nil"/>
              <w:bottom w:val="nil"/>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nil"/>
            </w:tcBorders>
            <w:shd w:val="clear" w:color="auto" w:fill="auto"/>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83</w:t>
            </w:r>
          </w:p>
        </w:tc>
      </w:tr>
      <w:tr w:rsidR="00F76375" w:rsidRPr="00BB0C07" w:rsidTr="00BB0C07">
        <w:trPr>
          <w:trHeight w:hRule="exact" w:val="113"/>
        </w:trPr>
        <w:tc>
          <w:tcPr>
            <w:tcW w:w="4677" w:type="dxa"/>
            <w:tcBorders>
              <w:bottom w:val="single" w:sz="4" w:space="0" w:color="auto"/>
            </w:tcBorders>
            <w:shd w:val="clear" w:color="auto" w:fill="auto"/>
            <w:tcMar>
              <w:left w:w="57" w:type="dxa"/>
            </w:tcMar>
          </w:tcPr>
          <w:p w:rsidR="00F76375" w:rsidRPr="00BB0C07" w:rsidRDefault="00F76375" w:rsidP="00BB0C07">
            <w:pPr>
              <w:rPr>
                <w:rFonts w:ascii="Times New Roman" w:hAnsi="Times New Roman"/>
                <w:sz w:val="18"/>
              </w:rPr>
            </w:pPr>
          </w:p>
        </w:tc>
        <w:tc>
          <w:tcPr>
            <w:tcW w:w="425" w:type="dxa"/>
            <w:tcBorders>
              <w:top w:val="nil"/>
              <w:bottom w:val="single" w:sz="4" w:space="0" w:color="auto"/>
              <w:right w:val="single" w:sz="4" w:space="0" w:color="auto"/>
            </w:tcBorders>
            <w:shd w:val="clear" w:color="auto" w:fill="auto"/>
            <w:vAlign w:val="center"/>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single" w:sz="4" w:space="0" w:color="auto"/>
              <w:right w:val="single" w:sz="4" w:space="0" w:color="auto"/>
            </w:tcBorders>
            <w:shd w:val="clear" w:color="auto" w:fill="auto"/>
          </w:tcPr>
          <w:p w:rsidR="00F76375" w:rsidRPr="00BB0C07" w:rsidRDefault="00F76375" w:rsidP="00BB0C07">
            <w:pPr>
              <w:jc w:val="center"/>
              <w:rPr>
                <w:rFonts w:ascii="Times New Roman" w:hAnsi="Times New Roman"/>
                <w:sz w:val="18"/>
                <w:lang w:val="en-US"/>
              </w:rPr>
            </w:pPr>
          </w:p>
        </w:tc>
        <w:tc>
          <w:tcPr>
            <w:tcW w:w="426" w:type="dxa"/>
            <w:tcBorders>
              <w:top w:val="nil"/>
              <w:left w:val="single" w:sz="4" w:space="0" w:color="auto"/>
              <w:bottom w:val="single" w:sz="4" w:space="0" w:color="auto"/>
              <w:right w:val="single" w:sz="4" w:space="0" w:color="auto"/>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single" w:sz="4" w:space="0" w:color="auto"/>
              <w:right w:val="single" w:sz="4" w:space="0" w:color="auto"/>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single" w:sz="4" w:space="0" w:color="auto"/>
              <w:right w:val="single" w:sz="4" w:space="0" w:color="auto"/>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single" w:sz="4" w:space="0" w:color="auto"/>
              <w:bottom w:val="single" w:sz="4" w:space="0" w:color="auto"/>
              <w:right w:val="nil"/>
            </w:tcBorders>
            <w:shd w:val="clear" w:color="auto" w:fill="auto"/>
          </w:tcPr>
          <w:p w:rsidR="00F76375" w:rsidRPr="00BB0C07" w:rsidRDefault="00F76375" w:rsidP="00BB0C07">
            <w:pPr>
              <w:jc w:val="center"/>
              <w:rPr>
                <w:rFonts w:ascii="Times New Roman" w:hAnsi="Times New Roman"/>
                <w:sz w:val="18"/>
                <w:lang w:val="en-US"/>
              </w:rPr>
            </w:pPr>
          </w:p>
        </w:tc>
        <w:tc>
          <w:tcPr>
            <w:tcW w:w="170" w:type="dxa"/>
            <w:tcBorders>
              <w:top w:val="nil"/>
              <w:left w:val="nil"/>
              <w:bottom w:val="single" w:sz="4" w:space="0" w:color="auto"/>
              <w:right w:val="nil"/>
            </w:tcBorders>
            <w:shd w:val="clear" w:color="auto" w:fill="auto"/>
          </w:tcPr>
          <w:p w:rsidR="00F76375" w:rsidRPr="00BB0C07" w:rsidRDefault="00F76375" w:rsidP="00BB0C07">
            <w:pPr>
              <w:jc w:val="center"/>
              <w:rPr>
                <w:rFonts w:ascii="Times New Roman" w:hAnsi="Times New Roman"/>
                <w:sz w:val="18"/>
                <w:lang w:val="en-US"/>
              </w:rPr>
            </w:pPr>
          </w:p>
        </w:tc>
        <w:tc>
          <w:tcPr>
            <w:tcW w:w="425" w:type="dxa"/>
            <w:tcBorders>
              <w:top w:val="nil"/>
              <w:left w:val="nil"/>
              <w:bottom w:val="single" w:sz="4" w:space="0" w:color="auto"/>
            </w:tcBorders>
            <w:shd w:val="clear" w:color="auto" w:fill="auto"/>
          </w:tcPr>
          <w:p w:rsidR="00F76375" w:rsidRPr="00BB0C07" w:rsidRDefault="00F76375" w:rsidP="00BB0C07">
            <w:pPr>
              <w:jc w:val="center"/>
              <w:rPr>
                <w:rFonts w:ascii="Times New Roman" w:hAnsi="Times New Roman"/>
                <w:sz w:val="18"/>
                <w:lang w:val="en-US"/>
              </w:rPr>
            </w:pPr>
          </w:p>
        </w:tc>
      </w:tr>
      <w:tr w:rsidR="00F76375" w:rsidRPr="00BB0C07" w:rsidTr="00BB0C07">
        <w:trPr>
          <w:trHeight w:val="340"/>
        </w:trPr>
        <w:tc>
          <w:tcPr>
            <w:tcW w:w="4677" w:type="dxa"/>
            <w:tcBorders>
              <w:top w:val="single" w:sz="4" w:space="0" w:color="auto"/>
              <w:bottom w:val="single" w:sz="4" w:space="0" w:color="auto"/>
            </w:tcBorders>
            <w:shd w:val="clear" w:color="auto" w:fill="auto"/>
            <w:tcMar>
              <w:left w:w="57" w:type="dxa"/>
            </w:tcMar>
            <w:vAlign w:val="center"/>
          </w:tcPr>
          <w:p w:rsidR="00F76375" w:rsidRPr="00BB0C07" w:rsidRDefault="00F76375" w:rsidP="00BB0C07">
            <w:pPr>
              <w:rPr>
                <w:rFonts w:ascii="Times New Roman" w:hAnsi="Times New Roman"/>
                <w:sz w:val="18"/>
              </w:rPr>
            </w:pPr>
            <w:r w:rsidRPr="00BB0C07">
              <w:rPr>
                <w:rFonts w:ascii="Times New Roman" w:hAnsi="Times New Roman"/>
                <w:b/>
              </w:rPr>
              <w:t xml:space="preserve">% relevant per </w:t>
            </w:r>
            <w:proofErr w:type="spellStart"/>
            <w:r w:rsidRPr="00BB0C07">
              <w:rPr>
                <w:rFonts w:ascii="Times New Roman" w:hAnsi="Times New Roman"/>
                <w:b/>
              </w:rPr>
              <w:t>study</w:t>
            </w:r>
            <w:proofErr w:type="spellEnd"/>
          </w:p>
        </w:tc>
        <w:tc>
          <w:tcPr>
            <w:tcW w:w="425" w:type="dxa"/>
            <w:tcBorders>
              <w:top w:val="single" w:sz="4" w:space="0" w:color="auto"/>
              <w:bottom w:val="single" w:sz="4" w:space="0" w:color="auto"/>
              <w:right w:val="single" w:sz="4" w:space="0" w:color="auto"/>
            </w:tcBorders>
            <w:shd w:val="clear" w:color="auto" w:fill="auto"/>
            <w:vAlign w:val="center"/>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47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29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29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24</w:t>
            </w:r>
          </w:p>
        </w:tc>
        <w:tc>
          <w:tcPr>
            <w:tcW w:w="425" w:type="dxa"/>
            <w:tcBorders>
              <w:top w:val="single" w:sz="4" w:space="0" w:color="auto"/>
              <w:left w:val="single" w:sz="4" w:space="0" w:color="auto"/>
              <w:bottom w:val="single" w:sz="4" w:space="0" w:color="auto"/>
              <w:right w:val="nil"/>
            </w:tcBorders>
            <w:shd w:val="clear" w:color="auto" w:fill="auto"/>
            <w:vAlign w:val="center"/>
          </w:tcPr>
          <w:p w:rsidR="00F76375" w:rsidRPr="00BB0C07" w:rsidRDefault="00F76375" w:rsidP="00BB0C07">
            <w:pPr>
              <w:jc w:val="center"/>
              <w:rPr>
                <w:rFonts w:ascii="Times New Roman" w:hAnsi="Times New Roman"/>
                <w:sz w:val="18"/>
                <w:lang w:val="en-US"/>
              </w:rPr>
            </w:pPr>
            <w:r w:rsidRPr="00BB0C07">
              <w:rPr>
                <w:rFonts w:ascii="Times New Roman" w:hAnsi="Times New Roman"/>
                <w:sz w:val="18"/>
                <w:lang w:val="en-US"/>
              </w:rPr>
              <w:t>35</w:t>
            </w:r>
          </w:p>
        </w:tc>
        <w:tc>
          <w:tcPr>
            <w:tcW w:w="170" w:type="dxa"/>
            <w:tcBorders>
              <w:top w:val="single" w:sz="4" w:space="0" w:color="auto"/>
              <w:left w:val="nil"/>
              <w:bottom w:val="single" w:sz="4" w:space="0" w:color="auto"/>
              <w:right w:val="nil"/>
            </w:tcBorders>
          </w:tcPr>
          <w:p w:rsidR="00F76375" w:rsidRPr="00BB0C07" w:rsidRDefault="00F76375" w:rsidP="00BB0C07">
            <w:pPr>
              <w:jc w:val="center"/>
              <w:rPr>
                <w:rFonts w:ascii="Times New Roman" w:hAnsi="Times New Roman"/>
                <w:sz w:val="18"/>
                <w:lang w:val="en-US"/>
              </w:rPr>
            </w:pPr>
          </w:p>
        </w:tc>
        <w:tc>
          <w:tcPr>
            <w:tcW w:w="425" w:type="dxa"/>
            <w:tcBorders>
              <w:top w:val="single" w:sz="4" w:space="0" w:color="auto"/>
              <w:left w:val="nil"/>
              <w:bottom w:val="single" w:sz="4" w:space="0" w:color="auto"/>
            </w:tcBorders>
            <w:shd w:val="clear" w:color="auto" w:fill="auto"/>
          </w:tcPr>
          <w:p w:rsidR="00F76375" w:rsidRPr="00BB0C07" w:rsidRDefault="00F76375" w:rsidP="00BB0C07">
            <w:pPr>
              <w:jc w:val="center"/>
              <w:rPr>
                <w:rFonts w:ascii="Times New Roman" w:hAnsi="Times New Roman"/>
                <w:sz w:val="18"/>
                <w:lang w:val="en-US"/>
              </w:rPr>
            </w:pPr>
          </w:p>
        </w:tc>
      </w:tr>
    </w:tbl>
    <w:p w:rsidR="00F76375" w:rsidRPr="00BB0C07" w:rsidRDefault="00F76375" w:rsidP="00F76375">
      <w:pPr>
        <w:spacing w:after="0"/>
        <w:ind w:left="709" w:right="1700"/>
        <w:rPr>
          <w:rFonts w:ascii="Times New Roman" w:hAnsi="Times New Roman"/>
          <w:sz w:val="20"/>
          <w:szCs w:val="20"/>
          <w:lang w:val="en-US"/>
        </w:rPr>
      </w:pPr>
    </w:p>
    <w:p w:rsidR="00F76375" w:rsidRPr="00BB0C07" w:rsidRDefault="00F76375" w:rsidP="00F76375">
      <w:pPr>
        <w:spacing w:after="0"/>
        <w:rPr>
          <w:rFonts w:ascii="Times New Roman" w:hAnsi="Times New Roman"/>
          <w:sz w:val="20"/>
          <w:szCs w:val="20"/>
          <w:lang w:val="en-US"/>
        </w:rPr>
      </w:pPr>
      <w:r w:rsidRPr="00BB0C07">
        <w:rPr>
          <w:rFonts w:ascii="Times New Roman" w:hAnsi="Times New Roman"/>
          <w:sz w:val="20"/>
          <w:szCs w:val="20"/>
          <w:lang w:val="en-US"/>
        </w:rPr>
        <w:t>Abbreviations: MI, myocardial infarction; TIA, transient ischemic attack; VKA, vitamin K antagonist.</w:t>
      </w:r>
    </w:p>
    <w:p w:rsidR="00F76375" w:rsidRPr="00BB0C07" w:rsidRDefault="00F76375" w:rsidP="00F76375">
      <w:pPr>
        <w:spacing w:after="0"/>
        <w:rPr>
          <w:rFonts w:ascii="Times New Roman" w:hAnsi="Times New Roman"/>
          <w:sz w:val="20"/>
          <w:szCs w:val="20"/>
          <w:lang w:val="en-US"/>
        </w:rPr>
      </w:pPr>
      <w:r w:rsidRPr="00BB0C07">
        <w:rPr>
          <w:rFonts w:ascii="Times New Roman" w:hAnsi="Times New Roman"/>
          <w:sz w:val="20"/>
          <w:szCs w:val="20"/>
          <w:lang w:val="en-US"/>
        </w:rPr>
        <w:t>* The share of patients with renal impairment was excluded, because data on this variable in the US population of AF patients was missing.</w:t>
      </w:r>
    </w:p>
    <w:p w:rsidR="00F76375" w:rsidRPr="00BB0C07" w:rsidRDefault="00F76375" w:rsidP="00F76375">
      <w:pPr>
        <w:spacing w:after="0"/>
        <w:ind w:left="709" w:right="1700"/>
        <w:rPr>
          <w:rFonts w:ascii="Times New Roman" w:hAnsi="Times New Roman"/>
          <w:sz w:val="20"/>
          <w:szCs w:val="20"/>
          <w:lang w:val="en-US"/>
        </w:rPr>
      </w:pPr>
    </w:p>
    <w:tbl>
      <w:tblPr>
        <w:tblStyle w:val="Tabelraster"/>
        <w:tblW w:w="0" w:type="auto"/>
        <w:tblInd w:w="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994"/>
      </w:tblGrid>
      <w:tr w:rsidR="00F76375" w:rsidRPr="00BB0C07" w:rsidTr="00BB0C07">
        <w:tc>
          <w:tcPr>
            <w:tcW w:w="4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F76375" w:rsidRPr="00BB0C07" w:rsidRDefault="00F76375" w:rsidP="00BB0C07">
            <w:pPr>
              <w:rPr>
                <w:rFonts w:ascii="Times New Roman" w:hAnsi="Times New Roman"/>
                <w:lang w:val="en-US"/>
              </w:rPr>
            </w:pPr>
          </w:p>
        </w:tc>
        <w:tc>
          <w:tcPr>
            <w:tcW w:w="2994" w:type="dxa"/>
            <w:tcBorders>
              <w:left w:val="single" w:sz="4" w:space="0" w:color="auto"/>
            </w:tcBorders>
            <w:vAlign w:val="center"/>
          </w:tcPr>
          <w:p w:rsidR="00F76375" w:rsidRPr="00BB0C07" w:rsidRDefault="00F76375" w:rsidP="00BB0C07">
            <w:pPr>
              <w:rPr>
                <w:rFonts w:ascii="Times New Roman" w:hAnsi="Times New Roman"/>
                <w:lang w:val="en-US"/>
              </w:rPr>
            </w:pPr>
            <w:r w:rsidRPr="00BB0C07">
              <w:rPr>
                <w:rFonts w:ascii="Times New Roman" w:hAnsi="Times New Roman"/>
                <w:lang w:val="en-US"/>
              </w:rPr>
              <w:t>Incorporated</w:t>
            </w:r>
          </w:p>
        </w:tc>
      </w:tr>
      <w:tr w:rsidR="00F76375" w:rsidRPr="00BB0C07" w:rsidTr="00BB0C07">
        <w:trPr>
          <w:trHeight w:val="259"/>
        </w:trPr>
        <w:tc>
          <w:tcPr>
            <w:tcW w:w="426" w:type="dxa"/>
            <w:tcBorders>
              <w:top w:val="single" w:sz="4" w:space="0" w:color="auto"/>
              <w:left w:val="single" w:sz="4" w:space="0" w:color="auto"/>
              <w:bottom w:val="single" w:sz="4" w:space="0" w:color="auto"/>
              <w:right w:val="single" w:sz="4" w:space="0" w:color="auto"/>
            </w:tcBorders>
            <w:shd w:val="clear" w:color="auto" w:fill="FFC000"/>
          </w:tcPr>
          <w:p w:rsidR="00F76375" w:rsidRPr="00BB0C07" w:rsidRDefault="00F76375" w:rsidP="00BB0C07">
            <w:pPr>
              <w:rPr>
                <w:rFonts w:ascii="Times New Roman" w:hAnsi="Times New Roman"/>
                <w:lang w:val="en-US"/>
              </w:rPr>
            </w:pPr>
          </w:p>
        </w:tc>
        <w:tc>
          <w:tcPr>
            <w:tcW w:w="2994" w:type="dxa"/>
            <w:tcBorders>
              <w:left w:val="single" w:sz="4" w:space="0" w:color="auto"/>
            </w:tcBorders>
            <w:shd w:val="clear" w:color="auto" w:fill="auto"/>
          </w:tcPr>
          <w:p w:rsidR="00F76375" w:rsidRPr="00BB0C07" w:rsidRDefault="00F76375" w:rsidP="00BB0C07">
            <w:pPr>
              <w:rPr>
                <w:rFonts w:ascii="Times New Roman" w:hAnsi="Times New Roman"/>
                <w:lang w:val="en-US"/>
              </w:rPr>
            </w:pPr>
            <w:r w:rsidRPr="00BB0C07">
              <w:rPr>
                <w:rFonts w:ascii="Times New Roman" w:hAnsi="Times New Roman"/>
                <w:lang w:val="en-US"/>
              </w:rPr>
              <w:t>Not (completely) incorporated</w:t>
            </w:r>
          </w:p>
        </w:tc>
      </w:tr>
      <w:tr w:rsidR="00F76375" w:rsidRPr="00BB0C07" w:rsidTr="00BB0C07">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6375" w:rsidRPr="00BB0C07" w:rsidRDefault="00F76375" w:rsidP="00BB0C07">
            <w:pPr>
              <w:rPr>
                <w:rFonts w:ascii="Times New Roman" w:hAnsi="Times New Roman"/>
                <w:lang w:val="en-US"/>
              </w:rPr>
            </w:pPr>
          </w:p>
        </w:tc>
        <w:tc>
          <w:tcPr>
            <w:tcW w:w="2994" w:type="dxa"/>
            <w:tcBorders>
              <w:left w:val="single" w:sz="4" w:space="0" w:color="auto"/>
            </w:tcBorders>
            <w:vAlign w:val="center"/>
          </w:tcPr>
          <w:p w:rsidR="00F76375" w:rsidRPr="00BB0C07" w:rsidRDefault="00F76375" w:rsidP="00BB0C07">
            <w:pPr>
              <w:rPr>
                <w:rFonts w:ascii="Times New Roman" w:hAnsi="Times New Roman"/>
                <w:lang w:val="en-US"/>
              </w:rPr>
            </w:pPr>
            <w:r w:rsidRPr="00BB0C07">
              <w:rPr>
                <w:rFonts w:ascii="Times New Roman" w:hAnsi="Times New Roman"/>
                <w:lang w:val="en-US"/>
              </w:rPr>
              <w:t>Unknown</w:t>
            </w:r>
          </w:p>
        </w:tc>
      </w:tr>
    </w:tbl>
    <w:p w:rsidR="00F76375" w:rsidRPr="00BB0C07" w:rsidRDefault="00F76375" w:rsidP="00F76375"/>
    <w:p w:rsidR="00F76375" w:rsidRPr="00BB0C07" w:rsidRDefault="00F76375">
      <w:pPr>
        <w:rPr>
          <w:rFonts w:ascii="Times New Roman" w:hAnsi="Times New Roman" w:cs="Times New Roman"/>
          <w:b/>
          <w:lang w:val="en-US"/>
        </w:rPr>
      </w:pPr>
      <w:r w:rsidRPr="00BB0C07">
        <w:rPr>
          <w:rFonts w:ascii="Times New Roman" w:hAnsi="Times New Roman" w:cs="Times New Roman"/>
          <w:b/>
          <w:lang w:val="en-US"/>
        </w:rPr>
        <w:br w:type="page"/>
      </w:r>
    </w:p>
    <w:p w:rsidR="0046083B" w:rsidRPr="00BB0C07" w:rsidRDefault="0046083B" w:rsidP="00455EEF">
      <w:pPr>
        <w:rPr>
          <w:rFonts w:ascii="Times New Roman" w:hAnsi="Times New Roman" w:cs="Times New Roman"/>
          <w:b/>
          <w:lang w:val="en-US"/>
        </w:rPr>
      </w:pPr>
      <w:r w:rsidRPr="00BB0C07">
        <w:rPr>
          <w:rFonts w:ascii="Times New Roman" w:hAnsi="Times New Roman" w:cs="Times New Roman"/>
          <w:b/>
          <w:lang w:val="en-US"/>
        </w:rPr>
        <w:lastRenderedPageBreak/>
        <w:t>References</w:t>
      </w:r>
    </w:p>
    <w:p w:rsidR="004F54B3" w:rsidRPr="00BB0C07" w:rsidRDefault="004F54B3" w:rsidP="00455EEF">
      <w:pPr>
        <w:rPr>
          <w:rFonts w:ascii="Times New Roman" w:hAnsi="Times New Roman" w:cs="Times New Roman"/>
          <w:b/>
          <w:lang w:val="en-US"/>
        </w:rPr>
      </w:pPr>
    </w:p>
    <w:p w:rsidR="006575B0" w:rsidRPr="00BB0C07" w:rsidRDefault="006575B0" w:rsidP="00D012F1">
      <w:pPr>
        <w:pStyle w:val="Gemiddeldraster1-accent21"/>
        <w:numPr>
          <w:ilvl w:val="0"/>
          <w:numId w:val="12"/>
        </w:numPr>
        <w:spacing w:after="0"/>
        <w:contextualSpacing w:val="0"/>
        <w:rPr>
          <w:rFonts w:ascii="Times New Roman" w:hAnsi="Times New Roman"/>
          <w:szCs w:val="20"/>
          <w:lang w:val="en-US"/>
        </w:rPr>
      </w:pPr>
      <w:r w:rsidRPr="00BB0C07">
        <w:rPr>
          <w:rFonts w:ascii="Times New Roman" w:hAnsi="Times New Roman"/>
          <w:szCs w:val="20"/>
          <w:lang w:val="en-US"/>
        </w:rPr>
        <w:t xml:space="preserve">Connolly S, </w:t>
      </w:r>
      <w:proofErr w:type="spellStart"/>
      <w:r w:rsidRPr="00BB0C07">
        <w:rPr>
          <w:rFonts w:ascii="Times New Roman" w:hAnsi="Times New Roman"/>
          <w:szCs w:val="20"/>
          <w:lang w:val="en-US"/>
        </w:rPr>
        <w:t>Ezekowitz</w:t>
      </w:r>
      <w:proofErr w:type="spellEnd"/>
      <w:r w:rsidRPr="00BB0C07">
        <w:rPr>
          <w:rFonts w:ascii="Times New Roman" w:hAnsi="Times New Roman"/>
          <w:szCs w:val="20"/>
          <w:lang w:val="en-US"/>
        </w:rPr>
        <w:t xml:space="preserve"> MD, Yusuf S, et al. Dabigatran versus warfarin in patients with atrial fibrillation. </w:t>
      </w:r>
      <w:r w:rsidRPr="00BB0C07">
        <w:rPr>
          <w:rFonts w:ascii="Times New Roman" w:hAnsi="Times New Roman"/>
          <w:i/>
          <w:szCs w:val="20"/>
          <w:lang w:val="en-US"/>
        </w:rPr>
        <w:t xml:space="preserve">N </w:t>
      </w:r>
      <w:proofErr w:type="spellStart"/>
      <w:r w:rsidRPr="00BB0C07">
        <w:rPr>
          <w:rFonts w:ascii="Times New Roman" w:hAnsi="Times New Roman"/>
          <w:i/>
          <w:szCs w:val="20"/>
          <w:lang w:val="en-US"/>
        </w:rPr>
        <w:t>Engl</w:t>
      </w:r>
      <w:proofErr w:type="spellEnd"/>
      <w:r w:rsidRPr="00BB0C07">
        <w:rPr>
          <w:rFonts w:ascii="Times New Roman" w:hAnsi="Times New Roman"/>
          <w:i/>
          <w:szCs w:val="20"/>
          <w:lang w:val="en-US"/>
        </w:rPr>
        <w:t xml:space="preserve"> J Med</w:t>
      </w:r>
      <w:r w:rsidR="00D012F1" w:rsidRPr="00BB0C07">
        <w:rPr>
          <w:rFonts w:ascii="Times New Roman" w:hAnsi="Times New Roman"/>
          <w:szCs w:val="20"/>
          <w:lang w:val="en-US"/>
        </w:rPr>
        <w:t>.</w:t>
      </w:r>
      <w:r w:rsidRPr="00BB0C07">
        <w:rPr>
          <w:rFonts w:ascii="Times New Roman" w:hAnsi="Times New Roman"/>
          <w:szCs w:val="20"/>
          <w:lang w:val="en-US"/>
        </w:rPr>
        <w:t xml:space="preserve"> 2009;361:1139-51.</w:t>
      </w:r>
    </w:p>
    <w:p w:rsidR="0046083B" w:rsidRPr="00BB0C07" w:rsidRDefault="006575B0" w:rsidP="00D012F1">
      <w:pPr>
        <w:pStyle w:val="Gemiddeldraster1-accent21"/>
        <w:numPr>
          <w:ilvl w:val="0"/>
          <w:numId w:val="12"/>
        </w:numPr>
        <w:spacing w:after="0"/>
        <w:contextualSpacing w:val="0"/>
        <w:rPr>
          <w:rFonts w:ascii="Times New Roman" w:hAnsi="Times New Roman"/>
          <w:szCs w:val="20"/>
          <w:lang w:val="en-US"/>
        </w:rPr>
      </w:pPr>
      <w:r w:rsidRPr="00BB0C07">
        <w:rPr>
          <w:rFonts w:ascii="Times New Roman" w:hAnsi="Times New Roman"/>
          <w:szCs w:val="20"/>
          <w:lang w:val="en-US"/>
        </w:rPr>
        <w:t>Conn</w:t>
      </w:r>
      <w:r w:rsidR="0046083B" w:rsidRPr="00BB0C07">
        <w:rPr>
          <w:rFonts w:ascii="Times New Roman" w:hAnsi="Times New Roman"/>
          <w:szCs w:val="20"/>
          <w:lang w:val="en-US"/>
        </w:rPr>
        <w:t xml:space="preserve">olly S, </w:t>
      </w:r>
      <w:proofErr w:type="spellStart"/>
      <w:r w:rsidR="0046083B" w:rsidRPr="00BB0C07">
        <w:rPr>
          <w:rFonts w:ascii="Times New Roman" w:hAnsi="Times New Roman"/>
          <w:szCs w:val="20"/>
          <w:lang w:val="en-US"/>
        </w:rPr>
        <w:t>Ezekowitz</w:t>
      </w:r>
      <w:proofErr w:type="spellEnd"/>
      <w:r w:rsidR="0046083B" w:rsidRPr="00BB0C07">
        <w:rPr>
          <w:rFonts w:ascii="Times New Roman" w:hAnsi="Times New Roman"/>
          <w:szCs w:val="20"/>
          <w:lang w:val="en-US"/>
        </w:rPr>
        <w:t xml:space="preserve"> MD, Yusuf S, et al. Newly identified events in the RE-LY trial. </w:t>
      </w:r>
      <w:r w:rsidR="0046083B" w:rsidRPr="00BB0C07">
        <w:rPr>
          <w:rFonts w:ascii="Times New Roman" w:hAnsi="Times New Roman"/>
          <w:i/>
          <w:iCs/>
          <w:szCs w:val="20"/>
          <w:lang w:val="en-US"/>
        </w:rPr>
        <w:t xml:space="preserve">N </w:t>
      </w:r>
      <w:proofErr w:type="spellStart"/>
      <w:r w:rsidR="0046083B" w:rsidRPr="00BB0C07">
        <w:rPr>
          <w:rFonts w:ascii="Times New Roman" w:hAnsi="Times New Roman"/>
          <w:i/>
          <w:iCs/>
          <w:szCs w:val="20"/>
          <w:lang w:val="en-US"/>
        </w:rPr>
        <w:t>Engl</w:t>
      </w:r>
      <w:proofErr w:type="spellEnd"/>
      <w:r w:rsidR="0046083B" w:rsidRPr="00BB0C07">
        <w:rPr>
          <w:rFonts w:ascii="Times New Roman" w:hAnsi="Times New Roman"/>
          <w:i/>
          <w:iCs/>
          <w:szCs w:val="20"/>
          <w:lang w:val="en-US"/>
        </w:rPr>
        <w:t xml:space="preserve"> J Med</w:t>
      </w:r>
      <w:r w:rsidR="00D012F1" w:rsidRPr="00BB0C07">
        <w:rPr>
          <w:rFonts w:ascii="Times New Roman" w:hAnsi="Times New Roman"/>
          <w:i/>
          <w:iCs/>
          <w:szCs w:val="20"/>
          <w:lang w:val="en-US"/>
        </w:rPr>
        <w:t>.</w:t>
      </w:r>
      <w:r w:rsidR="0046083B" w:rsidRPr="00BB0C07">
        <w:rPr>
          <w:rFonts w:ascii="Times New Roman" w:hAnsi="Times New Roman"/>
          <w:i/>
          <w:szCs w:val="20"/>
          <w:lang w:val="en-US"/>
        </w:rPr>
        <w:t xml:space="preserve"> </w:t>
      </w:r>
      <w:r w:rsidR="0046083B" w:rsidRPr="00BB0C07">
        <w:rPr>
          <w:rFonts w:ascii="Times New Roman" w:hAnsi="Times New Roman"/>
          <w:szCs w:val="20"/>
          <w:lang w:val="en-US"/>
        </w:rPr>
        <w:t>2010;363:1875-6.</w:t>
      </w:r>
    </w:p>
    <w:p w:rsidR="006575B0" w:rsidRPr="00BB0C07" w:rsidRDefault="006575B0" w:rsidP="00D012F1">
      <w:pPr>
        <w:pStyle w:val="Lijstalinea"/>
        <w:numPr>
          <w:ilvl w:val="0"/>
          <w:numId w:val="12"/>
        </w:numPr>
        <w:spacing w:after="0"/>
        <w:rPr>
          <w:rFonts w:ascii="Times New Roman" w:hAnsi="Times New Roman"/>
          <w:lang w:val="en-US"/>
        </w:rPr>
      </w:pPr>
      <w:proofErr w:type="spellStart"/>
      <w:r w:rsidRPr="00BB0C07">
        <w:rPr>
          <w:rFonts w:ascii="Times New Roman" w:hAnsi="Times New Roman"/>
        </w:rPr>
        <w:t>Boehringer</w:t>
      </w:r>
      <w:proofErr w:type="spellEnd"/>
      <w:r w:rsidRPr="00BB0C07">
        <w:rPr>
          <w:rFonts w:ascii="Times New Roman" w:hAnsi="Times New Roman"/>
        </w:rPr>
        <w:t xml:space="preserve"> </w:t>
      </w:r>
      <w:proofErr w:type="spellStart"/>
      <w:r w:rsidRPr="00BB0C07">
        <w:rPr>
          <w:rFonts w:ascii="Times New Roman" w:hAnsi="Times New Roman"/>
        </w:rPr>
        <w:t>Ingelheim</w:t>
      </w:r>
      <w:proofErr w:type="spellEnd"/>
      <w:r w:rsidRPr="00BB0C07">
        <w:rPr>
          <w:rFonts w:ascii="Times New Roman" w:hAnsi="Times New Roman"/>
        </w:rPr>
        <w:t xml:space="preserve">. </w:t>
      </w:r>
      <w:proofErr w:type="spellStart"/>
      <w:r w:rsidRPr="00BB0C07">
        <w:rPr>
          <w:rFonts w:ascii="Times New Roman" w:hAnsi="Times New Roman"/>
        </w:rPr>
        <w:t>Dabigatran</w:t>
      </w:r>
      <w:proofErr w:type="spellEnd"/>
      <w:r w:rsidRPr="00BB0C07">
        <w:rPr>
          <w:rFonts w:ascii="Times New Roman" w:hAnsi="Times New Roman"/>
        </w:rPr>
        <w:t xml:space="preserve"> briefing document. </w:t>
      </w:r>
      <w:r w:rsidRPr="00BB0C07">
        <w:rPr>
          <w:rFonts w:ascii="Times New Roman" w:hAnsi="Times New Roman"/>
          <w:lang w:val="en-US"/>
        </w:rPr>
        <w:t>27 August 2010. Available at: http://www.fda.gov/downloads/AdvisoryCommittees/CommitteesMeetingMaterialsDrugs/CardiovascularandRenalDrugsAdvisoryCommittee/UCM226009.pdf. Accessed 16 Sep 2016.</w:t>
      </w:r>
    </w:p>
    <w:p w:rsidR="006575B0" w:rsidRPr="00BB0C07" w:rsidRDefault="006575B0" w:rsidP="00D012F1">
      <w:pPr>
        <w:pStyle w:val="Gemiddeldraster1-accent21"/>
        <w:numPr>
          <w:ilvl w:val="0"/>
          <w:numId w:val="12"/>
        </w:numPr>
        <w:spacing w:after="0"/>
        <w:contextualSpacing w:val="0"/>
        <w:rPr>
          <w:rFonts w:ascii="Times New Roman" w:hAnsi="Times New Roman"/>
          <w:szCs w:val="20"/>
          <w:lang w:val="en-US"/>
        </w:rPr>
      </w:pPr>
      <w:proofErr w:type="spellStart"/>
      <w:r w:rsidRPr="00BB0C07">
        <w:rPr>
          <w:rFonts w:ascii="Times New Roman" w:hAnsi="Times New Roman"/>
          <w:szCs w:val="20"/>
          <w:lang w:val="en-US"/>
        </w:rPr>
        <w:t>Eikelboom</w:t>
      </w:r>
      <w:proofErr w:type="spellEnd"/>
      <w:r w:rsidRPr="00BB0C07">
        <w:rPr>
          <w:rFonts w:ascii="Times New Roman" w:hAnsi="Times New Roman"/>
          <w:szCs w:val="20"/>
          <w:lang w:val="en-US"/>
        </w:rPr>
        <w:t xml:space="preserve"> JW, </w:t>
      </w:r>
      <w:proofErr w:type="spellStart"/>
      <w:r w:rsidRPr="00BB0C07">
        <w:rPr>
          <w:rFonts w:ascii="Times New Roman" w:hAnsi="Times New Roman"/>
          <w:szCs w:val="20"/>
          <w:lang w:val="en-US"/>
        </w:rPr>
        <w:t>Wallentin</w:t>
      </w:r>
      <w:proofErr w:type="spellEnd"/>
      <w:r w:rsidRPr="00BB0C07">
        <w:rPr>
          <w:rFonts w:ascii="Times New Roman" w:hAnsi="Times New Roman"/>
          <w:szCs w:val="20"/>
          <w:lang w:val="en-US"/>
        </w:rPr>
        <w:t xml:space="preserve"> L, Connolly SJ, et al. Risk of bleeding with 2 doses of dabigatran compared with warfarin in older and younger patients with atrial fibrillation. An analysis of the Randomized Eva</w:t>
      </w:r>
      <w:r w:rsidRPr="00BB0C07">
        <w:rPr>
          <w:rFonts w:ascii="Times New Roman" w:hAnsi="Times New Roman"/>
          <w:szCs w:val="20"/>
          <w:lang w:val="en-US"/>
        </w:rPr>
        <w:t>l</w:t>
      </w:r>
      <w:r w:rsidRPr="00BB0C07">
        <w:rPr>
          <w:rFonts w:ascii="Times New Roman" w:hAnsi="Times New Roman"/>
          <w:szCs w:val="20"/>
          <w:lang w:val="en-US"/>
        </w:rPr>
        <w:t xml:space="preserve">uation of Long-term anticoagulant therapy (RE-LY) trial. </w:t>
      </w:r>
      <w:r w:rsidRPr="00BB0C07">
        <w:rPr>
          <w:rFonts w:ascii="Times New Roman" w:hAnsi="Times New Roman"/>
          <w:i/>
          <w:szCs w:val="20"/>
          <w:lang w:val="en-US"/>
        </w:rPr>
        <w:t>Circulation</w:t>
      </w:r>
      <w:r w:rsidR="00D012F1" w:rsidRPr="00BB0C07">
        <w:rPr>
          <w:rFonts w:ascii="Times New Roman" w:hAnsi="Times New Roman"/>
          <w:szCs w:val="20"/>
          <w:lang w:val="en-US"/>
        </w:rPr>
        <w:t>.</w:t>
      </w:r>
      <w:r w:rsidRPr="00BB0C07">
        <w:rPr>
          <w:rFonts w:ascii="Times New Roman" w:hAnsi="Times New Roman"/>
          <w:szCs w:val="20"/>
          <w:lang w:val="en-US"/>
        </w:rPr>
        <w:t xml:space="preserve"> 2011;123:2363-72.</w:t>
      </w:r>
    </w:p>
    <w:p w:rsidR="006575B0" w:rsidRPr="00BB0C07" w:rsidRDefault="006575B0" w:rsidP="00D012F1">
      <w:pPr>
        <w:pStyle w:val="Gemiddeldraster1-accent21"/>
        <w:numPr>
          <w:ilvl w:val="0"/>
          <w:numId w:val="12"/>
        </w:numPr>
        <w:spacing w:after="0"/>
        <w:contextualSpacing w:val="0"/>
        <w:rPr>
          <w:rFonts w:ascii="Times New Roman" w:hAnsi="Times New Roman"/>
          <w:szCs w:val="20"/>
          <w:lang w:val="en-US"/>
        </w:rPr>
      </w:pPr>
      <w:proofErr w:type="spellStart"/>
      <w:r w:rsidRPr="00BB0C07">
        <w:rPr>
          <w:rFonts w:ascii="Times New Roman" w:hAnsi="Times New Roman"/>
          <w:szCs w:val="20"/>
          <w:lang w:val="fr-FR"/>
        </w:rPr>
        <w:t>Hori</w:t>
      </w:r>
      <w:proofErr w:type="spellEnd"/>
      <w:r w:rsidRPr="00BB0C07">
        <w:rPr>
          <w:rFonts w:ascii="Times New Roman" w:hAnsi="Times New Roman"/>
          <w:szCs w:val="20"/>
          <w:lang w:val="fr-FR"/>
        </w:rPr>
        <w:t xml:space="preserve"> M, Connolly SJ, Zhu J, et al. </w:t>
      </w:r>
      <w:r w:rsidRPr="00BB0C07">
        <w:rPr>
          <w:rFonts w:ascii="Times New Roman" w:hAnsi="Times New Roman"/>
          <w:szCs w:val="20"/>
          <w:lang w:val="en-US"/>
        </w:rPr>
        <w:t xml:space="preserve">Dabigatran versus warfarin. Effects on ischemic and hemorrhagic strokes and bleeding in Asians and non-Asians with atrial fibrillation. </w:t>
      </w:r>
      <w:r w:rsidRPr="00BB0C07">
        <w:rPr>
          <w:rFonts w:ascii="Times New Roman" w:hAnsi="Times New Roman"/>
          <w:i/>
          <w:szCs w:val="20"/>
          <w:lang w:val="en-US"/>
        </w:rPr>
        <w:t>Stroke</w:t>
      </w:r>
      <w:r w:rsidR="00D012F1" w:rsidRPr="00BB0C07">
        <w:rPr>
          <w:rFonts w:ascii="Times New Roman" w:hAnsi="Times New Roman"/>
          <w:szCs w:val="20"/>
          <w:lang w:val="en-US"/>
        </w:rPr>
        <w:t>.</w:t>
      </w:r>
      <w:r w:rsidRPr="00BB0C07">
        <w:rPr>
          <w:rFonts w:ascii="Times New Roman" w:hAnsi="Times New Roman"/>
          <w:szCs w:val="20"/>
          <w:lang w:val="en-US"/>
        </w:rPr>
        <w:t xml:space="preserve"> 2013;44:1891-6.</w:t>
      </w:r>
    </w:p>
    <w:p w:rsidR="006575B0" w:rsidRPr="00BB0C07" w:rsidRDefault="006575B0" w:rsidP="00D012F1">
      <w:pPr>
        <w:pStyle w:val="Gemiddeldraster1-accent21"/>
        <w:numPr>
          <w:ilvl w:val="0"/>
          <w:numId w:val="12"/>
        </w:numPr>
        <w:spacing w:after="0"/>
        <w:rPr>
          <w:rFonts w:ascii="Times New Roman" w:hAnsi="Times New Roman"/>
          <w:szCs w:val="20"/>
          <w:lang w:val="en-US"/>
        </w:rPr>
      </w:pPr>
      <w:proofErr w:type="spellStart"/>
      <w:r w:rsidRPr="00BB0C07">
        <w:rPr>
          <w:rFonts w:ascii="Times New Roman" w:hAnsi="Times New Roman"/>
          <w:szCs w:val="20"/>
        </w:rPr>
        <w:t>Diener</w:t>
      </w:r>
      <w:proofErr w:type="spellEnd"/>
      <w:r w:rsidRPr="00BB0C07">
        <w:rPr>
          <w:rFonts w:ascii="Times New Roman" w:hAnsi="Times New Roman"/>
          <w:szCs w:val="20"/>
        </w:rPr>
        <w:t xml:space="preserve"> HC, </w:t>
      </w:r>
      <w:proofErr w:type="spellStart"/>
      <w:r w:rsidRPr="00BB0C07">
        <w:rPr>
          <w:rFonts w:ascii="Times New Roman" w:hAnsi="Times New Roman"/>
          <w:szCs w:val="20"/>
        </w:rPr>
        <w:t>Connolly</w:t>
      </w:r>
      <w:proofErr w:type="spellEnd"/>
      <w:r w:rsidRPr="00BB0C07">
        <w:rPr>
          <w:rFonts w:ascii="Times New Roman" w:hAnsi="Times New Roman"/>
          <w:szCs w:val="20"/>
        </w:rPr>
        <w:t xml:space="preserve"> SJ, </w:t>
      </w:r>
      <w:proofErr w:type="spellStart"/>
      <w:r w:rsidRPr="00BB0C07">
        <w:rPr>
          <w:rFonts w:ascii="Times New Roman" w:hAnsi="Times New Roman"/>
          <w:szCs w:val="20"/>
        </w:rPr>
        <w:t>Ezekowitz</w:t>
      </w:r>
      <w:proofErr w:type="spellEnd"/>
      <w:r w:rsidRPr="00BB0C07">
        <w:rPr>
          <w:rFonts w:ascii="Times New Roman" w:hAnsi="Times New Roman"/>
          <w:szCs w:val="20"/>
        </w:rPr>
        <w:t xml:space="preserve"> MD, et al. </w:t>
      </w:r>
      <w:r w:rsidRPr="00BB0C07">
        <w:rPr>
          <w:rFonts w:ascii="Times New Roman" w:hAnsi="Times New Roman"/>
          <w:szCs w:val="20"/>
          <w:lang w:val="en-US"/>
        </w:rPr>
        <w:t xml:space="preserve">Dabigatran compared with warfarin in patients with atrial fibrillation and previous transient </w:t>
      </w:r>
      <w:proofErr w:type="spellStart"/>
      <w:r w:rsidRPr="00BB0C07">
        <w:rPr>
          <w:rFonts w:ascii="Times New Roman" w:hAnsi="Times New Roman"/>
          <w:szCs w:val="20"/>
          <w:lang w:val="en-US"/>
        </w:rPr>
        <w:t>ischaemic</w:t>
      </w:r>
      <w:proofErr w:type="spellEnd"/>
      <w:r w:rsidRPr="00BB0C07">
        <w:rPr>
          <w:rFonts w:ascii="Times New Roman" w:hAnsi="Times New Roman"/>
          <w:szCs w:val="20"/>
          <w:lang w:val="en-US"/>
        </w:rPr>
        <w:t xml:space="preserve"> attack or stroke: A subgroup analysis of the RE-LY trial. </w:t>
      </w:r>
      <w:r w:rsidRPr="00BB0C07">
        <w:rPr>
          <w:rFonts w:ascii="Times New Roman" w:hAnsi="Times New Roman"/>
          <w:i/>
          <w:szCs w:val="20"/>
          <w:lang w:val="en-US"/>
        </w:rPr>
        <w:t>Lancet Neurol</w:t>
      </w:r>
      <w:r w:rsidR="00D012F1" w:rsidRPr="00BB0C07">
        <w:rPr>
          <w:rFonts w:ascii="Times New Roman" w:hAnsi="Times New Roman"/>
          <w:szCs w:val="20"/>
          <w:lang w:val="en-US"/>
        </w:rPr>
        <w:t>.</w:t>
      </w:r>
      <w:r w:rsidRPr="00BB0C07">
        <w:rPr>
          <w:rFonts w:ascii="Times New Roman" w:hAnsi="Times New Roman"/>
          <w:szCs w:val="20"/>
          <w:lang w:val="en-US"/>
        </w:rPr>
        <w:t xml:space="preserve"> 2010;9:1157-63.</w:t>
      </w:r>
    </w:p>
    <w:p w:rsidR="006575B0" w:rsidRPr="00BB0C07" w:rsidRDefault="006575B0" w:rsidP="00D012F1">
      <w:pPr>
        <w:pStyle w:val="Gemiddeldraster1-accent21"/>
        <w:numPr>
          <w:ilvl w:val="0"/>
          <w:numId w:val="12"/>
        </w:numPr>
        <w:spacing w:after="0"/>
        <w:rPr>
          <w:rFonts w:ascii="Times New Roman" w:hAnsi="Times New Roman"/>
          <w:szCs w:val="20"/>
          <w:lang w:val="en-US"/>
        </w:rPr>
      </w:pPr>
      <w:proofErr w:type="spellStart"/>
      <w:r w:rsidRPr="00BB0C07">
        <w:rPr>
          <w:rFonts w:ascii="Times New Roman" w:hAnsi="Times New Roman"/>
          <w:szCs w:val="20"/>
        </w:rPr>
        <w:t>Hohnloser</w:t>
      </w:r>
      <w:proofErr w:type="spellEnd"/>
      <w:r w:rsidRPr="00BB0C07">
        <w:rPr>
          <w:rFonts w:ascii="Times New Roman" w:hAnsi="Times New Roman"/>
          <w:szCs w:val="20"/>
        </w:rPr>
        <w:t xml:space="preserve"> SH, </w:t>
      </w:r>
      <w:proofErr w:type="spellStart"/>
      <w:r w:rsidRPr="00BB0C07">
        <w:rPr>
          <w:rFonts w:ascii="Times New Roman" w:hAnsi="Times New Roman"/>
          <w:szCs w:val="20"/>
        </w:rPr>
        <w:t>Oldgren</w:t>
      </w:r>
      <w:proofErr w:type="spellEnd"/>
      <w:r w:rsidRPr="00BB0C07">
        <w:rPr>
          <w:rFonts w:ascii="Times New Roman" w:hAnsi="Times New Roman"/>
          <w:szCs w:val="20"/>
        </w:rPr>
        <w:t xml:space="preserve"> J, Yang S, et al. </w:t>
      </w:r>
      <w:r w:rsidRPr="00BB0C07">
        <w:rPr>
          <w:rFonts w:ascii="Times New Roman" w:hAnsi="Times New Roman"/>
          <w:szCs w:val="20"/>
          <w:lang w:val="en-US"/>
        </w:rPr>
        <w:t xml:space="preserve">Myocardial ischemic events in patients with atrial fibrillation treated with dabigatran or warfarin in the RE-LY (Randomized Evaluation of Long-term anticoagulant therapy) Trial. </w:t>
      </w:r>
      <w:r w:rsidRPr="00BB0C07">
        <w:rPr>
          <w:rFonts w:ascii="Times New Roman" w:hAnsi="Times New Roman"/>
          <w:i/>
          <w:szCs w:val="20"/>
          <w:lang w:val="en-US"/>
        </w:rPr>
        <w:t>Circulation</w:t>
      </w:r>
      <w:r w:rsidR="00D012F1" w:rsidRPr="00BB0C07">
        <w:rPr>
          <w:rFonts w:ascii="Times New Roman" w:hAnsi="Times New Roman"/>
          <w:szCs w:val="20"/>
          <w:lang w:val="en-US"/>
        </w:rPr>
        <w:t>.</w:t>
      </w:r>
      <w:r w:rsidRPr="00BB0C07">
        <w:rPr>
          <w:rFonts w:ascii="Times New Roman" w:hAnsi="Times New Roman"/>
          <w:szCs w:val="20"/>
          <w:lang w:val="en-US"/>
        </w:rPr>
        <w:t xml:space="preserve"> 2012;125:669-76.</w:t>
      </w:r>
    </w:p>
    <w:p w:rsidR="006575B0" w:rsidRPr="00BB0C07" w:rsidRDefault="006575B0" w:rsidP="00D012F1">
      <w:pPr>
        <w:pStyle w:val="Gemiddeldraster1-accent21"/>
        <w:numPr>
          <w:ilvl w:val="0"/>
          <w:numId w:val="12"/>
        </w:numPr>
        <w:spacing w:after="0"/>
        <w:contextualSpacing w:val="0"/>
        <w:rPr>
          <w:rFonts w:ascii="Times New Roman" w:hAnsi="Times New Roman"/>
          <w:szCs w:val="20"/>
          <w:lang w:val="en-US"/>
        </w:rPr>
      </w:pPr>
      <w:r w:rsidRPr="00BB0C07">
        <w:rPr>
          <w:rFonts w:ascii="Times New Roman" w:hAnsi="Times New Roman"/>
          <w:szCs w:val="20"/>
          <w:lang w:val="it-IT"/>
        </w:rPr>
        <w:t xml:space="preserve">Brambatti M, Darius H, Oldgren J, et al. </w:t>
      </w:r>
      <w:r w:rsidRPr="00BB0C07">
        <w:rPr>
          <w:rFonts w:ascii="Times New Roman" w:hAnsi="Times New Roman"/>
          <w:szCs w:val="20"/>
          <w:lang w:val="en-US"/>
        </w:rPr>
        <w:t xml:space="preserve">Comparison of dabigatran versus warfarin in diabetic patients with atrial fibrillation: Results from the RE-LY trial. </w:t>
      </w:r>
      <w:proofErr w:type="spellStart"/>
      <w:r w:rsidRPr="00BB0C07">
        <w:rPr>
          <w:rFonts w:ascii="Times New Roman" w:hAnsi="Times New Roman"/>
          <w:i/>
          <w:szCs w:val="20"/>
          <w:lang w:val="en-US"/>
        </w:rPr>
        <w:t>Int</w:t>
      </w:r>
      <w:proofErr w:type="spellEnd"/>
      <w:r w:rsidRPr="00BB0C07">
        <w:rPr>
          <w:rFonts w:ascii="Times New Roman" w:hAnsi="Times New Roman"/>
          <w:i/>
          <w:szCs w:val="20"/>
          <w:lang w:val="en-US"/>
        </w:rPr>
        <w:t xml:space="preserve"> J </w:t>
      </w:r>
      <w:proofErr w:type="spellStart"/>
      <w:r w:rsidRPr="00BB0C07">
        <w:rPr>
          <w:rFonts w:ascii="Times New Roman" w:hAnsi="Times New Roman"/>
          <w:i/>
          <w:szCs w:val="20"/>
          <w:lang w:val="en-US"/>
        </w:rPr>
        <w:t>Cardiol</w:t>
      </w:r>
      <w:proofErr w:type="spellEnd"/>
      <w:r w:rsidR="00D012F1" w:rsidRPr="00BB0C07">
        <w:rPr>
          <w:rFonts w:ascii="Times New Roman" w:hAnsi="Times New Roman"/>
          <w:szCs w:val="20"/>
          <w:lang w:val="en-US"/>
        </w:rPr>
        <w:t>.</w:t>
      </w:r>
      <w:r w:rsidRPr="00BB0C07">
        <w:rPr>
          <w:rFonts w:ascii="Times New Roman" w:hAnsi="Times New Roman"/>
          <w:szCs w:val="20"/>
          <w:lang w:val="en-US"/>
        </w:rPr>
        <w:t xml:space="preserve"> 2015;196:127-31.</w:t>
      </w:r>
    </w:p>
    <w:p w:rsidR="006575B0" w:rsidRPr="00BB0C07" w:rsidRDefault="006575B0" w:rsidP="00D012F1">
      <w:pPr>
        <w:pStyle w:val="Gemiddeldraster1-accent21"/>
        <w:numPr>
          <w:ilvl w:val="0"/>
          <w:numId w:val="12"/>
        </w:numPr>
        <w:spacing w:after="0"/>
        <w:rPr>
          <w:rFonts w:ascii="Times New Roman" w:hAnsi="Times New Roman"/>
          <w:szCs w:val="20"/>
          <w:lang w:val="en-US"/>
        </w:rPr>
      </w:pPr>
      <w:r w:rsidRPr="00BB0C07">
        <w:rPr>
          <w:rFonts w:ascii="Times New Roman" w:hAnsi="Times New Roman"/>
          <w:szCs w:val="20"/>
          <w:lang w:val="en-US"/>
        </w:rPr>
        <w:t xml:space="preserve">Ferreira J, </w:t>
      </w:r>
      <w:proofErr w:type="spellStart"/>
      <w:r w:rsidRPr="00BB0C07">
        <w:rPr>
          <w:rFonts w:ascii="Times New Roman" w:hAnsi="Times New Roman"/>
          <w:szCs w:val="20"/>
          <w:lang w:val="en-US"/>
        </w:rPr>
        <w:t>Ezekowitz</w:t>
      </w:r>
      <w:proofErr w:type="spellEnd"/>
      <w:r w:rsidRPr="00BB0C07">
        <w:rPr>
          <w:rFonts w:ascii="Times New Roman" w:hAnsi="Times New Roman"/>
          <w:szCs w:val="20"/>
          <w:lang w:val="en-US"/>
        </w:rPr>
        <w:t xml:space="preserve"> MD, Connolly SJ, et al. Dabigatran compared with warfarin in patients with atrial fibrillation and symptomatic heart failure: A subgroup analysis of the RE-LY trial. </w:t>
      </w:r>
      <w:proofErr w:type="spellStart"/>
      <w:r w:rsidRPr="00BB0C07">
        <w:rPr>
          <w:rFonts w:ascii="Times New Roman" w:hAnsi="Times New Roman"/>
          <w:i/>
          <w:szCs w:val="20"/>
          <w:lang w:val="en-US"/>
        </w:rPr>
        <w:t>Eur</w:t>
      </w:r>
      <w:proofErr w:type="spellEnd"/>
      <w:r w:rsidRPr="00BB0C07">
        <w:rPr>
          <w:rFonts w:ascii="Times New Roman" w:hAnsi="Times New Roman"/>
          <w:i/>
          <w:szCs w:val="20"/>
          <w:lang w:val="en-US"/>
        </w:rPr>
        <w:t xml:space="preserve"> J Heart Fail</w:t>
      </w:r>
      <w:r w:rsidR="00D012F1" w:rsidRPr="00BB0C07">
        <w:rPr>
          <w:rFonts w:ascii="Times New Roman" w:hAnsi="Times New Roman"/>
          <w:szCs w:val="20"/>
          <w:lang w:val="en-US"/>
        </w:rPr>
        <w:t>.</w:t>
      </w:r>
      <w:r w:rsidRPr="00BB0C07">
        <w:rPr>
          <w:rFonts w:ascii="Times New Roman" w:hAnsi="Times New Roman"/>
          <w:szCs w:val="20"/>
          <w:lang w:val="en-US"/>
        </w:rPr>
        <w:t xml:space="preserve"> 2013;15:1053-61. </w:t>
      </w:r>
    </w:p>
    <w:p w:rsidR="006575B0" w:rsidRPr="00BB0C07" w:rsidRDefault="006575B0" w:rsidP="00D012F1">
      <w:pPr>
        <w:pStyle w:val="Gemiddeldraster1-accent21"/>
        <w:numPr>
          <w:ilvl w:val="0"/>
          <w:numId w:val="12"/>
        </w:numPr>
        <w:spacing w:after="0"/>
        <w:rPr>
          <w:rFonts w:ascii="Times New Roman" w:hAnsi="Times New Roman"/>
          <w:szCs w:val="20"/>
          <w:lang w:val="en-US"/>
        </w:rPr>
      </w:pPr>
      <w:proofErr w:type="spellStart"/>
      <w:r w:rsidRPr="00BB0C07">
        <w:rPr>
          <w:rFonts w:ascii="Times New Roman" w:hAnsi="Times New Roman"/>
          <w:szCs w:val="20"/>
        </w:rPr>
        <w:t>Oldgren</w:t>
      </w:r>
      <w:proofErr w:type="spellEnd"/>
      <w:r w:rsidRPr="00BB0C07">
        <w:rPr>
          <w:rFonts w:ascii="Times New Roman" w:hAnsi="Times New Roman"/>
          <w:szCs w:val="20"/>
        </w:rPr>
        <w:t xml:space="preserve"> J, Alings M, Darius H, et al. </w:t>
      </w:r>
      <w:r w:rsidRPr="00BB0C07">
        <w:rPr>
          <w:rFonts w:ascii="Times New Roman" w:hAnsi="Times New Roman"/>
          <w:szCs w:val="20"/>
          <w:lang w:val="en-US"/>
        </w:rPr>
        <w:t>Risk for stroke, bleeding, and death in patients with atrial fibrill</w:t>
      </w:r>
      <w:r w:rsidRPr="00BB0C07">
        <w:rPr>
          <w:rFonts w:ascii="Times New Roman" w:hAnsi="Times New Roman"/>
          <w:szCs w:val="20"/>
          <w:lang w:val="en-US"/>
        </w:rPr>
        <w:t>a</w:t>
      </w:r>
      <w:r w:rsidRPr="00BB0C07">
        <w:rPr>
          <w:rFonts w:ascii="Times New Roman" w:hAnsi="Times New Roman"/>
          <w:szCs w:val="20"/>
          <w:lang w:val="en-US"/>
        </w:rPr>
        <w:t xml:space="preserve">tion </w:t>
      </w:r>
      <w:proofErr w:type="spellStart"/>
      <w:r w:rsidRPr="00BB0C07">
        <w:rPr>
          <w:rFonts w:ascii="Times New Roman" w:hAnsi="Times New Roman"/>
          <w:szCs w:val="20"/>
          <w:lang w:val="en-US"/>
        </w:rPr>
        <w:t>receving</w:t>
      </w:r>
      <w:proofErr w:type="spellEnd"/>
      <w:r w:rsidRPr="00BB0C07">
        <w:rPr>
          <w:rFonts w:ascii="Times New Roman" w:hAnsi="Times New Roman"/>
          <w:szCs w:val="20"/>
          <w:lang w:val="en-US"/>
        </w:rPr>
        <w:t xml:space="preserve"> dabigatran or warfarin in relation to the CHADS2 score: A subgroup analysis of the RE-LY trial. </w:t>
      </w:r>
      <w:r w:rsidRPr="00BB0C07">
        <w:rPr>
          <w:rFonts w:ascii="Times New Roman" w:hAnsi="Times New Roman"/>
          <w:i/>
          <w:szCs w:val="20"/>
          <w:lang w:val="en-US"/>
        </w:rPr>
        <w:t>Ann Intern Med</w:t>
      </w:r>
      <w:r w:rsidR="00D012F1" w:rsidRPr="00BB0C07">
        <w:rPr>
          <w:rFonts w:ascii="Times New Roman" w:hAnsi="Times New Roman"/>
          <w:i/>
          <w:szCs w:val="20"/>
          <w:lang w:val="en-US"/>
        </w:rPr>
        <w:t>.</w:t>
      </w:r>
      <w:r w:rsidRPr="00BB0C07">
        <w:rPr>
          <w:rFonts w:ascii="Times New Roman" w:hAnsi="Times New Roman"/>
          <w:i/>
          <w:szCs w:val="20"/>
          <w:lang w:val="en-US"/>
        </w:rPr>
        <w:t xml:space="preserve"> </w:t>
      </w:r>
      <w:r w:rsidRPr="00BB0C07">
        <w:rPr>
          <w:rFonts w:ascii="Times New Roman" w:hAnsi="Times New Roman"/>
          <w:szCs w:val="20"/>
          <w:lang w:val="en-US"/>
        </w:rPr>
        <w:t>2011;155:660-7.</w:t>
      </w:r>
    </w:p>
    <w:p w:rsidR="006575B0" w:rsidRPr="00BB0C07" w:rsidRDefault="006575B0" w:rsidP="00D012F1">
      <w:pPr>
        <w:pStyle w:val="Gemiddeldraster1-accent21"/>
        <w:numPr>
          <w:ilvl w:val="0"/>
          <w:numId w:val="12"/>
        </w:numPr>
        <w:spacing w:after="0"/>
        <w:rPr>
          <w:rFonts w:ascii="Times New Roman" w:hAnsi="Times New Roman"/>
          <w:szCs w:val="20"/>
          <w:lang w:val="en-US"/>
        </w:rPr>
      </w:pPr>
      <w:proofErr w:type="spellStart"/>
      <w:r w:rsidRPr="00BB0C07">
        <w:rPr>
          <w:rFonts w:ascii="Times New Roman" w:hAnsi="Times New Roman"/>
          <w:szCs w:val="20"/>
        </w:rPr>
        <w:t>Hijazi</w:t>
      </w:r>
      <w:proofErr w:type="spellEnd"/>
      <w:r w:rsidRPr="00BB0C07">
        <w:rPr>
          <w:rFonts w:ascii="Times New Roman" w:hAnsi="Times New Roman"/>
          <w:szCs w:val="20"/>
        </w:rPr>
        <w:t xml:space="preserve"> Z, </w:t>
      </w:r>
      <w:proofErr w:type="spellStart"/>
      <w:r w:rsidRPr="00BB0C07">
        <w:rPr>
          <w:rFonts w:ascii="Times New Roman" w:hAnsi="Times New Roman"/>
          <w:szCs w:val="20"/>
        </w:rPr>
        <w:t>Hohnloser</w:t>
      </w:r>
      <w:proofErr w:type="spellEnd"/>
      <w:r w:rsidRPr="00BB0C07">
        <w:rPr>
          <w:rFonts w:ascii="Times New Roman" w:hAnsi="Times New Roman"/>
          <w:szCs w:val="20"/>
        </w:rPr>
        <w:t xml:space="preserve"> SH, </w:t>
      </w:r>
      <w:proofErr w:type="spellStart"/>
      <w:r w:rsidRPr="00BB0C07">
        <w:rPr>
          <w:rFonts w:ascii="Times New Roman" w:hAnsi="Times New Roman"/>
          <w:szCs w:val="20"/>
        </w:rPr>
        <w:t>Oldgren</w:t>
      </w:r>
      <w:proofErr w:type="spellEnd"/>
      <w:r w:rsidRPr="00BB0C07">
        <w:rPr>
          <w:rFonts w:ascii="Times New Roman" w:hAnsi="Times New Roman"/>
          <w:szCs w:val="20"/>
        </w:rPr>
        <w:t xml:space="preserve"> J, et al. </w:t>
      </w:r>
      <w:r w:rsidRPr="00BB0C07">
        <w:rPr>
          <w:rFonts w:ascii="Times New Roman" w:hAnsi="Times New Roman"/>
          <w:szCs w:val="20"/>
          <w:lang w:val="en-US"/>
        </w:rPr>
        <w:t xml:space="preserve">Efficacy and safety of dabigatran compared with warfarin in relation to baseline renal function in patients with atrial fibrillation. </w:t>
      </w:r>
      <w:r w:rsidRPr="00BB0C07">
        <w:rPr>
          <w:rFonts w:ascii="Times New Roman" w:hAnsi="Times New Roman"/>
          <w:i/>
          <w:szCs w:val="20"/>
          <w:lang w:val="en-US"/>
        </w:rPr>
        <w:t>Circulation</w:t>
      </w:r>
      <w:r w:rsidR="00D012F1" w:rsidRPr="00BB0C07">
        <w:rPr>
          <w:rFonts w:ascii="Times New Roman" w:hAnsi="Times New Roman"/>
          <w:i/>
          <w:szCs w:val="20"/>
          <w:lang w:val="en-US"/>
        </w:rPr>
        <w:t>.</w:t>
      </w:r>
      <w:r w:rsidRPr="00BB0C07">
        <w:rPr>
          <w:rFonts w:ascii="Times New Roman" w:hAnsi="Times New Roman"/>
          <w:szCs w:val="20"/>
          <w:lang w:val="en-US"/>
        </w:rPr>
        <w:t xml:space="preserve"> 2014;129:961-70.</w:t>
      </w:r>
    </w:p>
    <w:p w:rsidR="006575B0" w:rsidRPr="00BB0C07" w:rsidRDefault="006575B0" w:rsidP="00D012F1">
      <w:pPr>
        <w:pStyle w:val="Gemiddeldraster1-accent21"/>
        <w:numPr>
          <w:ilvl w:val="0"/>
          <w:numId w:val="12"/>
        </w:numPr>
        <w:spacing w:after="0"/>
        <w:rPr>
          <w:rFonts w:ascii="Times New Roman" w:hAnsi="Times New Roman"/>
          <w:szCs w:val="20"/>
          <w:lang w:val="en-US"/>
        </w:rPr>
      </w:pPr>
      <w:proofErr w:type="spellStart"/>
      <w:r w:rsidRPr="00BB0C07">
        <w:rPr>
          <w:rFonts w:ascii="Times New Roman" w:hAnsi="Times New Roman"/>
          <w:szCs w:val="20"/>
        </w:rPr>
        <w:t>Wallentin</w:t>
      </w:r>
      <w:proofErr w:type="spellEnd"/>
      <w:r w:rsidRPr="00BB0C07">
        <w:rPr>
          <w:rFonts w:ascii="Times New Roman" w:hAnsi="Times New Roman"/>
          <w:szCs w:val="20"/>
        </w:rPr>
        <w:t xml:space="preserve"> L, </w:t>
      </w:r>
      <w:proofErr w:type="spellStart"/>
      <w:r w:rsidRPr="00BB0C07">
        <w:rPr>
          <w:rFonts w:ascii="Times New Roman" w:hAnsi="Times New Roman"/>
          <w:szCs w:val="20"/>
        </w:rPr>
        <w:t>Yusuf</w:t>
      </w:r>
      <w:proofErr w:type="spellEnd"/>
      <w:r w:rsidRPr="00BB0C07">
        <w:rPr>
          <w:rFonts w:ascii="Times New Roman" w:hAnsi="Times New Roman"/>
          <w:szCs w:val="20"/>
        </w:rPr>
        <w:t xml:space="preserve"> S, </w:t>
      </w:r>
      <w:proofErr w:type="spellStart"/>
      <w:r w:rsidRPr="00BB0C07">
        <w:rPr>
          <w:rFonts w:ascii="Times New Roman" w:hAnsi="Times New Roman"/>
          <w:szCs w:val="20"/>
        </w:rPr>
        <w:t>Ezekowitz</w:t>
      </w:r>
      <w:proofErr w:type="spellEnd"/>
      <w:r w:rsidRPr="00BB0C07">
        <w:rPr>
          <w:rFonts w:ascii="Times New Roman" w:hAnsi="Times New Roman"/>
          <w:szCs w:val="20"/>
        </w:rPr>
        <w:t xml:space="preserve"> MD, et al. </w:t>
      </w:r>
      <w:r w:rsidRPr="00BB0C07">
        <w:rPr>
          <w:rFonts w:ascii="Times New Roman" w:hAnsi="Times New Roman"/>
          <w:szCs w:val="20"/>
          <w:lang w:val="en-US"/>
        </w:rPr>
        <w:t xml:space="preserve">Efficacy and safety of dabigatran compared with warfarin at different levels of international </w:t>
      </w:r>
      <w:proofErr w:type="spellStart"/>
      <w:r w:rsidRPr="00BB0C07">
        <w:rPr>
          <w:rFonts w:ascii="Times New Roman" w:hAnsi="Times New Roman"/>
          <w:szCs w:val="20"/>
          <w:lang w:val="en-US"/>
        </w:rPr>
        <w:t>normalised</w:t>
      </w:r>
      <w:proofErr w:type="spellEnd"/>
      <w:r w:rsidRPr="00BB0C07">
        <w:rPr>
          <w:rFonts w:ascii="Times New Roman" w:hAnsi="Times New Roman"/>
          <w:szCs w:val="20"/>
          <w:lang w:val="en-US"/>
        </w:rPr>
        <w:t xml:space="preserve"> ratio control for stroke prevention in atrial fibrillation: An analysis of the RE-LY trial. </w:t>
      </w:r>
      <w:r w:rsidRPr="00BB0C07">
        <w:rPr>
          <w:rFonts w:ascii="Times New Roman" w:hAnsi="Times New Roman"/>
          <w:i/>
          <w:szCs w:val="20"/>
          <w:lang w:val="en-US"/>
        </w:rPr>
        <w:t>Lancet</w:t>
      </w:r>
      <w:r w:rsidR="00D012F1" w:rsidRPr="00BB0C07">
        <w:rPr>
          <w:rFonts w:ascii="Times New Roman" w:hAnsi="Times New Roman"/>
          <w:szCs w:val="20"/>
          <w:lang w:val="en-US"/>
        </w:rPr>
        <w:t>.</w:t>
      </w:r>
      <w:r w:rsidRPr="00BB0C07">
        <w:rPr>
          <w:rFonts w:ascii="Times New Roman" w:hAnsi="Times New Roman"/>
          <w:szCs w:val="20"/>
          <w:lang w:val="en-US"/>
        </w:rPr>
        <w:t xml:space="preserve"> 2010;376:975-83.</w:t>
      </w:r>
    </w:p>
    <w:p w:rsidR="006575B0" w:rsidRPr="00BB0C07" w:rsidRDefault="006575B0" w:rsidP="00D012F1">
      <w:pPr>
        <w:pStyle w:val="Gemiddeldraster1-accent21"/>
        <w:numPr>
          <w:ilvl w:val="0"/>
          <w:numId w:val="12"/>
        </w:numPr>
        <w:spacing w:after="0"/>
        <w:contextualSpacing w:val="0"/>
        <w:rPr>
          <w:rFonts w:ascii="Times New Roman" w:hAnsi="Times New Roman"/>
          <w:szCs w:val="20"/>
          <w:lang w:val="en-US"/>
        </w:rPr>
      </w:pPr>
      <w:r w:rsidRPr="00BB0C07">
        <w:rPr>
          <w:rFonts w:ascii="Times New Roman" w:hAnsi="Times New Roman"/>
          <w:szCs w:val="20"/>
          <w:lang w:val="en-US"/>
        </w:rPr>
        <w:t xml:space="preserve">Caro JJ, Briggs AH, Siebert U, Kuntz KM, ISPOR-SMDM Modeling Good Research Practices Task Force. Modeling good research practices – overview: A report of the ISPOR-SMDM Modeling Good Research Practices Task Force. </w:t>
      </w:r>
      <w:r w:rsidRPr="00BB0C07">
        <w:rPr>
          <w:rFonts w:ascii="Times New Roman" w:hAnsi="Times New Roman"/>
          <w:i/>
          <w:szCs w:val="20"/>
          <w:lang w:val="en-US"/>
        </w:rPr>
        <w:t>Value Health</w:t>
      </w:r>
      <w:r w:rsidR="00D012F1" w:rsidRPr="00BB0C07">
        <w:rPr>
          <w:rFonts w:ascii="Times New Roman" w:hAnsi="Times New Roman"/>
          <w:szCs w:val="20"/>
          <w:lang w:val="en-US"/>
        </w:rPr>
        <w:t>.</w:t>
      </w:r>
      <w:r w:rsidRPr="00BB0C07">
        <w:rPr>
          <w:rFonts w:ascii="Times New Roman" w:hAnsi="Times New Roman"/>
          <w:szCs w:val="20"/>
          <w:lang w:val="en-US"/>
        </w:rPr>
        <w:t xml:space="preserve"> 2012;15:796-803.</w:t>
      </w:r>
    </w:p>
    <w:p w:rsidR="008B52DE" w:rsidRPr="00BB0C07" w:rsidRDefault="00354733" w:rsidP="00D012F1">
      <w:pPr>
        <w:pStyle w:val="Lijstalinea"/>
        <w:numPr>
          <w:ilvl w:val="0"/>
          <w:numId w:val="12"/>
        </w:numPr>
        <w:spacing w:after="0"/>
        <w:rPr>
          <w:rFonts w:ascii="Times New Roman" w:hAnsi="Times New Roman"/>
          <w:lang w:val="en-US"/>
        </w:rPr>
      </w:pPr>
      <w:r w:rsidRPr="00BB0C07">
        <w:rPr>
          <w:rFonts w:ascii="Times New Roman" w:hAnsi="Times New Roman"/>
        </w:rPr>
        <w:t xml:space="preserve">Van Walraven C, Hart RG, </w:t>
      </w:r>
      <w:proofErr w:type="spellStart"/>
      <w:r w:rsidRPr="00BB0C07">
        <w:rPr>
          <w:rFonts w:ascii="Times New Roman" w:hAnsi="Times New Roman"/>
        </w:rPr>
        <w:t>Connolly</w:t>
      </w:r>
      <w:proofErr w:type="spellEnd"/>
      <w:r w:rsidRPr="00BB0C07">
        <w:rPr>
          <w:rFonts w:ascii="Times New Roman" w:hAnsi="Times New Roman"/>
        </w:rPr>
        <w:t xml:space="preserve"> S, et al. </w:t>
      </w:r>
      <w:r w:rsidRPr="00BB0C07">
        <w:rPr>
          <w:rFonts w:ascii="Times New Roman" w:hAnsi="Times New Roman"/>
          <w:lang w:val="en-US"/>
        </w:rPr>
        <w:t xml:space="preserve">Effect of age on stroke prevention therapy in patients with atrial fibrillation: the atrial fibrillation investigators. </w:t>
      </w:r>
      <w:r w:rsidRPr="00BB0C07">
        <w:rPr>
          <w:rFonts w:ascii="Times New Roman" w:hAnsi="Times New Roman"/>
          <w:i/>
          <w:lang w:val="en-US"/>
        </w:rPr>
        <w:t xml:space="preserve">Stroke. </w:t>
      </w:r>
      <w:r w:rsidRPr="00BB0C07">
        <w:rPr>
          <w:rFonts w:ascii="Times New Roman" w:hAnsi="Times New Roman"/>
          <w:lang w:val="en-US"/>
        </w:rPr>
        <w:t>2009;40:1410-6.</w:t>
      </w:r>
    </w:p>
    <w:p w:rsidR="004F0836" w:rsidRPr="00BB0C07" w:rsidRDefault="004F0836" w:rsidP="004F0836">
      <w:pPr>
        <w:pStyle w:val="Lijstalinea"/>
        <w:numPr>
          <w:ilvl w:val="0"/>
          <w:numId w:val="12"/>
        </w:numPr>
        <w:spacing w:after="0"/>
        <w:rPr>
          <w:rFonts w:ascii="Times New Roman" w:hAnsi="Times New Roman"/>
          <w:lang w:val="en-GB"/>
        </w:rPr>
      </w:pPr>
      <w:r w:rsidRPr="00BB0C07">
        <w:rPr>
          <w:rFonts w:ascii="Times New Roman" w:hAnsi="Times New Roman"/>
        </w:rPr>
        <w:t xml:space="preserve">Pekkanen J, </w:t>
      </w:r>
      <w:proofErr w:type="spellStart"/>
      <w:r w:rsidRPr="00BB0C07">
        <w:rPr>
          <w:rFonts w:ascii="Times New Roman" w:hAnsi="Times New Roman"/>
        </w:rPr>
        <w:t>Linn</w:t>
      </w:r>
      <w:proofErr w:type="spellEnd"/>
      <w:r w:rsidRPr="00BB0C07">
        <w:rPr>
          <w:rFonts w:ascii="Times New Roman" w:hAnsi="Times New Roman"/>
        </w:rPr>
        <w:t xml:space="preserve"> S, </w:t>
      </w:r>
      <w:proofErr w:type="spellStart"/>
      <w:r w:rsidRPr="00BB0C07">
        <w:rPr>
          <w:rFonts w:ascii="Times New Roman" w:hAnsi="Times New Roman"/>
        </w:rPr>
        <w:t>Heiss</w:t>
      </w:r>
      <w:proofErr w:type="spellEnd"/>
      <w:r w:rsidRPr="00BB0C07">
        <w:rPr>
          <w:rFonts w:ascii="Times New Roman" w:hAnsi="Times New Roman"/>
        </w:rPr>
        <w:t xml:space="preserve"> G, et al.</w:t>
      </w:r>
      <w:r w:rsidRPr="00BB0C07">
        <w:t xml:space="preserve"> </w:t>
      </w:r>
      <w:r w:rsidRPr="00BB0C07">
        <w:rPr>
          <w:rFonts w:ascii="Times New Roman" w:hAnsi="Times New Roman"/>
          <w:lang w:val="en-GB"/>
        </w:rPr>
        <w:t>Ten-year mortality from cardiovascular disease in relation to chole</w:t>
      </w:r>
      <w:r w:rsidRPr="00BB0C07">
        <w:rPr>
          <w:rFonts w:ascii="Times New Roman" w:hAnsi="Times New Roman"/>
          <w:lang w:val="en-GB"/>
        </w:rPr>
        <w:t>s</w:t>
      </w:r>
      <w:r w:rsidRPr="00BB0C07">
        <w:rPr>
          <w:rFonts w:ascii="Times New Roman" w:hAnsi="Times New Roman"/>
          <w:lang w:val="en-GB"/>
        </w:rPr>
        <w:t xml:space="preserve">terol level among men with and without </w:t>
      </w:r>
      <w:proofErr w:type="spellStart"/>
      <w:r w:rsidRPr="00BB0C07">
        <w:rPr>
          <w:rFonts w:ascii="Times New Roman" w:hAnsi="Times New Roman"/>
          <w:lang w:val="en-GB"/>
        </w:rPr>
        <w:t>preexisting</w:t>
      </w:r>
      <w:proofErr w:type="spellEnd"/>
      <w:r w:rsidRPr="00BB0C07">
        <w:rPr>
          <w:rFonts w:ascii="Times New Roman" w:hAnsi="Times New Roman"/>
          <w:lang w:val="en-GB"/>
        </w:rPr>
        <w:t xml:space="preserve"> cardiovascular disease. </w:t>
      </w:r>
      <w:r w:rsidRPr="00BB0C07">
        <w:rPr>
          <w:rFonts w:ascii="Times New Roman" w:hAnsi="Times New Roman"/>
          <w:i/>
          <w:lang w:val="en-GB"/>
        </w:rPr>
        <w:t xml:space="preserve">N </w:t>
      </w:r>
      <w:proofErr w:type="spellStart"/>
      <w:r w:rsidRPr="00BB0C07">
        <w:rPr>
          <w:rFonts w:ascii="Times New Roman" w:hAnsi="Times New Roman"/>
          <w:i/>
          <w:lang w:val="en-GB"/>
        </w:rPr>
        <w:t>Engl</w:t>
      </w:r>
      <w:proofErr w:type="spellEnd"/>
      <w:r w:rsidRPr="00BB0C07">
        <w:rPr>
          <w:rFonts w:ascii="Times New Roman" w:hAnsi="Times New Roman"/>
          <w:i/>
          <w:lang w:val="en-GB"/>
        </w:rPr>
        <w:t xml:space="preserve"> J Med. </w:t>
      </w:r>
      <w:r w:rsidRPr="00BB0C07">
        <w:rPr>
          <w:rFonts w:ascii="Times New Roman" w:hAnsi="Times New Roman"/>
          <w:lang w:val="en-GB"/>
        </w:rPr>
        <w:t>1990;322:1700-7.</w:t>
      </w:r>
    </w:p>
    <w:p w:rsidR="006575B0" w:rsidRPr="00BB0C07" w:rsidRDefault="0046083B" w:rsidP="00D012F1">
      <w:pPr>
        <w:pStyle w:val="Lijstalinea"/>
        <w:numPr>
          <w:ilvl w:val="0"/>
          <w:numId w:val="12"/>
        </w:numPr>
        <w:spacing w:after="0"/>
        <w:rPr>
          <w:rFonts w:ascii="Times New Roman" w:hAnsi="Times New Roman"/>
          <w:lang w:val="en-US"/>
        </w:rPr>
      </w:pPr>
      <w:proofErr w:type="spellStart"/>
      <w:r w:rsidRPr="00BB0C07">
        <w:rPr>
          <w:rFonts w:ascii="Times New Roman" w:hAnsi="Times New Roman" w:cs="Times New Roman"/>
          <w:szCs w:val="20"/>
        </w:rPr>
        <w:t>Kolandaivelu</w:t>
      </w:r>
      <w:proofErr w:type="spellEnd"/>
      <w:r w:rsidRPr="00BB0C07">
        <w:rPr>
          <w:rFonts w:ascii="Times New Roman" w:hAnsi="Times New Roman" w:cs="Times New Roman"/>
          <w:szCs w:val="20"/>
        </w:rPr>
        <w:t xml:space="preserve"> K, Leiden BB, </w:t>
      </w:r>
      <w:proofErr w:type="spellStart"/>
      <w:r w:rsidRPr="00BB0C07">
        <w:rPr>
          <w:rFonts w:ascii="Times New Roman" w:hAnsi="Times New Roman" w:cs="Times New Roman"/>
          <w:szCs w:val="20"/>
        </w:rPr>
        <w:t>O’Gara</w:t>
      </w:r>
      <w:proofErr w:type="spellEnd"/>
      <w:r w:rsidRPr="00BB0C07">
        <w:rPr>
          <w:rFonts w:ascii="Times New Roman" w:hAnsi="Times New Roman" w:cs="Times New Roman"/>
          <w:szCs w:val="20"/>
        </w:rPr>
        <w:t xml:space="preserve"> PT, </w:t>
      </w:r>
      <w:proofErr w:type="spellStart"/>
      <w:r w:rsidRPr="00BB0C07">
        <w:rPr>
          <w:rFonts w:ascii="Times New Roman" w:hAnsi="Times New Roman" w:cs="Times New Roman"/>
          <w:szCs w:val="20"/>
        </w:rPr>
        <w:t>Bhatt</w:t>
      </w:r>
      <w:proofErr w:type="spellEnd"/>
      <w:r w:rsidRPr="00BB0C07">
        <w:rPr>
          <w:rFonts w:ascii="Times New Roman" w:hAnsi="Times New Roman" w:cs="Times New Roman"/>
          <w:szCs w:val="20"/>
        </w:rPr>
        <w:t xml:space="preserve"> DL. </w:t>
      </w:r>
      <w:r w:rsidRPr="00BB0C07">
        <w:rPr>
          <w:rFonts w:ascii="Times New Roman" w:hAnsi="Times New Roman" w:cs="Times New Roman"/>
          <w:szCs w:val="20"/>
          <w:lang w:val="en-US"/>
        </w:rPr>
        <w:t xml:space="preserve">Non-adherence to cardiovascular medications. </w:t>
      </w:r>
      <w:proofErr w:type="spellStart"/>
      <w:r w:rsidRPr="00BB0C07">
        <w:rPr>
          <w:rFonts w:ascii="Times New Roman" w:hAnsi="Times New Roman" w:cs="Times New Roman"/>
          <w:i/>
          <w:szCs w:val="20"/>
          <w:lang w:val="en-US"/>
        </w:rPr>
        <w:t>Eur</w:t>
      </w:r>
      <w:proofErr w:type="spellEnd"/>
      <w:r w:rsidRPr="00BB0C07">
        <w:rPr>
          <w:rFonts w:ascii="Times New Roman" w:hAnsi="Times New Roman" w:cs="Times New Roman"/>
          <w:i/>
          <w:szCs w:val="20"/>
          <w:lang w:val="en-US"/>
        </w:rPr>
        <w:t xml:space="preserve"> Heart J</w:t>
      </w:r>
      <w:r w:rsidR="00D012F1" w:rsidRPr="00BB0C07">
        <w:rPr>
          <w:rFonts w:ascii="Times New Roman" w:hAnsi="Times New Roman" w:cs="Times New Roman"/>
          <w:i/>
          <w:szCs w:val="20"/>
          <w:lang w:val="en-US"/>
        </w:rPr>
        <w:t>.</w:t>
      </w:r>
      <w:r w:rsidRPr="00BB0C07">
        <w:rPr>
          <w:rFonts w:ascii="Times New Roman" w:hAnsi="Times New Roman" w:cs="Times New Roman"/>
          <w:szCs w:val="20"/>
          <w:lang w:val="en-US"/>
        </w:rPr>
        <w:t xml:space="preserve"> 2014;35:3267-76.</w:t>
      </w:r>
    </w:p>
    <w:p w:rsidR="006575B0" w:rsidRPr="00BB0C07" w:rsidRDefault="0046083B" w:rsidP="00D012F1">
      <w:pPr>
        <w:pStyle w:val="Lijstalinea"/>
        <w:numPr>
          <w:ilvl w:val="0"/>
          <w:numId w:val="12"/>
        </w:numPr>
        <w:spacing w:after="0"/>
        <w:rPr>
          <w:rFonts w:ascii="Times New Roman" w:hAnsi="Times New Roman"/>
          <w:lang w:val="en-US"/>
        </w:rPr>
      </w:pPr>
      <w:r w:rsidRPr="00BB0C07">
        <w:rPr>
          <w:rFonts w:ascii="Times New Roman" w:eastAsia="Arial Unicode MS" w:hAnsi="Times New Roman" w:cs="Times New Roman"/>
          <w:szCs w:val="20"/>
          <w:lang w:val="en-US"/>
        </w:rPr>
        <w:t xml:space="preserve">Han SY, </w:t>
      </w:r>
      <w:proofErr w:type="spellStart"/>
      <w:r w:rsidRPr="00BB0C07">
        <w:rPr>
          <w:rFonts w:ascii="Times New Roman" w:eastAsia="Arial Unicode MS" w:hAnsi="Times New Roman" w:cs="Times New Roman"/>
          <w:szCs w:val="20"/>
          <w:lang w:val="en-US"/>
        </w:rPr>
        <w:t>Palmeri</w:t>
      </w:r>
      <w:proofErr w:type="spellEnd"/>
      <w:r w:rsidRPr="00BB0C07">
        <w:rPr>
          <w:rFonts w:ascii="Times New Roman" w:eastAsia="Arial Unicode MS" w:hAnsi="Times New Roman" w:cs="Times New Roman"/>
          <w:szCs w:val="20"/>
          <w:lang w:val="en-US"/>
        </w:rPr>
        <w:t xml:space="preserve"> ST, Broderick SH, et al. Quality of anticoagulation with warfarin in patients with </w:t>
      </w:r>
      <w:proofErr w:type="spellStart"/>
      <w:r w:rsidRPr="00BB0C07">
        <w:rPr>
          <w:rFonts w:ascii="Times New Roman" w:eastAsia="Arial Unicode MS" w:hAnsi="Times New Roman" w:cs="Times New Roman"/>
          <w:szCs w:val="20"/>
          <w:lang w:val="en-US"/>
        </w:rPr>
        <w:t>no</w:t>
      </w:r>
      <w:r w:rsidRPr="00BB0C07">
        <w:rPr>
          <w:rFonts w:ascii="Times New Roman" w:eastAsia="Arial Unicode MS" w:hAnsi="Times New Roman" w:cs="Times New Roman"/>
          <w:szCs w:val="20"/>
          <w:lang w:val="en-US"/>
        </w:rPr>
        <w:t>n</w:t>
      </w:r>
      <w:r w:rsidRPr="00BB0C07">
        <w:rPr>
          <w:rFonts w:ascii="Times New Roman" w:eastAsia="Arial Unicode MS" w:hAnsi="Times New Roman" w:cs="Times New Roman"/>
          <w:szCs w:val="20"/>
          <w:lang w:val="en-US"/>
        </w:rPr>
        <w:t>valvular</w:t>
      </w:r>
      <w:proofErr w:type="spellEnd"/>
      <w:r w:rsidRPr="00BB0C07">
        <w:rPr>
          <w:rFonts w:ascii="Times New Roman" w:eastAsia="Arial Unicode MS" w:hAnsi="Times New Roman" w:cs="Times New Roman"/>
          <w:szCs w:val="20"/>
          <w:lang w:val="en-US"/>
        </w:rPr>
        <w:t xml:space="preserve"> atrial fibrillation in the community setting. </w:t>
      </w:r>
      <w:r w:rsidRPr="00BB0C07">
        <w:rPr>
          <w:rFonts w:ascii="Times New Roman" w:eastAsia="Arial Unicode MS" w:hAnsi="Times New Roman" w:cs="Times New Roman"/>
          <w:i/>
          <w:szCs w:val="20"/>
          <w:lang w:val="en-US"/>
        </w:rPr>
        <w:t xml:space="preserve">J </w:t>
      </w:r>
      <w:proofErr w:type="spellStart"/>
      <w:r w:rsidRPr="00BB0C07">
        <w:rPr>
          <w:rFonts w:ascii="Times New Roman" w:eastAsia="Arial Unicode MS" w:hAnsi="Times New Roman" w:cs="Times New Roman"/>
          <w:i/>
          <w:szCs w:val="20"/>
          <w:lang w:val="en-US"/>
        </w:rPr>
        <w:t>Electrocardiol</w:t>
      </w:r>
      <w:proofErr w:type="spellEnd"/>
      <w:r w:rsidR="00D012F1" w:rsidRPr="00BB0C07">
        <w:rPr>
          <w:rFonts w:ascii="Times New Roman" w:eastAsia="Arial Unicode MS" w:hAnsi="Times New Roman" w:cs="Times New Roman"/>
          <w:i/>
          <w:szCs w:val="20"/>
          <w:lang w:val="en-US"/>
        </w:rPr>
        <w:t>.</w:t>
      </w:r>
      <w:r w:rsidRPr="00BB0C07">
        <w:rPr>
          <w:rFonts w:ascii="Times New Roman" w:eastAsia="Arial Unicode MS" w:hAnsi="Times New Roman" w:cs="Times New Roman"/>
          <w:i/>
          <w:szCs w:val="20"/>
          <w:lang w:val="en-US"/>
        </w:rPr>
        <w:t xml:space="preserve"> </w:t>
      </w:r>
      <w:r w:rsidRPr="00BB0C07">
        <w:rPr>
          <w:rFonts w:ascii="Times New Roman" w:eastAsia="Arial Unicode MS" w:hAnsi="Times New Roman" w:cs="Times New Roman"/>
          <w:szCs w:val="20"/>
          <w:lang w:val="en-US"/>
        </w:rPr>
        <w:t>2013;46:45-50.</w:t>
      </w:r>
    </w:p>
    <w:p w:rsidR="006575B0" w:rsidRPr="00BB0C07" w:rsidRDefault="0046083B" w:rsidP="00D012F1">
      <w:pPr>
        <w:pStyle w:val="Lijstalinea"/>
        <w:numPr>
          <w:ilvl w:val="0"/>
          <w:numId w:val="12"/>
        </w:numPr>
        <w:spacing w:after="0"/>
        <w:rPr>
          <w:rFonts w:ascii="Times New Roman" w:hAnsi="Times New Roman"/>
          <w:lang w:val="en-US"/>
        </w:rPr>
      </w:pPr>
      <w:proofErr w:type="spellStart"/>
      <w:r w:rsidRPr="00BB0C07">
        <w:rPr>
          <w:rFonts w:ascii="Times New Roman" w:eastAsia="Arial Unicode MS" w:hAnsi="Times New Roman" w:cs="Times New Roman"/>
          <w:szCs w:val="20"/>
        </w:rPr>
        <w:t>Dlott</w:t>
      </w:r>
      <w:proofErr w:type="spellEnd"/>
      <w:r w:rsidRPr="00BB0C07">
        <w:rPr>
          <w:rFonts w:ascii="Times New Roman" w:eastAsia="Arial Unicode MS" w:hAnsi="Times New Roman" w:cs="Times New Roman"/>
          <w:szCs w:val="20"/>
        </w:rPr>
        <w:t xml:space="preserve"> JS, George RA, </w:t>
      </w:r>
      <w:proofErr w:type="spellStart"/>
      <w:r w:rsidRPr="00BB0C07">
        <w:rPr>
          <w:rFonts w:ascii="Times New Roman" w:eastAsia="Arial Unicode MS" w:hAnsi="Times New Roman" w:cs="Times New Roman"/>
          <w:szCs w:val="20"/>
        </w:rPr>
        <w:t>Huang</w:t>
      </w:r>
      <w:proofErr w:type="spellEnd"/>
      <w:r w:rsidRPr="00BB0C07">
        <w:rPr>
          <w:rFonts w:ascii="Times New Roman" w:eastAsia="Arial Unicode MS" w:hAnsi="Times New Roman" w:cs="Times New Roman"/>
          <w:szCs w:val="20"/>
        </w:rPr>
        <w:t xml:space="preserve"> X, et al. </w:t>
      </w:r>
      <w:r w:rsidRPr="00BB0C07">
        <w:rPr>
          <w:rFonts w:ascii="Times New Roman" w:eastAsia="Arial Unicode MS" w:hAnsi="Times New Roman" w:cs="Times New Roman"/>
          <w:szCs w:val="20"/>
          <w:lang w:val="en-US"/>
        </w:rPr>
        <w:t xml:space="preserve">National assessment of warfarin anticoagulation therapy for stroke prevention in atrial fibrillation. </w:t>
      </w:r>
      <w:r w:rsidRPr="00BB0C07">
        <w:rPr>
          <w:rFonts w:ascii="Times New Roman" w:eastAsia="Arial Unicode MS" w:hAnsi="Times New Roman" w:cs="Times New Roman"/>
          <w:i/>
          <w:szCs w:val="20"/>
          <w:lang w:val="en-US"/>
        </w:rPr>
        <w:t>Circulation</w:t>
      </w:r>
      <w:r w:rsidR="00D012F1" w:rsidRPr="00BB0C07">
        <w:rPr>
          <w:rFonts w:ascii="Times New Roman" w:eastAsia="Arial Unicode MS" w:hAnsi="Times New Roman" w:cs="Times New Roman"/>
          <w:i/>
          <w:szCs w:val="20"/>
          <w:lang w:val="en-US"/>
        </w:rPr>
        <w:t>.</w:t>
      </w:r>
      <w:r w:rsidRPr="00BB0C07">
        <w:rPr>
          <w:rFonts w:ascii="Times New Roman" w:eastAsia="Arial Unicode MS" w:hAnsi="Times New Roman" w:cs="Times New Roman"/>
          <w:szCs w:val="20"/>
          <w:lang w:val="en-US"/>
        </w:rPr>
        <w:t xml:space="preserve"> 2014;129:1407-14.</w:t>
      </w:r>
    </w:p>
    <w:p w:rsidR="006575B0" w:rsidRPr="00BB0C07" w:rsidRDefault="0046083B" w:rsidP="00D012F1">
      <w:pPr>
        <w:pStyle w:val="Lijstalinea"/>
        <w:numPr>
          <w:ilvl w:val="0"/>
          <w:numId w:val="12"/>
        </w:numPr>
        <w:spacing w:after="0"/>
        <w:rPr>
          <w:rFonts w:ascii="Times New Roman" w:hAnsi="Times New Roman"/>
          <w:lang w:val="en-US"/>
        </w:rPr>
      </w:pPr>
      <w:proofErr w:type="spellStart"/>
      <w:r w:rsidRPr="00BB0C07">
        <w:rPr>
          <w:rFonts w:ascii="Times New Roman" w:eastAsia="Arial Unicode MS" w:hAnsi="Times New Roman" w:cs="Times New Roman"/>
          <w:szCs w:val="20"/>
          <w:lang w:val="en-US"/>
        </w:rPr>
        <w:lastRenderedPageBreak/>
        <w:t>Razouki</w:t>
      </w:r>
      <w:proofErr w:type="spellEnd"/>
      <w:r w:rsidRPr="00BB0C07">
        <w:rPr>
          <w:rFonts w:ascii="Times New Roman" w:eastAsia="Arial Unicode MS" w:hAnsi="Times New Roman" w:cs="Times New Roman"/>
          <w:szCs w:val="20"/>
          <w:lang w:val="en-US"/>
        </w:rPr>
        <w:t xml:space="preserve"> Z, </w:t>
      </w:r>
      <w:proofErr w:type="spellStart"/>
      <w:r w:rsidRPr="00BB0C07">
        <w:rPr>
          <w:rFonts w:ascii="Times New Roman" w:eastAsia="Arial Unicode MS" w:hAnsi="Times New Roman" w:cs="Times New Roman"/>
          <w:szCs w:val="20"/>
          <w:lang w:val="en-US"/>
        </w:rPr>
        <w:t>Ozonoff</w:t>
      </w:r>
      <w:proofErr w:type="spellEnd"/>
      <w:r w:rsidRPr="00BB0C07">
        <w:rPr>
          <w:rFonts w:ascii="Times New Roman" w:eastAsia="Arial Unicode MS" w:hAnsi="Times New Roman" w:cs="Times New Roman"/>
          <w:szCs w:val="20"/>
          <w:lang w:val="en-US"/>
        </w:rPr>
        <w:t xml:space="preserve"> A, Zhao S, </w:t>
      </w:r>
      <w:proofErr w:type="spellStart"/>
      <w:r w:rsidRPr="00BB0C07">
        <w:rPr>
          <w:rFonts w:ascii="Times New Roman" w:eastAsia="Arial Unicode MS" w:hAnsi="Times New Roman" w:cs="Times New Roman"/>
          <w:szCs w:val="20"/>
          <w:lang w:val="en-US"/>
        </w:rPr>
        <w:t>Jasuja</w:t>
      </w:r>
      <w:proofErr w:type="spellEnd"/>
      <w:r w:rsidRPr="00BB0C07">
        <w:rPr>
          <w:rFonts w:ascii="Times New Roman" w:eastAsia="Arial Unicode MS" w:hAnsi="Times New Roman" w:cs="Times New Roman"/>
          <w:szCs w:val="20"/>
          <w:lang w:val="en-US"/>
        </w:rPr>
        <w:t xml:space="preserve"> GK, Rose AJ. Improving quality measurement for anticoagul</w:t>
      </w:r>
      <w:r w:rsidRPr="00BB0C07">
        <w:rPr>
          <w:rFonts w:ascii="Times New Roman" w:eastAsia="Arial Unicode MS" w:hAnsi="Times New Roman" w:cs="Times New Roman"/>
          <w:szCs w:val="20"/>
          <w:lang w:val="en-US"/>
        </w:rPr>
        <w:t>a</w:t>
      </w:r>
      <w:r w:rsidRPr="00BB0C07">
        <w:rPr>
          <w:rFonts w:ascii="Times New Roman" w:eastAsia="Arial Unicode MS" w:hAnsi="Times New Roman" w:cs="Times New Roman"/>
          <w:szCs w:val="20"/>
          <w:lang w:val="en-US"/>
        </w:rPr>
        <w:t xml:space="preserve">tion. Adding international normalized ratio variability to percent time in therapeutic range. </w:t>
      </w:r>
      <w:proofErr w:type="spellStart"/>
      <w:r w:rsidRPr="00BB0C07">
        <w:rPr>
          <w:rFonts w:ascii="Times New Roman" w:eastAsia="Arial Unicode MS" w:hAnsi="Times New Roman" w:cs="Times New Roman"/>
          <w:i/>
          <w:szCs w:val="20"/>
          <w:lang w:val="en-US"/>
        </w:rPr>
        <w:t>Circ</w:t>
      </w:r>
      <w:proofErr w:type="spellEnd"/>
      <w:r w:rsidRPr="00BB0C07">
        <w:rPr>
          <w:rFonts w:ascii="Times New Roman" w:eastAsia="Arial Unicode MS" w:hAnsi="Times New Roman" w:cs="Times New Roman"/>
          <w:i/>
          <w:szCs w:val="20"/>
          <w:lang w:val="en-US"/>
        </w:rPr>
        <w:t xml:space="preserve"> </w:t>
      </w:r>
      <w:proofErr w:type="spellStart"/>
      <w:r w:rsidRPr="00BB0C07">
        <w:rPr>
          <w:rFonts w:ascii="Times New Roman" w:eastAsia="Arial Unicode MS" w:hAnsi="Times New Roman" w:cs="Times New Roman"/>
          <w:i/>
          <w:szCs w:val="20"/>
          <w:lang w:val="en-US"/>
        </w:rPr>
        <w:t>Cardi</w:t>
      </w:r>
      <w:r w:rsidRPr="00BB0C07">
        <w:rPr>
          <w:rFonts w:ascii="Times New Roman" w:eastAsia="Arial Unicode MS" w:hAnsi="Times New Roman" w:cs="Times New Roman"/>
          <w:i/>
          <w:szCs w:val="20"/>
          <w:lang w:val="en-US"/>
        </w:rPr>
        <w:t>o</w:t>
      </w:r>
      <w:r w:rsidRPr="00BB0C07">
        <w:rPr>
          <w:rFonts w:ascii="Times New Roman" w:eastAsia="Arial Unicode MS" w:hAnsi="Times New Roman" w:cs="Times New Roman"/>
          <w:i/>
          <w:szCs w:val="20"/>
          <w:lang w:val="en-US"/>
        </w:rPr>
        <w:t>vasc</w:t>
      </w:r>
      <w:proofErr w:type="spellEnd"/>
      <w:r w:rsidRPr="00BB0C07">
        <w:rPr>
          <w:rFonts w:ascii="Times New Roman" w:eastAsia="Arial Unicode MS" w:hAnsi="Times New Roman" w:cs="Times New Roman"/>
          <w:i/>
          <w:szCs w:val="20"/>
          <w:lang w:val="en-US"/>
        </w:rPr>
        <w:t xml:space="preserve"> </w:t>
      </w:r>
      <w:proofErr w:type="spellStart"/>
      <w:r w:rsidRPr="00BB0C07">
        <w:rPr>
          <w:rFonts w:ascii="Times New Roman" w:eastAsia="Arial Unicode MS" w:hAnsi="Times New Roman" w:cs="Times New Roman"/>
          <w:i/>
          <w:szCs w:val="20"/>
          <w:lang w:val="en-US"/>
        </w:rPr>
        <w:t>Qual</w:t>
      </w:r>
      <w:proofErr w:type="spellEnd"/>
      <w:r w:rsidRPr="00BB0C07">
        <w:rPr>
          <w:rFonts w:ascii="Times New Roman" w:eastAsia="Arial Unicode MS" w:hAnsi="Times New Roman" w:cs="Times New Roman"/>
          <w:i/>
          <w:szCs w:val="20"/>
          <w:lang w:val="en-US"/>
        </w:rPr>
        <w:t xml:space="preserve"> Outcomes</w:t>
      </w:r>
      <w:r w:rsidR="00D012F1" w:rsidRPr="00BB0C07">
        <w:rPr>
          <w:rFonts w:ascii="Times New Roman" w:eastAsia="Arial Unicode MS" w:hAnsi="Times New Roman" w:cs="Times New Roman"/>
          <w:i/>
          <w:szCs w:val="20"/>
          <w:lang w:val="en-US"/>
        </w:rPr>
        <w:t>.</w:t>
      </w:r>
      <w:r w:rsidRPr="00BB0C07">
        <w:rPr>
          <w:rFonts w:ascii="Times New Roman" w:eastAsia="Arial Unicode MS" w:hAnsi="Times New Roman" w:cs="Times New Roman"/>
          <w:i/>
          <w:szCs w:val="20"/>
          <w:lang w:val="en-US"/>
        </w:rPr>
        <w:t xml:space="preserve"> </w:t>
      </w:r>
      <w:r w:rsidRPr="00BB0C07">
        <w:rPr>
          <w:rFonts w:ascii="Times New Roman" w:eastAsia="Arial Unicode MS" w:hAnsi="Times New Roman" w:cs="Times New Roman"/>
          <w:szCs w:val="20"/>
          <w:lang w:val="en-US"/>
        </w:rPr>
        <w:t>2014;7:664-9.</w:t>
      </w:r>
    </w:p>
    <w:p w:rsidR="006575B0" w:rsidRPr="00BB0C07" w:rsidRDefault="0046083B" w:rsidP="00D012F1">
      <w:pPr>
        <w:pStyle w:val="Lijstalinea"/>
        <w:numPr>
          <w:ilvl w:val="0"/>
          <w:numId w:val="12"/>
        </w:numPr>
        <w:spacing w:after="0"/>
        <w:rPr>
          <w:rFonts w:ascii="Times New Roman" w:hAnsi="Times New Roman"/>
          <w:lang w:val="en-US"/>
        </w:rPr>
      </w:pPr>
      <w:r w:rsidRPr="00BB0C07">
        <w:rPr>
          <w:rFonts w:ascii="Times New Roman" w:hAnsi="Times New Roman" w:cs="Times New Roman"/>
          <w:szCs w:val="20"/>
          <w:lang w:val="en-US"/>
        </w:rPr>
        <w:t xml:space="preserve">January CT, </w:t>
      </w:r>
      <w:proofErr w:type="spellStart"/>
      <w:r w:rsidRPr="00BB0C07">
        <w:rPr>
          <w:rFonts w:ascii="Times New Roman" w:hAnsi="Times New Roman" w:cs="Times New Roman"/>
          <w:szCs w:val="20"/>
          <w:lang w:val="en-US"/>
        </w:rPr>
        <w:t>Wann</w:t>
      </w:r>
      <w:proofErr w:type="spellEnd"/>
      <w:r w:rsidRPr="00BB0C07">
        <w:rPr>
          <w:rFonts w:ascii="Times New Roman" w:hAnsi="Times New Roman" w:cs="Times New Roman"/>
          <w:szCs w:val="20"/>
          <w:lang w:val="en-US"/>
        </w:rPr>
        <w:t xml:space="preserve"> LS, Alpert JS, et al. 2014 AHA/ACC/HRS guideline for the management of patients with atrial fibrillation: a report of the American College of Cardiology/American Heart </w:t>
      </w:r>
      <w:proofErr w:type="spellStart"/>
      <w:r w:rsidRPr="00BB0C07">
        <w:rPr>
          <w:rFonts w:ascii="Times New Roman" w:hAnsi="Times New Roman" w:cs="Times New Roman"/>
          <w:szCs w:val="20"/>
          <w:lang w:val="en-US"/>
        </w:rPr>
        <w:t>Assocation</w:t>
      </w:r>
      <w:proofErr w:type="spellEnd"/>
      <w:r w:rsidRPr="00BB0C07">
        <w:rPr>
          <w:rFonts w:ascii="Times New Roman" w:hAnsi="Times New Roman" w:cs="Times New Roman"/>
          <w:szCs w:val="20"/>
          <w:lang w:val="en-US"/>
        </w:rPr>
        <w:t xml:space="preserve"> Task Force on Practice Guidelines and the Heart Rhythm Society. </w:t>
      </w:r>
      <w:r w:rsidRPr="00BB0C07">
        <w:rPr>
          <w:rFonts w:ascii="Times New Roman" w:hAnsi="Times New Roman" w:cs="Times New Roman"/>
          <w:i/>
          <w:szCs w:val="20"/>
          <w:lang w:val="en-US"/>
        </w:rPr>
        <w:t xml:space="preserve">J Am </w:t>
      </w:r>
      <w:proofErr w:type="spellStart"/>
      <w:r w:rsidRPr="00BB0C07">
        <w:rPr>
          <w:rFonts w:ascii="Times New Roman" w:hAnsi="Times New Roman" w:cs="Times New Roman"/>
          <w:i/>
          <w:szCs w:val="20"/>
          <w:lang w:val="en-US"/>
        </w:rPr>
        <w:t>Coll</w:t>
      </w:r>
      <w:proofErr w:type="spellEnd"/>
      <w:r w:rsidRPr="00BB0C07">
        <w:rPr>
          <w:rFonts w:ascii="Times New Roman" w:hAnsi="Times New Roman" w:cs="Times New Roman"/>
          <w:i/>
          <w:szCs w:val="20"/>
          <w:lang w:val="en-US"/>
        </w:rPr>
        <w:t xml:space="preserve"> </w:t>
      </w:r>
      <w:proofErr w:type="spellStart"/>
      <w:r w:rsidRPr="00BB0C07">
        <w:rPr>
          <w:rFonts w:ascii="Times New Roman" w:hAnsi="Times New Roman" w:cs="Times New Roman"/>
          <w:i/>
          <w:szCs w:val="20"/>
          <w:lang w:val="en-US"/>
        </w:rPr>
        <w:t>Cardiol</w:t>
      </w:r>
      <w:proofErr w:type="spellEnd"/>
      <w:r w:rsidR="00D012F1" w:rsidRPr="00BB0C07">
        <w:rPr>
          <w:rFonts w:ascii="Times New Roman" w:hAnsi="Times New Roman" w:cs="Times New Roman"/>
          <w:i/>
          <w:szCs w:val="20"/>
          <w:lang w:val="en-US"/>
        </w:rPr>
        <w:t>.</w:t>
      </w:r>
      <w:r w:rsidRPr="00BB0C07">
        <w:rPr>
          <w:rFonts w:ascii="Times New Roman" w:hAnsi="Times New Roman" w:cs="Times New Roman"/>
          <w:i/>
          <w:szCs w:val="20"/>
          <w:lang w:val="en-US"/>
        </w:rPr>
        <w:t xml:space="preserve"> </w:t>
      </w:r>
      <w:r w:rsidRPr="00BB0C07">
        <w:rPr>
          <w:rFonts w:ascii="Times New Roman" w:hAnsi="Times New Roman" w:cs="Times New Roman"/>
          <w:szCs w:val="20"/>
          <w:lang w:val="en-US"/>
        </w:rPr>
        <w:t>2014;64:e1-76.</w:t>
      </w:r>
    </w:p>
    <w:p w:rsidR="006575B0" w:rsidRPr="00BB0C07" w:rsidRDefault="0046083B" w:rsidP="00D012F1">
      <w:pPr>
        <w:pStyle w:val="Lijstalinea"/>
        <w:numPr>
          <w:ilvl w:val="0"/>
          <w:numId w:val="12"/>
        </w:numPr>
        <w:spacing w:after="0"/>
        <w:rPr>
          <w:rFonts w:ascii="Times New Roman" w:hAnsi="Times New Roman"/>
          <w:lang w:val="en-US"/>
        </w:rPr>
      </w:pPr>
      <w:proofErr w:type="spellStart"/>
      <w:r w:rsidRPr="00BB0C07">
        <w:rPr>
          <w:rFonts w:ascii="Times New Roman" w:hAnsi="Times New Roman" w:cs="Times New Roman"/>
          <w:szCs w:val="20"/>
        </w:rPr>
        <w:t>Ansell</w:t>
      </w:r>
      <w:proofErr w:type="spellEnd"/>
      <w:r w:rsidRPr="00BB0C07">
        <w:rPr>
          <w:rFonts w:ascii="Times New Roman" w:hAnsi="Times New Roman" w:cs="Times New Roman"/>
          <w:szCs w:val="20"/>
        </w:rPr>
        <w:t xml:space="preserve"> J, </w:t>
      </w:r>
      <w:proofErr w:type="spellStart"/>
      <w:r w:rsidRPr="00BB0C07">
        <w:rPr>
          <w:rFonts w:ascii="Times New Roman" w:hAnsi="Times New Roman" w:cs="Times New Roman"/>
          <w:szCs w:val="20"/>
        </w:rPr>
        <w:t>Hirsh</w:t>
      </w:r>
      <w:proofErr w:type="spellEnd"/>
      <w:r w:rsidRPr="00BB0C07">
        <w:rPr>
          <w:rFonts w:ascii="Times New Roman" w:hAnsi="Times New Roman" w:cs="Times New Roman"/>
          <w:szCs w:val="20"/>
        </w:rPr>
        <w:t xml:space="preserve"> J, </w:t>
      </w:r>
      <w:proofErr w:type="spellStart"/>
      <w:r w:rsidRPr="00BB0C07">
        <w:rPr>
          <w:rFonts w:ascii="Times New Roman" w:hAnsi="Times New Roman" w:cs="Times New Roman"/>
          <w:szCs w:val="20"/>
        </w:rPr>
        <w:t>Hylek</w:t>
      </w:r>
      <w:proofErr w:type="spellEnd"/>
      <w:r w:rsidRPr="00BB0C07">
        <w:rPr>
          <w:rFonts w:ascii="Times New Roman" w:hAnsi="Times New Roman" w:cs="Times New Roman"/>
          <w:szCs w:val="20"/>
        </w:rPr>
        <w:t xml:space="preserve"> E, et al. </w:t>
      </w:r>
      <w:r w:rsidRPr="00BB0C07">
        <w:rPr>
          <w:rFonts w:ascii="Times New Roman" w:hAnsi="Times New Roman" w:cs="Times New Roman"/>
          <w:szCs w:val="20"/>
          <w:lang w:val="en-US"/>
        </w:rPr>
        <w:t>Pharmacology and management of the vitamin K antagonists: American  College of Chest Physicians evidence-based clinical practice guidelines (8</w:t>
      </w:r>
      <w:r w:rsidRPr="00BB0C07">
        <w:rPr>
          <w:rFonts w:ascii="Times New Roman" w:hAnsi="Times New Roman" w:cs="Times New Roman"/>
          <w:szCs w:val="20"/>
          <w:vertAlign w:val="superscript"/>
          <w:lang w:val="en-US"/>
        </w:rPr>
        <w:t>th</w:t>
      </w:r>
      <w:r w:rsidRPr="00BB0C07">
        <w:rPr>
          <w:rFonts w:ascii="Times New Roman" w:hAnsi="Times New Roman" w:cs="Times New Roman"/>
          <w:szCs w:val="20"/>
          <w:lang w:val="en-US"/>
        </w:rPr>
        <w:t xml:space="preserve"> edition). </w:t>
      </w:r>
      <w:r w:rsidRPr="00BB0C07">
        <w:rPr>
          <w:rFonts w:ascii="Times New Roman" w:hAnsi="Times New Roman" w:cs="Times New Roman"/>
          <w:i/>
          <w:szCs w:val="20"/>
          <w:lang w:val="en-US"/>
        </w:rPr>
        <w:t>Chest</w:t>
      </w:r>
      <w:r w:rsidR="00D012F1" w:rsidRPr="00BB0C07">
        <w:rPr>
          <w:rFonts w:ascii="Times New Roman" w:hAnsi="Times New Roman" w:cs="Times New Roman"/>
          <w:i/>
          <w:szCs w:val="20"/>
          <w:lang w:val="en-US"/>
        </w:rPr>
        <w:t>.</w:t>
      </w:r>
      <w:r w:rsidRPr="00BB0C07">
        <w:rPr>
          <w:rFonts w:ascii="Times New Roman" w:hAnsi="Times New Roman" w:cs="Times New Roman"/>
          <w:i/>
          <w:szCs w:val="20"/>
          <w:lang w:val="en-US"/>
        </w:rPr>
        <w:t xml:space="preserve"> </w:t>
      </w:r>
      <w:r w:rsidRPr="00BB0C07">
        <w:rPr>
          <w:rFonts w:ascii="Times New Roman" w:hAnsi="Times New Roman" w:cs="Times New Roman"/>
          <w:szCs w:val="20"/>
          <w:lang w:val="en-US"/>
        </w:rPr>
        <w:t>2008;133:160S-98S.</w:t>
      </w:r>
    </w:p>
    <w:p w:rsidR="00952569" w:rsidRPr="00BB0C07" w:rsidRDefault="0046083B" w:rsidP="00D012F1">
      <w:pPr>
        <w:pStyle w:val="Lijstalinea"/>
        <w:numPr>
          <w:ilvl w:val="0"/>
          <w:numId w:val="12"/>
        </w:numPr>
        <w:spacing w:after="0"/>
        <w:rPr>
          <w:rFonts w:ascii="Times New Roman" w:hAnsi="Times New Roman"/>
          <w:lang w:val="en-US"/>
        </w:rPr>
      </w:pPr>
      <w:proofErr w:type="spellStart"/>
      <w:r w:rsidRPr="00BB0C07">
        <w:rPr>
          <w:rFonts w:ascii="Times New Roman" w:hAnsi="Times New Roman" w:cs="Times New Roman"/>
          <w:szCs w:val="20"/>
          <w:lang w:val="en-US"/>
        </w:rPr>
        <w:t>Grifoni</w:t>
      </w:r>
      <w:proofErr w:type="spellEnd"/>
      <w:r w:rsidRPr="00BB0C07">
        <w:rPr>
          <w:rFonts w:ascii="Times New Roman" w:hAnsi="Times New Roman" w:cs="Times New Roman"/>
          <w:szCs w:val="20"/>
          <w:lang w:val="en-US"/>
        </w:rPr>
        <w:t xml:space="preserve"> S, </w:t>
      </w:r>
      <w:proofErr w:type="spellStart"/>
      <w:r w:rsidRPr="00BB0C07">
        <w:rPr>
          <w:rFonts w:ascii="Times New Roman" w:hAnsi="Times New Roman" w:cs="Times New Roman"/>
          <w:szCs w:val="20"/>
          <w:lang w:val="en-US"/>
        </w:rPr>
        <w:t>Olivotto</w:t>
      </w:r>
      <w:proofErr w:type="spellEnd"/>
      <w:r w:rsidRPr="00BB0C07">
        <w:rPr>
          <w:rFonts w:ascii="Times New Roman" w:hAnsi="Times New Roman" w:cs="Times New Roman"/>
          <w:szCs w:val="20"/>
          <w:lang w:val="en-US"/>
        </w:rPr>
        <w:t xml:space="preserve"> I, </w:t>
      </w:r>
      <w:proofErr w:type="spellStart"/>
      <w:r w:rsidRPr="00BB0C07">
        <w:rPr>
          <w:rFonts w:ascii="Times New Roman" w:hAnsi="Times New Roman" w:cs="Times New Roman"/>
          <w:szCs w:val="20"/>
          <w:lang w:val="en-US"/>
        </w:rPr>
        <w:t>Cecchini</w:t>
      </w:r>
      <w:proofErr w:type="spellEnd"/>
      <w:r w:rsidRPr="00BB0C07">
        <w:rPr>
          <w:rFonts w:ascii="Times New Roman" w:hAnsi="Times New Roman" w:cs="Times New Roman"/>
          <w:szCs w:val="20"/>
          <w:lang w:val="en-US"/>
        </w:rPr>
        <w:t xml:space="preserve"> P, et al. Short-term clinical outcome of patients with acute pulmonary embolism, normal blood pressure, and echocardiographic right ventricular dysfunction. Circulation</w:t>
      </w:r>
      <w:r w:rsidRPr="00BB0C07">
        <w:rPr>
          <w:rFonts w:ascii="Times New Roman" w:hAnsi="Times New Roman" w:cs="Times New Roman"/>
          <w:i/>
          <w:szCs w:val="20"/>
          <w:lang w:val="en-US"/>
        </w:rPr>
        <w:t xml:space="preserve"> </w:t>
      </w:r>
      <w:r w:rsidRPr="00BB0C07">
        <w:rPr>
          <w:rFonts w:ascii="Times New Roman" w:hAnsi="Times New Roman" w:cs="Times New Roman"/>
          <w:szCs w:val="20"/>
          <w:lang w:val="en-US"/>
        </w:rPr>
        <w:t>2000;101:2817-22.</w:t>
      </w:r>
    </w:p>
    <w:p w:rsidR="00952569" w:rsidRPr="00BB0C07" w:rsidRDefault="0046083B" w:rsidP="00D012F1">
      <w:pPr>
        <w:pStyle w:val="Lijstalinea"/>
        <w:numPr>
          <w:ilvl w:val="0"/>
          <w:numId w:val="12"/>
        </w:numPr>
        <w:spacing w:after="0"/>
        <w:rPr>
          <w:rFonts w:ascii="Times New Roman" w:hAnsi="Times New Roman"/>
          <w:lang w:val="en-US"/>
        </w:rPr>
      </w:pPr>
      <w:proofErr w:type="spellStart"/>
      <w:r w:rsidRPr="00BB0C07">
        <w:rPr>
          <w:rFonts w:ascii="Times New Roman" w:hAnsi="Times New Roman" w:cs="Times New Roman"/>
          <w:szCs w:val="20"/>
          <w:lang w:val="en-US"/>
        </w:rPr>
        <w:t>Minicucci</w:t>
      </w:r>
      <w:proofErr w:type="spellEnd"/>
      <w:r w:rsidRPr="00BB0C07">
        <w:rPr>
          <w:rFonts w:ascii="Times New Roman" w:hAnsi="Times New Roman" w:cs="Times New Roman"/>
          <w:szCs w:val="20"/>
          <w:lang w:val="en-US"/>
        </w:rPr>
        <w:t xml:space="preserve"> MF, </w:t>
      </w:r>
      <w:proofErr w:type="spellStart"/>
      <w:r w:rsidRPr="00BB0C07">
        <w:rPr>
          <w:rFonts w:ascii="Times New Roman" w:hAnsi="Times New Roman" w:cs="Times New Roman"/>
          <w:szCs w:val="20"/>
          <w:lang w:val="en-US"/>
        </w:rPr>
        <w:t>Azevedo</w:t>
      </w:r>
      <w:proofErr w:type="spellEnd"/>
      <w:r w:rsidRPr="00BB0C07">
        <w:rPr>
          <w:rFonts w:ascii="Times New Roman" w:hAnsi="Times New Roman" w:cs="Times New Roman"/>
          <w:szCs w:val="20"/>
          <w:lang w:val="en-US"/>
        </w:rPr>
        <w:t xml:space="preserve"> PS, </w:t>
      </w:r>
      <w:proofErr w:type="spellStart"/>
      <w:r w:rsidRPr="00BB0C07">
        <w:rPr>
          <w:rFonts w:ascii="Times New Roman" w:hAnsi="Times New Roman" w:cs="Times New Roman"/>
          <w:szCs w:val="20"/>
          <w:lang w:val="en-US"/>
        </w:rPr>
        <w:t>Polegato</w:t>
      </w:r>
      <w:proofErr w:type="spellEnd"/>
      <w:r w:rsidRPr="00BB0C07">
        <w:rPr>
          <w:rFonts w:ascii="Times New Roman" w:hAnsi="Times New Roman" w:cs="Times New Roman"/>
          <w:szCs w:val="20"/>
          <w:lang w:val="en-US"/>
        </w:rPr>
        <w:t xml:space="preserve"> BF, </w:t>
      </w:r>
      <w:proofErr w:type="spellStart"/>
      <w:r w:rsidRPr="00BB0C07">
        <w:rPr>
          <w:rFonts w:ascii="Times New Roman" w:hAnsi="Times New Roman" w:cs="Times New Roman"/>
          <w:szCs w:val="20"/>
          <w:lang w:val="en-US"/>
        </w:rPr>
        <w:t>Paiva</w:t>
      </w:r>
      <w:proofErr w:type="spellEnd"/>
      <w:r w:rsidRPr="00BB0C07">
        <w:rPr>
          <w:rFonts w:ascii="Times New Roman" w:hAnsi="Times New Roman" w:cs="Times New Roman"/>
          <w:szCs w:val="20"/>
          <w:lang w:val="en-US"/>
        </w:rPr>
        <w:t xml:space="preserve"> SA, </w:t>
      </w:r>
      <w:proofErr w:type="spellStart"/>
      <w:r w:rsidRPr="00BB0C07">
        <w:rPr>
          <w:rFonts w:ascii="Times New Roman" w:hAnsi="Times New Roman" w:cs="Times New Roman"/>
          <w:szCs w:val="20"/>
          <w:lang w:val="en-US"/>
        </w:rPr>
        <w:t>Zornoff</w:t>
      </w:r>
      <w:proofErr w:type="spellEnd"/>
      <w:r w:rsidRPr="00BB0C07">
        <w:rPr>
          <w:rFonts w:ascii="Times New Roman" w:hAnsi="Times New Roman" w:cs="Times New Roman"/>
          <w:szCs w:val="20"/>
          <w:lang w:val="en-US"/>
        </w:rPr>
        <w:t xml:space="preserve"> LA. Heart failure after myocardial infar</w:t>
      </w:r>
      <w:r w:rsidRPr="00BB0C07">
        <w:rPr>
          <w:rFonts w:ascii="Times New Roman" w:hAnsi="Times New Roman" w:cs="Times New Roman"/>
          <w:szCs w:val="20"/>
          <w:lang w:val="en-US"/>
        </w:rPr>
        <w:t>c</w:t>
      </w:r>
      <w:r w:rsidRPr="00BB0C07">
        <w:rPr>
          <w:rFonts w:ascii="Times New Roman" w:hAnsi="Times New Roman" w:cs="Times New Roman"/>
          <w:szCs w:val="20"/>
          <w:lang w:val="en-US"/>
        </w:rPr>
        <w:t xml:space="preserve">tion: clinical implications and treatment. </w:t>
      </w:r>
      <w:proofErr w:type="spellStart"/>
      <w:r w:rsidRPr="00BB0C07">
        <w:rPr>
          <w:rFonts w:ascii="Times New Roman" w:hAnsi="Times New Roman" w:cs="Times New Roman"/>
          <w:i/>
          <w:szCs w:val="20"/>
          <w:lang w:val="en-US"/>
        </w:rPr>
        <w:t>Clin</w:t>
      </w:r>
      <w:proofErr w:type="spellEnd"/>
      <w:r w:rsidRPr="00BB0C07">
        <w:rPr>
          <w:rFonts w:ascii="Times New Roman" w:hAnsi="Times New Roman" w:cs="Times New Roman"/>
          <w:i/>
          <w:szCs w:val="20"/>
          <w:lang w:val="en-US"/>
        </w:rPr>
        <w:t xml:space="preserve"> </w:t>
      </w:r>
      <w:proofErr w:type="spellStart"/>
      <w:r w:rsidRPr="00BB0C07">
        <w:rPr>
          <w:rFonts w:ascii="Times New Roman" w:hAnsi="Times New Roman" w:cs="Times New Roman"/>
          <w:i/>
          <w:szCs w:val="20"/>
          <w:lang w:val="en-US"/>
        </w:rPr>
        <w:t>Cardiol</w:t>
      </w:r>
      <w:proofErr w:type="spellEnd"/>
      <w:r w:rsidR="00D012F1" w:rsidRPr="00BB0C07">
        <w:rPr>
          <w:rFonts w:ascii="Times New Roman" w:hAnsi="Times New Roman" w:cs="Times New Roman"/>
          <w:i/>
          <w:szCs w:val="20"/>
          <w:lang w:val="en-US"/>
        </w:rPr>
        <w:t>.</w:t>
      </w:r>
      <w:r w:rsidRPr="00BB0C07">
        <w:rPr>
          <w:rFonts w:ascii="Times New Roman" w:hAnsi="Times New Roman" w:cs="Times New Roman"/>
          <w:i/>
          <w:szCs w:val="20"/>
          <w:lang w:val="en-US"/>
        </w:rPr>
        <w:t xml:space="preserve"> </w:t>
      </w:r>
      <w:r w:rsidRPr="00BB0C07">
        <w:rPr>
          <w:rFonts w:ascii="Times New Roman" w:hAnsi="Times New Roman" w:cs="Times New Roman"/>
          <w:szCs w:val="20"/>
          <w:lang w:val="en-US"/>
        </w:rPr>
        <w:t>2011;34:410-4.</w:t>
      </w:r>
    </w:p>
    <w:p w:rsidR="004A5F92" w:rsidRPr="00BB0C07" w:rsidRDefault="004A5F92" w:rsidP="004A5F92">
      <w:pPr>
        <w:pStyle w:val="Lijstalinea"/>
        <w:numPr>
          <w:ilvl w:val="0"/>
          <w:numId w:val="12"/>
        </w:numPr>
        <w:spacing w:after="0"/>
        <w:rPr>
          <w:rFonts w:ascii="Times New Roman" w:hAnsi="Times New Roman"/>
          <w:lang w:val="en-US"/>
        </w:rPr>
      </w:pPr>
      <w:r w:rsidRPr="00BB0C07">
        <w:rPr>
          <w:rFonts w:ascii="Times New Roman" w:hAnsi="Times New Roman" w:cs="Times New Roman"/>
          <w:szCs w:val="20"/>
          <w:lang w:val="en-US"/>
        </w:rPr>
        <w:t xml:space="preserve">Talley NJ, </w:t>
      </w:r>
      <w:proofErr w:type="spellStart"/>
      <w:r w:rsidRPr="00BB0C07">
        <w:rPr>
          <w:rFonts w:ascii="Times New Roman" w:hAnsi="Times New Roman" w:cs="Times New Roman"/>
          <w:szCs w:val="20"/>
          <w:lang w:val="en-US"/>
        </w:rPr>
        <w:t>Vakil</w:t>
      </w:r>
      <w:proofErr w:type="spellEnd"/>
      <w:r w:rsidRPr="00BB0C07">
        <w:rPr>
          <w:rFonts w:ascii="Times New Roman" w:hAnsi="Times New Roman" w:cs="Times New Roman"/>
          <w:szCs w:val="20"/>
          <w:lang w:val="en-US"/>
        </w:rPr>
        <w:t xml:space="preserve"> N, The Practice Parameters Committee of the American College of Gastroenterology. Guidelines for the management of dyspepsia. </w:t>
      </w:r>
      <w:r w:rsidRPr="00BB0C07">
        <w:rPr>
          <w:rFonts w:ascii="Times New Roman" w:hAnsi="Times New Roman" w:cs="Times New Roman"/>
          <w:i/>
          <w:szCs w:val="20"/>
          <w:lang w:val="en-US"/>
        </w:rPr>
        <w:t xml:space="preserve">Am J </w:t>
      </w:r>
      <w:proofErr w:type="spellStart"/>
      <w:r w:rsidRPr="00BB0C07">
        <w:rPr>
          <w:rFonts w:ascii="Times New Roman" w:hAnsi="Times New Roman" w:cs="Times New Roman"/>
          <w:i/>
          <w:szCs w:val="20"/>
          <w:lang w:val="en-US"/>
        </w:rPr>
        <w:t>Gastroenterol</w:t>
      </w:r>
      <w:proofErr w:type="spellEnd"/>
      <w:r w:rsidRPr="00BB0C07">
        <w:rPr>
          <w:rFonts w:ascii="Times New Roman" w:hAnsi="Times New Roman" w:cs="Times New Roman"/>
          <w:i/>
          <w:szCs w:val="20"/>
          <w:lang w:val="en-US"/>
        </w:rPr>
        <w:t xml:space="preserve">. </w:t>
      </w:r>
      <w:r w:rsidRPr="00BB0C07">
        <w:rPr>
          <w:rFonts w:ascii="Times New Roman" w:hAnsi="Times New Roman" w:cs="Times New Roman"/>
          <w:szCs w:val="20"/>
          <w:lang w:val="en-US"/>
        </w:rPr>
        <w:t>2005;100:2324-37.</w:t>
      </w:r>
    </w:p>
    <w:sectPr w:rsidR="004A5F92" w:rsidRPr="00BB0C07" w:rsidSect="00982538">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CEB" w:rsidRDefault="000A2CEB">
      <w:pPr>
        <w:spacing w:after="0" w:line="240" w:lineRule="auto"/>
      </w:pPr>
      <w:r>
        <w:separator/>
      </w:r>
    </w:p>
  </w:endnote>
  <w:endnote w:type="continuationSeparator" w:id="0">
    <w:p w:rsidR="000A2CEB" w:rsidRDefault="000A2CEB">
      <w:pPr>
        <w:spacing w:after="0" w:line="240" w:lineRule="auto"/>
      </w:pPr>
      <w:r>
        <w:continuationSeparator/>
      </w:r>
    </w:p>
  </w:endnote>
  <w:endnote w:type="continuationNotice" w:id="1">
    <w:p w:rsidR="000A2CEB" w:rsidRDefault="000A2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 Pro Light">
    <w:altName w:val="Meta Pro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4F" w:rsidRDefault="00D9154F" w:rsidP="00785550">
    <w:pPr>
      <w:pStyle w:val="Voettekst"/>
      <w:jc w:val="center"/>
    </w:pPr>
  </w:p>
  <w:p w:rsidR="00D9154F" w:rsidRDefault="00D9154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4F" w:rsidRDefault="00D9154F" w:rsidP="00982538">
    <w:pPr>
      <w:pStyle w:val="Voettekst"/>
    </w:pPr>
  </w:p>
  <w:p w:rsidR="00D9154F" w:rsidRDefault="00D9154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CEB" w:rsidRDefault="000A2CEB">
      <w:pPr>
        <w:spacing w:after="0" w:line="240" w:lineRule="auto"/>
      </w:pPr>
      <w:r>
        <w:separator/>
      </w:r>
    </w:p>
  </w:footnote>
  <w:footnote w:type="continuationSeparator" w:id="0">
    <w:p w:rsidR="000A2CEB" w:rsidRDefault="000A2CEB">
      <w:pPr>
        <w:spacing w:after="0" w:line="240" w:lineRule="auto"/>
      </w:pPr>
      <w:r>
        <w:continuationSeparator/>
      </w:r>
    </w:p>
  </w:footnote>
  <w:footnote w:type="continuationNotice" w:id="1">
    <w:p w:rsidR="000A2CEB" w:rsidRDefault="000A2CE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4F" w:rsidRDefault="00D9154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B48"/>
    <w:multiLevelType w:val="hybridMultilevel"/>
    <w:tmpl w:val="D53ABDE8"/>
    <w:lvl w:ilvl="0" w:tplc="CC2894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93454E"/>
    <w:multiLevelType w:val="hybridMultilevel"/>
    <w:tmpl w:val="266C7DA8"/>
    <w:lvl w:ilvl="0" w:tplc="C9CC1EC6">
      <w:numFmt w:val="bullet"/>
      <w:lvlText w:val="→"/>
      <w:lvlJc w:val="left"/>
      <w:pPr>
        <w:ind w:left="644" w:hanging="360"/>
      </w:pPr>
      <w:rPr>
        <w:rFonts w:ascii="Calibri" w:eastAsiaTheme="minorEastAsia"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FA09B4"/>
    <w:multiLevelType w:val="hybridMultilevel"/>
    <w:tmpl w:val="09A8ED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9A17A2C"/>
    <w:multiLevelType w:val="hybridMultilevel"/>
    <w:tmpl w:val="962CB9A2"/>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B11F4F"/>
    <w:multiLevelType w:val="hybridMultilevel"/>
    <w:tmpl w:val="1AC0B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0F645BF"/>
    <w:multiLevelType w:val="hybridMultilevel"/>
    <w:tmpl w:val="CA3AC6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2985956"/>
    <w:multiLevelType w:val="hybridMultilevel"/>
    <w:tmpl w:val="EE000C02"/>
    <w:lvl w:ilvl="0" w:tplc="C9CC1EC6">
      <w:numFmt w:val="bullet"/>
      <w:lvlText w:val="→"/>
      <w:lvlJc w:val="left"/>
      <w:pPr>
        <w:ind w:left="720" w:hanging="360"/>
      </w:pPr>
      <w:rPr>
        <w:rFonts w:ascii="Calibri" w:eastAsiaTheme="minorEastAsia"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F847B8"/>
    <w:multiLevelType w:val="hybridMultilevel"/>
    <w:tmpl w:val="116E22F8"/>
    <w:lvl w:ilvl="0" w:tplc="CC28949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2EF34C4"/>
    <w:multiLevelType w:val="hybridMultilevel"/>
    <w:tmpl w:val="28D6135A"/>
    <w:lvl w:ilvl="0" w:tplc="CC2894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42463F"/>
    <w:multiLevelType w:val="hybridMultilevel"/>
    <w:tmpl w:val="396A04EA"/>
    <w:lvl w:ilvl="0" w:tplc="CC2894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9D3E4D"/>
    <w:multiLevelType w:val="hybridMultilevel"/>
    <w:tmpl w:val="9586B5EC"/>
    <w:lvl w:ilvl="0" w:tplc="CC2894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9E5B3F"/>
    <w:multiLevelType w:val="hybridMultilevel"/>
    <w:tmpl w:val="04E89D7A"/>
    <w:lvl w:ilvl="0" w:tplc="05E0AF0E">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E2601E1"/>
    <w:multiLevelType w:val="hybridMultilevel"/>
    <w:tmpl w:val="8836FC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5E297A"/>
    <w:multiLevelType w:val="hybridMultilevel"/>
    <w:tmpl w:val="E6EA4754"/>
    <w:lvl w:ilvl="0" w:tplc="CC2894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3A41BD6"/>
    <w:multiLevelType w:val="hybridMultilevel"/>
    <w:tmpl w:val="C388B5EC"/>
    <w:lvl w:ilvl="0" w:tplc="CC2894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1282251"/>
    <w:multiLevelType w:val="hybridMultilevel"/>
    <w:tmpl w:val="4B3A5C42"/>
    <w:lvl w:ilvl="0" w:tplc="4AE0F3EC">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0862DB"/>
    <w:multiLevelType w:val="hybridMultilevel"/>
    <w:tmpl w:val="580C519C"/>
    <w:lvl w:ilvl="0" w:tplc="4AE0F3EC">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8E3F7A"/>
    <w:multiLevelType w:val="hybridMultilevel"/>
    <w:tmpl w:val="EA2A0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B2F54AF"/>
    <w:multiLevelType w:val="hybridMultilevel"/>
    <w:tmpl w:val="0B88D13E"/>
    <w:lvl w:ilvl="0" w:tplc="CC2894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436145"/>
    <w:multiLevelType w:val="hybridMultilevel"/>
    <w:tmpl w:val="D5E8ABF6"/>
    <w:lvl w:ilvl="0" w:tplc="CC2894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E82306"/>
    <w:multiLevelType w:val="hybridMultilevel"/>
    <w:tmpl w:val="0876E4D4"/>
    <w:lvl w:ilvl="0" w:tplc="CC28949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5C9F13BC"/>
    <w:multiLevelType w:val="hybridMultilevel"/>
    <w:tmpl w:val="A6FC936E"/>
    <w:lvl w:ilvl="0" w:tplc="C9CC1EC6">
      <w:numFmt w:val="bullet"/>
      <w:lvlText w:val="→"/>
      <w:lvlJc w:val="left"/>
      <w:pPr>
        <w:ind w:left="720" w:hanging="360"/>
      </w:pPr>
      <w:rPr>
        <w:rFonts w:ascii="Calibri" w:eastAsiaTheme="minorEastAsia"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1B5653"/>
    <w:multiLevelType w:val="hybridMultilevel"/>
    <w:tmpl w:val="0748A80E"/>
    <w:lvl w:ilvl="0" w:tplc="C7AE0C42">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E2E3C26"/>
    <w:multiLevelType w:val="hybridMultilevel"/>
    <w:tmpl w:val="0748A80E"/>
    <w:lvl w:ilvl="0" w:tplc="C7AE0C42">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24E59"/>
    <w:multiLevelType w:val="hybridMultilevel"/>
    <w:tmpl w:val="C29093EA"/>
    <w:lvl w:ilvl="0" w:tplc="C9CC1EC6">
      <w:numFmt w:val="bullet"/>
      <w:lvlText w:val="→"/>
      <w:lvlJc w:val="left"/>
      <w:pPr>
        <w:ind w:left="720" w:hanging="360"/>
      </w:pPr>
      <w:rPr>
        <w:rFonts w:ascii="Calibri" w:eastAsiaTheme="minorEastAsia"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C1A80"/>
    <w:multiLevelType w:val="hybridMultilevel"/>
    <w:tmpl w:val="4540318E"/>
    <w:lvl w:ilvl="0" w:tplc="4AE0F3EC">
      <w:numFmt w:val="bullet"/>
      <w:lvlText w:val=""/>
      <w:lvlJc w:val="left"/>
      <w:pPr>
        <w:ind w:left="644" w:hanging="360"/>
      </w:pPr>
      <w:rPr>
        <w:rFonts w:ascii="Wingdings" w:eastAsiaTheme="minorEastAsia"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nsid w:val="6E660471"/>
    <w:multiLevelType w:val="hybridMultilevel"/>
    <w:tmpl w:val="FEEEBD44"/>
    <w:lvl w:ilvl="0" w:tplc="CC2894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CC4AC8"/>
    <w:multiLevelType w:val="hybridMultilevel"/>
    <w:tmpl w:val="1C10F224"/>
    <w:lvl w:ilvl="0" w:tplc="E0F8236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1B4447E"/>
    <w:multiLevelType w:val="hybridMultilevel"/>
    <w:tmpl w:val="DCC045CA"/>
    <w:lvl w:ilvl="0" w:tplc="CC2894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F6643B"/>
    <w:multiLevelType w:val="hybridMultilevel"/>
    <w:tmpl w:val="55E82E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784E0DAC"/>
    <w:multiLevelType w:val="hybridMultilevel"/>
    <w:tmpl w:val="1DD039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AB011BE"/>
    <w:multiLevelType w:val="hybridMultilevel"/>
    <w:tmpl w:val="B87635C2"/>
    <w:lvl w:ilvl="0" w:tplc="CC2894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C22D6D"/>
    <w:multiLevelType w:val="hybridMultilevel"/>
    <w:tmpl w:val="329600A4"/>
    <w:lvl w:ilvl="0" w:tplc="C9CC1EC6">
      <w:numFmt w:val="bullet"/>
      <w:lvlText w:val="→"/>
      <w:lvlJc w:val="left"/>
      <w:pPr>
        <w:ind w:left="644" w:hanging="360"/>
      </w:pPr>
      <w:rPr>
        <w:rFonts w:ascii="Calibri" w:eastAsiaTheme="minorEastAsia"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30"/>
  </w:num>
  <w:num w:numId="3">
    <w:abstractNumId w:val="14"/>
  </w:num>
  <w:num w:numId="4">
    <w:abstractNumId w:val="13"/>
  </w:num>
  <w:num w:numId="5">
    <w:abstractNumId w:val="4"/>
  </w:num>
  <w:num w:numId="6">
    <w:abstractNumId w:val="2"/>
  </w:num>
  <w:num w:numId="7">
    <w:abstractNumId w:val="29"/>
  </w:num>
  <w:num w:numId="8">
    <w:abstractNumId w:val="5"/>
  </w:num>
  <w:num w:numId="9">
    <w:abstractNumId w:val="22"/>
  </w:num>
  <w:num w:numId="10">
    <w:abstractNumId w:val="20"/>
  </w:num>
  <w:num w:numId="11">
    <w:abstractNumId w:val="23"/>
  </w:num>
  <w:num w:numId="12">
    <w:abstractNumId w:val="27"/>
  </w:num>
  <w:num w:numId="13">
    <w:abstractNumId w:val="18"/>
  </w:num>
  <w:num w:numId="14">
    <w:abstractNumId w:val="0"/>
  </w:num>
  <w:num w:numId="15">
    <w:abstractNumId w:val="17"/>
  </w:num>
  <w:num w:numId="16">
    <w:abstractNumId w:val="3"/>
  </w:num>
  <w:num w:numId="17">
    <w:abstractNumId w:val="26"/>
  </w:num>
  <w:num w:numId="18">
    <w:abstractNumId w:val="25"/>
  </w:num>
  <w:num w:numId="19">
    <w:abstractNumId w:val="15"/>
  </w:num>
  <w:num w:numId="20">
    <w:abstractNumId w:val="16"/>
  </w:num>
  <w:num w:numId="21">
    <w:abstractNumId w:val="1"/>
  </w:num>
  <w:num w:numId="22">
    <w:abstractNumId w:val="7"/>
  </w:num>
  <w:num w:numId="23">
    <w:abstractNumId w:val="32"/>
  </w:num>
  <w:num w:numId="24">
    <w:abstractNumId w:val="31"/>
  </w:num>
  <w:num w:numId="25">
    <w:abstractNumId w:val="28"/>
  </w:num>
  <w:num w:numId="26">
    <w:abstractNumId w:val="8"/>
  </w:num>
  <w:num w:numId="27">
    <w:abstractNumId w:val="9"/>
  </w:num>
  <w:num w:numId="28">
    <w:abstractNumId w:val="19"/>
  </w:num>
  <w:num w:numId="29">
    <w:abstractNumId w:val="10"/>
  </w:num>
  <w:num w:numId="30">
    <w:abstractNumId w:val="21"/>
  </w:num>
  <w:num w:numId="31">
    <w:abstractNumId w:val="12"/>
  </w:num>
  <w:num w:numId="32">
    <w:abstractNumId w:val="24"/>
  </w:num>
  <w:num w:numId="3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55"/>
    <w:rsid w:val="000206FB"/>
    <w:rsid w:val="0002265B"/>
    <w:rsid w:val="00036576"/>
    <w:rsid w:val="00037F99"/>
    <w:rsid w:val="00043A91"/>
    <w:rsid w:val="0004799E"/>
    <w:rsid w:val="00057FF4"/>
    <w:rsid w:val="00065038"/>
    <w:rsid w:val="000773D4"/>
    <w:rsid w:val="000813D3"/>
    <w:rsid w:val="00083C68"/>
    <w:rsid w:val="000843C6"/>
    <w:rsid w:val="000A2CEB"/>
    <w:rsid w:val="000A71D5"/>
    <w:rsid w:val="000B1415"/>
    <w:rsid w:val="000B4ACE"/>
    <w:rsid w:val="000B7F10"/>
    <w:rsid w:val="000C5BA2"/>
    <w:rsid w:val="000F5DF4"/>
    <w:rsid w:val="0010028F"/>
    <w:rsid w:val="00107D65"/>
    <w:rsid w:val="001165AF"/>
    <w:rsid w:val="00131032"/>
    <w:rsid w:val="001413D5"/>
    <w:rsid w:val="00156F77"/>
    <w:rsid w:val="00172FB2"/>
    <w:rsid w:val="00180339"/>
    <w:rsid w:val="00193D56"/>
    <w:rsid w:val="001A7CF4"/>
    <w:rsid w:val="001B0E20"/>
    <w:rsid w:val="001B6F5D"/>
    <w:rsid w:val="001C78CA"/>
    <w:rsid w:val="001E5AA1"/>
    <w:rsid w:val="001F78F2"/>
    <w:rsid w:val="00200540"/>
    <w:rsid w:val="00204E0F"/>
    <w:rsid w:val="002166DD"/>
    <w:rsid w:val="00217E24"/>
    <w:rsid w:val="00221391"/>
    <w:rsid w:val="00227928"/>
    <w:rsid w:val="00233FCA"/>
    <w:rsid w:val="00263E19"/>
    <w:rsid w:val="00266C7A"/>
    <w:rsid w:val="00287427"/>
    <w:rsid w:val="002B1210"/>
    <w:rsid w:val="002C7AF2"/>
    <w:rsid w:val="002D5A2D"/>
    <w:rsid w:val="002E1AFC"/>
    <w:rsid w:val="002E1DD0"/>
    <w:rsid w:val="002E3F36"/>
    <w:rsid w:val="00305F45"/>
    <w:rsid w:val="00312AA3"/>
    <w:rsid w:val="003260B5"/>
    <w:rsid w:val="00351A07"/>
    <w:rsid w:val="00354733"/>
    <w:rsid w:val="0037783C"/>
    <w:rsid w:val="00380FEC"/>
    <w:rsid w:val="00381980"/>
    <w:rsid w:val="00395941"/>
    <w:rsid w:val="003B3845"/>
    <w:rsid w:val="003C071B"/>
    <w:rsid w:val="003D49AB"/>
    <w:rsid w:val="003E2345"/>
    <w:rsid w:val="003E7EB2"/>
    <w:rsid w:val="003F4059"/>
    <w:rsid w:val="00405025"/>
    <w:rsid w:val="004143D7"/>
    <w:rsid w:val="00441C00"/>
    <w:rsid w:val="00455EEF"/>
    <w:rsid w:val="0046083B"/>
    <w:rsid w:val="00460A71"/>
    <w:rsid w:val="00465855"/>
    <w:rsid w:val="00492E1E"/>
    <w:rsid w:val="004A5F92"/>
    <w:rsid w:val="004B58D4"/>
    <w:rsid w:val="004C5A94"/>
    <w:rsid w:val="004D0BD7"/>
    <w:rsid w:val="004F0836"/>
    <w:rsid w:val="004F54B3"/>
    <w:rsid w:val="00501A72"/>
    <w:rsid w:val="005118DA"/>
    <w:rsid w:val="00521BD6"/>
    <w:rsid w:val="00530A55"/>
    <w:rsid w:val="00550250"/>
    <w:rsid w:val="00555682"/>
    <w:rsid w:val="00571444"/>
    <w:rsid w:val="00571D1F"/>
    <w:rsid w:val="00582C9A"/>
    <w:rsid w:val="0058629C"/>
    <w:rsid w:val="005918C5"/>
    <w:rsid w:val="00597ADD"/>
    <w:rsid w:val="005C5B08"/>
    <w:rsid w:val="005F3965"/>
    <w:rsid w:val="006119A6"/>
    <w:rsid w:val="0062481E"/>
    <w:rsid w:val="0062555D"/>
    <w:rsid w:val="006345BA"/>
    <w:rsid w:val="00636736"/>
    <w:rsid w:val="006375F4"/>
    <w:rsid w:val="006575B0"/>
    <w:rsid w:val="0067106B"/>
    <w:rsid w:val="00690B39"/>
    <w:rsid w:val="00692A82"/>
    <w:rsid w:val="006B7DFF"/>
    <w:rsid w:val="006C2970"/>
    <w:rsid w:val="006C5B92"/>
    <w:rsid w:val="006D40F4"/>
    <w:rsid w:val="006E1A3D"/>
    <w:rsid w:val="006F08B6"/>
    <w:rsid w:val="0070606A"/>
    <w:rsid w:val="00714FED"/>
    <w:rsid w:val="00730AC9"/>
    <w:rsid w:val="00746636"/>
    <w:rsid w:val="0077342B"/>
    <w:rsid w:val="00775AB2"/>
    <w:rsid w:val="007828DE"/>
    <w:rsid w:val="00785550"/>
    <w:rsid w:val="00796078"/>
    <w:rsid w:val="007A4583"/>
    <w:rsid w:val="007A696E"/>
    <w:rsid w:val="007B22FB"/>
    <w:rsid w:val="007C206F"/>
    <w:rsid w:val="007D1221"/>
    <w:rsid w:val="007E044D"/>
    <w:rsid w:val="007F5AF8"/>
    <w:rsid w:val="00801714"/>
    <w:rsid w:val="00865C68"/>
    <w:rsid w:val="008B0565"/>
    <w:rsid w:val="008B52DE"/>
    <w:rsid w:val="008E76E3"/>
    <w:rsid w:val="008F3BC8"/>
    <w:rsid w:val="00900C4A"/>
    <w:rsid w:val="00931430"/>
    <w:rsid w:val="00933A03"/>
    <w:rsid w:val="0093407C"/>
    <w:rsid w:val="00945D8F"/>
    <w:rsid w:val="00950FBC"/>
    <w:rsid w:val="00952569"/>
    <w:rsid w:val="009538F9"/>
    <w:rsid w:val="00977AD6"/>
    <w:rsid w:val="00982538"/>
    <w:rsid w:val="0098650B"/>
    <w:rsid w:val="00991417"/>
    <w:rsid w:val="00991998"/>
    <w:rsid w:val="009A1F1B"/>
    <w:rsid w:val="009B5A14"/>
    <w:rsid w:val="009C1461"/>
    <w:rsid w:val="009C7E74"/>
    <w:rsid w:val="009E2DC5"/>
    <w:rsid w:val="009E307C"/>
    <w:rsid w:val="009F3E1B"/>
    <w:rsid w:val="009F4B1E"/>
    <w:rsid w:val="00A0620F"/>
    <w:rsid w:val="00A215DF"/>
    <w:rsid w:val="00A2541F"/>
    <w:rsid w:val="00A308C0"/>
    <w:rsid w:val="00A34245"/>
    <w:rsid w:val="00A34D3B"/>
    <w:rsid w:val="00A50D81"/>
    <w:rsid w:val="00A55734"/>
    <w:rsid w:val="00A70A1F"/>
    <w:rsid w:val="00A77102"/>
    <w:rsid w:val="00A939D2"/>
    <w:rsid w:val="00A9460A"/>
    <w:rsid w:val="00AA27DD"/>
    <w:rsid w:val="00AC00D1"/>
    <w:rsid w:val="00AE57E5"/>
    <w:rsid w:val="00AF2100"/>
    <w:rsid w:val="00B11756"/>
    <w:rsid w:val="00B2162B"/>
    <w:rsid w:val="00B234F9"/>
    <w:rsid w:val="00B46D02"/>
    <w:rsid w:val="00B522EF"/>
    <w:rsid w:val="00B6122D"/>
    <w:rsid w:val="00B70FE5"/>
    <w:rsid w:val="00B8002B"/>
    <w:rsid w:val="00B84D8A"/>
    <w:rsid w:val="00B93032"/>
    <w:rsid w:val="00BB0C07"/>
    <w:rsid w:val="00BB5D07"/>
    <w:rsid w:val="00BC69E3"/>
    <w:rsid w:val="00BC788B"/>
    <w:rsid w:val="00BD65EE"/>
    <w:rsid w:val="00BF5107"/>
    <w:rsid w:val="00BF56BC"/>
    <w:rsid w:val="00BF78AA"/>
    <w:rsid w:val="00C056A8"/>
    <w:rsid w:val="00C069E1"/>
    <w:rsid w:val="00C245E2"/>
    <w:rsid w:val="00C25ECA"/>
    <w:rsid w:val="00C31C13"/>
    <w:rsid w:val="00C4492C"/>
    <w:rsid w:val="00C44B55"/>
    <w:rsid w:val="00C50DFA"/>
    <w:rsid w:val="00C542AF"/>
    <w:rsid w:val="00C613D7"/>
    <w:rsid w:val="00C76355"/>
    <w:rsid w:val="00C90FA0"/>
    <w:rsid w:val="00C95823"/>
    <w:rsid w:val="00CA1812"/>
    <w:rsid w:val="00CA5347"/>
    <w:rsid w:val="00CC3CCD"/>
    <w:rsid w:val="00CD7F49"/>
    <w:rsid w:val="00D012F1"/>
    <w:rsid w:val="00D15CD2"/>
    <w:rsid w:val="00D309C0"/>
    <w:rsid w:val="00D555AE"/>
    <w:rsid w:val="00D57460"/>
    <w:rsid w:val="00D716CE"/>
    <w:rsid w:val="00D9154F"/>
    <w:rsid w:val="00DA3937"/>
    <w:rsid w:val="00DD1E9F"/>
    <w:rsid w:val="00DD5616"/>
    <w:rsid w:val="00DE2832"/>
    <w:rsid w:val="00DF3490"/>
    <w:rsid w:val="00E12357"/>
    <w:rsid w:val="00E243F8"/>
    <w:rsid w:val="00E469F3"/>
    <w:rsid w:val="00E715D0"/>
    <w:rsid w:val="00E94488"/>
    <w:rsid w:val="00EB3EF8"/>
    <w:rsid w:val="00EC7343"/>
    <w:rsid w:val="00F02F84"/>
    <w:rsid w:val="00F04C31"/>
    <w:rsid w:val="00F15FE8"/>
    <w:rsid w:val="00F21B31"/>
    <w:rsid w:val="00F3408E"/>
    <w:rsid w:val="00F349F8"/>
    <w:rsid w:val="00F41193"/>
    <w:rsid w:val="00F71A8B"/>
    <w:rsid w:val="00F76375"/>
    <w:rsid w:val="00F85E74"/>
    <w:rsid w:val="00F9058C"/>
    <w:rsid w:val="00FA6A78"/>
    <w:rsid w:val="00FB7395"/>
    <w:rsid w:val="00FF53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38F9"/>
    <w:pPr>
      <w:ind w:left="720"/>
      <w:contextualSpacing/>
    </w:pPr>
  </w:style>
  <w:style w:type="paragraph" w:styleId="Ballontekst">
    <w:name w:val="Balloon Text"/>
    <w:basedOn w:val="Standaard"/>
    <w:link w:val="BallontekstChar"/>
    <w:uiPriority w:val="99"/>
    <w:semiHidden/>
    <w:unhideWhenUsed/>
    <w:rsid w:val="008B05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0565"/>
    <w:rPr>
      <w:rFonts w:ascii="Tahoma" w:hAnsi="Tahoma" w:cs="Tahoma"/>
      <w:sz w:val="16"/>
      <w:szCs w:val="16"/>
    </w:rPr>
  </w:style>
  <w:style w:type="table" w:styleId="Tabelraster">
    <w:name w:val="Table Grid"/>
    <w:basedOn w:val="Standaardtabel"/>
    <w:uiPriority w:val="59"/>
    <w:rsid w:val="008B0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2538"/>
    <w:pPr>
      <w:autoSpaceDE w:val="0"/>
      <w:autoSpaceDN w:val="0"/>
      <w:adjustRightInd w:val="0"/>
      <w:spacing w:after="0" w:line="240" w:lineRule="auto"/>
    </w:pPr>
    <w:rPr>
      <w:rFonts w:ascii="Meta Pro Light" w:hAnsi="Meta Pro Light" w:cs="Meta Pro Light"/>
      <w:color w:val="000000"/>
      <w:sz w:val="24"/>
      <w:szCs w:val="24"/>
      <w:lang w:val="en-US"/>
    </w:rPr>
  </w:style>
  <w:style w:type="character" w:customStyle="1" w:styleId="highlight2">
    <w:name w:val="highlight2"/>
    <w:basedOn w:val="Standaardalinea-lettertype"/>
    <w:rsid w:val="00982538"/>
  </w:style>
  <w:style w:type="character" w:styleId="Hyperlink">
    <w:name w:val="Hyperlink"/>
    <w:basedOn w:val="Standaardalinea-lettertype"/>
    <w:uiPriority w:val="99"/>
    <w:unhideWhenUsed/>
    <w:rsid w:val="00982538"/>
    <w:rPr>
      <w:color w:val="0000FF" w:themeColor="hyperlink"/>
      <w:u w:val="single"/>
    </w:rPr>
  </w:style>
  <w:style w:type="paragraph" w:styleId="Koptekst">
    <w:name w:val="header"/>
    <w:basedOn w:val="Standaard"/>
    <w:link w:val="KoptekstChar"/>
    <w:uiPriority w:val="99"/>
    <w:unhideWhenUsed/>
    <w:rsid w:val="009825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2538"/>
    <w:rPr>
      <w:rFonts w:eastAsiaTheme="minorEastAsia"/>
      <w:lang w:eastAsia="nl-NL"/>
    </w:rPr>
  </w:style>
  <w:style w:type="paragraph" w:styleId="Voettekst">
    <w:name w:val="footer"/>
    <w:basedOn w:val="Standaard"/>
    <w:link w:val="VoettekstChar"/>
    <w:uiPriority w:val="99"/>
    <w:unhideWhenUsed/>
    <w:rsid w:val="009825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2538"/>
    <w:rPr>
      <w:rFonts w:eastAsiaTheme="minorEastAsia"/>
      <w:lang w:eastAsia="nl-NL"/>
    </w:rPr>
  </w:style>
  <w:style w:type="character" w:customStyle="1" w:styleId="EindnoottekstChar">
    <w:name w:val="Eindnoottekst Char"/>
    <w:basedOn w:val="Standaardalinea-lettertype"/>
    <w:link w:val="Eindnoottekst"/>
    <w:uiPriority w:val="99"/>
    <w:semiHidden/>
    <w:rsid w:val="00982538"/>
    <w:rPr>
      <w:rFonts w:eastAsiaTheme="minorEastAsia"/>
      <w:sz w:val="20"/>
      <w:szCs w:val="20"/>
      <w:lang w:eastAsia="nl-NL"/>
    </w:rPr>
  </w:style>
  <w:style w:type="paragraph" w:styleId="Eindnoottekst">
    <w:name w:val="endnote text"/>
    <w:basedOn w:val="Standaard"/>
    <w:link w:val="EindnoottekstChar"/>
    <w:uiPriority w:val="99"/>
    <w:semiHidden/>
    <w:unhideWhenUsed/>
    <w:rsid w:val="00982538"/>
    <w:pPr>
      <w:spacing w:after="0" w:line="240" w:lineRule="auto"/>
    </w:pPr>
    <w:rPr>
      <w:sz w:val="20"/>
      <w:szCs w:val="20"/>
    </w:rPr>
  </w:style>
  <w:style w:type="table" w:customStyle="1" w:styleId="Lichtearcering1">
    <w:name w:val="Lichte arcering1"/>
    <w:basedOn w:val="Standaardtabel"/>
    <w:uiPriority w:val="60"/>
    <w:rsid w:val="00692A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emiddeldraster1-accent21">
    <w:name w:val="Gemiddeld raster 1 - accent 21"/>
    <w:basedOn w:val="Standaard"/>
    <w:uiPriority w:val="34"/>
    <w:qFormat/>
    <w:rsid w:val="006575B0"/>
    <w:pPr>
      <w:ind w:left="720"/>
      <w:contextualSpacing/>
    </w:pPr>
    <w:rPr>
      <w:rFonts w:ascii="Calibri" w:eastAsia="Times New Roman" w:hAnsi="Calibri" w:cs="Times New Roman"/>
    </w:rPr>
  </w:style>
  <w:style w:type="paragraph" w:styleId="Revisie">
    <w:name w:val="Revision"/>
    <w:hidden/>
    <w:uiPriority w:val="99"/>
    <w:semiHidden/>
    <w:rsid w:val="007A45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38F9"/>
    <w:pPr>
      <w:ind w:left="720"/>
      <w:contextualSpacing/>
    </w:pPr>
  </w:style>
  <w:style w:type="paragraph" w:styleId="Ballontekst">
    <w:name w:val="Balloon Text"/>
    <w:basedOn w:val="Standaard"/>
    <w:link w:val="BallontekstChar"/>
    <w:uiPriority w:val="99"/>
    <w:semiHidden/>
    <w:unhideWhenUsed/>
    <w:rsid w:val="008B05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0565"/>
    <w:rPr>
      <w:rFonts w:ascii="Tahoma" w:hAnsi="Tahoma" w:cs="Tahoma"/>
      <w:sz w:val="16"/>
      <w:szCs w:val="16"/>
    </w:rPr>
  </w:style>
  <w:style w:type="table" w:styleId="Tabelraster">
    <w:name w:val="Table Grid"/>
    <w:basedOn w:val="Standaardtabel"/>
    <w:uiPriority w:val="59"/>
    <w:rsid w:val="008B0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2538"/>
    <w:pPr>
      <w:autoSpaceDE w:val="0"/>
      <w:autoSpaceDN w:val="0"/>
      <w:adjustRightInd w:val="0"/>
      <w:spacing w:after="0" w:line="240" w:lineRule="auto"/>
    </w:pPr>
    <w:rPr>
      <w:rFonts w:ascii="Meta Pro Light" w:hAnsi="Meta Pro Light" w:cs="Meta Pro Light"/>
      <w:color w:val="000000"/>
      <w:sz w:val="24"/>
      <w:szCs w:val="24"/>
      <w:lang w:val="en-US"/>
    </w:rPr>
  </w:style>
  <w:style w:type="character" w:customStyle="1" w:styleId="highlight2">
    <w:name w:val="highlight2"/>
    <w:basedOn w:val="Standaardalinea-lettertype"/>
    <w:rsid w:val="00982538"/>
  </w:style>
  <w:style w:type="character" w:styleId="Hyperlink">
    <w:name w:val="Hyperlink"/>
    <w:basedOn w:val="Standaardalinea-lettertype"/>
    <w:uiPriority w:val="99"/>
    <w:unhideWhenUsed/>
    <w:rsid w:val="00982538"/>
    <w:rPr>
      <w:color w:val="0000FF" w:themeColor="hyperlink"/>
      <w:u w:val="single"/>
    </w:rPr>
  </w:style>
  <w:style w:type="paragraph" w:styleId="Koptekst">
    <w:name w:val="header"/>
    <w:basedOn w:val="Standaard"/>
    <w:link w:val="KoptekstChar"/>
    <w:uiPriority w:val="99"/>
    <w:unhideWhenUsed/>
    <w:rsid w:val="009825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2538"/>
    <w:rPr>
      <w:rFonts w:eastAsiaTheme="minorEastAsia"/>
      <w:lang w:eastAsia="nl-NL"/>
    </w:rPr>
  </w:style>
  <w:style w:type="paragraph" w:styleId="Voettekst">
    <w:name w:val="footer"/>
    <w:basedOn w:val="Standaard"/>
    <w:link w:val="VoettekstChar"/>
    <w:uiPriority w:val="99"/>
    <w:unhideWhenUsed/>
    <w:rsid w:val="009825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2538"/>
    <w:rPr>
      <w:rFonts w:eastAsiaTheme="minorEastAsia"/>
      <w:lang w:eastAsia="nl-NL"/>
    </w:rPr>
  </w:style>
  <w:style w:type="character" w:customStyle="1" w:styleId="EindnoottekstChar">
    <w:name w:val="Eindnoottekst Char"/>
    <w:basedOn w:val="Standaardalinea-lettertype"/>
    <w:link w:val="Eindnoottekst"/>
    <w:uiPriority w:val="99"/>
    <w:semiHidden/>
    <w:rsid w:val="00982538"/>
    <w:rPr>
      <w:rFonts w:eastAsiaTheme="minorEastAsia"/>
      <w:sz w:val="20"/>
      <w:szCs w:val="20"/>
      <w:lang w:eastAsia="nl-NL"/>
    </w:rPr>
  </w:style>
  <w:style w:type="paragraph" w:styleId="Eindnoottekst">
    <w:name w:val="endnote text"/>
    <w:basedOn w:val="Standaard"/>
    <w:link w:val="EindnoottekstChar"/>
    <w:uiPriority w:val="99"/>
    <w:semiHidden/>
    <w:unhideWhenUsed/>
    <w:rsid w:val="00982538"/>
    <w:pPr>
      <w:spacing w:after="0" w:line="240" w:lineRule="auto"/>
    </w:pPr>
    <w:rPr>
      <w:sz w:val="20"/>
      <w:szCs w:val="20"/>
    </w:rPr>
  </w:style>
  <w:style w:type="table" w:customStyle="1" w:styleId="Lichtearcering1">
    <w:name w:val="Lichte arcering1"/>
    <w:basedOn w:val="Standaardtabel"/>
    <w:uiPriority w:val="60"/>
    <w:rsid w:val="00692A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emiddeldraster1-accent21">
    <w:name w:val="Gemiddeld raster 1 - accent 21"/>
    <w:basedOn w:val="Standaard"/>
    <w:uiPriority w:val="34"/>
    <w:qFormat/>
    <w:rsid w:val="006575B0"/>
    <w:pPr>
      <w:ind w:left="720"/>
      <w:contextualSpacing/>
    </w:pPr>
    <w:rPr>
      <w:rFonts w:ascii="Calibri" w:eastAsia="Times New Roman" w:hAnsi="Calibri" w:cs="Times New Roman"/>
    </w:rPr>
  </w:style>
  <w:style w:type="paragraph" w:styleId="Revisie">
    <w:name w:val="Revision"/>
    <w:hidden/>
    <w:uiPriority w:val="99"/>
    <w:semiHidden/>
    <w:rsid w:val="007A45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4EC93-E720-4E53-8784-7A0048CF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3070</Words>
  <Characters>17500</Characters>
  <Application>Microsoft Office Word</Application>
  <DocSecurity>0</DocSecurity>
  <Lines>145</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UMC St Radboud</Company>
  <LinksUpToDate>false</LinksUpToDate>
  <CharactersWithSpaces>20529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dc:creator>
  <cp:lastModifiedBy>Herbert</cp:lastModifiedBy>
  <cp:revision>5</cp:revision>
  <cp:lastPrinted>2015-11-13T10:02:00Z</cp:lastPrinted>
  <dcterms:created xsi:type="dcterms:W3CDTF">2018-02-06T19:00:00Z</dcterms:created>
  <dcterms:modified xsi:type="dcterms:W3CDTF">2018-02-12T10:28:00Z</dcterms:modified>
</cp:coreProperties>
</file>