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EC5" w:rsidRDefault="002C5EC5" w:rsidP="00B27F42">
      <w:pPr>
        <w:shd w:val="clear" w:color="auto" w:fill="FFFFFF" w:themeFill="background1"/>
        <w:spacing w:after="120" w:line="240" w:lineRule="auto"/>
        <w:outlineLvl w:val="0"/>
        <w:rPr>
          <w:i/>
          <w:sz w:val="20"/>
          <w:szCs w:val="20"/>
          <w:lang w:val="en-US"/>
        </w:rPr>
      </w:pPr>
      <w:r w:rsidRPr="00153B6B">
        <w:rPr>
          <w:i/>
          <w:sz w:val="20"/>
          <w:szCs w:val="20"/>
          <w:lang w:val="en-US"/>
        </w:rPr>
        <w:t>Supplementary Table 1.</w:t>
      </w:r>
      <w:r w:rsidRPr="004C242F">
        <w:rPr>
          <w:i/>
          <w:sz w:val="20"/>
          <w:szCs w:val="20"/>
          <w:lang w:val="en-US"/>
        </w:rPr>
        <w:t xml:space="preserve"> Mean (SD) resource utilization per treatment group</w:t>
      </w:r>
      <w:r>
        <w:rPr>
          <w:i/>
          <w:sz w:val="20"/>
          <w:szCs w:val="20"/>
          <w:lang w:val="en-US"/>
        </w:rPr>
        <w:t xml:space="preserve"> over the period from start of treatment to follow-up measurement 6 months after treatment. </w:t>
      </w:r>
      <w:bookmarkStart w:id="0" w:name="_GoBack"/>
      <w:bookmarkEnd w:id="0"/>
    </w:p>
    <w:tbl>
      <w:tblPr>
        <w:tblStyle w:val="TableGrid"/>
        <w:tblpPr w:leftFromText="141" w:rightFromText="141" w:vertAnchor="text" w:horzAnchor="margin" w:tblpY="56"/>
        <w:tblW w:w="8746" w:type="dxa"/>
        <w:tblLook w:val="00A0" w:firstRow="1" w:lastRow="0" w:firstColumn="1" w:lastColumn="0" w:noHBand="0" w:noVBand="0"/>
      </w:tblPr>
      <w:tblGrid>
        <w:gridCol w:w="3152"/>
        <w:gridCol w:w="1570"/>
        <w:gridCol w:w="1570"/>
        <w:gridCol w:w="2454"/>
      </w:tblGrid>
      <w:tr w:rsidR="002C5EC5" w:rsidRPr="00D9116F" w:rsidTr="00EB68C8"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D9116F">
              <w:rPr>
                <w:sz w:val="20"/>
                <w:szCs w:val="20"/>
                <w:lang w:val="en-US"/>
              </w:rPr>
              <w:t xml:space="preserve">Type of utilization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D9116F">
              <w:rPr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D9116F">
              <w:rPr>
                <w:sz w:val="20"/>
                <w:szCs w:val="20"/>
                <w:lang w:val="en-US"/>
              </w:rPr>
              <w:t>Mean difference (95% CI)</w:t>
            </w:r>
            <w:r>
              <w:rPr>
                <w:rFonts w:cstheme="minorHAnsi"/>
                <w:sz w:val="16"/>
                <w:szCs w:val="16"/>
                <w:lang w:val="en-US"/>
              </w:rPr>
              <w:t>¹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vMerge/>
            <w:tcBorders>
              <w:left w:val="nil"/>
              <w:bottom w:val="nil"/>
              <w:right w:val="single" w:sz="4" w:space="0" w:color="auto"/>
            </w:tcBorders>
          </w:tcPr>
          <w:p w:rsidR="002C5EC5" w:rsidRPr="00D9116F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EXP (n= 19)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PPT (n= 19)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EXP vs PPT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Number of contacts: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General practitioner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Medical specialist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Other healthcare providers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Alternative healthcare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0.67 (2.13)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0.91 (1.88)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6.21 (12.32)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0.16 (0.69)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0.52 (1.46)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trike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2.07 (3.00)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8.37 (12.66)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0.32 (1.16)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0.15 (-1.05 to 1.35)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-1.16 (-2.82 to 0.50)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-2.16 (-10.38 to 6.06)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-0.16 (-0.78 to 0.47)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Prescription of medication (boxes)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2.85 (9.76)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14.15 (18.23)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-11.30 (-21.02 to -1.57) *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Over-the-counter medication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0.41 (0.99)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2.34 (3.65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-1.93 (-3.74 to -0.13) *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Hospitalization (in days)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0.09 (0.38)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color w:val="9BBB59" w:themeColor="accent3"/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-0.9 (-0.27 to 0.10)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Hours of help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Home care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Domestic care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Informal care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14.04 (56.99)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23.67 (55.33)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11.06 (24.46)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86.38 (201.19)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75.93 (256.65)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72.28 (112.38)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-72.34 (-172.14 to 27.46)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-52.26 (-174.42 to 69.89)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-61.22 (-116.31 to -6.12) *</w:t>
            </w:r>
          </w:p>
        </w:tc>
      </w:tr>
      <w:tr w:rsidR="002C5EC5" w:rsidRPr="00153B6B" w:rsidTr="00EB68C8">
        <w:trPr>
          <w:trHeight w:val="283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Hours absent from: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Paid work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Usual activity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    Unpaid work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533.91 (647.59)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69.19 (194.41)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262.96 (367.42)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869.80 (628.90)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25.23 (65.90) 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 xml:space="preserve">150.92 (215.03)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-335.88 (-755.89 to 84.13)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43.96 (-51.55 to 139.48)</w:t>
            </w:r>
          </w:p>
          <w:p w:rsidR="002C5EC5" w:rsidRPr="00153B6B" w:rsidRDefault="002C5EC5" w:rsidP="00EB68C8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153B6B">
              <w:rPr>
                <w:sz w:val="20"/>
                <w:szCs w:val="20"/>
                <w:lang w:val="en-US"/>
              </w:rPr>
              <w:t>112.04 (-87.70 to 311.78)</w:t>
            </w:r>
          </w:p>
        </w:tc>
      </w:tr>
    </w:tbl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CA07BE" w:rsidRPr="00153B6B" w:rsidRDefault="00CA07BE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</w:p>
    <w:p w:rsidR="002C5EC5" w:rsidRPr="00153B6B" w:rsidRDefault="008C5465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  <w:r w:rsidRPr="00754F10">
        <w:rPr>
          <w:rFonts w:cstheme="minorHAnsi"/>
          <w:sz w:val="16"/>
          <w:szCs w:val="16"/>
          <w:lang w:val="en-US"/>
        </w:rPr>
        <w:t>SD = Standard Deviation,</w:t>
      </w:r>
      <w:r>
        <w:rPr>
          <w:rFonts w:cstheme="minorHAnsi"/>
          <w:sz w:val="16"/>
          <w:szCs w:val="16"/>
          <w:lang w:val="en-US"/>
        </w:rPr>
        <w:t xml:space="preserve"> </w:t>
      </w:r>
      <w:r w:rsidR="002C5EC5" w:rsidRPr="00153B6B">
        <w:rPr>
          <w:rFonts w:cstheme="minorHAnsi"/>
          <w:sz w:val="16"/>
          <w:szCs w:val="16"/>
          <w:lang w:val="en-US"/>
        </w:rPr>
        <w:t>CI = Confidence Interval, EXP= Exposure in vivo, PPT = Pain-contingent Physical Therapy</w:t>
      </w:r>
    </w:p>
    <w:p w:rsidR="002C5EC5" w:rsidRDefault="002C5EC5" w:rsidP="002C5EC5">
      <w:pPr>
        <w:pStyle w:val="NoSpacing"/>
        <w:shd w:val="clear" w:color="auto" w:fill="FFFFFF" w:themeFill="background1"/>
        <w:spacing w:after="0" w:line="240" w:lineRule="auto"/>
        <w:rPr>
          <w:rFonts w:cstheme="minorHAnsi"/>
          <w:sz w:val="16"/>
          <w:szCs w:val="16"/>
          <w:lang w:val="en-US"/>
        </w:rPr>
      </w:pPr>
      <w:r w:rsidRPr="00153B6B">
        <w:rPr>
          <w:rFonts w:cstheme="minorHAnsi"/>
          <w:sz w:val="16"/>
          <w:szCs w:val="16"/>
          <w:lang w:val="en-US"/>
        </w:rPr>
        <w:t>¹ Difference in mean (95% confidence interval) derived with independent samples t-test</w:t>
      </w:r>
      <w:r w:rsidRPr="002A5344">
        <w:rPr>
          <w:rFonts w:cstheme="minorHAnsi"/>
          <w:sz w:val="16"/>
          <w:szCs w:val="16"/>
          <w:lang w:val="en-US"/>
        </w:rPr>
        <w:t xml:space="preserve"> </w:t>
      </w:r>
    </w:p>
    <w:p w:rsidR="00582184" w:rsidRPr="002C5EC5" w:rsidRDefault="00B27F42">
      <w:pPr>
        <w:rPr>
          <w:lang w:val="en-US"/>
        </w:rPr>
      </w:pPr>
    </w:p>
    <w:sectPr w:rsidR="00582184" w:rsidRPr="002C5E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EC5"/>
    <w:rsid w:val="00153B6B"/>
    <w:rsid w:val="002C5EC5"/>
    <w:rsid w:val="00754F10"/>
    <w:rsid w:val="008C5465"/>
    <w:rsid w:val="00B27F42"/>
    <w:rsid w:val="00CA07BE"/>
    <w:rsid w:val="00DF4277"/>
    <w:rsid w:val="00EB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5CDD3-536D-47CE-A434-69326042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5EC5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5EC5"/>
    <w:pPr>
      <w:spacing w:after="0" w:line="240" w:lineRule="auto"/>
    </w:pPr>
    <w:rPr>
      <w:sz w:val="24"/>
      <w:szCs w:val="24"/>
      <w:lang w:val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2C5EC5"/>
    <w:pPr>
      <w:spacing w:after="80" w:line="240" w:lineRule="atLeast"/>
    </w:pPr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 den Hollander</dc:creator>
  <cp:lastModifiedBy>Marlies den Hollander</cp:lastModifiedBy>
  <cp:revision>4</cp:revision>
  <dcterms:created xsi:type="dcterms:W3CDTF">2018-05-08T14:56:00Z</dcterms:created>
  <dcterms:modified xsi:type="dcterms:W3CDTF">2018-05-09T18:06:00Z</dcterms:modified>
</cp:coreProperties>
</file>