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25" w:rsidRPr="00405617" w:rsidRDefault="00FD7E25" w:rsidP="00FD7E25">
      <w:pPr>
        <w:spacing w:line="240" w:lineRule="auto"/>
        <w:rPr>
          <w:rFonts w:ascii="Arial" w:hAnsi="Arial" w:cs="Arial"/>
          <w:color w:val="000000"/>
          <w:sz w:val="20"/>
        </w:rPr>
      </w:pPr>
      <w:bookmarkStart w:id="0" w:name="_Ref418000655"/>
      <w:bookmarkStart w:id="1" w:name="_GoBack"/>
      <w:proofErr w:type="spellStart"/>
      <w:r w:rsidRPr="00405617">
        <w:rPr>
          <w:rFonts w:ascii="Arial" w:hAnsi="Arial" w:cs="Arial"/>
          <w:b/>
          <w:color w:val="000000"/>
          <w:sz w:val="20"/>
        </w:rPr>
        <w:t>Suppl</w:t>
      </w:r>
      <w:proofErr w:type="spellEnd"/>
      <w:r w:rsidRPr="00405617">
        <w:rPr>
          <w:rFonts w:ascii="Arial" w:hAnsi="Arial" w:cs="Arial"/>
          <w:b/>
          <w:color w:val="000000"/>
          <w:sz w:val="20"/>
        </w:rPr>
        <w:t xml:space="preserve"> Table 1. </w:t>
      </w:r>
      <w:r w:rsidRPr="00405617">
        <w:rPr>
          <w:rFonts w:ascii="Arial" w:hAnsi="Arial" w:cs="Arial"/>
          <w:color w:val="000000"/>
          <w:sz w:val="20"/>
        </w:rPr>
        <w:t>Attributes and levels for the treatment-choice questions</w:t>
      </w:r>
      <w:bookmarkEnd w:id="0"/>
    </w:p>
    <w:p w:rsidR="00FD7E25" w:rsidRPr="00A77D8B" w:rsidRDefault="00FD7E25" w:rsidP="00FD7E25">
      <w:pPr>
        <w:spacing w:line="240" w:lineRule="auto"/>
        <w:rPr>
          <w:rFonts w:ascii="Arial" w:hAnsi="Arial" w:cs="Arial"/>
          <w:b/>
          <w:color w:val="000000"/>
          <w:sz w:val="20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2" w:space="0" w:color="DDDDD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87"/>
      </w:tblGrid>
      <w:tr w:rsidR="00FD7E25" w:rsidRPr="00A77D8B" w:rsidTr="00524ABF">
        <w:trPr>
          <w:cantSplit/>
          <w:tblHeader/>
        </w:trPr>
        <w:tc>
          <w:tcPr>
            <w:tcW w:w="2496" w:type="pct"/>
            <w:tcBorders>
              <w:top w:val="single" w:sz="12" w:space="0" w:color="000000"/>
              <w:bottom w:val="single" w:sz="2" w:space="0" w:color="DDDDDD"/>
            </w:tcBorders>
            <w:shd w:val="clear" w:color="auto" w:fill="E6E6E6"/>
            <w:noWrap/>
            <w:vAlign w:val="bottom"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05617">
              <w:rPr>
                <w:rFonts w:ascii="Arial" w:hAnsi="Arial" w:cs="Arial"/>
                <w:b/>
                <w:color w:val="000000"/>
                <w:sz w:val="20"/>
              </w:rPr>
              <w:t>Attribute</w:t>
            </w:r>
          </w:p>
        </w:tc>
        <w:tc>
          <w:tcPr>
            <w:tcW w:w="2504" w:type="pct"/>
            <w:tcBorders>
              <w:top w:val="single" w:sz="12" w:space="0" w:color="000000"/>
              <w:bottom w:val="single" w:sz="2" w:space="0" w:color="DDDDDD"/>
            </w:tcBorders>
            <w:shd w:val="clear" w:color="auto" w:fill="E6E6E6"/>
            <w:noWrap/>
            <w:vAlign w:val="bottom"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05617">
              <w:rPr>
                <w:rFonts w:ascii="Arial" w:hAnsi="Arial" w:cs="Arial"/>
                <w:b/>
                <w:color w:val="000000"/>
                <w:sz w:val="20"/>
              </w:rPr>
              <w:t>Levels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 w:val="restart"/>
            <w:tcBorders>
              <w:top w:val="single" w:sz="2" w:space="0" w:color="DDDDDD"/>
            </w:tcBorders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Number of years until MS symptoms get worse</w:t>
            </w:r>
          </w:p>
        </w:tc>
        <w:tc>
          <w:tcPr>
            <w:tcW w:w="2504" w:type="pct"/>
            <w:tcBorders>
              <w:top w:val="single" w:sz="2" w:space="0" w:color="DDDDDD"/>
            </w:tcBorders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4 years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2 years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1 year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 w:val="restart"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 xml:space="preserve">Number of relapses in the next 4 years </w:t>
            </w: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1 flare-up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3 flare-ups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keepNext/>
              <w:keepLines/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4 flare-ups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 w:val="restart"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Injection time</w:t>
            </w: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3 seconds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10 seconds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 w:val="restart"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Frequency of injections</w:t>
            </w: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 xml:space="preserve">Monthly (1 time each) 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 xml:space="preserve">Fortnightly (2 times each month) 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  <w:hideMark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Weekly (4 times each month)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3 times each week (12 times each month)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 xml:space="preserve">Daily (30 times each month) 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 w:val="restar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 xml:space="preserve">Flu-like symptoms </w:t>
            </w: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No flu-like symptoms after any injections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Symptoms for 1 day after some injections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Symptoms for 3 days after some injections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Symptoms for 3 days after every injection</w:t>
            </w:r>
          </w:p>
        </w:tc>
      </w:tr>
      <w:tr w:rsidR="00FD7E25" w:rsidRPr="00A77D8B" w:rsidTr="00524ABF">
        <w:trPr>
          <w:cantSplit/>
        </w:trPr>
        <w:tc>
          <w:tcPr>
            <w:tcW w:w="2496" w:type="pct"/>
            <w:vMerge w:val="restar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Injection-site reactions</w:t>
            </w: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No reaction</w:t>
            </w:r>
          </w:p>
        </w:tc>
      </w:tr>
      <w:tr w:rsidR="00FD7E25" w:rsidRPr="00A77D8B" w:rsidTr="00524ABF">
        <w:trPr>
          <w:cantSplit/>
          <w:trHeight w:val="58"/>
        </w:trPr>
        <w:tc>
          <w:tcPr>
            <w:tcW w:w="2496" w:type="pct"/>
            <w:vMerge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04" w:type="pct"/>
            <w:shd w:val="clear" w:color="auto" w:fill="auto"/>
            <w:noWrap/>
          </w:tcPr>
          <w:p w:rsidR="00FD7E25" w:rsidRPr="00405617" w:rsidRDefault="00FD7E25" w:rsidP="00524ABF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405617">
              <w:rPr>
                <w:rFonts w:ascii="Arial" w:hAnsi="Arial" w:cs="Arial"/>
                <w:color w:val="000000"/>
                <w:sz w:val="20"/>
              </w:rPr>
              <w:t>Mild</w:t>
            </w:r>
          </w:p>
        </w:tc>
      </w:tr>
    </w:tbl>
    <w:p w:rsidR="00FD7E25" w:rsidRPr="00405617" w:rsidRDefault="00FD7E25" w:rsidP="00FD7E25">
      <w:pPr>
        <w:spacing w:line="240" w:lineRule="auto"/>
        <w:rPr>
          <w:rFonts w:ascii="Arial" w:hAnsi="Arial" w:cs="Arial"/>
          <w:color w:val="000000"/>
          <w:sz w:val="20"/>
        </w:rPr>
      </w:pPr>
    </w:p>
    <w:p w:rsidR="00FD7E25" w:rsidRDefault="00FD7E25" w:rsidP="00FD7E25">
      <w:pPr>
        <w:spacing w:line="240" w:lineRule="auto"/>
        <w:rPr>
          <w:rFonts w:ascii="Arial" w:hAnsi="Arial" w:cs="Arial"/>
          <w:color w:val="000000"/>
          <w:sz w:val="20"/>
        </w:rPr>
      </w:pPr>
      <w:r w:rsidRPr="00405617">
        <w:rPr>
          <w:rFonts w:ascii="Arial" w:hAnsi="Arial" w:cs="Arial"/>
          <w:color w:val="000000"/>
          <w:sz w:val="20"/>
        </w:rPr>
        <w:t>Note: These attributes and levels were used in the UK.</w:t>
      </w:r>
      <w:r>
        <w:rPr>
          <w:rFonts w:ascii="Arial" w:hAnsi="Arial" w:cs="Arial"/>
          <w:color w:val="000000"/>
          <w:sz w:val="20"/>
        </w:rPr>
        <w:t xml:space="preserve"> </w:t>
      </w:r>
      <w:r w:rsidRPr="00405617">
        <w:rPr>
          <w:rFonts w:ascii="Arial" w:hAnsi="Arial" w:cs="Arial"/>
          <w:color w:val="000000"/>
          <w:sz w:val="20"/>
        </w:rPr>
        <w:t>These were translated into French for the French study.</w:t>
      </w:r>
    </w:p>
    <w:p w:rsidR="00FD7E25" w:rsidRPr="00405617" w:rsidRDefault="00FD7E25" w:rsidP="00FD7E25">
      <w:pPr>
        <w:spacing w:after="160" w:line="259" w:lineRule="auto"/>
        <w:rPr>
          <w:rFonts w:ascii="Arial" w:eastAsia="Calibri" w:hAnsi="Arial" w:cs="Arial"/>
          <w:b/>
          <w:sz w:val="20"/>
        </w:rPr>
      </w:pPr>
      <w:r w:rsidRPr="00405617">
        <w:rPr>
          <w:rFonts w:ascii="Arial" w:eastAsia="Calibri" w:hAnsi="Arial" w:cs="Arial"/>
          <w:b/>
          <w:sz w:val="20"/>
        </w:rPr>
        <w:br w:type="page"/>
      </w:r>
    </w:p>
    <w:p w:rsidR="00FD7E25" w:rsidRPr="00405617" w:rsidRDefault="00FD7E25" w:rsidP="00FD7E25">
      <w:pPr>
        <w:spacing w:line="240" w:lineRule="auto"/>
        <w:rPr>
          <w:rFonts w:ascii="Arial" w:eastAsia="Calibri" w:hAnsi="Arial" w:cs="Arial"/>
          <w:b/>
          <w:sz w:val="20"/>
        </w:rPr>
      </w:pPr>
      <w:proofErr w:type="spellStart"/>
      <w:r w:rsidRPr="00405617">
        <w:rPr>
          <w:rFonts w:ascii="Arial" w:eastAsia="Calibri" w:hAnsi="Arial" w:cs="Arial"/>
          <w:b/>
          <w:sz w:val="20"/>
        </w:rPr>
        <w:t>Suppl</w:t>
      </w:r>
      <w:proofErr w:type="spellEnd"/>
      <w:r w:rsidRPr="00405617">
        <w:rPr>
          <w:rFonts w:ascii="Arial" w:eastAsia="Calibri" w:hAnsi="Arial" w:cs="Arial"/>
          <w:b/>
          <w:sz w:val="20"/>
        </w:rPr>
        <w:t xml:space="preserve"> Table 2. UK Regression Results</w:t>
      </w:r>
    </w:p>
    <w:p w:rsidR="00FD7E25" w:rsidRPr="00405617" w:rsidRDefault="00FD7E25" w:rsidP="00FD7E25">
      <w:pPr>
        <w:spacing w:line="240" w:lineRule="auto"/>
        <w:rPr>
          <w:rFonts w:ascii="Arial" w:eastAsia="Calibri" w:hAnsi="Arial" w:cs="Arial"/>
          <w:sz w:val="20"/>
        </w:rPr>
      </w:pPr>
    </w:p>
    <w:tbl>
      <w:tblPr>
        <w:tblStyle w:val="TableGrid1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23"/>
        <w:gridCol w:w="1437"/>
        <w:gridCol w:w="1150"/>
        <w:gridCol w:w="1280"/>
        <w:gridCol w:w="1308"/>
        <w:gridCol w:w="1451"/>
      </w:tblGrid>
      <w:tr w:rsidR="00FD7E25" w:rsidRPr="00A77D8B" w:rsidTr="00524ABF">
        <w:trPr>
          <w:trHeight w:val="227"/>
        </w:trPr>
        <w:tc>
          <w:tcPr>
            <w:tcW w:w="1255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Choice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keepNext/>
              <w:spacing w:line="240" w:lineRule="auto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Coefficient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Standard Error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z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Prob.</w:t>
            </w:r>
          </w:p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|z|&gt;Z*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95% Confidence Interval</w:t>
            </w:r>
          </w:p>
        </w:tc>
      </w:tr>
      <w:tr w:rsidR="00FD7E25" w:rsidRPr="00A77D8B" w:rsidTr="00524ABF">
        <w:trPr>
          <w:trHeight w:val="432"/>
        </w:trPr>
        <w:tc>
          <w:tcPr>
            <w:tcW w:w="9504" w:type="dxa"/>
            <w:gridSpan w:val="7"/>
            <w:tcBorders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keepNext/>
              <w:spacing w:line="240" w:lineRule="auto"/>
              <w:outlineLvl w:val="1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Random parameters in utility functions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YEAR1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2.13321***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.42672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5.00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1.29687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2.96956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YEAR2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-.77718***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.21630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-3.59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.0003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-1.20111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-.35324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RLPS1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.63981***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.19076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3.35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.0008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.26593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1.01368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RLPS2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-.43650**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.17851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-2.45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.0145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-.78638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-.08662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MIN1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-.04089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.10245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-.40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.6898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-.24169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.15990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1.51301***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.41558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3.64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.0003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.69849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2.32754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.57200**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.27062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2.11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.0345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.04161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1.10240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.57264**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.28665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.0458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.01081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1.13446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FREQ4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-.67852**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.29199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-2.32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.0201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-1.25082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-.10622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FLS1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1.18463***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.29459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4.02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.0001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.60724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1.76202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FLS2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.59692***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.23137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2.58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.0099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.14344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1.05040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FLS3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-.42401**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.19815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-2.14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.0324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-.81237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-.03565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ISR1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.05654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.09178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.62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.5379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-.12335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.23644</w:t>
            </w:r>
          </w:p>
        </w:tc>
      </w:tr>
      <w:tr w:rsidR="00FD7E25" w:rsidRPr="00A77D8B" w:rsidTr="00524ABF">
        <w:trPr>
          <w:trHeight w:val="432"/>
        </w:trPr>
        <w:tc>
          <w:tcPr>
            <w:tcW w:w="9504" w:type="dxa"/>
            <w:gridSpan w:val="7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keepNext/>
              <w:spacing w:line="240" w:lineRule="auto"/>
              <w:outlineLvl w:val="1"/>
              <w:rPr>
                <w:rFonts w:ascii="Arial" w:hAnsi="Arial" w:cs="Arial"/>
                <w:b/>
                <w:sz w:val="20"/>
              </w:rPr>
            </w:pPr>
            <w:proofErr w:type="spellStart"/>
            <w:r w:rsidRPr="00405617">
              <w:rPr>
                <w:rFonts w:ascii="Arial" w:hAnsi="Arial" w:cs="Arial"/>
                <w:b/>
                <w:sz w:val="20"/>
              </w:rPr>
              <w:t>Distns</w:t>
            </w:r>
            <w:proofErr w:type="spellEnd"/>
            <w:r w:rsidRPr="00405617">
              <w:rPr>
                <w:rFonts w:ascii="Arial" w:hAnsi="Arial" w:cs="Arial"/>
                <w:b/>
                <w:sz w:val="20"/>
              </w:rPr>
              <w:t xml:space="preserve">. of RPs. </w:t>
            </w:r>
            <w:proofErr w:type="spellStart"/>
            <w:r w:rsidRPr="00405617">
              <w:rPr>
                <w:rFonts w:ascii="Arial" w:hAnsi="Arial" w:cs="Arial"/>
                <w:b/>
                <w:sz w:val="20"/>
              </w:rPr>
              <w:t>Std.Devs</w:t>
            </w:r>
            <w:proofErr w:type="spellEnd"/>
            <w:r w:rsidRPr="00405617">
              <w:rPr>
                <w:rFonts w:ascii="Arial" w:hAnsi="Arial" w:cs="Arial"/>
                <w:b/>
                <w:sz w:val="20"/>
              </w:rPr>
              <w:t xml:space="preserve"> or limits of triangular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NsYEAR1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2.13623***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.47095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4.54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1.21319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3.05928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NsYEAR2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.68296**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.27480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2.49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.0129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.14437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1.22156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NsRLPS1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.76561***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.24110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3.18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.0015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.29306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1.23816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NsRLPS2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.41200***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.15993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2.58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.0100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.09854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.72547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NsMIN1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.45645***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.15867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2.88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.0040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.14545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.76744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1.66368***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.38623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4.31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.90668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2.42068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1.83932***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.45371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4.05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.0001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.95006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2.72857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1.21177***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.31160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3.89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.0001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.60104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1.82250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NsFREQ4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.83500***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.30006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2.78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.0054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.24688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1.42311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NsFLS1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1.59697***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.37414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4.27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.86367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2.33026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NsFLS2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.73646***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.26197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2.81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.0049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.22301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1.24991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NsFLS3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.33314*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.19290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1.73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.0842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-.04493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.71122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NsISR1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.39643**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.16394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2.42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.0156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.07512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.71774</w:t>
            </w:r>
          </w:p>
        </w:tc>
      </w:tr>
    </w:tbl>
    <w:p w:rsidR="00FD7E25" w:rsidRDefault="00FD7E25" w:rsidP="00FD7E25">
      <w:pPr>
        <w:spacing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</w:t>
      </w:r>
    </w:p>
    <w:p w:rsidR="00FD7E25" w:rsidRPr="00405617" w:rsidRDefault="00FD7E25" w:rsidP="00FD7E25">
      <w:pPr>
        <w:spacing w:line="240" w:lineRule="auto"/>
        <w:rPr>
          <w:rFonts w:ascii="Arial" w:eastAsia="Calibri" w:hAnsi="Arial" w:cs="Arial"/>
          <w:sz w:val="20"/>
        </w:rPr>
      </w:pPr>
      <w:r w:rsidRPr="00405617">
        <w:rPr>
          <w:rFonts w:ascii="Arial" w:eastAsia="Calibri" w:hAnsi="Arial" w:cs="Arial"/>
          <w:sz w:val="20"/>
        </w:rPr>
        <w:t>Note: ***, **, * ==&gt;</w:t>
      </w:r>
      <w:r>
        <w:rPr>
          <w:rFonts w:ascii="Arial" w:eastAsia="Calibri" w:hAnsi="Arial" w:cs="Arial"/>
          <w:sz w:val="20"/>
        </w:rPr>
        <w:t xml:space="preserve"> </w:t>
      </w:r>
      <w:r w:rsidRPr="00405617">
        <w:rPr>
          <w:rFonts w:ascii="Arial" w:eastAsia="Calibri" w:hAnsi="Arial" w:cs="Arial"/>
          <w:sz w:val="20"/>
        </w:rPr>
        <w:t>Significance at 1%, 5%, 10% level.</w:t>
      </w:r>
    </w:p>
    <w:p w:rsidR="00FD7E25" w:rsidRPr="00405617" w:rsidRDefault="00FD7E25" w:rsidP="00FD7E25">
      <w:pPr>
        <w:spacing w:after="160" w:line="259" w:lineRule="auto"/>
        <w:rPr>
          <w:rFonts w:ascii="Arial" w:eastAsia="Calibri" w:hAnsi="Arial" w:cs="Arial"/>
          <w:sz w:val="20"/>
        </w:rPr>
      </w:pPr>
      <w:r w:rsidRPr="00405617">
        <w:rPr>
          <w:rFonts w:ascii="Arial" w:eastAsia="Calibri" w:hAnsi="Arial" w:cs="Arial"/>
          <w:sz w:val="20"/>
        </w:rPr>
        <w:br w:type="page"/>
      </w:r>
    </w:p>
    <w:p w:rsidR="00FD7E25" w:rsidRPr="00405617" w:rsidRDefault="00FD7E25" w:rsidP="00FD7E25">
      <w:pPr>
        <w:spacing w:after="200" w:line="240" w:lineRule="auto"/>
        <w:rPr>
          <w:rFonts w:ascii="Arial" w:eastAsia="Calibri" w:hAnsi="Arial" w:cs="Arial"/>
          <w:b/>
          <w:sz w:val="20"/>
        </w:rPr>
      </w:pPr>
      <w:proofErr w:type="spellStart"/>
      <w:r w:rsidRPr="00405617">
        <w:rPr>
          <w:rFonts w:ascii="Arial" w:eastAsia="Calibri" w:hAnsi="Arial" w:cs="Arial"/>
          <w:b/>
          <w:sz w:val="20"/>
        </w:rPr>
        <w:t>Suppl</w:t>
      </w:r>
      <w:proofErr w:type="spellEnd"/>
      <w:r w:rsidRPr="00405617">
        <w:rPr>
          <w:rFonts w:ascii="Arial" w:eastAsia="Calibri" w:hAnsi="Arial" w:cs="Arial"/>
          <w:b/>
          <w:sz w:val="20"/>
        </w:rPr>
        <w:t xml:space="preserve"> Table 3. France Regression Results</w:t>
      </w:r>
    </w:p>
    <w:tbl>
      <w:tblPr>
        <w:tblStyle w:val="TableGrid1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23"/>
        <w:gridCol w:w="1437"/>
        <w:gridCol w:w="1150"/>
        <w:gridCol w:w="1280"/>
        <w:gridCol w:w="1308"/>
        <w:gridCol w:w="1451"/>
      </w:tblGrid>
      <w:tr w:rsidR="00FD7E25" w:rsidRPr="00A77D8B" w:rsidTr="00524ABF">
        <w:trPr>
          <w:trHeight w:val="227"/>
        </w:trPr>
        <w:tc>
          <w:tcPr>
            <w:tcW w:w="1255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Choice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keepNext/>
              <w:spacing w:line="240" w:lineRule="auto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Coefficient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Standard Error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z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Prob.</w:t>
            </w:r>
          </w:p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|z|&gt;Z*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95% Confidence Interval</w:t>
            </w:r>
          </w:p>
        </w:tc>
      </w:tr>
      <w:tr w:rsidR="00FD7E25" w:rsidRPr="00A77D8B" w:rsidTr="00524ABF">
        <w:trPr>
          <w:trHeight w:val="432"/>
        </w:trPr>
        <w:tc>
          <w:tcPr>
            <w:tcW w:w="9504" w:type="dxa"/>
            <w:gridSpan w:val="7"/>
            <w:tcBorders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keepNext/>
              <w:spacing w:line="240" w:lineRule="auto"/>
              <w:outlineLvl w:val="1"/>
              <w:rPr>
                <w:rFonts w:ascii="Arial" w:hAnsi="Arial" w:cs="Arial"/>
                <w:b/>
                <w:sz w:val="20"/>
              </w:rPr>
            </w:pPr>
            <w:r w:rsidRPr="00405617">
              <w:rPr>
                <w:rFonts w:ascii="Arial" w:hAnsi="Arial" w:cs="Arial"/>
                <w:b/>
                <w:sz w:val="20"/>
              </w:rPr>
              <w:t>Random parameters in utility functions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YEAR1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2.40981***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.45759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5.27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1.51296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3.30666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YEAR2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-.55105***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.16621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-3.32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.0009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-.87682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-.22527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RLPS1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.73889***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.17848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4.14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.38907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1.08871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RLPS2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-.09803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.15947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-.61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.5387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-.41058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.21452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MIN1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.08462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.10047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.84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.3997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-.11231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.28154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1.38679***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.27421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5.06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.84936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1.92423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.77541*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.39692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1.95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.0508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-.00254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1.55337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.78259**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.31043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2.52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.0117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.17415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1.39102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FREQ4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-.15326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.22939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-.67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.5041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-.60285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.29634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FLS1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1.60665***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.33628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4.78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.94755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2.26575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FLS2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.76572***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.21825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3.51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.0005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.33796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1.19347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FLS3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-.51642**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.21025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-2.46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.0140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-.92850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-.10433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ISR1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.00877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.09274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.09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.9247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-.17299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.19053</w:t>
            </w:r>
          </w:p>
        </w:tc>
      </w:tr>
      <w:tr w:rsidR="00FD7E25" w:rsidRPr="00A77D8B" w:rsidTr="00524ABF">
        <w:trPr>
          <w:trHeight w:val="432"/>
        </w:trPr>
        <w:tc>
          <w:tcPr>
            <w:tcW w:w="9504" w:type="dxa"/>
            <w:gridSpan w:val="7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keepNext/>
              <w:spacing w:line="240" w:lineRule="auto"/>
              <w:outlineLvl w:val="1"/>
              <w:rPr>
                <w:rFonts w:ascii="Arial" w:hAnsi="Arial" w:cs="Arial"/>
                <w:b/>
                <w:sz w:val="20"/>
              </w:rPr>
            </w:pPr>
            <w:proofErr w:type="spellStart"/>
            <w:r w:rsidRPr="00405617">
              <w:rPr>
                <w:rFonts w:ascii="Arial" w:hAnsi="Arial" w:cs="Arial"/>
                <w:b/>
                <w:sz w:val="20"/>
              </w:rPr>
              <w:t>Distns</w:t>
            </w:r>
            <w:proofErr w:type="spellEnd"/>
            <w:r w:rsidRPr="00405617">
              <w:rPr>
                <w:rFonts w:ascii="Arial" w:hAnsi="Arial" w:cs="Arial"/>
                <w:b/>
                <w:sz w:val="20"/>
              </w:rPr>
              <w:t xml:space="preserve">. of RPs. </w:t>
            </w:r>
            <w:proofErr w:type="spellStart"/>
            <w:r w:rsidRPr="00405617">
              <w:rPr>
                <w:rFonts w:ascii="Arial" w:hAnsi="Arial" w:cs="Arial"/>
                <w:b/>
                <w:sz w:val="20"/>
              </w:rPr>
              <w:t>Std.Devs</w:t>
            </w:r>
            <w:proofErr w:type="spellEnd"/>
            <w:r w:rsidRPr="00405617">
              <w:rPr>
                <w:rFonts w:ascii="Arial" w:hAnsi="Arial" w:cs="Arial"/>
                <w:b/>
                <w:sz w:val="20"/>
              </w:rPr>
              <w:t xml:space="preserve"> or limits of triangular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NsYEAR1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3.02960***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.58180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5.21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1.88929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4.16991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NsYEAR2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.01428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.16327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.09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.9303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-.30573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.33430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NsRLPS1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.48450**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.19776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2.45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.0143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.09690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.87211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NsRLPS2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.39920**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.18029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2.21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.0268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.04584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.75257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NsMIN1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.61954***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.16193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3.83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.0001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.30217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.93691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1.26792***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.28655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4.42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.70629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1.82956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1.93124***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.58890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3.28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.0010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.77702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3.08546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1.13139***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.34660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3.26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.0011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.45206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1.81072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NsFREQ4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.36626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.23847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1.54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.1246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-.10113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.83365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NsFLS1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1.07315***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.25810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4.16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.56728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1.57901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NsFLS2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1.09999***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.25453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4.32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.0000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.60112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1.59886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NsFLS3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.19245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.19416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.99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.3216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-.18809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8" w:space="0" w:color="AEAAAA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.57299</w:t>
            </w:r>
          </w:p>
        </w:tc>
      </w:tr>
      <w:tr w:rsidR="00FD7E25" w:rsidRPr="00A77D8B" w:rsidTr="00524ABF">
        <w:trPr>
          <w:trHeight w:val="288"/>
        </w:trPr>
        <w:tc>
          <w:tcPr>
            <w:tcW w:w="1255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NsISR1</w:t>
            </w:r>
          </w:p>
        </w:tc>
        <w:tc>
          <w:tcPr>
            <w:tcW w:w="1623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.00100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.13701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150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.01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.9941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4056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-.26754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8" w:space="0" w:color="AEAAAA"/>
              <w:bottom w:val="single" w:sz="12" w:space="0" w:color="auto"/>
            </w:tcBorders>
            <w:vAlign w:val="center"/>
          </w:tcPr>
          <w:p w:rsidR="00FD7E25" w:rsidRPr="00405617" w:rsidRDefault="00FD7E25" w:rsidP="00524AB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05617">
              <w:rPr>
                <w:rFonts w:ascii="Arial" w:hAnsi="Arial" w:cs="Arial"/>
                <w:sz w:val="20"/>
              </w:rPr>
              <w:t>.26955</w:t>
            </w:r>
          </w:p>
        </w:tc>
      </w:tr>
    </w:tbl>
    <w:p w:rsidR="00FD7E25" w:rsidRPr="00405617" w:rsidRDefault="00FD7E25" w:rsidP="00FD7E25">
      <w:pPr>
        <w:spacing w:line="240" w:lineRule="auto"/>
        <w:rPr>
          <w:rFonts w:ascii="Arial" w:eastAsia="Calibri" w:hAnsi="Arial" w:cs="Arial"/>
          <w:sz w:val="20"/>
        </w:rPr>
      </w:pPr>
      <w:r w:rsidRPr="00405617">
        <w:rPr>
          <w:rFonts w:ascii="Arial" w:eastAsia="Calibri" w:hAnsi="Arial" w:cs="Arial"/>
          <w:sz w:val="20"/>
        </w:rPr>
        <w:br/>
        <w:t>Note: ***, **, * ==&gt;</w:t>
      </w:r>
      <w:r>
        <w:rPr>
          <w:rFonts w:ascii="Arial" w:eastAsia="Calibri" w:hAnsi="Arial" w:cs="Arial"/>
          <w:sz w:val="20"/>
        </w:rPr>
        <w:t xml:space="preserve"> </w:t>
      </w:r>
      <w:r w:rsidRPr="00405617">
        <w:rPr>
          <w:rFonts w:ascii="Arial" w:eastAsia="Calibri" w:hAnsi="Arial" w:cs="Arial"/>
          <w:sz w:val="20"/>
        </w:rPr>
        <w:t>Significance at 1%, 5%, 10% level.</w:t>
      </w:r>
    </w:p>
    <w:bookmarkEnd w:id="1"/>
    <w:p w:rsidR="004303F6" w:rsidRPr="00FD7E25" w:rsidRDefault="004303F6" w:rsidP="00FD7E25"/>
    <w:sectPr w:rsidR="004303F6" w:rsidRPr="00FD7E25" w:rsidSect="00257E61">
      <w:headerReference w:type="even" r:id="rId6"/>
      <w:footerReference w:type="even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1440" w:right="1440" w:bottom="1440" w:left="1440" w:header="1080" w:footer="720" w:gutter="0"/>
      <w:pgNumType w:start="1"/>
      <w:cols w:space="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B0" w:rsidRDefault="000825B0" w:rsidP="000825B0">
      <w:pPr>
        <w:spacing w:line="240" w:lineRule="auto"/>
      </w:pPr>
      <w:r>
        <w:separator/>
      </w:r>
    </w:p>
  </w:endnote>
  <w:endnote w:type="continuationSeparator" w:id="0">
    <w:p w:rsidR="000825B0" w:rsidRDefault="000825B0" w:rsidP="00082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5E" w:rsidRDefault="00FD7E25" w:rsidP="00CB3439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C5E" w:rsidRDefault="00FD7E25" w:rsidP="00CB34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5E" w:rsidRPr="00557045" w:rsidRDefault="00FD7E25" w:rsidP="00557045">
    <w:pPr>
      <w:pStyle w:val="Footer"/>
      <w:jc w:val="center"/>
      <w:rPr>
        <w:rFonts w:ascii="Arial" w:hAnsi="Arial" w:cs="Arial"/>
      </w:rPr>
    </w:pPr>
    <w:r w:rsidRPr="00557045">
      <w:rPr>
        <w:rFonts w:ascii="Arial" w:hAnsi="Arial" w:cs="Arial"/>
      </w:rPr>
      <w:fldChar w:fldCharType="begin"/>
    </w:r>
    <w:r w:rsidRPr="00557045">
      <w:rPr>
        <w:rFonts w:ascii="Arial" w:hAnsi="Arial" w:cs="Arial"/>
      </w:rPr>
      <w:instrText xml:space="preserve"> PAGE   \* MERGEFORMAT </w:instrText>
    </w:r>
    <w:r w:rsidRPr="00557045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5704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B0" w:rsidRDefault="000825B0" w:rsidP="000825B0">
      <w:pPr>
        <w:spacing w:line="240" w:lineRule="auto"/>
      </w:pPr>
      <w:r>
        <w:separator/>
      </w:r>
    </w:p>
  </w:footnote>
  <w:footnote w:type="continuationSeparator" w:id="0">
    <w:p w:rsidR="000825B0" w:rsidRDefault="000825B0" w:rsidP="00082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5E" w:rsidRDefault="00FD7E25"/>
  <w:p w:rsidR="00F23C5E" w:rsidRDefault="00FD7E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5E" w:rsidRDefault="00FD7E25" w:rsidP="00CB3439">
    <w:r>
      <w:t>48” x 96” poster = about 11 pages in this template; 48” x 72” poster = about 9 pages in this template; 48” x 60” poster = about 8 pages in this template</w:t>
    </w:r>
  </w:p>
  <w:p w:rsidR="00F23C5E" w:rsidRDefault="00FD7E25" w:rsidP="00CB3439">
    <w:r>
      <w:t>1 meter x 2 meter vertical poster (ISPOR-EU) = about 9 pages in this tem</w:t>
    </w:r>
    <w:r>
      <w:t>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89"/>
    <w:rsid w:val="000825B0"/>
    <w:rsid w:val="001661F2"/>
    <w:rsid w:val="004303F6"/>
    <w:rsid w:val="00510368"/>
    <w:rsid w:val="00663D85"/>
    <w:rsid w:val="008E1E44"/>
    <w:rsid w:val="00A33189"/>
    <w:rsid w:val="00C51C53"/>
    <w:rsid w:val="00C8202C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5B0C1"/>
  <w15:chartTrackingRefBased/>
  <w15:docId w15:val="{65830C77-82F2-4AEF-ABA8-457DC166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89"/>
    <w:pPr>
      <w:spacing w:after="0" w:line="320" w:lineRule="exact"/>
    </w:pPr>
    <w:rPr>
      <w:rFonts w:ascii="Verdana" w:eastAsia="Times New Roman" w:hAnsi="Verdana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8E1E44"/>
    <w:pPr>
      <w:tabs>
        <w:tab w:val="right" w:leader="dot" w:pos="9350"/>
      </w:tabs>
      <w:spacing w:line="480" w:lineRule="auto"/>
    </w:pPr>
    <w:rPr>
      <w:rFonts w:asciiTheme="minorHAnsi" w:hAnsiTheme="minorHAnsi"/>
      <w:caps/>
      <w:color w:val="92D050"/>
      <w:sz w:val="40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8E1E44"/>
    <w:pPr>
      <w:tabs>
        <w:tab w:val="right" w:pos="9350"/>
      </w:tabs>
      <w:spacing w:line="240" w:lineRule="auto"/>
      <w:ind w:left="240"/>
    </w:pPr>
    <w:rPr>
      <w:rFonts w:ascii="Calibri" w:hAnsi="Calibri"/>
      <w:b/>
      <w:caps/>
      <w:color w:val="1F497D"/>
      <w:sz w:val="26"/>
      <w:szCs w:val="24"/>
    </w:rPr>
  </w:style>
  <w:style w:type="paragraph" w:styleId="TOC3">
    <w:name w:val="toc 3"/>
    <w:basedOn w:val="Normal"/>
    <w:next w:val="Normal"/>
    <w:uiPriority w:val="39"/>
    <w:qFormat/>
    <w:rsid w:val="008E1E44"/>
    <w:pPr>
      <w:tabs>
        <w:tab w:val="right" w:pos="9350"/>
      </w:tabs>
      <w:spacing w:line="240" w:lineRule="auto"/>
      <w:ind w:left="900" w:hanging="420"/>
    </w:pPr>
    <w:rPr>
      <w:rFonts w:ascii="Calibri" w:hAnsi="Calibri" w:cs="Arial"/>
      <w:color w:val="1F497D"/>
      <w:sz w:val="24"/>
      <w:szCs w:val="24"/>
    </w:rPr>
  </w:style>
  <w:style w:type="paragraph" w:styleId="TOC4">
    <w:name w:val="toc 4"/>
    <w:basedOn w:val="Normal"/>
    <w:next w:val="Normal"/>
    <w:uiPriority w:val="39"/>
    <w:unhideWhenUsed/>
    <w:qFormat/>
    <w:rsid w:val="008E1E44"/>
    <w:pPr>
      <w:spacing w:line="240" w:lineRule="auto"/>
      <w:ind w:left="720"/>
    </w:pPr>
    <w:rPr>
      <w:rFonts w:ascii="Calibri" w:hAnsi="Calibri"/>
      <w:color w:val="1F497D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A33189"/>
    <w:pPr>
      <w:spacing w:before="200"/>
    </w:pPr>
  </w:style>
  <w:style w:type="character" w:customStyle="1" w:styleId="paragraphChar">
    <w:name w:val="paragraph Char"/>
    <w:basedOn w:val="DefaultParagraphFont"/>
    <w:link w:val="paragraph"/>
    <w:rsid w:val="00A33189"/>
    <w:rPr>
      <w:rFonts w:ascii="Verdana" w:eastAsia="Times New Roman" w:hAnsi="Verdana" w:cs="Times New Roman"/>
      <w:sz w:val="18"/>
      <w:szCs w:val="20"/>
    </w:rPr>
  </w:style>
  <w:style w:type="paragraph" w:customStyle="1" w:styleId="Tabletext">
    <w:name w:val="Table text"/>
    <w:basedOn w:val="Normal"/>
    <w:link w:val="TabletextChar"/>
    <w:uiPriority w:val="99"/>
    <w:rsid w:val="00A33189"/>
    <w:pPr>
      <w:spacing w:before="40" w:after="40" w:line="240" w:lineRule="atLeast"/>
    </w:pPr>
  </w:style>
  <w:style w:type="character" w:customStyle="1" w:styleId="TabletextChar">
    <w:name w:val="Table text Char"/>
    <w:basedOn w:val="DefaultParagraphFont"/>
    <w:link w:val="Tabletext"/>
    <w:uiPriority w:val="99"/>
    <w:rsid w:val="00A33189"/>
    <w:rPr>
      <w:rFonts w:ascii="Verdana" w:eastAsia="Times New Roman" w:hAnsi="Verdana" w:cs="Times New Roman"/>
      <w:sz w:val="18"/>
      <w:szCs w:val="20"/>
    </w:rPr>
  </w:style>
  <w:style w:type="paragraph" w:customStyle="1" w:styleId="Tableheadings">
    <w:name w:val="Table headings"/>
    <w:basedOn w:val="Normal"/>
    <w:uiPriority w:val="99"/>
    <w:rsid w:val="00A33189"/>
    <w:pPr>
      <w:keepNext/>
      <w:spacing w:before="40" w:after="40" w:line="240" w:lineRule="atLeast"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0825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B0"/>
    <w:rPr>
      <w:rFonts w:ascii="Verdana" w:eastAsia="Times New Roman" w:hAnsi="Verdan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0825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B0"/>
    <w:rPr>
      <w:rFonts w:ascii="Verdana" w:eastAsia="Times New Roman" w:hAnsi="Verdana" w:cs="Times New Roman"/>
      <w:sz w:val="18"/>
      <w:szCs w:val="20"/>
    </w:rPr>
  </w:style>
  <w:style w:type="character" w:styleId="PageNumber">
    <w:name w:val="page number"/>
    <w:basedOn w:val="DefaultParagraphFont"/>
    <w:rsid w:val="00FD7E25"/>
    <w:rPr>
      <w:rFonts w:ascii="Arial" w:hAnsi="Arial" w:cs="Arial"/>
      <w:bCs/>
      <w:color w:val="auto"/>
      <w:sz w:val="20"/>
    </w:rPr>
  </w:style>
  <w:style w:type="table" w:customStyle="1" w:styleId="TableGrid1">
    <w:name w:val="Table Grid1"/>
    <w:basedOn w:val="TableNormal"/>
    <w:next w:val="TableGrid"/>
    <w:uiPriority w:val="39"/>
    <w:rsid w:val="00FD7E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E2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Healthcare Communications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White</dc:creator>
  <cp:keywords/>
  <dc:description/>
  <cp:lastModifiedBy>Joshua Safran</cp:lastModifiedBy>
  <cp:revision>3</cp:revision>
  <dcterms:created xsi:type="dcterms:W3CDTF">2018-04-27T19:55:00Z</dcterms:created>
  <dcterms:modified xsi:type="dcterms:W3CDTF">2018-04-27T19:58:00Z</dcterms:modified>
</cp:coreProperties>
</file>