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65CF5" w14:textId="471C6D2D" w:rsidR="00B55D40" w:rsidRPr="00923BE2" w:rsidRDefault="00BB3588" w:rsidP="003F6F01">
      <w:pPr>
        <w:keepNext/>
        <w:keepLines/>
        <w:pageBreakBefore/>
        <w:spacing w:line="480" w:lineRule="auto"/>
        <w:rPr>
          <w:rFonts w:ascii="Arial" w:hAnsi="Arial" w:cs="Arial"/>
          <w:b/>
          <w:lang w:val="en-GB"/>
        </w:rPr>
      </w:pPr>
      <w:r w:rsidRPr="00923BE2">
        <w:rPr>
          <w:rFonts w:ascii="Arial" w:hAnsi="Arial" w:cs="Arial"/>
          <w:b/>
          <w:lang w:val="en-GB"/>
        </w:rPr>
        <w:t>Supplementary Material 2</w:t>
      </w:r>
      <w:r w:rsidR="00B55D40" w:rsidRPr="00923BE2">
        <w:rPr>
          <w:rFonts w:ascii="Arial" w:hAnsi="Arial" w:cs="Arial"/>
          <w:b/>
          <w:lang w:val="en-GB"/>
        </w:rPr>
        <w:t>:</w:t>
      </w:r>
    </w:p>
    <w:p w14:paraId="163ECFAB" w14:textId="543CC701" w:rsidR="0079074B" w:rsidRPr="00923BE2" w:rsidRDefault="000266C9" w:rsidP="00F30FB9">
      <w:pPr>
        <w:keepNext/>
        <w:keepLines/>
        <w:spacing w:line="480" w:lineRule="auto"/>
        <w:rPr>
          <w:rFonts w:ascii="Arial" w:hAnsi="Arial" w:cs="Arial"/>
          <w:b/>
          <w:lang w:val="en-GB"/>
        </w:rPr>
      </w:pPr>
      <w:r w:rsidRPr="00923BE2">
        <w:rPr>
          <w:rFonts w:ascii="Arial" w:hAnsi="Arial" w:cs="Arial"/>
          <w:b/>
          <w:lang w:val="en-GB"/>
        </w:rPr>
        <w:t>R</w:t>
      </w:r>
      <w:r w:rsidR="006E66A0" w:rsidRPr="00923BE2">
        <w:rPr>
          <w:rFonts w:ascii="Arial" w:hAnsi="Arial" w:cs="Arial"/>
          <w:b/>
          <w:lang w:val="en-GB"/>
        </w:rPr>
        <w:t>e</w:t>
      </w:r>
      <w:r w:rsidRPr="00923BE2">
        <w:rPr>
          <w:rFonts w:ascii="Arial" w:hAnsi="Arial" w:cs="Arial"/>
          <w:b/>
          <w:lang w:val="en-GB"/>
        </w:rPr>
        <w:t>-ADAPT f</w:t>
      </w:r>
      <w:r w:rsidR="003D68C9" w:rsidRPr="00923BE2">
        <w:rPr>
          <w:rFonts w:ascii="Arial" w:hAnsi="Arial" w:cs="Arial"/>
          <w:b/>
          <w:lang w:val="en-GB"/>
        </w:rPr>
        <w:t xml:space="preserve">ramework </w:t>
      </w:r>
      <w:r w:rsidR="00513A6A" w:rsidRPr="00923BE2">
        <w:rPr>
          <w:rFonts w:ascii="Arial" w:hAnsi="Arial" w:cs="Arial"/>
          <w:b/>
          <w:lang w:val="en-GB"/>
        </w:rPr>
        <w:t xml:space="preserve">for the </w:t>
      </w:r>
      <w:r w:rsidRPr="00923BE2">
        <w:rPr>
          <w:rFonts w:ascii="Arial" w:hAnsi="Arial" w:cs="Arial"/>
          <w:b/>
          <w:lang w:val="en-GB"/>
        </w:rPr>
        <w:t>assessment</w:t>
      </w:r>
      <w:r w:rsidR="00513A6A" w:rsidRPr="00923BE2">
        <w:rPr>
          <w:rFonts w:ascii="Arial" w:hAnsi="Arial" w:cs="Arial"/>
          <w:b/>
          <w:lang w:val="en-GB"/>
        </w:rPr>
        <w:t xml:space="preserve"> of medicine price </w:t>
      </w:r>
      <w:r w:rsidRPr="00923BE2">
        <w:rPr>
          <w:rFonts w:ascii="Arial" w:hAnsi="Arial" w:cs="Arial"/>
          <w:b/>
          <w:lang w:val="en-GB"/>
        </w:rPr>
        <w:t xml:space="preserve">data </w:t>
      </w:r>
      <w:r w:rsidR="0065263F" w:rsidRPr="00923BE2">
        <w:rPr>
          <w:rFonts w:ascii="Arial" w:hAnsi="Arial" w:cs="Arial"/>
          <w:b/>
          <w:lang w:val="en-GB"/>
        </w:rPr>
        <w:t>source</w:t>
      </w:r>
      <w:r w:rsidRPr="00923BE2">
        <w:rPr>
          <w:rFonts w:ascii="Arial" w:hAnsi="Arial" w:cs="Arial"/>
          <w:b/>
          <w:lang w:val="en-GB"/>
        </w:rPr>
        <w:t>s</w:t>
      </w:r>
      <w:r w:rsidR="00B55D40" w:rsidRPr="00923BE2">
        <w:rPr>
          <w:rFonts w:ascii="Arial" w:hAnsi="Arial" w:cs="Arial"/>
          <w:b/>
          <w:lang w:val="en-GB"/>
        </w:rPr>
        <w:t xml:space="preserve"> (full version)</w:t>
      </w:r>
    </w:p>
    <w:tbl>
      <w:tblPr>
        <w:tblStyle w:val="TableGrid"/>
        <w:tblW w:w="13892" w:type="dxa"/>
        <w:tblInd w:w="108" w:type="dxa"/>
        <w:tblLayout w:type="fixed"/>
        <w:tblLook w:val="04A0" w:firstRow="1" w:lastRow="0" w:firstColumn="1" w:lastColumn="0" w:noHBand="0" w:noVBand="1"/>
      </w:tblPr>
      <w:tblGrid>
        <w:gridCol w:w="1219"/>
        <w:gridCol w:w="1758"/>
        <w:gridCol w:w="6946"/>
        <w:gridCol w:w="3969"/>
      </w:tblGrid>
      <w:tr w:rsidR="00BC66CE" w:rsidRPr="00923BE2" w14:paraId="0F20E912" w14:textId="77777777" w:rsidTr="009A61D5">
        <w:trPr>
          <w:cantSplit/>
          <w:tblHeader/>
        </w:trPr>
        <w:tc>
          <w:tcPr>
            <w:tcW w:w="1219" w:type="dxa"/>
          </w:tcPr>
          <w:p w14:paraId="02B19177" w14:textId="0448A8C6" w:rsidR="00BC66CE" w:rsidRPr="00923BE2" w:rsidRDefault="00BC66CE" w:rsidP="009A61D5">
            <w:pPr>
              <w:keepNext/>
              <w:keepLines/>
              <w:spacing w:before="40" w:after="40" w:line="240" w:lineRule="atLeast"/>
              <w:jc w:val="center"/>
              <w:rPr>
                <w:rFonts w:ascii="Arial" w:hAnsi="Arial" w:cs="Arial"/>
                <w:b/>
                <w:sz w:val="18"/>
                <w:szCs w:val="18"/>
                <w:lang w:val="en-GB"/>
              </w:rPr>
            </w:pPr>
            <w:r w:rsidRPr="00923BE2">
              <w:rPr>
                <w:rFonts w:ascii="Arial" w:hAnsi="Arial" w:cs="Arial"/>
                <w:b/>
                <w:sz w:val="18"/>
                <w:szCs w:val="18"/>
                <w:lang w:val="en-GB"/>
              </w:rPr>
              <w:t>Criterion</w:t>
            </w:r>
          </w:p>
        </w:tc>
        <w:tc>
          <w:tcPr>
            <w:tcW w:w="1758" w:type="dxa"/>
          </w:tcPr>
          <w:p w14:paraId="71263A80" w14:textId="77777777" w:rsidR="00BC66CE" w:rsidRPr="00923BE2" w:rsidRDefault="00BC66CE" w:rsidP="009A61D5">
            <w:pPr>
              <w:keepNext/>
              <w:keepLines/>
              <w:spacing w:before="40" w:after="40" w:line="240" w:lineRule="atLeast"/>
              <w:jc w:val="center"/>
              <w:rPr>
                <w:rFonts w:ascii="Arial" w:hAnsi="Arial" w:cs="Arial"/>
                <w:b/>
                <w:sz w:val="18"/>
                <w:szCs w:val="18"/>
                <w:lang w:val="en-GB"/>
              </w:rPr>
            </w:pPr>
            <w:r w:rsidRPr="00923BE2">
              <w:rPr>
                <w:rFonts w:ascii="Arial" w:hAnsi="Arial" w:cs="Arial"/>
                <w:b/>
                <w:sz w:val="18"/>
                <w:szCs w:val="18"/>
                <w:lang w:val="en-GB"/>
              </w:rPr>
              <w:t>Recommendation</w:t>
            </w:r>
          </w:p>
        </w:tc>
        <w:tc>
          <w:tcPr>
            <w:tcW w:w="6946" w:type="dxa"/>
          </w:tcPr>
          <w:p w14:paraId="68C17D26" w14:textId="5F93EF88" w:rsidR="00BC66CE" w:rsidRPr="00923BE2" w:rsidRDefault="00BC66CE" w:rsidP="009A61D5">
            <w:pPr>
              <w:keepNext/>
              <w:keepLines/>
              <w:spacing w:before="40" w:after="40" w:line="240" w:lineRule="atLeast"/>
              <w:jc w:val="center"/>
              <w:rPr>
                <w:rFonts w:ascii="Arial" w:hAnsi="Arial" w:cs="Arial"/>
                <w:b/>
                <w:sz w:val="18"/>
                <w:szCs w:val="18"/>
                <w:lang w:val="en-GB"/>
              </w:rPr>
            </w:pPr>
            <w:r w:rsidRPr="00923BE2">
              <w:rPr>
                <w:rFonts w:ascii="Arial" w:hAnsi="Arial" w:cs="Arial"/>
                <w:b/>
                <w:sz w:val="18"/>
                <w:szCs w:val="18"/>
                <w:lang w:val="en-GB"/>
              </w:rPr>
              <w:t>Rationale</w:t>
            </w:r>
          </w:p>
        </w:tc>
        <w:tc>
          <w:tcPr>
            <w:tcW w:w="3969" w:type="dxa"/>
          </w:tcPr>
          <w:p w14:paraId="629F2A26" w14:textId="636EA449" w:rsidR="00BC66CE" w:rsidRPr="00923BE2" w:rsidRDefault="00BC66CE" w:rsidP="009A61D5">
            <w:pPr>
              <w:keepNext/>
              <w:keepLines/>
              <w:spacing w:before="40" w:after="40" w:line="240" w:lineRule="atLeast"/>
              <w:jc w:val="center"/>
              <w:rPr>
                <w:rFonts w:ascii="Arial" w:hAnsi="Arial" w:cs="Arial"/>
                <w:b/>
                <w:sz w:val="18"/>
                <w:szCs w:val="18"/>
                <w:lang w:val="en-GB"/>
              </w:rPr>
            </w:pPr>
            <w:r w:rsidRPr="00923BE2">
              <w:rPr>
                <w:rFonts w:ascii="Arial" w:hAnsi="Arial" w:cs="Arial"/>
                <w:b/>
                <w:sz w:val="18"/>
                <w:szCs w:val="18"/>
                <w:lang w:val="en-GB"/>
              </w:rPr>
              <w:t>Checklist</w:t>
            </w:r>
          </w:p>
        </w:tc>
      </w:tr>
      <w:tr w:rsidR="00091553" w:rsidRPr="00923BE2" w14:paraId="18EE5081" w14:textId="77777777" w:rsidTr="006643DC">
        <w:trPr>
          <w:cantSplit/>
        </w:trPr>
        <w:tc>
          <w:tcPr>
            <w:tcW w:w="13892" w:type="dxa"/>
            <w:gridSpan w:val="4"/>
          </w:tcPr>
          <w:p w14:paraId="290E53BA" w14:textId="25AEBD32" w:rsidR="00091553" w:rsidRPr="00923BE2" w:rsidRDefault="00091553" w:rsidP="009A61D5">
            <w:pPr>
              <w:keepNext/>
              <w:keepLines/>
              <w:spacing w:before="40" w:after="40" w:line="240" w:lineRule="atLeast"/>
              <w:rPr>
                <w:rFonts w:ascii="Arial" w:hAnsi="Arial" w:cs="Arial"/>
                <w:i/>
                <w:sz w:val="18"/>
                <w:szCs w:val="18"/>
                <w:lang w:val="en-GB"/>
              </w:rPr>
            </w:pPr>
            <w:r w:rsidRPr="00923BE2">
              <w:rPr>
                <w:rFonts w:ascii="Arial" w:hAnsi="Arial" w:cs="Arial"/>
                <w:i/>
                <w:sz w:val="18"/>
                <w:szCs w:val="18"/>
                <w:lang w:val="en-GB"/>
              </w:rPr>
              <w:t>Overarching principle</w:t>
            </w:r>
          </w:p>
          <w:p w14:paraId="31620889" w14:textId="052A8F69" w:rsidR="00091553" w:rsidRPr="00923BE2" w:rsidRDefault="007E7C50" w:rsidP="009A61D5">
            <w:pPr>
              <w:keepNext/>
              <w:keepLines/>
              <w:spacing w:before="40" w:after="40" w:line="240" w:lineRule="atLeast"/>
              <w:rPr>
                <w:rFonts w:ascii="Arial" w:hAnsi="Arial" w:cs="Arial"/>
                <w:iCs/>
                <w:sz w:val="18"/>
                <w:szCs w:val="18"/>
                <w:lang w:val="en-GB"/>
              </w:rPr>
            </w:pPr>
            <w:r w:rsidRPr="00923BE2">
              <w:rPr>
                <w:rFonts w:ascii="Arial" w:hAnsi="Arial" w:cs="Arial"/>
                <w:iCs/>
                <w:sz w:val="18"/>
                <w:szCs w:val="18"/>
                <w:lang w:val="en-GB"/>
              </w:rPr>
              <w:t xml:space="preserve">The objective of the study (research question), or </w:t>
            </w:r>
            <w:r w:rsidR="00FB5A98" w:rsidRPr="00923BE2">
              <w:rPr>
                <w:rFonts w:ascii="Arial" w:hAnsi="Arial" w:cs="Arial"/>
                <w:iCs/>
                <w:sz w:val="18"/>
                <w:szCs w:val="18"/>
                <w:lang w:val="en-GB"/>
              </w:rPr>
              <w:t>any other</w:t>
            </w:r>
            <w:r w:rsidRPr="00923BE2">
              <w:rPr>
                <w:rFonts w:ascii="Arial" w:hAnsi="Arial" w:cs="Arial"/>
                <w:iCs/>
                <w:sz w:val="18"/>
                <w:szCs w:val="18"/>
                <w:lang w:val="en-GB"/>
              </w:rPr>
              <w:t xml:space="preserve"> purpose of the medicine price data collection</w:t>
            </w:r>
            <w:r w:rsidR="00FB5A98" w:rsidRPr="00923BE2">
              <w:rPr>
                <w:rFonts w:ascii="Arial" w:hAnsi="Arial" w:cs="Arial"/>
                <w:iCs/>
                <w:sz w:val="18"/>
                <w:szCs w:val="18"/>
                <w:lang w:val="en-GB"/>
              </w:rPr>
              <w:t xml:space="preserve"> (e.g. price data for use in external price referencing)</w:t>
            </w:r>
            <w:r w:rsidR="00406869" w:rsidRPr="00923BE2">
              <w:rPr>
                <w:rFonts w:ascii="Arial" w:hAnsi="Arial" w:cs="Arial"/>
                <w:iCs/>
                <w:sz w:val="18"/>
                <w:szCs w:val="18"/>
                <w:lang w:val="en-GB"/>
              </w:rPr>
              <w:t>,</w:t>
            </w:r>
            <w:r w:rsidR="00FB5A98" w:rsidRPr="00923BE2">
              <w:rPr>
                <w:rFonts w:ascii="Arial" w:hAnsi="Arial" w:cs="Arial"/>
                <w:iCs/>
                <w:sz w:val="18"/>
                <w:szCs w:val="18"/>
                <w:lang w:val="en-GB"/>
              </w:rPr>
              <w:t xml:space="preserve"> </w:t>
            </w:r>
            <w:r w:rsidR="006D2BD2" w:rsidRPr="00923BE2">
              <w:rPr>
                <w:rFonts w:ascii="Arial" w:hAnsi="Arial" w:cs="Arial"/>
                <w:iCs/>
                <w:sz w:val="18"/>
                <w:szCs w:val="18"/>
                <w:lang w:val="en-GB"/>
              </w:rPr>
              <w:t xml:space="preserve">is decisive </w:t>
            </w:r>
            <w:r w:rsidR="00CE3EB1" w:rsidRPr="00923BE2">
              <w:rPr>
                <w:rFonts w:ascii="Arial" w:hAnsi="Arial" w:cs="Arial"/>
                <w:iCs/>
                <w:sz w:val="18"/>
                <w:szCs w:val="18"/>
                <w:lang w:val="en-GB"/>
              </w:rPr>
              <w:t>in the assessment of the data sources, in general and with regard to the assessment criteria.</w:t>
            </w:r>
          </w:p>
        </w:tc>
      </w:tr>
      <w:tr w:rsidR="0053117A" w:rsidRPr="00923BE2" w14:paraId="3E2F3868" w14:textId="77777777" w:rsidTr="00B55D40">
        <w:trPr>
          <w:cantSplit/>
        </w:trPr>
        <w:tc>
          <w:tcPr>
            <w:tcW w:w="13892" w:type="dxa"/>
            <w:gridSpan w:val="4"/>
          </w:tcPr>
          <w:p w14:paraId="7C9A1547" w14:textId="61EB1B3B" w:rsidR="0053117A" w:rsidRPr="00923BE2" w:rsidRDefault="0053117A" w:rsidP="009A61D5">
            <w:pPr>
              <w:keepNext/>
              <w:keepLines/>
              <w:spacing w:before="40" w:after="40" w:line="240" w:lineRule="atLeast"/>
              <w:rPr>
                <w:rFonts w:ascii="Arial" w:hAnsi="Arial" w:cs="Arial"/>
                <w:i/>
                <w:sz w:val="18"/>
                <w:szCs w:val="18"/>
                <w:lang w:val="en-GB"/>
              </w:rPr>
            </w:pPr>
            <w:r w:rsidRPr="00923BE2">
              <w:rPr>
                <w:rFonts w:ascii="Arial" w:hAnsi="Arial" w:cs="Arial"/>
                <w:i/>
                <w:sz w:val="18"/>
                <w:szCs w:val="18"/>
                <w:lang w:val="en-GB"/>
              </w:rPr>
              <w:t>Mandatory criteria</w:t>
            </w:r>
          </w:p>
        </w:tc>
      </w:tr>
      <w:tr w:rsidR="00533954" w:rsidRPr="00923BE2" w14:paraId="148B58E3" w14:textId="77777777" w:rsidTr="009A61D5">
        <w:trPr>
          <w:cantSplit/>
        </w:trPr>
        <w:tc>
          <w:tcPr>
            <w:tcW w:w="1219" w:type="dxa"/>
          </w:tcPr>
          <w:p w14:paraId="719F169F" w14:textId="5DAA466B" w:rsidR="00BC66CE" w:rsidRPr="00923BE2" w:rsidRDefault="00BC66CE" w:rsidP="00392EE1">
            <w:pPr>
              <w:spacing w:before="40" w:after="40" w:line="240" w:lineRule="atLeast"/>
              <w:rPr>
                <w:rFonts w:ascii="Arial" w:hAnsi="Arial" w:cs="Arial"/>
                <w:sz w:val="18"/>
                <w:szCs w:val="18"/>
                <w:lang w:val="en-GB"/>
              </w:rPr>
            </w:pPr>
            <w:r w:rsidRPr="00923BE2">
              <w:rPr>
                <w:rFonts w:ascii="Arial" w:hAnsi="Arial" w:cs="Arial"/>
                <w:b/>
                <w:sz w:val="18"/>
                <w:szCs w:val="18"/>
                <w:lang w:val="en-GB"/>
              </w:rPr>
              <w:t>Re</w:t>
            </w:r>
            <w:r w:rsidRPr="00923BE2">
              <w:rPr>
                <w:rFonts w:ascii="Arial" w:hAnsi="Arial" w:cs="Arial"/>
                <w:sz w:val="18"/>
                <w:szCs w:val="18"/>
                <w:lang w:val="en-GB"/>
              </w:rPr>
              <w:t>liability</w:t>
            </w:r>
            <w:r w:rsidR="008014D9" w:rsidRPr="00923BE2">
              <w:rPr>
                <w:rFonts w:ascii="Arial" w:hAnsi="Arial" w:cs="Arial"/>
                <w:sz w:val="18"/>
                <w:szCs w:val="18"/>
                <w:lang w:val="en-GB"/>
              </w:rPr>
              <w:t xml:space="preserve"> and sustaina</w:t>
            </w:r>
            <w:r w:rsidR="00B43CE3" w:rsidRPr="00923BE2">
              <w:rPr>
                <w:rFonts w:ascii="Arial" w:hAnsi="Arial" w:cs="Arial"/>
                <w:sz w:val="18"/>
                <w:szCs w:val="18"/>
                <w:lang w:val="en-GB"/>
              </w:rPr>
              <w:softHyphen/>
            </w:r>
            <w:r w:rsidR="008014D9" w:rsidRPr="00923BE2">
              <w:rPr>
                <w:rFonts w:ascii="Arial" w:hAnsi="Arial" w:cs="Arial"/>
                <w:sz w:val="18"/>
                <w:szCs w:val="18"/>
                <w:lang w:val="en-GB"/>
              </w:rPr>
              <w:t>bility</w:t>
            </w:r>
          </w:p>
        </w:tc>
        <w:tc>
          <w:tcPr>
            <w:tcW w:w="1758" w:type="dxa"/>
          </w:tcPr>
          <w:p w14:paraId="7F33B6E9" w14:textId="6C19DD78" w:rsidR="00BC66CE" w:rsidRPr="00923BE2" w:rsidRDefault="00BC66CE" w:rsidP="008D7753">
            <w:pPr>
              <w:spacing w:before="40" w:after="40" w:line="240" w:lineRule="atLeast"/>
              <w:rPr>
                <w:rFonts w:ascii="Arial" w:hAnsi="Arial" w:cs="Arial"/>
                <w:sz w:val="18"/>
                <w:szCs w:val="18"/>
                <w:lang w:val="en-GB"/>
              </w:rPr>
            </w:pPr>
            <w:r w:rsidRPr="00923BE2">
              <w:rPr>
                <w:rFonts w:ascii="Arial" w:hAnsi="Arial" w:cs="Arial"/>
                <w:sz w:val="18"/>
                <w:szCs w:val="18"/>
                <w:lang w:val="en-GB"/>
              </w:rPr>
              <w:t>The use of data from established and well-known sources is strongly recommended. Researchers are urged to contact managers of unknown data sources in advance to explore reliability.</w:t>
            </w:r>
          </w:p>
        </w:tc>
        <w:tc>
          <w:tcPr>
            <w:tcW w:w="6946" w:type="dxa"/>
          </w:tcPr>
          <w:p w14:paraId="4FB84F47" w14:textId="307F82E0" w:rsidR="00BC66CE" w:rsidRPr="00923BE2" w:rsidRDefault="000A24DB" w:rsidP="009A61D5">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w:t>
            </w:r>
            <w:r w:rsidR="00DB2185" w:rsidRPr="00923BE2">
              <w:rPr>
                <w:rFonts w:ascii="Arial" w:hAnsi="Arial" w:cs="Arial"/>
                <w:sz w:val="18"/>
                <w:szCs w:val="18"/>
                <w:lang w:val="en-GB"/>
              </w:rPr>
              <w:t>Researchers should ensure</w:t>
            </w:r>
            <w:r w:rsidR="000316A2" w:rsidRPr="00923BE2">
              <w:rPr>
                <w:rFonts w:ascii="Arial" w:hAnsi="Arial" w:cs="Arial"/>
                <w:sz w:val="18"/>
                <w:szCs w:val="18"/>
                <w:lang w:val="en-GB"/>
              </w:rPr>
              <w:t xml:space="preserve"> that data are provided from the </w:t>
            </w:r>
            <w:r w:rsidR="00022D04" w:rsidRPr="00923BE2">
              <w:rPr>
                <w:rFonts w:ascii="Arial" w:hAnsi="Arial" w:cs="Arial"/>
                <w:sz w:val="18"/>
                <w:szCs w:val="18"/>
                <w:lang w:val="en-GB"/>
              </w:rPr>
              <w:t xml:space="preserve">chosen </w:t>
            </w:r>
            <w:r w:rsidR="000316A2" w:rsidRPr="00923BE2">
              <w:rPr>
                <w:rFonts w:ascii="Arial" w:hAnsi="Arial" w:cs="Arial"/>
                <w:sz w:val="18"/>
                <w:szCs w:val="18"/>
                <w:lang w:val="en-GB"/>
              </w:rPr>
              <w:t xml:space="preserve">price data source </w:t>
            </w:r>
            <w:r w:rsidR="00DB2185" w:rsidRPr="00923BE2">
              <w:rPr>
                <w:rFonts w:ascii="Arial" w:hAnsi="Arial" w:cs="Arial"/>
                <w:sz w:val="18"/>
                <w:szCs w:val="18"/>
                <w:lang w:val="en-GB"/>
              </w:rPr>
              <w:t xml:space="preserve">as stipulated by the data source providers, in the defined format, at the delivery time as agreed and at the negotiated / agreed costs. </w:t>
            </w:r>
          </w:p>
          <w:p w14:paraId="55ABF542" w14:textId="77777777" w:rsidR="000A24DB" w:rsidRPr="00923BE2" w:rsidRDefault="000A24DB" w:rsidP="009A61D5">
            <w:pPr>
              <w:spacing w:before="40" w:after="40" w:line="240" w:lineRule="atLeast"/>
              <w:rPr>
                <w:rFonts w:ascii="Arial" w:hAnsi="Arial" w:cs="Arial"/>
                <w:sz w:val="18"/>
                <w:szCs w:val="18"/>
                <w:u w:val="single"/>
                <w:lang w:val="en-GB"/>
              </w:rPr>
            </w:pPr>
            <w:r w:rsidRPr="00923BE2">
              <w:rPr>
                <w:rFonts w:ascii="Arial" w:hAnsi="Arial" w:cs="Arial"/>
                <w:sz w:val="18"/>
                <w:szCs w:val="18"/>
                <w:u w:val="single"/>
                <w:lang w:val="en-GB"/>
              </w:rPr>
              <w:t>Key considerations:</w:t>
            </w:r>
          </w:p>
          <w:p w14:paraId="3BCA4201" w14:textId="3AAB619B" w:rsidR="00EF4D24" w:rsidRPr="00923BE2" w:rsidRDefault="00022D04" w:rsidP="009A61D5">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Reliability of a data source is </w:t>
            </w:r>
            <w:r w:rsidR="008014D9" w:rsidRPr="00923BE2">
              <w:rPr>
                <w:rFonts w:ascii="Arial" w:hAnsi="Arial" w:cs="Arial"/>
                <w:sz w:val="18"/>
                <w:szCs w:val="18"/>
                <w:lang w:val="en-GB"/>
              </w:rPr>
              <w:t xml:space="preserve">considered </w:t>
            </w:r>
            <w:r w:rsidR="00F20C41" w:rsidRPr="00923BE2">
              <w:rPr>
                <w:rFonts w:ascii="Arial" w:hAnsi="Arial" w:cs="Arial"/>
                <w:sz w:val="18"/>
                <w:szCs w:val="18"/>
                <w:lang w:val="en-GB"/>
              </w:rPr>
              <w:t>a major prerequisite</w:t>
            </w:r>
            <w:r w:rsidRPr="00923BE2">
              <w:rPr>
                <w:rFonts w:ascii="Arial" w:hAnsi="Arial" w:cs="Arial"/>
                <w:sz w:val="18"/>
                <w:szCs w:val="18"/>
                <w:lang w:val="en-GB"/>
              </w:rPr>
              <w:t xml:space="preserve"> for selection. It would indeed be a most unpleasant surprise if during the data collection (or a follow-up check) the source were no longer accessible because the website has meanwhile been shut down, for instance. Equally annoying would be the non-arrival of ordered price data, especially if payment had already been made, and, even worse, no contact of the data source could be reached. Thus, researchers should </w:t>
            </w:r>
            <w:r w:rsidR="00406869" w:rsidRPr="00923BE2">
              <w:rPr>
                <w:rFonts w:ascii="Arial" w:hAnsi="Arial" w:cs="Arial"/>
                <w:sz w:val="18"/>
                <w:szCs w:val="18"/>
                <w:lang w:val="en-GB"/>
              </w:rPr>
              <w:t>en</w:t>
            </w:r>
            <w:r w:rsidRPr="00923BE2">
              <w:rPr>
                <w:rFonts w:ascii="Arial" w:hAnsi="Arial" w:cs="Arial"/>
                <w:sz w:val="18"/>
                <w:szCs w:val="18"/>
                <w:lang w:val="en-GB"/>
              </w:rPr>
              <w:t>sure that they do not fall for a fake provider.</w:t>
            </w:r>
            <w:r w:rsidR="00EF4D24" w:rsidRPr="00923BE2">
              <w:rPr>
                <w:rFonts w:ascii="Arial" w:hAnsi="Arial" w:cs="Arial"/>
                <w:sz w:val="18"/>
                <w:szCs w:val="18"/>
                <w:lang w:val="en-GB"/>
              </w:rPr>
              <w:t xml:space="preserve"> </w:t>
            </w:r>
            <w:r w:rsidRPr="00923BE2">
              <w:rPr>
                <w:rFonts w:ascii="Arial" w:hAnsi="Arial" w:cs="Arial"/>
                <w:sz w:val="18"/>
                <w:szCs w:val="18"/>
                <w:lang w:val="en-GB"/>
              </w:rPr>
              <w:t>Another cause for the discontinuation of a source could be that a price database was established for research purposes but due to lack of resources it is no longer maintained and/or updated after the end of the project.</w:t>
            </w:r>
            <w:r w:rsidR="008014D9" w:rsidRPr="00923BE2">
              <w:rPr>
                <w:rFonts w:ascii="Arial" w:hAnsi="Arial" w:cs="Arial"/>
                <w:sz w:val="18"/>
                <w:szCs w:val="18"/>
                <w:lang w:val="en-GB"/>
              </w:rPr>
              <w:t xml:space="preserve"> Thus, sustainability of the data source should also </w:t>
            </w:r>
            <w:r w:rsidR="0017455E" w:rsidRPr="00923BE2">
              <w:rPr>
                <w:rFonts w:ascii="Arial" w:hAnsi="Arial" w:cs="Arial"/>
                <w:sz w:val="18"/>
                <w:szCs w:val="18"/>
                <w:lang w:val="en-GB"/>
              </w:rPr>
              <w:t xml:space="preserve">be </w:t>
            </w:r>
            <w:r w:rsidR="008014D9" w:rsidRPr="00923BE2">
              <w:rPr>
                <w:rFonts w:ascii="Arial" w:hAnsi="Arial" w:cs="Arial"/>
                <w:sz w:val="18"/>
                <w:szCs w:val="18"/>
                <w:lang w:val="en-GB"/>
              </w:rPr>
              <w:t>checked.</w:t>
            </w:r>
          </w:p>
          <w:p w14:paraId="5169433F" w14:textId="1625700B" w:rsidR="00022D04" w:rsidRPr="00923BE2" w:rsidRDefault="00EF4D24">
            <w:pPr>
              <w:spacing w:before="40" w:after="40" w:line="240" w:lineRule="atLeast"/>
              <w:rPr>
                <w:rFonts w:ascii="Arial" w:hAnsi="Arial" w:cs="Arial"/>
                <w:sz w:val="18"/>
                <w:szCs w:val="18"/>
                <w:lang w:val="en-GB"/>
              </w:rPr>
            </w:pPr>
            <w:r w:rsidRPr="00923BE2">
              <w:rPr>
                <w:rFonts w:ascii="Arial" w:hAnsi="Arial" w:cs="Arial"/>
                <w:sz w:val="18"/>
                <w:szCs w:val="18"/>
                <w:lang w:val="en-GB"/>
              </w:rPr>
              <w:t>Another aspect of reliability concerns the appropriateness and soundness of the dat</w:t>
            </w:r>
            <w:r w:rsidR="00A97564" w:rsidRPr="00923BE2">
              <w:rPr>
                <w:rFonts w:ascii="Arial" w:hAnsi="Arial" w:cs="Arial"/>
                <w:sz w:val="18"/>
                <w:szCs w:val="18"/>
                <w:lang w:val="en-GB"/>
              </w:rPr>
              <w:t xml:space="preserve">a. In this respect, </w:t>
            </w:r>
            <w:r w:rsidR="00C931AE" w:rsidRPr="00923BE2">
              <w:rPr>
                <w:rFonts w:ascii="Arial" w:hAnsi="Arial" w:cs="Arial"/>
                <w:sz w:val="18"/>
                <w:szCs w:val="18"/>
                <w:lang w:val="en-GB"/>
              </w:rPr>
              <w:t xml:space="preserve">more </w:t>
            </w:r>
            <w:r w:rsidR="00A97564" w:rsidRPr="00923BE2">
              <w:rPr>
                <w:rFonts w:ascii="Arial" w:hAnsi="Arial" w:cs="Arial"/>
                <w:sz w:val="18"/>
                <w:szCs w:val="18"/>
                <w:lang w:val="en-GB"/>
              </w:rPr>
              <w:t>information about the data source, such as their data collection, validation and further quality assurance aspects, provide further guidance.</w:t>
            </w:r>
            <w:r w:rsidRPr="00923BE2">
              <w:rPr>
                <w:rFonts w:ascii="Arial" w:hAnsi="Arial" w:cs="Arial"/>
                <w:sz w:val="18"/>
                <w:szCs w:val="18"/>
                <w:lang w:val="en-GB"/>
              </w:rPr>
              <w:t xml:space="preserve"> </w:t>
            </w:r>
          </w:p>
        </w:tc>
        <w:tc>
          <w:tcPr>
            <w:tcW w:w="3969" w:type="dxa"/>
          </w:tcPr>
          <w:p w14:paraId="074B4649" w14:textId="77777777" w:rsidR="00B43CE3" w:rsidRPr="00923BE2" w:rsidRDefault="00B43CE3" w:rsidP="009A61D5">
            <w:pPr>
              <w:spacing w:before="40" w:after="40" w:line="240" w:lineRule="atLeast"/>
              <w:rPr>
                <w:rFonts w:ascii="Arial" w:hAnsi="Arial" w:cs="Arial"/>
                <w:sz w:val="18"/>
                <w:szCs w:val="18"/>
                <w:u w:val="single"/>
                <w:lang w:val="en-GB"/>
              </w:rPr>
            </w:pPr>
            <w:r w:rsidRPr="00923BE2">
              <w:rPr>
                <w:rFonts w:ascii="Arial" w:hAnsi="Arial" w:cs="Arial"/>
                <w:sz w:val="18"/>
                <w:szCs w:val="18"/>
                <w:u w:val="single"/>
                <w:lang w:val="en-GB"/>
              </w:rPr>
              <w:t>How to proceed:</w:t>
            </w:r>
          </w:p>
          <w:p w14:paraId="09310E4C" w14:textId="0F5DB398" w:rsidR="00B43CE3" w:rsidRPr="00923BE2" w:rsidRDefault="00B43CE3" w:rsidP="009A61D5">
            <w:pPr>
              <w:spacing w:before="40" w:after="40" w:line="240" w:lineRule="atLeast"/>
              <w:rPr>
                <w:rFonts w:ascii="Arial" w:hAnsi="Arial" w:cs="Arial"/>
                <w:sz w:val="18"/>
                <w:szCs w:val="18"/>
                <w:lang w:val="en-GB"/>
              </w:rPr>
            </w:pPr>
            <w:r w:rsidRPr="00923BE2">
              <w:rPr>
                <w:rFonts w:ascii="Arial" w:hAnsi="Arial" w:cs="Arial"/>
                <w:sz w:val="18"/>
                <w:szCs w:val="18"/>
                <w:lang w:val="en-GB"/>
              </w:rPr>
              <w:t>Researchers are urged to identify the managers of the data source before they immerge into data collection. A minimum standard is the publication of full contact details of the owner or manager of the source. Data provided by an official body (e.g. a public authority that maintains a database) or of a well-known private provider should be given preference. It can also be helpful to address peers and learn about their experience with different price data sources and providers. Before collecting data from an unknown source, researchers are advised reaching out for the provider of the data, ideally in writing as well as through a telephone call. This is especially key for larger-scale projects.</w:t>
            </w:r>
          </w:p>
          <w:p w14:paraId="020BAA27" w14:textId="13B2F497" w:rsidR="00BC66CE" w:rsidRPr="00923BE2" w:rsidRDefault="00BC66CE" w:rsidP="009A61D5">
            <w:pPr>
              <w:rPr>
                <w:lang w:val="en-GB"/>
              </w:rPr>
            </w:pPr>
          </w:p>
        </w:tc>
      </w:tr>
      <w:tr w:rsidR="000A521B" w:rsidRPr="00923BE2" w14:paraId="51AD21BB" w14:textId="77777777" w:rsidTr="00091553">
        <w:trPr>
          <w:cantSplit/>
        </w:trPr>
        <w:tc>
          <w:tcPr>
            <w:tcW w:w="1219" w:type="dxa"/>
          </w:tcPr>
          <w:p w14:paraId="7925062F" w14:textId="53C764F5" w:rsidR="000A521B" w:rsidRPr="00923BE2" w:rsidRDefault="000A521B" w:rsidP="00392EE1">
            <w:pPr>
              <w:spacing w:before="40" w:after="40" w:line="240" w:lineRule="atLeast"/>
              <w:rPr>
                <w:rFonts w:ascii="Arial" w:hAnsi="Arial" w:cs="Arial"/>
                <w:b/>
                <w:sz w:val="18"/>
                <w:szCs w:val="18"/>
                <w:lang w:val="en-GB"/>
              </w:rPr>
            </w:pPr>
            <w:r w:rsidRPr="00923BE2">
              <w:rPr>
                <w:rFonts w:ascii="Arial" w:hAnsi="Arial" w:cs="Arial"/>
                <w:b/>
                <w:sz w:val="18"/>
                <w:szCs w:val="18"/>
                <w:lang w:val="en-GB"/>
              </w:rPr>
              <w:lastRenderedPageBreak/>
              <w:t>Re</w:t>
            </w:r>
            <w:r w:rsidRPr="00923BE2">
              <w:rPr>
                <w:rFonts w:ascii="Arial" w:hAnsi="Arial" w:cs="Arial"/>
                <w:sz w:val="18"/>
                <w:szCs w:val="18"/>
                <w:lang w:val="en-GB"/>
              </w:rPr>
              <w:t>liability and sustaina</w:t>
            </w:r>
            <w:r w:rsidRPr="00923BE2">
              <w:rPr>
                <w:rFonts w:ascii="Arial" w:hAnsi="Arial" w:cs="Arial"/>
                <w:sz w:val="18"/>
                <w:szCs w:val="18"/>
                <w:lang w:val="en-GB"/>
              </w:rPr>
              <w:softHyphen/>
              <w:t xml:space="preserve">bility </w:t>
            </w:r>
            <w:r w:rsidRPr="00923BE2">
              <w:rPr>
                <w:rFonts w:ascii="Arial" w:hAnsi="Arial" w:cs="Arial"/>
                <w:i/>
                <w:sz w:val="18"/>
                <w:szCs w:val="18"/>
                <w:lang w:val="en-GB"/>
              </w:rPr>
              <w:t>(continued)</w:t>
            </w:r>
          </w:p>
        </w:tc>
        <w:tc>
          <w:tcPr>
            <w:tcW w:w="1758" w:type="dxa"/>
          </w:tcPr>
          <w:p w14:paraId="1C6B3DB3" w14:textId="77777777" w:rsidR="000A521B" w:rsidRPr="00923BE2" w:rsidRDefault="000A521B">
            <w:pPr>
              <w:spacing w:before="40" w:after="40" w:line="240" w:lineRule="atLeast"/>
              <w:rPr>
                <w:rFonts w:ascii="Arial" w:hAnsi="Arial" w:cs="Arial"/>
                <w:sz w:val="18"/>
                <w:szCs w:val="18"/>
                <w:lang w:val="en-GB"/>
              </w:rPr>
            </w:pPr>
          </w:p>
        </w:tc>
        <w:tc>
          <w:tcPr>
            <w:tcW w:w="6946" w:type="dxa"/>
          </w:tcPr>
          <w:p w14:paraId="592AC2FC" w14:textId="77777777" w:rsidR="000A521B" w:rsidRPr="00923BE2" w:rsidRDefault="000A521B">
            <w:pPr>
              <w:spacing w:before="40" w:after="40" w:line="240" w:lineRule="atLeast"/>
              <w:rPr>
                <w:rFonts w:ascii="Arial" w:hAnsi="Arial" w:cs="Arial"/>
                <w:sz w:val="18"/>
                <w:szCs w:val="18"/>
                <w:u w:val="single"/>
                <w:lang w:val="en-GB"/>
              </w:rPr>
            </w:pPr>
          </w:p>
        </w:tc>
        <w:tc>
          <w:tcPr>
            <w:tcW w:w="3969" w:type="dxa"/>
          </w:tcPr>
          <w:p w14:paraId="0B73E3F6" w14:textId="77777777" w:rsidR="000A521B" w:rsidRPr="00923BE2" w:rsidRDefault="000A521B" w:rsidP="000A521B">
            <w:pPr>
              <w:spacing w:before="40" w:after="40" w:line="240" w:lineRule="atLeast"/>
              <w:rPr>
                <w:rFonts w:ascii="Arial" w:hAnsi="Arial" w:cs="Arial"/>
                <w:sz w:val="18"/>
                <w:szCs w:val="18"/>
                <w:u w:val="single"/>
                <w:lang w:val="en-GB"/>
              </w:rPr>
            </w:pPr>
            <w:r w:rsidRPr="00923BE2">
              <w:rPr>
                <w:rFonts w:ascii="Arial" w:hAnsi="Arial" w:cs="Arial"/>
                <w:sz w:val="18"/>
                <w:szCs w:val="18"/>
                <w:u w:val="single"/>
                <w:lang w:val="en-GB"/>
              </w:rPr>
              <w:t>Checklist questions:</w:t>
            </w:r>
          </w:p>
          <w:p w14:paraId="77FCFF99" w14:textId="77777777" w:rsidR="000A521B" w:rsidRPr="00923BE2" w:rsidRDefault="000A521B" w:rsidP="000A521B">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 xml:space="preserve">Who owns / manages the data source? </w:t>
            </w:r>
          </w:p>
          <w:p w14:paraId="3FE694DE" w14:textId="6571B7EB" w:rsidR="000A521B" w:rsidRPr="00923BE2" w:rsidRDefault="000A521B" w:rsidP="000A521B">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 xml:space="preserve">Are contact details indicated? Were requests </w:t>
            </w:r>
            <w:r w:rsidR="00C9115A" w:rsidRPr="00923BE2">
              <w:rPr>
                <w:rFonts w:ascii="Arial" w:hAnsi="Arial" w:cs="Arial"/>
                <w:sz w:val="18"/>
                <w:szCs w:val="18"/>
                <w:lang w:val="en-GB"/>
              </w:rPr>
              <w:t>answered</w:t>
            </w:r>
            <w:r w:rsidRPr="00923BE2">
              <w:rPr>
                <w:rFonts w:ascii="Arial" w:hAnsi="Arial" w:cs="Arial"/>
                <w:sz w:val="18"/>
                <w:szCs w:val="18"/>
                <w:lang w:val="en-GB"/>
              </w:rPr>
              <w:t xml:space="preserve"> in due time?</w:t>
            </w:r>
          </w:p>
          <w:p w14:paraId="0BE9E9AF" w14:textId="77777777" w:rsidR="000A521B" w:rsidRPr="00923BE2" w:rsidRDefault="000A521B" w:rsidP="000A521B">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Is it a new data source, or has it been established for a longer period of time?</w:t>
            </w:r>
          </w:p>
          <w:p w14:paraId="1CDC9B00" w14:textId="77777777" w:rsidR="009865BE" w:rsidRPr="00923BE2" w:rsidRDefault="000A521B" w:rsidP="009A61D5">
            <w:pPr>
              <w:pStyle w:val="ListParagraph"/>
              <w:numPr>
                <w:ilvl w:val="0"/>
                <w:numId w:val="3"/>
              </w:numPr>
              <w:spacing w:before="40" w:after="40" w:line="240" w:lineRule="atLeast"/>
              <w:ind w:left="113" w:hanging="113"/>
              <w:contextualSpacing w:val="0"/>
              <w:rPr>
                <w:rFonts w:ascii="Arial" w:eastAsiaTheme="majorEastAsia" w:hAnsi="Arial" w:cs="Arial"/>
                <w:b/>
                <w:bCs/>
                <w:color w:val="4F81BD" w:themeColor="accent1"/>
                <w:sz w:val="18"/>
                <w:szCs w:val="18"/>
                <w:lang w:val="en-GB"/>
              </w:rPr>
            </w:pPr>
            <w:r w:rsidRPr="00923BE2">
              <w:rPr>
                <w:rFonts w:ascii="Arial" w:hAnsi="Arial" w:cs="Arial"/>
                <w:sz w:val="18"/>
                <w:szCs w:val="18"/>
                <w:lang w:val="en-GB"/>
              </w:rPr>
              <w:t>Have papers been published that used data from that source?</w:t>
            </w:r>
          </w:p>
          <w:p w14:paraId="588717E9" w14:textId="59726B5C" w:rsidR="000A521B" w:rsidRPr="00923BE2" w:rsidRDefault="000A521B" w:rsidP="009A61D5">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 xml:space="preserve">Have other researchers worked with data of the identified source? </w:t>
            </w:r>
            <w:r w:rsidR="009865BE" w:rsidRPr="00923BE2">
              <w:rPr>
                <w:rFonts w:ascii="Arial" w:hAnsi="Arial" w:cs="Arial"/>
                <w:sz w:val="18"/>
                <w:szCs w:val="18"/>
                <w:lang w:val="en-GB"/>
              </w:rPr>
              <w:t>What</w:t>
            </w:r>
            <w:r w:rsidRPr="00923BE2">
              <w:rPr>
                <w:rFonts w:ascii="Arial" w:hAnsi="Arial" w:cs="Arial"/>
                <w:sz w:val="18"/>
                <w:szCs w:val="18"/>
                <w:lang w:val="en-GB"/>
              </w:rPr>
              <w:t xml:space="preserve"> were their experiences?</w:t>
            </w:r>
          </w:p>
        </w:tc>
      </w:tr>
      <w:tr w:rsidR="00533954" w:rsidRPr="00923BE2" w14:paraId="2285D2D8" w14:textId="77777777" w:rsidTr="009A61D5">
        <w:trPr>
          <w:cantSplit/>
        </w:trPr>
        <w:tc>
          <w:tcPr>
            <w:tcW w:w="1219" w:type="dxa"/>
          </w:tcPr>
          <w:p w14:paraId="786CB1C9" w14:textId="39FE2ECF" w:rsidR="00BC66CE" w:rsidRPr="00923BE2" w:rsidRDefault="00BC66CE" w:rsidP="00392EE1">
            <w:pPr>
              <w:spacing w:before="40" w:after="40" w:line="240" w:lineRule="atLeast"/>
              <w:rPr>
                <w:rFonts w:ascii="Arial" w:hAnsi="Arial" w:cs="Arial"/>
                <w:sz w:val="18"/>
                <w:szCs w:val="18"/>
                <w:lang w:val="en-GB"/>
              </w:rPr>
            </w:pPr>
            <w:r w:rsidRPr="00923BE2">
              <w:rPr>
                <w:rFonts w:ascii="Arial" w:hAnsi="Arial" w:cs="Arial"/>
                <w:b/>
                <w:sz w:val="18"/>
                <w:szCs w:val="18"/>
                <w:lang w:val="en-GB"/>
              </w:rPr>
              <w:lastRenderedPageBreak/>
              <w:t>A</w:t>
            </w:r>
            <w:r w:rsidRPr="00923BE2">
              <w:rPr>
                <w:rFonts w:ascii="Arial" w:hAnsi="Arial" w:cs="Arial"/>
                <w:sz w:val="18"/>
                <w:szCs w:val="18"/>
                <w:lang w:val="en-GB"/>
              </w:rPr>
              <w:t>ccessibility</w:t>
            </w:r>
          </w:p>
        </w:tc>
        <w:tc>
          <w:tcPr>
            <w:tcW w:w="1758" w:type="dxa"/>
          </w:tcPr>
          <w:p w14:paraId="7CED513F" w14:textId="535DFC14" w:rsidR="00BC66CE" w:rsidRPr="00923BE2" w:rsidRDefault="00BC66CE" w:rsidP="009A61D5">
            <w:pPr>
              <w:spacing w:before="40" w:after="40" w:line="240" w:lineRule="atLeast"/>
              <w:rPr>
                <w:rFonts w:ascii="Arial" w:eastAsiaTheme="majorEastAsia" w:hAnsi="Arial" w:cs="Arial"/>
                <w:b/>
                <w:bCs/>
                <w:color w:val="4F81BD" w:themeColor="accent1"/>
                <w:sz w:val="18"/>
                <w:szCs w:val="18"/>
                <w:lang w:val="en-GB"/>
              </w:rPr>
            </w:pPr>
            <w:r w:rsidRPr="00923BE2">
              <w:rPr>
                <w:rFonts w:ascii="Arial" w:hAnsi="Arial" w:cs="Arial"/>
                <w:sz w:val="18"/>
                <w:szCs w:val="18"/>
                <w:lang w:val="en-GB"/>
              </w:rPr>
              <w:t xml:space="preserve">It is advised </w:t>
            </w:r>
            <w:r w:rsidR="00A054D5" w:rsidRPr="00923BE2">
              <w:rPr>
                <w:rFonts w:ascii="Arial" w:hAnsi="Arial" w:cs="Arial"/>
                <w:sz w:val="18"/>
                <w:szCs w:val="18"/>
                <w:lang w:val="en-GB"/>
              </w:rPr>
              <w:t xml:space="preserve">to explore </w:t>
            </w:r>
            <w:r w:rsidRPr="00923BE2">
              <w:rPr>
                <w:rFonts w:ascii="Arial" w:hAnsi="Arial" w:cs="Arial"/>
                <w:sz w:val="18"/>
                <w:szCs w:val="18"/>
                <w:lang w:val="en-GB"/>
              </w:rPr>
              <w:t>possible accessibility barriers (e.g. costs, registration, non-eligibility). The decision should be taken by balancing identified benefits and limitations of protected and/or expensive data sources and medicine price services.</w:t>
            </w:r>
          </w:p>
        </w:tc>
        <w:tc>
          <w:tcPr>
            <w:tcW w:w="6946" w:type="dxa"/>
          </w:tcPr>
          <w:p w14:paraId="3846E22A" w14:textId="5BCC54E5" w:rsidR="002141A4" w:rsidRPr="00923BE2" w:rsidRDefault="000340C0" w:rsidP="009A61D5">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w:t>
            </w:r>
            <w:r w:rsidR="00533954" w:rsidRPr="00923BE2">
              <w:rPr>
                <w:rFonts w:ascii="Arial" w:hAnsi="Arial" w:cs="Arial"/>
                <w:sz w:val="18"/>
                <w:szCs w:val="18"/>
                <w:lang w:val="en-GB"/>
              </w:rPr>
              <w:t xml:space="preserve">Accessibility </w:t>
            </w:r>
            <w:r w:rsidR="00A441CB" w:rsidRPr="00923BE2">
              <w:rPr>
                <w:rFonts w:ascii="Arial" w:hAnsi="Arial" w:cs="Arial"/>
                <w:sz w:val="18"/>
                <w:szCs w:val="18"/>
                <w:lang w:val="en-GB"/>
              </w:rPr>
              <w:t xml:space="preserve">of a data source may be limited by different </w:t>
            </w:r>
            <w:r w:rsidR="0046462B" w:rsidRPr="00923BE2">
              <w:rPr>
                <w:rFonts w:ascii="Arial" w:hAnsi="Arial" w:cs="Arial"/>
                <w:sz w:val="18"/>
                <w:szCs w:val="18"/>
                <w:lang w:val="en-GB"/>
              </w:rPr>
              <w:t>restrictions</w:t>
            </w:r>
            <w:r w:rsidR="00533954" w:rsidRPr="00923BE2">
              <w:rPr>
                <w:rFonts w:ascii="Arial" w:hAnsi="Arial" w:cs="Arial"/>
                <w:sz w:val="18"/>
                <w:szCs w:val="18"/>
                <w:lang w:val="en-GB"/>
              </w:rPr>
              <w:t>. In principle, there are three options of how data can be accessed</w:t>
            </w:r>
            <w:r w:rsidR="002141A4" w:rsidRPr="00923BE2">
              <w:rPr>
                <w:rFonts w:ascii="Arial" w:hAnsi="Arial" w:cs="Arial"/>
                <w:sz w:val="18"/>
                <w:szCs w:val="18"/>
                <w:lang w:val="en-GB"/>
              </w:rPr>
              <w:t>:</w:t>
            </w:r>
          </w:p>
          <w:p w14:paraId="6C3AE5C9" w14:textId="77804F8A" w:rsidR="002141A4" w:rsidRPr="00923BE2" w:rsidRDefault="00533954" w:rsidP="009A61D5">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First, price data can be freely accessible, and, as such, they require neither registration nor a password nor do they </w:t>
            </w:r>
            <w:r w:rsidR="00152A7A" w:rsidRPr="00923BE2">
              <w:rPr>
                <w:rFonts w:ascii="Arial" w:hAnsi="Arial" w:cs="Arial"/>
                <w:sz w:val="18"/>
                <w:szCs w:val="18"/>
                <w:lang w:val="en-GB"/>
              </w:rPr>
              <w:t xml:space="preserve">entail </w:t>
            </w:r>
            <w:r w:rsidRPr="00923BE2">
              <w:rPr>
                <w:rFonts w:ascii="Arial" w:hAnsi="Arial" w:cs="Arial"/>
                <w:sz w:val="18"/>
                <w:szCs w:val="18"/>
                <w:lang w:val="en-GB"/>
              </w:rPr>
              <w:t>any costs.</w:t>
            </w:r>
            <w:r w:rsidR="002141A4" w:rsidRPr="00923BE2">
              <w:rPr>
                <w:rFonts w:ascii="Arial" w:hAnsi="Arial" w:cs="Arial"/>
                <w:sz w:val="18"/>
                <w:szCs w:val="18"/>
                <w:lang w:val="en-GB"/>
              </w:rPr>
              <w:t xml:space="preserve"> Examples</w:t>
            </w:r>
            <w:r w:rsidR="00152A7A" w:rsidRPr="00923BE2">
              <w:rPr>
                <w:rFonts w:ascii="Arial" w:hAnsi="Arial" w:cs="Arial"/>
                <w:sz w:val="18"/>
                <w:szCs w:val="18"/>
                <w:lang w:val="en-GB"/>
              </w:rPr>
              <w:t xml:space="preserve">: The </w:t>
            </w:r>
            <w:r w:rsidR="0009649B" w:rsidRPr="00923BE2">
              <w:rPr>
                <w:rFonts w:ascii="Arial" w:hAnsi="Arial" w:cs="Arial"/>
                <w:sz w:val="18"/>
                <w:szCs w:val="18"/>
                <w:lang w:val="en-GB"/>
              </w:rPr>
              <w:t xml:space="preserve">Australian Department of Health </w:t>
            </w:r>
            <w:r w:rsidR="00152A7A" w:rsidRPr="00923BE2">
              <w:rPr>
                <w:rFonts w:ascii="Arial" w:hAnsi="Arial" w:cs="Arial"/>
                <w:sz w:val="18"/>
                <w:szCs w:val="18"/>
                <w:lang w:val="en-GB"/>
              </w:rPr>
              <w:t xml:space="preserve">provides a web-based searchable database </w:t>
            </w:r>
            <w:r w:rsidR="0009649B" w:rsidRPr="00923BE2">
              <w:rPr>
                <w:rFonts w:ascii="Arial" w:hAnsi="Arial" w:cs="Arial"/>
                <w:sz w:val="18"/>
                <w:szCs w:val="18"/>
                <w:lang w:val="en-GB"/>
              </w:rPr>
              <w:t xml:space="preserve">with price information of </w:t>
            </w:r>
            <w:r w:rsidR="00066010" w:rsidRPr="00923BE2">
              <w:rPr>
                <w:rFonts w:ascii="Arial" w:hAnsi="Arial" w:cs="Arial"/>
                <w:sz w:val="18"/>
                <w:szCs w:val="18"/>
                <w:lang w:val="en-GB"/>
              </w:rPr>
              <w:t>medicines</w:t>
            </w:r>
            <w:r w:rsidR="0009649B" w:rsidRPr="00923BE2">
              <w:rPr>
                <w:rFonts w:ascii="Arial" w:hAnsi="Arial" w:cs="Arial"/>
                <w:sz w:val="18"/>
                <w:szCs w:val="18"/>
                <w:lang w:val="en-GB"/>
              </w:rPr>
              <w:t xml:space="preserve"> subsidized by the Australian Pharmaceuticals Benefits Scheme</w:t>
            </w:r>
            <w:r w:rsidR="002141A4" w:rsidRPr="00923BE2">
              <w:rPr>
                <w:rFonts w:ascii="Arial" w:hAnsi="Arial" w:cs="Arial"/>
                <w:sz w:val="18"/>
                <w:szCs w:val="18"/>
                <w:lang w:val="en-GB"/>
              </w:rPr>
              <w:t xml:space="preserve"> (</w:t>
            </w:r>
            <w:hyperlink r:id="rId8" w:history="1">
              <w:r w:rsidR="002141A4" w:rsidRPr="00923BE2">
                <w:rPr>
                  <w:rStyle w:val="Hyperlink"/>
                  <w:rFonts w:ascii="Arial" w:hAnsi="Arial" w:cs="Arial"/>
                  <w:sz w:val="18"/>
                  <w:szCs w:val="18"/>
                  <w:lang w:val="en-GB"/>
                </w:rPr>
                <w:t>http://www.pbs.gov.au/pbs/home</w:t>
              </w:r>
            </w:hyperlink>
            <w:r w:rsidR="00152A7A" w:rsidRPr="00923BE2">
              <w:rPr>
                <w:rFonts w:ascii="Arial" w:hAnsi="Arial" w:cs="Arial"/>
                <w:sz w:val="18"/>
                <w:szCs w:val="18"/>
                <w:lang w:val="en-GB"/>
              </w:rPr>
              <w:t>). The Brazilian Medicines Agency offers</w:t>
            </w:r>
            <w:r w:rsidR="0009649B" w:rsidRPr="00923BE2">
              <w:rPr>
                <w:rFonts w:ascii="Arial" w:hAnsi="Arial" w:cs="Arial"/>
                <w:sz w:val="18"/>
                <w:szCs w:val="18"/>
                <w:lang w:val="en-GB"/>
              </w:rPr>
              <w:t xml:space="preserve"> price lists for downlo</w:t>
            </w:r>
            <w:r w:rsidR="00152A7A" w:rsidRPr="00923BE2">
              <w:rPr>
                <w:rFonts w:ascii="Arial" w:hAnsi="Arial" w:cs="Arial"/>
                <w:sz w:val="18"/>
                <w:szCs w:val="18"/>
                <w:lang w:val="en-GB"/>
              </w:rPr>
              <w:t xml:space="preserve">ad </w:t>
            </w:r>
            <w:r w:rsidR="00283237" w:rsidRPr="00923BE2">
              <w:rPr>
                <w:rFonts w:ascii="Arial" w:hAnsi="Arial" w:cs="Arial"/>
                <w:sz w:val="18"/>
                <w:szCs w:val="18"/>
                <w:lang w:val="en-GB"/>
              </w:rPr>
              <w:t>(</w:t>
            </w:r>
            <w:hyperlink r:id="rId9" w:history="1">
              <w:r w:rsidR="00283237" w:rsidRPr="00923BE2">
                <w:rPr>
                  <w:rStyle w:val="Hyperlink"/>
                  <w:rFonts w:ascii="Arial" w:hAnsi="Arial" w:cs="Arial"/>
                  <w:sz w:val="18"/>
                  <w:szCs w:val="18"/>
                  <w:lang w:val="en-GB"/>
                </w:rPr>
                <w:t>http://portal.anvisa.gov.br/listas-de-precos</w:t>
              </w:r>
            </w:hyperlink>
            <w:r w:rsidR="00283237" w:rsidRPr="00923BE2">
              <w:rPr>
                <w:rFonts w:ascii="Arial" w:hAnsi="Arial" w:cs="Arial"/>
                <w:sz w:val="18"/>
                <w:szCs w:val="18"/>
                <w:lang w:val="en-GB"/>
              </w:rPr>
              <w:t>).</w:t>
            </w:r>
          </w:p>
          <w:p w14:paraId="08BBFF72" w14:textId="73FBE044" w:rsidR="00CA659D" w:rsidRPr="00923BE2" w:rsidRDefault="00533954" w:rsidP="009A61D5">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Second, accessibility </w:t>
            </w:r>
            <w:r w:rsidR="00152A7A" w:rsidRPr="00923BE2">
              <w:rPr>
                <w:rFonts w:ascii="Arial" w:hAnsi="Arial" w:cs="Arial"/>
                <w:sz w:val="18"/>
                <w:szCs w:val="18"/>
                <w:lang w:val="en-GB"/>
              </w:rPr>
              <w:t xml:space="preserve">can be </w:t>
            </w:r>
            <w:r w:rsidRPr="00923BE2">
              <w:rPr>
                <w:rFonts w:ascii="Arial" w:hAnsi="Arial" w:cs="Arial"/>
                <w:sz w:val="18"/>
                <w:szCs w:val="18"/>
                <w:lang w:val="en-GB"/>
              </w:rPr>
              <w:t>limited and will only be granted after the data providers have checked the user’s eligibility status. Under this option, access to a price database can be linked to user charges.</w:t>
            </w:r>
            <w:r w:rsidR="00C544AE" w:rsidRPr="00923BE2">
              <w:rPr>
                <w:rFonts w:ascii="Arial" w:hAnsi="Arial" w:cs="Arial"/>
                <w:sz w:val="18"/>
                <w:szCs w:val="18"/>
                <w:lang w:val="en-GB"/>
              </w:rPr>
              <w:t xml:space="preserve"> Examples: The Management Sciences for Health (MSH) guide </w:t>
            </w:r>
            <w:r w:rsidR="004D2938" w:rsidRPr="00923BE2">
              <w:rPr>
                <w:rFonts w:ascii="Arial" w:hAnsi="Arial" w:cs="Arial"/>
                <w:sz w:val="18"/>
                <w:szCs w:val="18"/>
                <w:lang w:val="en-GB"/>
              </w:rPr>
              <w:t>(</w:t>
            </w:r>
            <w:hyperlink r:id="rId10" w:history="1">
              <w:r w:rsidR="004D2938" w:rsidRPr="00923BE2">
                <w:rPr>
                  <w:rStyle w:val="Hyperlink"/>
                  <w:rFonts w:ascii="Arial" w:hAnsi="Arial" w:cs="Arial"/>
                  <w:sz w:val="18"/>
                  <w:szCs w:val="18"/>
                  <w:lang w:val="en-GB"/>
                </w:rPr>
                <w:t>http://mshpriceguide.org/en/home/</w:t>
              </w:r>
            </w:hyperlink>
            <w:r w:rsidR="004D2938" w:rsidRPr="00923BE2">
              <w:rPr>
                <w:rFonts w:ascii="Arial" w:hAnsi="Arial" w:cs="Arial"/>
                <w:sz w:val="18"/>
                <w:szCs w:val="18"/>
                <w:lang w:val="en-GB"/>
              </w:rPr>
              <w:t xml:space="preserve">) </w:t>
            </w:r>
            <w:r w:rsidR="00C544AE" w:rsidRPr="00923BE2">
              <w:rPr>
                <w:rFonts w:ascii="Arial" w:hAnsi="Arial" w:cs="Arial"/>
                <w:sz w:val="18"/>
                <w:szCs w:val="18"/>
                <w:lang w:val="en-GB"/>
              </w:rPr>
              <w:t xml:space="preserve">that publishes international reference prices for medicines requires </w:t>
            </w:r>
            <w:r w:rsidR="004D2938" w:rsidRPr="00923BE2">
              <w:rPr>
                <w:rFonts w:ascii="Arial" w:hAnsi="Arial" w:cs="Arial"/>
                <w:sz w:val="18"/>
                <w:szCs w:val="18"/>
                <w:lang w:val="en-GB"/>
              </w:rPr>
              <w:t xml:space="preserve">registration for customized queries (the guide itself is freely accessible). </w:t>
            </w:r>
            <w:r w:rsidR="00CE4DA0" w:rsidRPr="00923BE2">
              <w:rPr>
                <w:rFonts w:ascii="Arial" w:hAnsi="Arial" w:cs="Arial"/>
                <w:sz w:val="18"/>
                <w:szCs w:val="18"/>
                <w:lang w:val="en-GB"/>
              </w:rPr>
              <w:t xml:space="preserve">The Western Pacific Platform </w:t>
            </w:r>
            <w:r w:rsidR="00152A7A" w:rsidRPr="00923BE2">
              <w:rPr>
                <w:rFonts w:ascii="Arial" w:hAnsi="Arial" w:cs="Arial"/>
                <w:sz w:val="18"/>
                <w:szCs w:val="18"/>
                <w:lang w:val="en-GB"/>
              </w:rPr>
              <w:t>for Procurement Price (PIEMEDS), a password-</w:t>
            </w:r>
            <w:r w:rsidR="00CE4DA0" w:rsidRPr="00923BE2">
              <w:rPr>
                <w:rFonts w:ascii="Arial" w:hAnsi="Arial" w:cs="Arial"/>
                <w:sz w:val="18"/>
                <w:szCs w:val="18"/>
                <w:lang w:val="en-GB"/>
              </w:rPr>
              <w:t>protected</w:t>
            </w:r>
            <w:r w:rsidR="00AD6DDF" w:rsidRPr="00923BE2">
              <w:rPr>
                <w:rFonts w:ascii="Arial" w:hAnsi="Arial" w:cs="Arial"/>
                <w:sz w:val="18"/>
                <w:szCs w:val="18"/>
                <w:lang w:val="en-GB"/>
              </w:rPr>
              <w:t xml:space="preserve"> </w:t>
            </w:r>
            <w:r w:rsidR="00152A7A" w:rsidRPr="00923BE2">
              <w:rPr>
                <w:rFonts w:ascii="Arial" w:hAnsi="Arial" w:cs="Arial"/>
                <w:sz w:val="18"/>
                <w:szCs w:val="18"/>
                <w:lang w:val="en-GB"/>
              </w:rPr>
              <w:t xml:space="preserve">platform, also </w:t>
            </w:r>
            <w:r w:rsidR="00AD6DDF" w:rsidRPr="00923BE2">
              <w:rPr>
                <w:rFonts w:ascii="Arial" w:hAnsi="Arial" w:cs="Arial"/>
                <w:sz w:val="18"/>
                <w:szCs w:val="18"/>
                <w:lang w:val="en-GB"/>
              </w:rPr>
              <w:t xml:space="preserve">manages two </w:t>
            </w:r>
            <w:r w:rsidR="001F7631" w:rsidRPr="00923BE2">
              <w:rPr>
                <w:rFonts w:ascii="Arial" w:hAnsi="Arial" w:cs="Arial"/>
                <w:sz w:val="18"/>
                <w:szCs w:val="18"/>
                <w:lang w:val="en-GB"/>
              </w:rPr>
              <w:t>accessibility levels: Upon registration, anyone can access price information of few medicines of the involved countries. Only country representatives (that also provided data for their countries) are allowed to access medicine price data of all included medicines, such as new high-cost medicines (</w:t>
            </w:r>
            <w:hyperlink r:id="rId11" w:history="1">
              <w:r w:rsidR="001F7631" w:rsidRPr="00923BE2">
                <w:rPr>
                  <w:rStyle w:val="Hyperlink"/>
                  <w:rFonts w:ascii="Arial" w:hAnsi="Arial" w:cs="Arial"/>
                  <w:sz w:val="18"/>
                  <w:szCs w:val="18"/>
                  <w:lang w:val="en-GB"/>
                </w:rPr>
                <w:t>https://piemeds.com/</w:t>
              </w:r>
            </w:hyperlink>
            <w:r w:rsidR="001F7631" w:rsidRPr="00923BE2">
              <w:rPr>
                <w:rFonts w:ascii="Arial" w:hAnsi="Arial" w:cs="Arial"/>
                <w:sz w:val="18"/>
                <w:szCs w:val="18"/>
                <w:lang w:val="en-GB"/>
              </w:rPr>
              <w:t xml:space="preserve"> ).</w:t>
            </w:r>
          </w:p>
          <w:p w14:paraId="513E1C11" w14:textId="7AF30AC9" w:rsidR="00BC66CE" w:rsidRPr="00923BE2" w:rsidRDefault="00533954" w:rsidP="009A61D5">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Third, </w:t>
            </w:r>
            <w:r w:rsidR="00152A7A" w:rsidRPr="00923BE2">
              <w:rPr>
                <w:rFonts w:ascii="Arial" w:hAnsi="Arial" w:cs="Arial"/>
                <w:sz w:val="18"/>
                <w:szCs w:val="18"/>
                <w:lang w:val="en-GB"/>
              </w:rPr>
              <w:t xml:space="preserve">requested </w:t>
            </w:r>
            <w:r w:rsidRPr="00923BE2">
              <w:rPr>
                <w:rFonts w:ascii="Arial" w:hAnsi="Arial" w:cs="Arial"/>
                <w:sz w:val="18"/>
                <w:szCs w:val="18"/>
                <w:lang w:val="en-GB"/>
              </w:rPr>
              <w:t xml:space="preserve">data </w:t>
            </w:r>
            <w:r w:rsidR="00152A7A" w:rsidRPr="00923BE2">
              <w:rPr>
                <w:rFonts w:ascii="Arial" w:hAnsi="Arial" w:cs="Arial"/>
                <w:sz w:val="18"/>
                <w:szCs w:val="18"/>
                <w:lang w:val="en-GB"/>
              </w:rPr>
              <w:t xml:space="preserve">can </w:t>
            </w:r>
            <w:r w:rsidRPr="00923BE2">
              <w:rPr>
                <w:rFonts w:ascii="Arial" w:hAnsi="Arial" w:cs="Arial"/>
                <w:sz w:val="18"/>
                <w:szCs w:val="18"/>
                <w:lang w:val="en-GB"/>
              </w:rPr>
              <w:t xml:space="preserve">be provided through a service, usually against payment: this means that access to the primary data source is not possible; instead, data in a defined scope </w:t>
            </w:r>
            <w:r w:rsidR="00152A7A" w:rsidRPr="00923BE2">
              <w:rPr>
                <w:rFonts w:ascii="Arial" w:hAnsi="Arial" w:cs="Arial"/>
                <w:sz w:val="18"/>
                <w:szCs w:val="18"/>
                <w:lang w:val="en-GB"/>
              </w:rPr>
              <w:t xml:space="preserve">(e.g. all reimbursable medicines, hospital medicines) </w:t>
            </w:r>
            <w:r w:rsidRPr="00923BE2">
              <w:rPr>
                <w:rFonts w:ascii="Arial" w:hAnsi="Arial" w:cs="Arial"/>
                <w:sz w:val="18"/>
                <w:szCs w:val="18"/>
                <w:lang w:val="en-GB"/>
              </w:rPr>
              <w:t xml:space="preserve">and </w:t>
            </w:r>
            <w:r w:rsidR="00017DE9" w:rsidRPr="00923BE2">
              <w:rPr>
                <w:rFonts w:ascii="Arial" w:hAnsi="Arial" w:cs="Arial"/>
                <w:sz w:val="18"/>
                <w:szCs w:val="18"/>
                <w:lang w:val="en-GB"/>
              </w:rPr>
              <w:t xml:space="preserve">presentation </w:t>
            </w:r>
            <w:r w:rsidR="00152A7A" w:rsidRPr="00923BE2">
              <w:rPr>
                <w:rFonts w:ascii="Arial" w:hAnsi="Arial" w:cs="Arial"/>
                <w:sz w:val="18"/>
                <w:szCs w:val="18"/>
                <w:lang w:val="en-GB"/>
              </w:rPr>
              <w:t xml:space="preserve">(e.g. price data per pack) </w:t>
            </w:r>
            <w:r w:rsidRPr="00923BE2">
              <w:rPr>
                <w:rFonts w:ascii="Arial" w:hAnsi="Arial" w:cs="Arial"/>
                <w:sz w:val="18"/>
                <w:szCs w:val="18"/>
                <w:lang w:val="en-GB"/>
              </w:rPr>
              <w:t>will be supplied.</w:t>
            </w:r>
            <w:r w:rsidR="003B69C1" w:rsidRPr="00923BE2">
              <w:rPr>
                <w:rFonts w:ascii="Arial" w:hAnsi="Arial" w:cs="Arial"/>
                <w:sz w:val="18"/>
                <w:szCs w:val="18"/>
                <w:lang w:val="en-GB"/>
              </w:rPr>
              <w:t xml:space="preserve"> Examples: A well-known example is the </w:t>
            </w:r>
            <w:r w:rsidR="00BF6156" w:rsidRPr="00923BE2">
              <w:rPr>
                <w:rFonts w:ascii="Arial" w:hAnsi="Arial" w:cs="Arial"/>
                <w:sz w:val="18"/>
                <w:szCs w:val="18"/>
                <w:lang w:val="en-GB"/>
              </w:rPr>
              <w:t xml:space="preserve">commercial provider IQVIA (previously IMS Health; </w:t>
            </w:r>
            <w:hyperlink r:id="rId12" w:history="1">
              <w:r w:rsidR="00BF6156" w:rsidRPr="00923BE2">
                <w:rPr>
                  <w:rStyle w:val="Hyperlink"/>
                  <w:rFonts w:ascii="Arial" w:hAnsi="Arial" w:cs="Arial"/>
                  <w:sz w:val="18"/>
                  <w:szCs w:val="18"/>
                  <w:lang w:val="en-GB"/>
                </w:rPr>
                <w:t>https://www.iqvia.com/</w:t>
              </w:r>
            </w:hyperlink>
            <w:r w:rsidR="00BF6156" w:rsidRPr="00923BE2">
              <w:rPr>
                <w:rFonts w:ascii="Arial" w:hAnsi="Arial" w:cs="Arial"/>
                <w:sz w:val="18"/>
                <w:szCs w:val="18"/>
                <w:lang w:val="en-GB"/>
              </w:rPr>
              <w:t xml:space="preserve"> ). In the non-profit area, the Austrian Public Health Institute </w:t>
            </w:r>
            <w:r w:rsidR="008F64BB" w:rsidRPr="00923BE2">
              <w:rPr>
                <w:rFonts w:ascii="Arial" w:hAnsi="Arial" w:cs="Arial"/>
                <w:sz w:val="18"/>
                <w:szCs w:val="18"/>
                <w:lang w:val="en-GB"/>
              </w:rPr>
              <w:t>offers requested price data for medicines, against charge for coverage of working time, through their Pharma Price Information (PPI) service (</w:t>
            </w:r>
            <w:hyperlink r:id="rId13" w:history="1">
              <w:r w:rsidR="003A1A3D" w:rsidRPr="00923BE2">
                <w:rPr>
                  <w:rStyle w:val="Hyperlink"/>
                  <w:rFonts w:ascii="Arial" w:hAnsi="Arial" w:cs="Arial"/>
                  <w:sz w:val="18"/>
                  <w:szCs w:val="18"/>
                  <w:lang w:val="en-GB"/>
                </w:rPr>
                <w:t>https://goeg.at/Pharma_Price_Information</w:t>
              </w:r>
            </w:hyperlink>
            <w:r w:rsidR="003A1A3D" w:rsidRPr="00923BE2">
              <w:rPr>
                <w:rFonts w:ascii="Arial" w:hAnsi="Arial" w:cs="Arial"/>
                <w:sz w:val="18"/>
                <w:szCs w:val="18"/>
                <w:lang w:val="en-GB"/>
              </w:rPr>
              <w:t xml:space="preserve"> ).</w:t>
            </w:r>
          </w:p>
          <w:p w14:paraId="7F8C2973" w14:textId="77777777" w:rsidR="000340C0" w:rsidRPr="00923BE2" w:rsidRDefault="000340C0" w:rsidP="000340C0">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Key considerations:</w:t>
            </w:r>
          </w:p>
          <w:p w14:paraId="157C3EF1" w14:textId="77777777" w:rsidR="000340C0" w:rsidRPr="00923BE2" w:rsidRDefault="00533954" w:rsidP="009A61D5">
            <w:pPr>
              <w:spacing w:before="40" w:after="40" w:line="240" w:lineRule="atLeast"/>
              <w:rPr>
                <w:rFonts w:ascii="Arial" w:eastAsiaTheme="majorEastAsia" w:hAnsi="Arial" w:cs="Arial"/>
                <w:b/>
                <w:bCs/>
                <w:color w:val="4F81BD" w:themeColor="accent1"/>
                <w:sz w:val="18"/>
                <w:szCs w:val="18"/>
                <w:lang w:val="en-GB"/>
              </w:rPr>
            </w:pPr>
            <w:r w:rsidRPr="00923BE2">
              <w:rPr>
                <w:rFonts w:ascii="Arial" w:hAnsi="Arial" w:cs="Arial"/>
                <w:sz w:val="18"/>
                <w:szCs w:val="18"/>
                <w:lang w:val="en-GB"/>
              </w:rPr>
              <w:t>All three approaches have benefits and limitations.</w:t>
            </w:r>
          </w:p>
          <w:p w14:paraId="62683693" w14:textId="7B3F695E" w:rsidR="00533954" w:rsidRPr="00923BE2" w:rsidRDefault="00533954" w:rsidP="009A61D5">
            <w:pPr>
              <w:spacing w:before="40" w:after="40" w:line="240" w:lineRule="atLeast"/>
              <w:rPr>
                <w:rFonts w:ascii="Arial" w:hAnsi="Arial" w:cs="Arial"/>
                <w:color w:val="FFFF00"/>
                <w:sz w:val="18"/>
                <w:szCs w:val="18"/>
                <w:lang w:val="en-GB"/>
              </w:rPr>
            </w:pPr>
            <w:r w:rsidRPr="00923BE2">
              <w:rPr>
                <w:rFonts w:ascii="Arial" w:hAnsi="Arial" w:cs="Arial"/>
                <w:sz w:val="18"/>
                <w:szCs w:val="18"/>
                <w:lang w:val="en-GB"/>
              </w:rPr>
              <w:t>The first option offers the advantage that researchers can immediately validate the appropriateness of the source and, in case of a positive assessment, collect the data without further delay. Also, no funding needs to be raised. Despite of these benefits at first glance, freely accessible data sources should still be critically assessed with a view of their compliance with other criteria, in particular reliability.</w:t>
            </w:r>
          </w:p>
        </w:tc>
        <w:tc>
          <w:tcPr>
            <w:tcW w:w="3969" w:type="dxa"/>
          </w:tcPr>
          <w:p w14:paraId="5567D15D" w14:textId="77777777" w:rsidR="00CA774E" w:rsidRPr="00923BE2" w:rsidRDefault="00CA774E" w:rsidP="00CA774E">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How to proceed:</w:t>
            </w:r>
          </w:p>
          <w:p w14:paraId="4823E5A9" w14:textId="1444003F" w:rsidR="000340C0" w:rsidRPr="00923BE2" w:rsidRDefault="00A514B8" w:rsidP="009A61D5">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Researchers should </w:t>
            </w:r>
            <w:r w:rsidR="002B0E08" w:rsidRPr="00923BE2">
              <w:rPr>
                <w:rFonts w:ascii="Arial" w:hAnsi="Arial" w:cs="Arial"/>
                <w:sz w:val="18"/>
                <w:szCs w:val="18"/>
                <w:lang w:val="en-GB"/>
              </w:rPr>
              <w:t>investigate</w:t>
            </w:r>
            <w:r w:rsidRPr="00923BE2">
              <w:rPr>
                <w:rFonts w:ascii="Arial" w:hAnsi="Arial" w:cs="Arial"/>
                <w:sz w:val="18"/>
                <w:szCs w:val="18"/>
                <w:lang w:val="en-GB"/>
              </w:rPr>
              <w:t xml:space="preserve"> whether, or</w:t>
            </w:r>
            <w:r w:rsidR="002B0E08" w:rsidRPr="00923BE2">
              <w:rPr>
                <w:rFonts w:ascii="Arial" w:hAnsi="Arial" w:cs="Arial"/>
                <w:sz w:val="18"/>
                <w:szCs w:val="18"/>
                <w:lang w:val="en-GB"/>
              </w:rPr>
              <w:t xml:space="preserve"> not, </w:t>
            </w:r>
            <w:r w:rsidR="00406869" w:rsidRPr="00923BE2">
              <w:rPr>
                <w:rFonts w:ascii="Arial" w:hAnsi="Arial" w:cs="Arial"/>
                <w:sz w:val="18"/>
                <w:szCs w:val="18"/>
                <w:lang w:val="en-GB"/>
              </w:rPr>
              <w:t xml:space="preserve">and </w:t>
            </w:r>
            <w:r w:rsidR="002B0E08" w:rsidRPr="00923BE2">
              <w:rPr>
                <w:rFonts w:ascii="Arial" w:hAnsi="Arial" w:cs="Arial"/>
                <w:sz w:val="18"/>
                <w:szCs w:val="18"/>
                <w:lang w:val="en-GB"/>
              </w:rPr>
              <w:t xml:space="preserve">which limitations are linked to data sources. </w:t>
            </w:r>
            <w:r w:rsidR="0096447F" w:rsidRPr="00923BE2">
              <w:rPr>
                <w:rFonts w:ascii="Arial" w:hAnsi="Arial" w:cs="Arial"/>
                <w:sz w:val="18"/>
                <w:szCs w:val="18"/>
                <w:lang w:val="en-GB"/>
              </w:rPr>
              <w:t>Even if a freely accessible data so</w:t>
            </w:r>
            <w:r w:rsidR="0094439A" w:rsidRPr="00923BE2">
              <w:rPr>
                <w:rFonts w:ascii="Arial" w:hAnsi="Arial" w:cs="Arial"/>
                <w:sz w:val="18"/>
                <w:szCs w:val="18"/>
                <w:lang w:val="en-GB"/>
              </w:rPr>
              <w:t xml:space="preserve">urce was identified, researchers are encouraged </w:t>
            </w:r>
            <w:r w:rsidR="00042F9D" w:rsidRPr="00923BE2">
              <w:rPr>
                <w:rFonts w:ascii="Arial" w:hAnsi="Arial" w:cs="Arial"/>
                <w:sz w:val="18"/>
                <w:szCs w:val="18"/>
                <w:lang w:val="en-GB"/>
              </w:rPr>
              <w:t>to still search for alternative data source</w:t>
            </w:r>
            <w:r w:rsidR="00F71142" w:rsidRPr="00923BE2">
              <w:rPr>
                <w:rFonts w:ascii="Arial" w:hAnsi="Arial" w:cs="Arial"/>
                <w:sz w:val="18"/>
                <w:szCs w:val="18"/>
                <w:lang w:val="en-GB"/>
              </w:rPr>
              <w:t>s</w:t>
            </w:r>
            <w:r w:rsidR="00042F9D" w:rsidRPr="00923BE2">
              <w:rPr>
                <w:rFonts w:ascii="Arial" w:hAnsi="Arial" w:cs="Arial"/>
                <w:sz w:val="18"/>
                <w:szCs w:val="18"/>
                <w:lang w:val="en-GB"/>
              </w:rPr>
              <w:t xml:space="preserve"> that might be more appropriate for the research question. If a data</w:t>
            </w:r>
            <w:r w:rsidR="00DC194A" w:rsidRPr="00923BE2">
              <w:rPr>
                <w:rFonts w:ascii="Arial" w:hAnsi="Arial" w:cs="Arial"/>
                <w:sz w:val="18"/>
                <w:szCs w:val="18"/>
                <w:lang w:val="en-GB"/>
              </w:rPr>
              <w:t xml:space="preserve"> source with access restrictions (in particular costs) </w:t>
            </w:r>
            <w:r w:rsidR="00042F9D" w:rsidRPr="00923BE2">
              <w:rPr>
                <w:rFonts w:ascii="Arial" w:hAnsi="Arial" w:cs="Arial"/>
                <w:sz w:val="18"/>
                <w:szCs w:val="18"/>
                <w:lang w:val="en-GB"/>
              </w:rPr>
              <w:t>was identified</w:t>
            </w:r>
            <w:r w:rsidR="00DC194A" w:rsidRPr="00923BE2">
              <w:rPr>
                <w:rFonts w:ascii="Arial" w:hAnsi="Arial" w:cs="Arial"/>
                <w:sz w:val="18"/>
                <w:szCs w:val="18"/>
                <w:lang w:val="en-GB"/>
              </w:rPr>
              <w:t xml:space="preserve">, researchers </w:t>
            </w:r>
            <w:r w:rsidR="00895EE3" w:rsidRPr="00923BE2">
              <w:rPr>
                <w:rFonts w:ascii="Arial" w:hAnsi="Arial" w:cs="Arial"/>
                <w:sz w:val="18"/>
                <w:szCs w:val="18"/>
                <w:lang w:val="en-GB"/>
              </w:rPr>
              <w:t>are advised to ask</w:t>
            </w:r>
            <w:r w:rsidR="00DC194A" w:rsidRPr="00923BE2">
              <w:rPr>
                <w:rFonts w:ascii="Arial" w:hAnsi="Arial" w:cs="Arial"/>
                <w:sz w:val="18"/>
                <w:szCs w:val="18"/>
                <w:lang w:val="en-GB"/>
              </w:rPr>
              <w:t xml:space="preserve"> for free sample data before </w:t>
            </w:r>
            <w:r w:rsidR="00754CD1" w:rsidRPr="00923BE2">
              <w:rPr>
                <w:rFonts w:ascii="Arial" w:hAnsi="Arial" w:cs="Arial"/>
                <w:sz w:val="18"/>
                <w:szCs w:val="18"/>
                <w:lang w:val="en-GB"/>
              </w:rPr>
              <w:t>placing a large order.</w:t>
            </w:r>
          </w:p>
          <w:p w14:paraId="242E577E" w14:textId="2FD19BD3" w:rsidR="000340C0" w:rsidRPr="00923BE2" w:rsidRDefault="000340C0" w:rsidP="009A61D5">
            <w:pPr>
              <w:spacing w:before="40" w:after="40" w:line="240" w:lineRule="atLeast"/>
              <w:rPr>
                <w:rFonts w:ascii="Arial" w:hAnsi="Arial" w:cs="Arial"/>
                <w:sz w:val="18"/>
                <w:szCs w:val="18"/>
                <w:u w:val="single"/>
                <w:lang w:val="en-GB"/>
              </w:rPr>
            </w:pPr>
            <w:r w:rsidRPr="00923BE2">
              <w:rPr>
                <w:rFonts w:ascii="Arial" w:hAnsi="Arial" w:cs="Arial"/>
                <w:sz w:val="18"/>
                <w:szCs w:val="18"/>
                <w:u w:val="single"/>
                <w:lang w:val="en-GB"/>
              </w:rPr>
              <w:t>Checklist questions:</w:t>
            </w:r>
          </w:p>
          <w:p w14:paraId="3752C703" w14:textId="4E45AF70" w:rsidR="00BC66CE" w:rsidRPr="00923BE2" w:rsidRDefault="00BC66CE" w:rsidP="00392EE1">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Is data freely accessible? Do users have to register?</w:t>
            </w:r>
          </w:p>
          <w:p w14:paraId="7DA991EE" w14:textId="77777777" w:rsidR="00BC66CE" w:rsidRPr="00923BE2" w:rsidRDefault="00BC66CE" w:rsidP="00392EE1">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Is the source password-protected? For how long are users granted access to the protected source (at one point in time or for a longer period)?</w:t>
            </w:r>
          </w:p>
          <w:p w14:paraId="6825A3C8" w14:textId="2882406A" w:rsidR="00BC66CE" w:rsidRPr="00923BE2" w:rsidRDefault="00BC66CE" w:rsidP="00392EE1">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Who is eligible for accessing the database? Do I meet the eligibility criteria?</w:t>
            </w:r>
          </w:p>
          <w:p w14:paraId="6D50617A" w14:textId="73E24882" w:rsidR="00BC66CE" w:rsidRPr="00923BE2" w:rsidRDefault="00BC66CE" w:rsidP="00392EE1">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Is it a price service that offers customized findings? How much time does the delivery of ordered data take?</w:t>
            </w:r>
          </w:p>
          <w:p w14:paraId="3FB875A3" w14:textId="5D6B19B3" w:rsidR="00BC66CE" w:rsidRPr="00923BE2" w:rsidRDefault="00BC66CE" w:rsidP="009C0C9C">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How much do the medicine price data cost? Does payment for data cover a full package, or may further costs for additional follow-up queries be charged? Are discounts granted to researchers?</w:t>
            </w:r>
          </w:p>
        </w:tc>
      </w:tr>
      <w:tr w:rsidR="005B532D" w:rsidRPr="00923BE2" w14:paraId="2C0D342E" w14:textId="77777777" w:rsidTr="009A61D5">
        <w:trPr>
          <w:cantSplit/>
        </w:trPr>
        <w:tc>
          <w:tcPr>
            <w:tcW w:w="1219" w:type="dxa"/>
          </w:tcPr>
          <w:p w14:paraId="332E203B" w14:textId="56F649C2" w:rsidR="005B532D" w:rsidRPr="00923BE2" w:rsidRDefault="005B532D" w:rsidP="003D6153">
            <w:pPr>
              <w:keepNext/>
              <w:keepLines/>
              <w:spacing w:before="40" w:after="40" w:line="240" w:lineRule="atLeast"/>
              <w:jc w:val="both"/>
              <w:outlineLvl w:val="1"/>
              <w:rPr>
                <w:rFonts w:ascii="Arial" w:hAnsi="Arial" w:cs="Arial"/>
                <w:b/>
                <w:sz w:val="18"/>
                <w:szCs w:val="18"/>
                <w:lang w:val="en-GB"/>
              </w:rPr>
            </w:pPr>
            <w:r w:rsidRPr="00923BE2">
              <w:rPr>
                <w:rFonts w:ascii="Arial" w:hAnsi="Arial" w:cs="Arial"/>
                <w:b/>
                <w:sz w:val="18"/>
                <w:szCs w:val="18"/>
                <w:lang w:val="en-GB"/>
              </w:rPr>
              <w:lastRenderedPageBreak/>
              <w:t>A</w:t>
            </w:r>
            <w:r w:rsidRPr="00923BE2">
              <w:rPr>
                <w:rFonts w:ascii="Arial" w:hAnsi="Arial" w:cs="Arial"/>
                <w:sz w:val="18"/>
                <w:szCs w:val="18"/>
                <w:lang w:val="en-GB"/>
              </w:rPr>
              <w:t>ccessibility</w:t>
            </w:r>
            <w:r w:rsidR="008E1741" w:rsidRPr="00923BE2">
              <w:rPr>
                <w:rFonts w:ascii="Arial" w:hAnsi="Arial" w:cs="Arial"/>
                <w:sz w:val="18"/>
                <w:szCs w:val="18"/>
                <w:lang w:val="en-GB"/>
              </w:rPr>
              <w:t xml:space="preserve"> (</w:t>
            </w:r>
            <w:r w:rsidR="008E1741" w:rsidRPr="00923BE2">
              <w:rPr>
                <w:rFonts w:ascii="Arial" w:hAnsi="Arial" w:cs="Arial"/>
                <w:i/>
                <w:sz w:val="18"/>
                <w:szCs w:val="18"/>
                <w:lang w:val="en-GB"/>
              </w:rPr>
              <w:t>continued)</w:t>
            </w:r>
          </w:p>
        </w:tc>
        <w:tc>
          <w:tcPr>
            <w:tcW w:w="1758" w:type="dxa"/>
          </w:tcPr>
          <w:p w14:paraId="0B974C2E" w14:textId="642712BA" w:rsidR="005B532D" w:rsidRPr="00923BE2" w:rsidRDefault="005B532D" w:rsidP="003D6153">
            <w:pPr>
              <w:spacing w:before="40" w:after="40" w:line="240" w:lineRule="atLeast"/>
              <w:rPr>
                <w:rFonts w:ascii="Arial" w:hAnsi="Arial" w:cs="Arial"/>
                <w:i/>
                <w:sz w:val="18"/>
                <w:szCs w:val="18"/>
                <w:lang w:val="en-GB"/>
              </w:rPr>
            </w:pPr>
          </w:p>
        </w:tc>
        <w:tc>
          <w:tcPr>
            <w:tcW w:w="6946" w:type="dxa"/>
          </w:tcPr>
          <w:p w14:paraId="4D633433" w14:textId="3647187B" w:rsidR="005B532D" w:rsidRPr="00923BE2" w:rsidRDefault="005B532D" w:rsidP="005B532D">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 xml:space="preserve">The second option, and also the third option, are generally connected to some transaction costs in terms of time and money. Time to discuss the request with the managers of the source </w:t>
            </w:r>
            <w:r w:rsidR="00152A7A" w:rsidRPr="00923BE2">
              <w:rPr>
                <w:rFonts w:ascii="Arial" w:hAnsi="Arial" w:cs="Arial"/>
                <w:sz w:val="18"/>
                <w:szCs w:val="18"/>
                <w:lang w:val="en-GB"/>
              </w:rPr>
              <w:t>likely needs to be</w:t>
            </w:r>
            <w:r w:rsidR="00727258" w:rsidRPr="00923BE2">
              <w:rPr>
                <w:rFonts w:ascii="Arial" w:hAnsi="Arial" w:cs="Arial"/>
                <w:sz w:val="18"/>
                <w:szCs w:val="18"/>
                <w:lang w:val="en-GB"/>
              </w:rPr>
              <w:t xml:space="preserve"> invested and may result in the </w:t>
            </w:r>
            <w:r w:rsidR="00AA72AD" w:rsidRPr="00923BE2">
              <w:rPr>
                <w:rFonts w:ascii="Arial" w:hAnsi="Arial" w:cs="Arial"/>
                <w:sz w:val="18"/>
                <w:szCs w:val="18"/>
                <w:lang w:val="en-GB"/>
              </w:rPr>
              <w:t xml:space="preserve">decision that </w:t>
            </w:r>
            <w:r w:rsidRPr="00923BE2">
              <w:rPr>
                <w:rFonts w:ascii="Arial" w:hAnsi="Arial" w:cs="Arial"/>
                <w:sz w:val="18"/>
                <w:szCs w:val="18"/>
                <w:lang w:val="en-GB"/>
              </w:rPr>
              <w:t xml:space="preserve">data from a short-listed source will </w:t>
            </w:r>
            <w:r w:rsidR="00852FC8" w:rsidRPr="00923BE2">
              <w:rPr>
                <w:rFonts w:ascii="Arial" w:hAnsi="Arial" w:cs="Arial"/>
                <w:sz w:val="18"/>
                <w:szCs w:val="18"/>
                <w:lang w:val="en-GB"/>
              </w:rPr>
              <w:t xml:space="preserve">eventually </w:t>
            </w:r>
            <w:r w:rsidRPr="00923BE2">
              <w:rPr>
                <w:rFonts w:ascii="Arial" w:hAnsi="Arial" w:cs="Arial"/>
                <w:sz w:val="18"/>
                <w:szCs w:val="18"/>
                <w:lang w:val="en-GB"/>
              </w:rPr>
              <w:t>not be used. Researchers may have to wait for some time until the request will be successfully handled (e.g. access being granted to a database, delivery of data from a service). Costs can also be substantial. Researchers are advised exploring possible discounts that might be offered if data are used for research purposes, or by research institutions.</w:t>
            </w:r>
          </w:p>
          <w:p w14:paraId="2B281D20" w14:textId="0FCA2B7C" w:rsidR="005B532D" w:rsidRPr="00923BE2" w:rsidRDefault="005B532D" w:rsidP="005B532D">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A medicine price service, the third option, offers the advantage that in return for investments (costs and negotiation time), time resources are saved since primary price data collection is delegated to others. This is particularly a benefit if large amounts of data are needed. When researchers decide to order data from a medicine price service, they may also request receiving additional information required for the analysis</w:t>
            </w:r>
            <w:r w:rsidR="002953C7" w:rsidRPr="00923BE2">
              <w:rPr>
                <w:rFonts w:ascii="Arial" w:hAnsi="Arial" w:cs="Arial"/>
                <w:sz w:val="18"/>
                <w:szCs w:val="18"/>
                <w:lang w:val="en-GB"/>
              </w:rPr>
              <w:t xml:space="preserve"> (e.g. prescription status, patent status, designation as an orphan medicinal product according to European legislation or as a hospital medicine according to national legislation, volume data)</w:t>
            </w:r>
            <w:r w:rsidRPr="00923BE2">
              <w:rPr>
                <w:rFonts w:ascii="Arial" w:hAnsi="Arial" w:cs="Arial"/>
                <w:sz w:val="18"/>
                <w:szCs w:val="18"/>
                <w:lang w:val="en-GB"/>
              </w:rPr>
              <w:t>.</w:t>
            </w:r>
          </w:p>
          <w:p w14:paraId="465244E5" w14:textId="65BFE828" w:rsidR="005B532D" w:rsidRPr="00923BE2" w:rsidRDefault="005B532D" w:rsidP="005B532D">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Searching for the most appropriate data sources, researchers might explore hybrid solutions. For instance, accessibility of a price database can be limited to its members who established it (e.g. public authorities</w:t>
            </w:r>
            <w:r w:rsidR="003A25C1" w:rsidRPr="00923BE2">
              <w:rPr>
                <w:rFonts w:ascii="Arial" w:hAnsi="Arial" w:cs="Arial"/>
                <w:sz w:val="18"/>
                <w:szCs w:val="18"/>
                <w:lang w:val="en-GB"/>
              </w:rPr>
              <w:t>, such as the above-mentioned PIEMEDS database</w:t>
            </w:r>
            <w:r w:rsidRPr="00923BE2">
              <w:rPr>
                <w:rFonts w:ascii="Arial" w:hAnsi="Arial" w:cs="Arial"/>
                <w:sz w:val="18"/>
                <w:szCs w:val="18"/>
                <w:lang w:val="en-GB"/>
              </w:rPr>
              <w:t>), but researchers may still be granted limited access or may receive a defined data set.</w:t>
            </w:r>
          </w:p>
        </w:tc>
        <w:tc>
          <w:tcPr>
            <w:tcW w:w="3969" w:type="dxa"/>
          </w:tcPr>
          <w:p w14:paraId="5D29EA45" w14:textId="77777777" w:rsidR="005B532D" w:rsidRPr="00923BE2" w:rsidRDefault="005B532D" w:rsidP="009A61D5">
            <w:pPr>
              <w:pStyle w:val="ListParagraph"/>
              <w:spacing w:before="40" w:after="40" w:line="240" w:lineRule="atLeast"/>
              <w:ind w:left="113"/>
              <w:contextualSpacing w:val="0"/>
              <w:rPr>
                <w:rFonts w:ascii="Arial" w:hAnsi="Arial" w:cs="Arial"/>
                <w:sz w:val="18"/>
                <w:szCs w:val="18"/>
                <w:lang w:val="en-GB"/>
              </w:rPr>
            </w:pPr>
          </w:p>
        </w:tc>
      </w:tr>
      <w:tr w:rsidR="00533954" w:rsidRPr="00923BE2" w14:paraId="1966CC66" w14:textId="77777777" w:rsidTr="009A61D5">
        <w:trPr>
          <w:cantSplit/>
        </w:trPr>
        <w:tc>
          <w:tcPr>
            <w:tcW w:w="1219" w:type="dxa"/>
          </w:tcPr>
          <w:p w14:paraId="3493D21C" w14:textId="125F4731" w:rsidR="00BC66CE" w:rsidRPr="00923BE2" w:rsidRDefault="00BC66CE" w:rsidP="003D6153">
            <w:pPr>
              <w:spacing w:before="40" w:after="40" w:line="240" w:lineRule="atLeast"/>
              <w:jc w:val="both"/>
              <w:rPr>
                <w:rFonts w:ascii="Arial" w:hAnsi="Arial" w:cs="Arial"/>
                <w:sz w:val="18"/>
                <w:szCs w:val="18"/>
                <w:lang w:val="en-GB"/>
              </w:rPr>
            </w:pPr>
            <w:r w:rsidRPr="00923BE2">
              <w:rPr>
                <w:rFonts w:ascii="Arial" w:hAnsi="Arial" w:cs="Arial"/>
                <w:b/>
                <w:sz w:val="18"/>
                <w:szCs w:val="18"/>
                <w:lang w:val="en-GB"/>
              </w:rPr>
              <w:lastRenderedPageBreak/>
              <w:t>D</w:t>
            </w:r>
            <w:r w:rsidRPr="00923BE2">
              <w:rPr>
                <w:rFonts w:ascii="Arial" w:hAnsi="Arial" w:cs="Arial"/>
                <w:sz w:val="18"/>
                <w:szCs w:val="18"/>
                <w:lang w:val="en-GB"/>
              </w:rPr>
              <w:t>ate</w:t>
            </w:r>
          </w:p>
        </w:tc>
        <w:tc>
          <w:tcPr>
            <w:tcW w:w="1758" w:type="dxa"/>
          </w:tcPr>
          <w:p w14:paraId="115F9469" w14:textId="75A7C670" w:rsidR="00BC66CE" w:rsidRPr="00923BE2" w:rsidRDefault="00BC66CE" w:rsidP="003D6153">
            <w:pPr>
              <w:spacing w:before="40" w:after="40" w:line="240" w:lineRule="atLeast"/>
              <w:rPr>
                <w:rFonts w:ascii="Arial" w:hAnsi="Arial" w:cs="Arial"/>
                <w:sz w:val="18"/>
                <w:szCs w:val="18"/>
                <w:lang w:val="en-GB"/>
              </w:rPr>
            </w:pPr>
            <w:r w:rsidRPr="00923BE2">
              <w:rPr>
                <w:rFonts w:ascii="Arial" w:hAnsi="Arial" w:cs="Arial"/>
                <w:sz w:val="18"/>
                <w:szCs w:val="18"/>
                <w:lang w:val="en-GB"/>
              </w:rPr>
              <w:t>It is discouraged using data from a source whose date is not disclosed.</w:t>
            </w:r>
          </w:p>
        </w:tc>
        <w:tc>
          <w:tcPr>
            <w:tcW w:w="6946" w:type="dxa"/>
          </w:tcPr>
          <w:p w14:paraId="7600FEE1" w14:textId="71143B42" w:rsidR="00533954" w:rsidRPr="00923BE2" w:rsidRDefault="002A3353" w:rsidP="00533954">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w:t>
            </w:r>
            <w:r w:rsidR="00533954" w:rsidRPr="00923BE2">
              <w:rPr>
                <w:rFonts w:ascii="Arial" w:hAnsi="Arial" w:cs="Arial"/>
                <w:sz w:val="18"/>
                <w:szCs w:val="18"/>
                <w:lang w:val="en-GB"/>
              </w:rPr>
              <w:t>It is crucial that researchers know the date the price data refer to. Otherwise there is the risk that they work with out-dated information or they compare data of different points of time. If there is lack of knowledge about the date, price data cannot be computed or standardised correctly (e.g. inflation-adjustment for time series analyses, application of the exchange rates of the respective dates).</w:t>
            </w:r>
          </w:p>
          <w:p w14:paraId="14C5906E" w14:textId="63060A08" w:rsidR="00E04D6D" w:rsidRPr="00923BE2" w:rsidRDefault="00E04D6D" w:rsidP="00533954">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Key considerations:</w:t>
            </w:r>
          </w:p>
          <w:p w14:paraId="23BE0957" w14:textId="6DFC82B5" w:rsidR="00533954" w:rsidRPr="00923BE2" w:rsidRDefault="00437E2F">
            <w:pPr>
              <w:keepNext/>
              <w:keepLines/>
              <w:spacing w:before="40" w:after="40" w:line="240" w:lineRule="atLeast"/>
              <w:outlineLvl w:val="1"/>
              <w:rPr>
                <w:rFonts w:ascii="Arial" w:eastAsiaTheme="majorEastAsia" w:hAnsi="Arial" w:cs="Arial"/>
                <w:b/>
                <w:bCs/>
                <w:i/>
                <w:iCs/>
                <w:color w:val="4F81BD" w:themeColor="accent1"/>
                <w:sz w:val="18"/>
                <w:szCs w:val="18"/>
                <w:lang w:val="en-GB"/>
              </w:rPr>
            </w:pPr>
            <w:r w:rsidRPr="00923BE2">
              <w:rPr>
                <w:rFonts w:ascii="Arial" w:hAnsi="Arial" w:cs="Arial"/>
                <w:sz w:val="18"/>
                <w:szCs w:val="18"/>
                <w:lang w:val="en-GB"/>
              </w:rPr>
              <w:t xml:space="preserve">Data that are </w:t>
            </w:r>
            <w:r w:rsidR="00533954" w:rsidRPr="00923BE2">
              <w:rPr>
                <w:rFonts w:ascii="Arial" w:hAnsi="Arial" w:cs="Arial"/>
                <w:sz w:val="18"/>
                <w:szCs w:val="18"/>
                <w:lang w:val="en-GB"/>
              </w:rPr>
              <w:t xml:space="preserve">provided </w:t>
            </w:r>
            <w:r w:rsidRPr="00923BE2">
              <w:rPr>
                <w:rFonts w:ascii="Arial" w:hAnsi="Arial" w:cs="Arial"/>
                <w:sz w:val="18"/>
                <w:szCs w:val="18"/>
                <w:lang w:val="en-GB"/>
              </w:rPr>
              <w:t xml:space="preserve">for </w:t>
            </w:r>
            <w:r w:rsidR="00533954" w:rsidRPr="00923BE2">
              <w:rPr>
                <w:rFonts w:ascii="Arial" w:hAnsi="Arial" w:cs="Arial"/>
                <w:sz w:val="18"/>
                <w:szCs w:val="18"/>
                <w:lang w:val="en-GB"/>
              </w:rPr>
              <w:t>a period of time</w:t>
            </w:r>
            <w:r w:rsidRPr="00923BE2">
              <w:rPr>
                <w:rFonts w:ascii="Arial" w:hAnsi="Arial" w:cs="Arial"/>
                <w:sz w:val="18"/>
                <w:szCs w:val="18"/>
                <w:lang w:val="en-GB"/>
              </w:rPr>
              <w:t xml:space="preserve"> should be presented in the same way throughout the observation period. This concerns all possible aspect</w:t>
            </w:r>
            <w:r w:rsidR="0077671A" w:rsidRPr="00923BE2">
              <w:rPr>
                <w:rFonts w:ascii="Arial" w:hAnsi="Arial" w:cs="Arial"/>
                <w:sz w:val="18"/>
                <w:szCs w:val="18"/>
                <w:lang w:val="en-GB"/>
              </w:rPr>
              <w:t>s</w:t>
            </w:r>
            <w:r w:rsidRPr="00923BE2">
              <w:rPr>
                <w:rFonts w:ascii="Arial" w:hAnsi="Arial" w:cs="Arial"/>
                <w:sz w:val="18"/>
                <w:szCs w:val="18"/>
                <w:lang w:val="en-GB"/>
              </w:rPr>
              <w:t xml:space="preserve"> of characteristics</w:t>
            </w:r>
            <w:r w:rsidR="00FA74FE" w:rsidRPr="00923BE2">
              <w:rPr>
                <w:rFonts w:ascii="Arial" w:hAnsi="Arial" w:cs="Arial"/>
                <w:sz w:val="18"/>
                <w:szCs w:val="18"/>
                <w:lang w:val="en-GB"/>
              </w:rPr>
              <w:t xml:space="preserve"> of price data (e.g. price types, formats </w:t>
            </w:r>
            <w:r w:rsidRPr="00923BE2">
              <w:rPr>
                <w:rFonts w:ascii="Arial" w:hAnsi="Arial" w:cs="Arial"/>
                <w:sz w:val="18"/>
                <w:szCs w:val="18"/>
                <w:lang w:val="en-GB"/>
              </w:rPr>
              <w:t>such as dosage aggregates of pack, units, DDD, inclusion of taxes, etc.)</w:t>
            </w:r>
            <w:r w:rsidR="00B16689" w:rsidRPr="00923BE2">
              <w:rPr>
                <w:rFonts w:ascii="Arial" w:hAnsi="Arial" w:cs="Arial"/>
                <w:sz w:val="18"/>
                <w:szCs w:val="18"/>
                <w:lang w:val="en-GB"/>
              </w:rPr>
              <w:t>.</w:t>
            </w:r>
            <w:r w:rsidRPr="00923BE2">
              <w:rPr>
                <w:rFonts w:ascii="Arial" w:hAnsi="Arial" w:cs="Arial"/>
                <w:sz w:val="18"/>
                <w:szCs w:val="18"/>
                <w:lang w:val="en-GB"/>
              </w:rPr>
              <w:t xml:space="preserve"> </w:t>
            </w:r>
            <w:r w:rsidR="00533954" w:rsidRPr="00923BE2">
              <w:rPr>
                <w:rFonts w:ascii="Arial" w:hAnsi="Arial" w:cs="Arial"/>
                <w:sz w:val="18"/>
                <w:szCs w:val="18"/>
                <w:lang w:val="en-GB"/>
              </w:rPr>
              <w:t xml:space="preserve">Elsewise, changes (e.g. breaks in the methodology) should be clearly indicated to allow an informed decision of whether, or not, these changes are acceptable </w:t>
            </w:r>
            <w:r w:rsidR="00E04D6D" w:rsidRPr="00923BE2">
              <w:rPr>
                <w:rFonts w:ascii="Arial" w:hAnsi="Arial" w:cs="Arial"/>
                <w:sz w:val="18"/>
                <w:szCs w:val="18"/>
                <w:lang w:val="en-GB"/>
              </w:rPr>
              <w:t>and could be ‘repaired’</w:t>
            </w:r>
            <w:r w:rsidR="002213BE" w:rsidRPr="00923BE2">
              <w:rPr>
                <w:rFonts w:ascii="Arial" w:hAnsi="Arial" w:cs="Arial"/>
                <w:sz w:val="18"/>
                <w:szCs w:val="18"/>
                <w:lang w:val="en-GB"/>
              </w:rPr>
              <w:t xml:space="preserve"> (e.g. if missing price types such as ex-factory prices can be computed thanks to statutory distribution mark-up regulation, see below the criterion ‘price type’) </w:t>
            </w:r>
            <w:r w:rsidR="00533954" w:rsidRPr="00923BE2">
              <w:rPr>
                <w:rFonts w:ascii="Arial" w:hAnsi="Arial" w:cs="Arial"/>
                <w:sz w:val="18"/>
                <w:szCs w:val="18"/>
                <w:lang w:val="en-GB"/>
              </w:rPr>
              <w:t xml:space="preserve">or if </w:t>
            </w:r>
            <w:r w:rsidR="0077671A" w:rsidRPr="00923BE2">
              <w:rPr>
                <w:rFonts w:ascii="Arial" w:hAnsi="Arial" w:cs="Arial"/>
                <w:sz w:val="18"/>
                <w:szCs w:val="18"/>
                <w:lang w:val="en-GB"/>
              </w:rPr>
              <w:t xml:space="preserve">researchers </w:t>
            </w:r>
            <w:r w:rsidR="00533954" w:rsidRPr="00923BE2">
              <w:rPr>
                <w:rFonts w:ascii="Arial" w:hAnsi="Arial" w:cs="Arial"/>
                <w:sz w:val="18"/>
                <w:szCs w:val="18"/>
                <w:lang w:val="en-GB"/>
              </w:rPr>
              <w:t>should rather identify another data source.</w:t>
            </w:r>
            <w:r w:rsidRPr="00923BE2">
              <w:rPr>
                <w:rFonts w:ascii="Arial" w:hAnsi="Arial" w:cs="Arial"/>
                <w:sz w:val="18"/>
                <w:szCs w:val="18"/>
                <w:lang w:val="en-GB"/>
              </w:rPr>
              <w:t xml:space="preserve"> </w:t>
            </w:r>
          </w:p>
        </w:tc>
        <w:tc>
          <w:tcPr>
            <w:tcW w:w="3969" w:type="dxa"/>
          </w:tcPr>
          <w:p w14:paraId="6AC1D49A" w14:textId="77777777" w:rsidR="009C2FBB" w:rsidRPr="00923BE2" w:rsidRDefault="009C2FBB" w:rsidP="009C2FBB">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How to proceed:</w:t>
            </w:r>
          </w:p>
          <w:p w14:paraId="2905FAED" w14:textId="35480893" w:rsidR="009C2FBB" w:rsidRPr="00923BE2" w:rsidRDefault="00E04D6D" w:rsidP="009C2FBB">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Researchers that are interested in doing time series analyses or who require price data of a specific date are advised to check whether, or not, the data source continues offering historical data. It was observed that several databases updated on a daily basis or at other regular intervals no longer offer data of time periods before the update</w:t>
            </w:r>
            <w:r w:rsidR="009C2FBB" w:rsidRPr="00923BE2">
              <w:rPr>
                <w:rFonts w:ascii="Arial" w:hAnsi="Arial" w:cs="Arial"/>
                <w:sz w:val="18"/>
                <w:szCs w:val="18"/>
                <w:lang w:val="en-GB"/>
              </w:rPr>
              <w:t>.</w:t>
            </w:r>
          </w:p>
          <w:p w14:paraId="5DC163BF" w14:textId="371705BA" w:rsidR="009C2FBB" w:rsidRPr="00923BE2" w:rsidRDefault="009C2FBB" w:rsidP="009A61D5">
            <w:pPr>
              <w:spacing w:before="40" w:after="40" w:line="240" w:lineRule="atLeast"/>
              <w:rPr>
                <w:rFonts w:ascii="Arial" w:hAnsi="Arial" w:cs="Arial"/>
                <w:sz w:val="18"/>
                <w:szCs w:val="18"/>
                <w:u w:val="single"/>
                <w:lang w:val="en-GB"/>
              </w:rPr>
            </w:pPr>
            <w:r w:rsidRPr="00923BE2">
              <w:rPr>
                <w:rFonts w:ascii="Arial" w:hAnsi="Arial" w:cs="Arial"/>
                <w:sz w:val="18"/>
                <w:szCs w:val="18"/>
                <w:u w:val="single"/>
                <w:lang w:val="en-GB"/>
              </w:rPr>
              <w:t>Checklist questions:</w:t>
            </w:r>
          </w:p>
          <w:p w14:paraId="1ACD3618" w14:textId="53028BE7"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Which dates do the price data refer to?</w:t>
            </w:r>
          </w:p>
          <w:p w14:paraId="4DA1082A" w14:textId="77777777"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How frequently is the data source updated?</w:t>
            </w:r>
          </w:p>
          <w:p w14:paraId="35C31E1B" w14:textId="0522226C" w:rsidR="00BC66CE" w:rsidRPr="00923BE2" w:rsidRDefault="00BC66CE" w:rsidP="006E66A0">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Does the data source also provide historic data, and at which intervals? Are historic price data presented in the same way over the years?</w:t>
            </w:r>
          </w:p>
        </w:tc>
      </w:tr>
      <w:tr w:rsidR="00533954" w:rsidRPr="00923BE2" w14:paraId="43E702C0" w14:textId="77777777" w:rsidTr="009A61D5">
        <w:trPr>
          <w:cantSplit/>
        </w:trPr>
        <w:tc>
          <w:tcPr>
            <w:tcW w:w="1219" w:type="dxa"/>
          </w:tcPr>
          <w:p w14:paraId="17BC2FB0" w14:textId="6149082B" w:rsidR="00BC66CE" w:rsidRPr="00923BE2" w:rsidRDefault="00BC66CE" w:rsidP="003D6153">
            <w:pPr>
              <w:spacing w:before="40" w:after="40" w:line="240" w:lineRule="atLeast"/>
              <w:jc w:val="both"/>
              <w:rPr>
                <w:rFonts w:ascii="Arial" w:hAnsi="Arial" w:cs="Arial"/>
                <w:sz w:val="18"/>
                <w:szCs w:val="18"/>
                <w:lang w:val="en-GB"/>
              </w:rPr>
            </w:pPr>
            <w:r w:rsidRPr="00923BE2">
              <w:rPr>
                <w:rFonts w:ascii="Arial" w:hAnsi="Arial" w:cs="Arial"/>
                <w:sz w:val="18"/>
                <w:szCs w:val="18"/>
                <w:lang w:val="en-GB"/>
              </w:rPr>
              <w:lastRenderedPageBreak/>
              <w:t>Geographic scope (</w:t>
            </w:r>
            <w:r w:rsidRPr="00923BE2">
              <w:rPr>
                <w:rFonts w:ascii="Arial" w:hAnsi="Arial" w:cs="Arial"/>
                <w:b/>
                <w:sz w:val="18"/>
                <w:szCs w:val="18"/>
                <w:lang w:val="en-GB"/>
              </w:rPr>
              <w:t>a</w:t>
            </w:r>
            <w:r w:rsidRPr="00923BE2">
              <w:rPr>
                <w:rFonts w:ascii="Arial" w:hAnsi="Arial" w:cs="Arial"/>
                <w:sz w:val="18"/>
                <w:szCs w:val="18"/>
                <w:lang w:val="en-GB"/>
              </w:rPr>
              <w:t>rea)</w:t>
            </w:r>
          </w:p>
        </w:tc>
        <w:tc>
          <w:tcPr>
            <w:tcW w:w="1758" w:type="dxa"/>
          </w:tcPr>
          <w:p w14:paraId="297E231E" w14:textId="64403E32" w:rsidR="00BC66CE" w:rsidRPr="00923BE2" w:rsidRDefault="00BC66CE" w:rsidP="00296B29">
            <w:pPr>
              <w:spacing w:before="40" w:after="40" w:line="240" w:lineRule="atLeast"/>
              <w:rPr>
                <w:rFonts w:ascii="Arial" w:hAnsi="Arial" w:cs="Arial"/>
                <w:sz w:val="18"/>
                <w:szCs w:val="18"/>
                <w:lang w:val="en-GB"/>
              </w:rPr>
            </w:pPr>
            <w:r w:rsidRPr="00923BE2">
              <w:rPr>
                <w:rFonts w:ascii="Arial" w:hAnsi="Arial" w:cs="Arial"/>
                <w:sz w:val="18"/>
                <w:szCs w:val="18"/>
                <w:lang w:val="en-GB"/>
              </w:rPr>
              <w:t>It is advised selecting data sources that provide representative price data for the defined geographic area (e.g. a country).</w:t>
            </w:r>
          </w:p>
        </w:tc>
        <w:tc>
          <w:tcPr>
            <w:tcW w:w="6946" w:type="dxa"/>
          </w:tcPr>
          <w:p w14:paraId="609AEFFA" w14:textId="00811E65" w:rsidR="00580F7C" w:rsidRPr="00923BE2" w:rsidRDefault="00580F7C" w:rsidP="00533954">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w:t>
            </w:r>
            <w:r w:rsidR="00340C35" w:rsidRPr="00923BE2">
              <w:rPr>
                <w:rFonts w:ascii="Arial" w:hAnsi="Arial" w:cs="Arial"/>
                <w:sz w:val="18"/>
                <w:szCs w:val="18"/>
                <w:lang w:val="en-GB"/>
              </w:rPr>
              <w:t>A g</w:t>
            </w:r>
            <w:r w:rsidR="00EE3CBF" w:rsidRPr="00923BE2">
              <w:rPr>
                <w:rFonts w:ascii="Arial" w:hAnsi="Arial" w:cs="Arial"/>
                <w:sz w:val="18"/>
                <w:szCs w:val="18"/>
                <w:lang w:val="en-GB"/>
              </w:rPr>
              <w:t xml:space="preserve">eographic area can relate to a country, or countries, as well as to smaller units of a country (e.g. region, municipality, city). </w:t>
            </w:r>
            <w:r w:rsidR="00C859A4" w:rsidRPr="00923BE2">
              <w:rPr>
                <w:rFonts w:ascii="Arial" w:hAnsi="Arial" w:cs="Arial"/>
                <w:sz w:val="18"/>
                <w:szCs w:val="18"/>
                <w:lang w:val="en-GB"/>
              </w:rPr>
              <w:t>Depending on the existence of the pharmaceutical pricing policy framework a</w:t>
            </w:r>
            <w:r w:rsidR="00910262" w:rsidRPr="00923BE2">
              <w:rPr>
                <w:rFonts w:ascii="Arial" w:hAnsi="Arial" w:cs="Arial"/>
                <w:sz w:val="18"/>
                <w:szCs w:val="18"/>
                <w:lang w:val="en-GB"/>
              </w:rPr>
              <w:t xml:space="preserve">nd its characteristics, prices </w:t>
            </w:r>
            <w:r w:rsidR="00C859A4" w:rsidRPr="00923BE2">
              <w:rPr>
                <w:rFonts w:ascii="Arial" w:hAnsi="Arial" w:cs="Arial"/>
                <w:sz w:val="18"/>
                <w:szCs w:val="18"/>
                <w:lang w:val="en-GB"/>
              </w:rPr>
              <w:t xml:space="preserve">in a defined </w:t>
            </w:r>
            <w:r w:rsidR="008767E1" w:rsidRPr="00923BE2">
              <w:rPr>
                <w:rFonts w:ascii="Arial" w:hAnsi="Arial" w:cs="Arial"/>
                <w:sz w:val="18"/>
                <w:szCs w:val="18"/>
                <w:lang w:val="en-GB"/>
              </w:rPr>
              <w:t xml:space="preserve">geographic area </w:t>
            </w:r>
            <w:r w:rsidR="00C859A4" w:rsidRPr="00923BE2">
              <w:rPr>
                <w:rFonts w:ascii="Arial" w:hAnsi="Arial" w:cs="Arial"/>
                <w:sz w:val="18"/>
                <w:szCs w:val="18"/>
                <w:lang w:val="en-GB"/>
              </w:rPr>
              <w:t>may differ for all or some price type</w:t>
            </w:r>
            <w:r w:rsidR="00910262" w:rsidRPr="00923BE2">
              <w:rPr>
                <w:rFonts w:ascii="Arial" w:hAnsi="Arial" w:cs="Arial"/>
                <w:sz w:val="18"/>
                <w:szCs w:val="18"/>
                <w:lang w:val="en-GB"/>
              </w:rPr>
              <w:t>s</w:t>
            </w:r>
            <w:r w:rsidR="00C859A4" w:rsidRPr="00923BE2">
              <w:rPr>
                <w:rFonts w:ascii="Arial" w:hAnsi="Arial" w:cs="Arial"/>
                <w:sz w:val="18"/>
                <w:szCs w:val="18"/>
                <w:lang w:val="en-GB"/>
              </w:rPr>
              <w:t>.</w:t>
            </w:r>
          </w:p>
          <w:p w14:paraId="04838838" w14:textId="77777777" w:rsidR="00580F7C" w:rsidRPr="00923BE2" w:rsidRDefault="00580F7C" w:rsidP="00580F7C">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Key considerations:</w:t>
            </w:r>
          </w:p>
          <w:p w14:paraId="5E1D1A14" w14:textId="21207401" w:rsidR="00533954" w:rsidRPr="00923BE2" w:rsidRDefault="00533954" w:rsidP="00F30FB9">
            <w:pPr>
              <w:spacing w:before="40" w:after="40" w:line="240" w:lineRule="atLeast"/>
              <w:rPr>
                <w:rFonts w:ascii="Arial" w:hAnsi="Arial" w:cs="Arial"/>
                <w:sz w:val="18"/>
                <w:szCs w:val="18"/>
                <w:lang w:val="en-GB"/>
              </w:rPr>
            </w:pPr>
            <w:r w:rsidRPr="00923BE2">
              <w:rPr>
                <w:rFonts w:ascii="Arial" w:hAnsi="Arial" w:cs="Arial"/>
                <w:sz w:val="18"/>
                <w:szCs w:val="18"/>
                <w:lang w:val="en-GB"/>
              </w:rPr>
              <w:t>Different pharmacies, dispensaries and retailers of medicines within a country or region may dispense or sell the same medicine at different prices. Intra-country price variation has particularly been observed in settings without price regulation. Price differences may relate to some but not all price types: for instance, ex-factory prices might be uniform throughout a country, but the final consumer prices of some (non-price regulated) pharmaceuticals, such as non-prescription or non-reimbursed medicines, may differ between pharmacies.</w:t>
            </w:r>
            <w:r w:rsidR="00D452D3" w:rsidRPr="00923BE2">
              <w:rPr>
                <w:rFonts w:ascii="Arial" w:hAnsi="Arial" w:cs="Arial"/>
                <w:sz w:val="18"/>
                <w:szCs w:val="18"/>
                <w:lang w:val="en-GB"/>
              </w:rPr>
              <w:t xml:space="preserve"> In the case of reimbursement prices, differences may exist for different payers or for different insured, in case of different health care packages.</w:t>
            </w:r>
          </w:p>
        </w:tc>
        <w:tc>
          <w:tcPr>
            <w:tcW w:w="3969" w:type="dxa"/>
          </w:tcPr>
          <w:p w14:paraId="37FF3938" w14:textId="77777777" w:rsidR="00580F7C" w:rsidRPr="00923BE2" w:rsidRDefault="00580F7C" w:rsidP="00580F7C">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How to proceed:</w:t>
            </w:r>
          </w:p>
          <w:p w14:paraId="1152DA24" w14:textId="17A0946F" w:rsidR="00580F7C" w:rsidRPr="00923BE2" w:rsidRDefault="00580F7C" w:rsidP="00580F7C">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 xml:space="preserve">Researchers are advised to explore if legislation in the countries of the study allows for price differences of the same medicine and, should this be </w:t>
            </w:r>
            <w:r w:rsidR="00C859A4" w:rsidRPr="00923BE2">
              <w:rPr>
                <w:rFonts w:ascii="Arial" w:hAnsi="Arial" w:cs="Arial"/>
                <w:sz w:val="18"/>
                <w:szCs w:val="18"/>
                <w:lang w:val="en-GB"/>
              </w:rPr>
              <w:t xml:space="preserve">the case, if price variation is, at least anecdotally, </w:t>
            </w:r>
            <w:r w:rsidRPr="00923BE2">
              <w:rPr>
                <w:rFonts w:ascii="Arial" w:hAnsi="Arial" w:cs="Arial"/>
                <w:sz w:val="18"/>
                <w:szCs w:val="18"/>
                <w:lang w:val="en-GB"/>
              </w:rPr>
              <w:t>known from practice. If a data source cannot ensure representative coverage of different dispensaries, researchers are discouraged from using its data. Eventually, this limitation may incentivise them to explore a primary data collection through on-site surveys.</w:t>
            </w:r>
          </w:p>
          <w:p w14:paraId="6585D3DC" w14:textId="555C434E" w:rsidR="00C859A4" w:rsidRPr="00923BE2" w:rsidRDefault="00C859A4" w:rsidP="00C859A4">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 xml:space="preserve">Use of data </w:t>
            </w:r>
            <w:r w:rsidR="00D25E9C" w:rsidRPr="00923BE2">
              <w:rPr>
                <w:rFonts w:ascii="Arial" w:hAnsi="Arial" w:cs="Arial"/>
                <w:sz w:val="18"/>
                <w:szCs w:val="18"/>
                <w:lang w:val="en-GB"/>
              </w:rPr>
              <w:t xml:space="preserve">from </w:t>
            </w:r>
            <w:r w:rsidRPr="00923BE2">
              <w:rPr>
                <w:rFonts w:ascii="Arial" w:hAnsi="Arial" w:cs="Arial"/>
                <w:sz w:val="18"/>
                <w:szCs w:val="18"/>
                <w:lang w:val="en-GB"/>
              </w:rPr>
              <w:t>different sources (e.g. in cross-country price comparison that is based on national price databases) is, in principle, a feasible methodological choice if attention is paid to ensure comparability of the price data.</w:t>
            </w:r>
          </w:p>
          <w:p w14:paraId="5084A203" w14:textId="204F5640" w:rsidR="00580F7C" w:rsidRPr="00923BE2" w:rsidRDefault="00580F7C" w:rsidP="009A61D5">
            <w:pPr>
              <w:spacing w:before="40" w:after="40" w:line="240" w:lineRule="atLeast"/>
              <w:rPr>
                <w:rFonts w:ascii="Arial" w:hAnsi="Arial" w:cs="Arial"/>
                <w:sz w:val="18"/>
                <w:szCs w:val="18"/>
                <w:u w:val="single"/>
                <w:lang w:val="en-GB"/>
              </w:rPr>
            </w:pPr>
            <w:r w:rsidRPr="00923BE2">
              <w:rPr>
                <w:rFonts w:ascii="Arial" w:hAnsi="Arial" w:cs="Arial"/>
                <w:sz w:val="18"/>
                <w:szCs w:val="18"/>
                <w:u w:val="single"/>
                <w:lang w:val="en-GB"/>
              </w:rPr>
              <w:t>Checklist questions:</w:t>
            </w:r>
          </w:p>
          <w:p w14:paraId="671607DE" w14:textId="4C792213"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Does the data source offer information that is valid for the whole country (or any other defined geographic area)?</w:t>
            </w:r>
          </w:p>
          <w:p w14:paraId="5338C4E9" w14:textId="59357A82" w:rsidR="00BC66CE" w:rsidRPr="00923BE2" w:rsidRDefault="00BC66CE" w:rsidP="000A4E56">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If this is not the case: does it specify gaps?</w:t>
            </w:r>
          </w:p>
        </w:tc>
      </w:tr>
      <w:tr w:rsidR="00533954" w:rsidRPr="00923BE2" w14:paraId="6989F814" w14:textId="77777777" w:rsidTr="009A61D5">
        <w:trPr>
          <w:cantSplit/>
        </w:trPr>
        <w:tc>
          <w:tcPr>
            <w:tcW w:w="1219" w:type="dxa"/>
          </w:tcPr>
          <w:p w14:paraId="10614D01" w14:textId="40D4CC70" w:rsidR="00BC66CE" w:rsidRPr="00923BE2" w:rsidRDefault="00BC66CE" w:rsidP="007C4BD7">
            <w:pPr>
              <w:spacing w:before="40" w:after="40" w:line="240" w:lineRule="atLeast"/>
              <w:rPr>
                <w:rFonts w:ascii="Arial" w:hAnsi="Arial" w:cs="Arial"/>
                <w:sz w:val="18"/>
                <w:szCs w:val="18"/>
                <w:lang w:val="en-GB"/>
              </w:rPr>
            </w:pPr>
            <w:r w:rsidRPr="00923BE2">
              <w:rPr>
                <w:rFonts w:ascii="Arial" w:hAnsi="Arial" w:cs="Arial"/>
                <w:sz w:val="18"/>
                <w:szCs w:val="18"/>
                <w:lang w:val="en-GB"/>
              </w:rPr>
              <w:lastRenderedPageBreak/>
              <w:t xml:space="preserve">Scope of </w:t>
            </w:r>
            <w:r w:rsidRPr="00923BE2">
              <w:rPr>
                <w:rFonts w:ascii="Arial" w:hAnsi="Arial" w:cs="Arial"/>
                <w:b/>
                <w:sz w:val="18"/>
                <w:szCs w:val="18"/>
                <w:lang w:val="en-GB"/>
              </w:rPr>
              <w:t>p</w:t>
            </w:r>
            <w:r w:rsidRPr="00923BE2">
              <w:rPr>
                <w:rFonts w:ascii="Arial" w:hAnsi="Arial" w:cs="Arial"/>
                <w:sz w:val="18"/>
                <w:szCs w:val="18"/>
                <w:lang w:val="en-GB"/>
              </w:rPr>
              <w:t>harma-ceuticals</w:t>
            </w:r>
          </w:p>
        </w:tc>
        <w:tc>
          <w:tcPr>
            <w:tcW w:w="1758" w:type="dxa"/>
          </w:tcPr>
          <w:p w14:paraId="7FD3DD40" w14:textId="4B9C96E1" w:rsidR="00BC66CE" w:rsidRPr="00923BE2" w:rsidRDefault="00BC66CE" w:rsidP="003D6153">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It is advised checking the coverage of the medicines included in the data source. </w:t>
            </w:r>
          </w:p>
        </w:tc>
        <w:tc>
          <w:tcPr>
            <w:tcW w:w="6946" w:type="dxa"/>
          </w:tcPr>
          <w:p w14:paraId="005EF5E0" w14:textId="4F8EECB7" w:rsidR="0049009B" w:rsidRPr="00923BE2" w:rsidRDefault="0049009B" w:rsidP="0049009B">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w:t>
            </w:r>
            <w:r w:rsidR="00C02905" w:rsidRPr="00923BE2">
              <w:rPr>
                <w:rFonts w:ascii="Arial" w:hAnsi="Arial" w:cs="Arial"/>
                <w:sz w:val="18"/>
                <w:szCs w:val="18"/>
                <w:lang w:val="en-GB"/>
              </w:rPr>
              <w:t>A major methodological choice o</w:t>
            </w:r>
            <w:r w:rsidR="004477D8" w:rsidRPr="00923BE2">
              <w:rPr>
                <w:rFonts w:ascii="Arial" w:hAnsi="Arial" w:cs="Arial"/>
                <w:sz w:val="18"/>
                <w:szCs w:val="18"/>
                <w:lang w:val="en-GB"/>
              </w:rPr>
              <w:t>f a price study is the selection of medicines and/or groups of medicines analysed.</w:t>
            </w:r>
            <w:r w:rsidR="006F0983" w:rsidRPr="00923BE2">
              <w:rPr>
                <w:rFonts w:ascii="Arial" w:hAnsi="Arial" w:cs="Arial"/>
                <w:sz w:val="18"/>
                <w:szCs w:val="18"/>
                <w:lang w:val="en-GB"/>
              </w:rPr>
              <w:t xml:space="preserve"> </w:t>
            </w:r>
            <w:r w:rsidR="00B93F75" w:rsidRPr="00923BE2">
              <w:rPr>
                <w:rFonts w:ascii="Arial" w:hAnsi="Arial" w:cs="Arial"/>
                <w:sz w:val="18"/>
                <w:szCs w:val="18"/>
                <w:lang w:val="en-GB"/>
              </w:rPr>
              <w:t>Since data sources are frequently restricted to certain market segments, possible candidate sources</w:t>
            </w:r>
            <w:r w:rsidR="006F0983" w:rsidRPr="00923BE2">
              <w:rPr>
                <w:rFonts w:ascii="Arial" w:hAnsi="Arial" w:cs="Arial"/>
                <w:sz w:val="18"/>
                <w:szCs w:val="18"/>
                <w:lang w:val="en-GB"/>
              </w:rPr>
              <w:t xml:space="preserve"> should be checked </w:t>
            </w:r>
            <w:r w:rsidR="00B93F75" w:rsidRPr="00923BE2">
              <w:rPr>
                <w:rFonts w:ascii="Arial" w:hAnsi="Arial" w:cs="Arial"/>
                <w:sz w:val="18"/>
                <w:szCs w:val="18"/>
                <w:lang w:val="en-GB"/>
              </w:rPr>
              <w:t>as to whether</w:t>
            </w:r>
            <w:r w:rsidR="006F0983" w:rsidRPr="00923BE2">
              <w:rPr>
                <w:rFonts w:ascii="Arial" w:hAnsi="Arial" w:cs="Arial"/>
                <w:sz w:val="18"/>
                <w:szCs w:val="18"/>
                <w:lang w:val="en-GB"/>
              </w:rPr>
              <w:t xml:space="preserve"> they contain data </w:t>
            </w:r>
            <w:r w:rsidR="00D25E9C" w:rsidRPr="00923BE2">
              <w:rPr>
                <w:rFonts w:ascii="Arial" w:hAnsi="Arial" w:cs="Arial"/>
                <w:sz w:val="18"/>
                <w:szCs w:val="18"/>
                <w:lang w:val="en-GB"/>
              </w:rPr>
              <w:t xml:space="preserve">of </w:t>
            </w:r>
            <w:r w:rsidR="006F0983" w:rsidRPr="00923BE2">
              <w:rPr>
                <w:rFonts w:ascii="Arial" w:hAnsi="Arial" w:cs="Arial"/>
                <w:sz w:val="18"/>
                <w:szCs w:val="18"/>
                <w:lang w:val="en-GB"/>
              </w:rPr>
              <w:t>the selected medicines. Some data source</w:t>
            </w:r>
            <w:r w:rsidR="00B93F75" w:rsidRPr="00923BE2">
              <w:rPr>
                <w:rFonts w:ascii="Arial" w:hAnsi="Arial" w:cs="Arial"/>
                <w:sz w:val="18"/>
                <w:szCs w:val="18"/>
                <w:lang w:val="en-GB"/>
              </w:rPr>
              <w:t>s</w:t>
            </w:r>
            <w:r w:rsidR="006F0983" w:rsidRPr="00923BE2">
              <w:rPr>
                <w:rFonts w:ascii="Arial" w:hAnsi="Arial" w:cs="Arial"/>
                <w:sz w:val="18"/>
                <w:szCs w:val="18"/>
                <w:lang w:val="en-GB"/>
              </w:rPr>
              <w:t xml:space="preserve"> do not provide information </w:t>
            </w:r>
            <w:r w:rsidR="00725CDB" w:rsidRPr="00923BE2">
              <w:rPr>
                <w:rFonts w:ascii="Arial" w:hAnsi="Arial" w:cs="Arial"/>
                <w:sz w:val="18"/>
                <w:szCs w:val="18"/>
                <w:lang w:val="en-GB"/>
              </w:rPr>
              <w:t>about the scope of medicines they cover.</w:t>
            </w:r>
          </w:p>
          <w:p w14:paraId="560B37FD" w14:textId="77777777" w:rsidR="0049009B" w:rsidRPr="00923BE2" w:rsidRDefault="0049009B" w:rsidP="0049009B">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Key considerations:</w:t>
            </w:r>
          </w:p>
          <w:p w14:paraId="0842A79F" w14:textId="5F175B06" w:rsidR="00BC66CE" w:rsidRPr="00923BE2" w:rsidRDefault="00533954" w:rsidP="00533954">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Price data sources </w:t>
            </w:r>
            <w:r w:rsidR="0026604E" w:rsidRPr="00923BE2">
              <w:rPr>
                <w:rFonts w:ascii="Arial" w:hAnsi="Arial" w:cs="Arial"/>
                <w:sz w:val="18"/>
                <w:szCs w:val="18"/>
                <w:lang w:val="en-GB"/>
              </w:rPr>
              <w:t xml:space="preserve">have been </w:t>
            </w:r>
            <w:r w:rsidRPr="00923BE2">
              <w:rPr>
                <w:rFonts w:ascii="Arial" w:hAnsi="Arial" w:cs="Arial"/>
                <w:sz w:val="18"/>
                <w:szCs w:val="18"/>
                <w:lang w:val="en-GB"/>
              </w:rPr>
              <w:t>established for different purposes and, as a result, include a different range of data. It can be expected that a procurement price database is limited to medicines procured through tenders, and that prices retrieved from data sources managed by reimbursement agencies tend to be focused on</w:t>
            </w:r>
            <w:r w:rsidR="0049009B" w:rsidRPr="00923BE2">
              <w:rPr>
                <w:rFonts w:ascii="Arial" w:hAnsi="Arial" w:cs="Arial"/>
                <w:sz w:val="18"/>
                <w:szCs w:val="18"/>
                <w:lang w:val="en-GB"/>
              </w:rPr>
              <w:t xml:space="preserve"> publicly</w:t>
            </w:r>
            <w:r w:rsidRPr="00923BE2">
              <w:rPr>
                <w:rFonts w:ascii="Arial" w:hAnsi="Arial" w:cs="Arial"/>
                <w:sz w:val="18"/>
                <w:szCs w:val="18"/>
                <w:lang w:val="en-GB"/>
              </w:rPr>
              <w:t xml:space="preserve"> subsidised pharmaceuticals. Sources of price information that are based on sales data likely include solely medicines that represent sales</w:t>
            </w:r>
            <w:r w:rsidR="009F5963" w:rsidRPr="00923BE2">
              <w:rPr>
                <w:rFonts w:ascii="Arial" w:hAnsi="Arial" w:cs="Arial"/>
                <w:sz w:val="18"/>
                <w:szCs w:val="18"/>
                <w:lang w:val="en-GB"/>
              </w:rPr>
              <w:t xml:space="preserve"> whereas administrative data sources might </w:t>
            </w:r>
            <w:r w:rsidR="005F3788" w:rsidRPr="00923BE2">
              <w:rPr>
                <w:rFonts w:ascii="Arial" w:hAnsi="Arial" w:cs="Arial"/>
                <w:sz w:val="18"/>
                <w:szCs w:val="18"/>
                <w:lang w:val="en-GB"/>
              </w:rPr>
              <w:t>provide</w:t>
            </w:r>
            <w:r w:rsidR="009F5963" w:rsidRPr="00923BE2">
              <w:rPr>
                <w:rFonts w:ascii="Arial" w:hAnsi="Arial" w:cs="Arial"/>
                <w:sz w:val="18"/>
                <w:szCs w:val="18"/>
                <w:lang w:val="en-GB"/>
              </w:rPr>
              <w:t xml:space="preserve"> </w:t>
            </w:r>
            <w:r w:rsidR="005F3788" w:rsidRPr="00923BE2">
              <w:rPr>
                <w:rFonts w:ascii="Arial" w:hAnsi="Arial" w:cs="Arial"/>
                <w:sz w:val="18"/>
                <w:szCs w:val="18"/>
                <w:lang w:val="en-GB"/>
              </w:rPr>
              <w:t xml:space="preserve">price information for </w:t>
            </w:r>
            <w:r w:rsidR="009F5963" w:rsidRPr="00923BE2">
              <w:rPr>
                <w:rFonts w:ascii="Arial" w:hAnsi="Arial" w:cs="Arial"/>
                <w:sz w:val="18"/>
                <w:szCs w:val="18"/>
                <w:lang w:val="en-GB"/>
              </w:rPr>
              <w:t xml:space="preserve">medicines that received a price </w:t>
            </w:r>
            <w:r w:rsidR="005F3788" w:rsidRPr="00923BE2">
              <w:rPr>
                <w:rFonts w:ascii="Arial" w:hAnsi="Arial" w:cs="Arial"/>
                <w:sz w:val="18"/>
                <w:szCs w:val="18"/>
                <w:lang w:val="en-GB"/>
              </w:rPr>
              <w:t>even if eventually the medicines have not been</w:t>
            </w:r>
            <w:r w:rsidR="009F5963" w:rsidRPr="00923BE2">
              <w:rPr>
                <w:rFonts w:ascii="Arial" w:hAnsi="Arial" w:cs="Arial"/>
                <w:sz w:val="18"/>
                <w:szCs w:val="18"/>
                <w:lang w:val="en-GB"/>
              </w:rPr>
              <w:t xml:space="preserve"> marketed</w:t>
            </w:r>
            <w:r w:rsidRPr="00923BE2">
              <w:rPr>
                <w:rFonts w:ascii="Arial" w:hAnsi="Arial" w:cs="Arial"/>
                <w:sz w:val="18"/>
                <w:szCs w:val="18"/>
                <w:lang w:val="en-GB"/>
              </w:rPr>
              <w:t xml:space="preserve">. </w:t>
            </w:r>
            <w:r w:rsidR="00B255D7" w:rsidRPr="00923BE2">
              <w:rPr>
                <w:rFonts w:ascii="Arial" w:hAnsi="Arial" w:cs="Arial"/>
                <w:sz w:val="18"/>
                <w:szCs w:val="18"/>
                <w:lang w:val="en-GB"/>
              </w:rPr>
              <w:t>Data source p</w:t>
            </w:r>
            <w:r w:rsidRPr="00923BE2">
              <w:rPr>
                <w:rFonts w:ascii="Arial" w:hAnsi="Arial" w:cs="Arial"/>
                <w:sz w:val="18"/>
                <w:szCs w:val="18"/>
                <w:lang w:val="en-GB"/>
              </w:rPr>
              <w:t xml:space="preserve">roviders </w:t>
            </w:r>
            <w:r w:rsidR="009F5963" w:rsidRPr="00923BE2">
              <w:rPr>
                <w:rFonts w:ascii="Arial" w:hAnsi="Arial" w:cs="Arial"/>
                <w:sz w:val="18"/>
                <w:szCs w:val="18"/>
                <w:lang w:val="en-GB"/>
              </w:rPr>
              <w:t>frequently</w:t>
            </w:r>
            <w:r w:rsidRPr="00923BE2">
              <w:rPr>
                <w:rFonts w:ascii="Arial" w:hAnsi="Arial" w:cs="Arial"/>
                <w:sz w:val="18"/>
                <w:szCs w:val="18"/>
                <w:lang w:val="en-GB"/>
              </w:rPr>
              <w:t xml:space="preserve"> have ownership of, or access to, </w:t>
            </w:r>
            <w:r w:rsidR="00910262" w:rsidRPr="00923BE2">
              <w:rPr>
                <w:rFonts w:ascii="Arial" w:hAnsi="Arial" w:cs="Arial"/>
                <w:sz w:val="18"/>
                <w:szCs w:val="18"/>
                <w:lang w:val="en-GB"/>
              </w:rPr>
              <w:t xml:space="preserve">price </w:t>
            </w:r>
            <w:r w:rsidRPr="00923BE2">
              <w:rPr>
                <w:rFonts w:ascii="Arial" w:hAnsi="Arial" w:cs="Arial"/>
                <w:sz w:val="18"/>
                <w:szCs w:val="18"/>
                <w:lang w:val="en-GB"/>
              </w:rPr>
              <w:t>data</w:t>
            </w:r>
            <w:r w:rsidR="00910262" w:rsidRPr="00923BE2">
              <w:rPr>
                <w:rFonts w:ascii="Arial" w:hAnsi="Arial" w:cs="Arial"/>
                <w:sz w:val="18"/>
                <w:szCs w:val="18"/>
                <w:lang w:val="en-GB"/>
              </w:rPr>
              <w:t xml:space="preserve"> of parts of the market</w:t>
            </w:r>
            <w:r w:rsidRPr="00923BE2">
              <w:rPr>
                <w:rFonts w:ascii="Arial" w:hAnsi="Arial" w:cs="Arial"/>
                <w:sz w:val="18"/>
                <w:szCs w:val="18"/>
                <w:lang w:val="en-GB"/>
              </w:rPr>
              <w:t xml:space="preserve">. For instance, data sources of social insurance institutions that are responsible for the outpatient sector </w:t>
            </w:r>
            <w:r w:rsidR="00775219" w:rsidRPr="00923BE2">
              <w:rPr>
                <w:rFonts w:ascii="Arial" w:hAnsi="Arial" w:cs="Arial"/>
                <w:sz w:val="18"/>
                <w:szCs w:val="18"/>
                <w:lang w:val="en-GB"/>
              </w:rPr>
              <w:t xml:space="preserve">do </w:t>
            </w:r>
            <w:r w:rsidRPr="00923BE2">
              <w:rPr>
                <w:rFonts w:ascii="Arial" w:hAnsi="Arial" w:cs="Arial"/>
                <w:sz w:val="18"/>
                <w:szCs w:val="18"/>
                <w:lang w:val="en-GB"/>
              </w:rPr>
              <w:t>usually</w:t>
            </w:r>
            <w:r w:rsidR="00775219" w:rsidRPr="00923BE2">
              <w:rPr>
                <w:rFonts w:ascii="Arial" w:hAnsi="Arial" w:cs="Arial"/>
                <w:sz w:val="18"/>
                <w:szCs w:val="18"/>
                <w:lang w:val="en-GB"/>
              </w:rPr>
              <w:t xml:space="preserve"> </w:t>
            </w:r>
            <w:r w:rsidRPr="00923BE2">
              <w:rPr>
                <w:rFonts w:ascii="Arial" w:hAnsi="Arial" w:cs="Arial"/>
                <w:sz w:val="18"/>
                <w:szCs w:val="18"/>
                <w:lang w:val="en-GB"/>
              </w:rPr>
              <w:t xml:space="preserve">not provide information about medicines exclusively used in hospitals. </w:t>
            </w:r>
            <w:r w:rsidR="009F5963" w:rsidRPr="00923BE2">
              <w:rPr>
                <w:rFonts w:ascii="Arial" w:hAnsi="Arial" w:cs="Arial"/>
                <w:sz w:val="18"/>
                <w:szCs w:val="18"/>
                <w:lang w:val="en-GB"/>
              </w:rPr>
              <w:t>P</w:t>
            </w:r>
            <w:r w:rsidRPr="00923BE2">
              <w:rPr>
                <w:rFonts w:ascii="Arial" w:hAnsi="Arial" w:cs="Arial"/>
                <w:sz w:val="18"/>
                <w:szCs w:val="18"/>
                <w:lang w:val="en-GB"/>
              </w:rPr>
              <w:t xml:space="preserve">rice data </w:t>
            </w:r>
            <w:r w:rsidR="009F5963" w:rsidRPr="00923BE2">
              <w:rPr>
                <w:rFonts w:ascii="Arial" w:hAnsi="Arial" w:cs="Arial"/>
                <w:sz w:val="18"/>
                <w:szCs w:val="18"/>
                <w:lang w:val="en-GB"/>
              </w:rPr>
              <w:t xml:space="preserve">of </w:t>
            </w:r>
            <w:r w:rsidRPr="00923BE2">
              <w:rPr>
                <w:rFonts w:ascii="Arial" w:hAnsi="Arial" w:cs="Arial"/>
                <w:sz w:val="18"/>
                <w:szCs w:val="18"/>
                <w:lang w:val="en-GB"/>
              </w:rPr>
              <w:t>some medicine groups</w:t>
            </w:r>
            <w:r w:rsidR="009F5963" w:rsidRPr="00923BE2">
              <w:rPr>
                <w:rFonts w:ascii="Arial" w:hAnsi="Arial" w:cs="Arial"/>
                <w:sz w:val="18"/>
                <w:szCs w:val="18"/>
                <w:lang w:val="en-GB"/>
              </w:rPr>
              <w:t xml:space="preserve"> may not be included in a data source because no uniform price data within a geographic area (e.g. a country), or no price data at all, are available.</w:t>
            </w:r>
            <w:r w:rsidRPr="00923BE2">
              <w:rPr>
                <w:rFonts w:ascii="Arial" w:hAnsi="Arial" w:cs="Arial"/>
                <w:sz w:val="18"/>
                <w:szCs w:val="18"/>
                <w:lang w:val="en-GB"/>
              </w:rPr>
              <w:t xml:space="preserve"> Even in high-income countries, missing</w:t>
            </w:r>
            <w:r w:rsidR="009F5963" w:rsidRPr="00923BE2">
              <w:rPr>
                <w:rFonts w:ascii="Arial" w:hAnsi="Arial" w:cs="Arial"/>
                <w:sz w:val="18"/>
                <w:szCs w:val="18"/>
                <w:lang w:val="en-GB"/>
              </w:rPr>
              <w:t xml:space="preserve"> price</w:t>
            </w:r>
            <w:r w:rsidRPr="00923BE2">
              <w:rPr>
                <w:rFonts w:ascii="Arial" w:hAnsi="Arial" w:cs="Arial"/>
                <w:sz w:val="18"/>
                <w:szCs w:val="18"/>
                <w:lang w:val="en-GB"/>
              </w:rPr>
              <w:t xml:space="preserve"> information has been observed, particularly for hospital medicines</w:t>
            </w:r>
            <w:r w:rsidR="009F5963" w:rsidRPr="00923BE2">
              <w:rPr>
                <w:rFonts w:ascii="Arial" w:hAnsi="Arial" w:cs="Arial"/>
                <w:sz w:val="18"/>
                <w:szCs w:val="18"/>
                <w:lang w:val="en-GB"/>
              </w:rPr>
              <w:t xml:space="preserve"> (different procurement prices between hospitals or hospital groups)</w:t>
            </w:r>
            <w:r w:rsidR="002B7A37" w:rsidRPr="00923BE2">
              <w:rPr>
                <w:rFonts w:ascii="Arial" w:hAnsi="Arial" w:cs="Arial"/>
                <w:sz w:val="18"/>
                <w:szCs w:val="18"/>
                <w:lang w:val="en-GB"/>
              </w:rPr>
              <w:t xml:space="preserve"> as well as for </w:t>
            </w:r>
            <w:r w:rsidRPr="00923BE2">
              <w:rPr>
                <w:rFonts w:ascii="Arial" w:hAnsi="Arial" w:cs="Arial"/>
                <w:sz w:val="18"/>
                <w:szCs w:val="18"/>
                <w:lang w:val="en-GB"/>
              </w:rPr>
              <w:t xml:space="preserve">non-funded and/or non-prescription medicines. </w:t>
            </w:r>
            <w:r w:rsidR="002B7A37" w:rsidRPr="00923BE2">
              <w:rPr>
                <w:rFonts w:ascii="Arial" w:hAnsi="Arial" w:cs="Arial"/>
                <w:sz w:val="18"/>
                <w:szCs w:val="18"/>
                <w:lang w:val="en-GB"/>
              </w:rPr>
              <w:t>Non-availability of price data of the</w:t>
            </w:r>
            <w:r w:rsidR="009F5963" w:rsidRPr="00923BE2">
              <w:rPr>
                <w:rFonts w:ascii="Arial" w:hAnsi="Arial" w:cs="Arial"/>
                <w:sz w:val="18"/>
                <w:szCs w:val="18"/>
                <w:lang w:val="en-GB"/>
              </w:rPr>
              <w:t xml:space="preserve"> latter </w:t>
            </w:r>
            <w:r w:rsidRPr="00923BE2">
              <w:rPr>
                <w:rFonts w:ascii="Arial" w:hAnsi="Arial" w:cs="Arial"/>
                <w:sz w:val="18"/>
                <w:szCs w:val="18"/>
                <w:lang w:val="en-GB"/>
              </w:rPr>
              <w:t>results from a situation that non-funded and non-prescription medicines are not price–regulated</w:t>
            </w:r>
            <w:r w:rsidR="002B7A37" w:rsidRPr="00923BE2">
              <w:rPr>
                <w:rFonts w:ascii="Arial" w:hAnsi="Arial" w:cs="Arial"/>
                <w:sz w:val="18"/>
                <w:szCs w:val="18"/>
                <w:lang w:val="en-GB"/>
              </w:rPr>
              <w:t xml:space="preserve"> in several countries</w:t>
            </w:r>
            <w:r w:rsidR="0093714E" w:rsidRPr="00923BE2">
              <w:rPr>
                <w:rFonts w:ascii="Arial" w:hAnsi="Arial" w:cs="Arial"/>
                <w:sz w:val="18"/>
                <w:szCs w:val="18"/>
                <w:lang w:val="en-GB"/>
              </w:rPr>
              <w:t xml:space="preserve">, </w:t>
            </w:r>
            <w:r w:rsidRPr="00923BE2">
              <w:rPr>
                <w:rFonts w:ascii="Arial" w:hAnsi="Arial" w:cs="Arial"/>
                <w:sz w:val="18"/>
                <w:szCs w:val="18"/>
                <w:lang w:val="en-GB"/>
              </w:rPr>
              <w:t xml:space="preserve">and their prices are not </w:t>
            </w:r>
            <w:r w:rsidR="00AE1419" w:rsidRPr="00923BE2">
              <w:rPr>
                <w:rFonts w:ascii="Arial" w:hAnsi="Arial" w:cs="Arial"/>
                <w:sz w:val="18"/>
                <w:szCs w:val="18"/>
                <w:lang w:val="en-GB"/>
              </w:rPr>
              <w:t xml:space="preserve">published </w:t>
            </w:r>
            <w:r w:rsidRPr="00923BE2">
              <w:rPr>
                <w:rFonts w:ascii="Arial" w:hAnsi="Arial" w:cs="Arial"/>
                <w:sz w:val="18"/>
                <w:szCs w:val="18"/>
                <w:lang w:val="en-GB"/>
              </w:rPr>
              <w:t>in official price lists.</w:t>
            </w:r>
          </w:p>
          <w:p w14:paraId="11C37498" w14:textId="1748360E" w:rsidR="00533954" w:rsidRPr="00923BE2" w:rsidRDefault="00533954" w:rsidP="00533954">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 xml:space="preserve">To the authors’ experience, </w:t>
            </w:r>
            <w:r w:rsidR="004D2598" w:rsidRPr="00923BE2">
              <w:rPr>
                <w:rFonts w:ascii="Arial" w:hAnsi="Arial" w:cs="Arial"/>
                <w:sz w:val="18"/>
                <w:szCs w:val="18"/>
                <w:lang w:val="en-GB"/>
              </w:rPr>
              <w:t xml:space="preserve">many </w:t>
            </w:r>
            <w:r w:rsidRPr="00923BE2">
              <w:rPr>
                <w:rFonts w:ascii="Arial" w:hAnsi="Arial" w:cs="Arial"/>
                <w:sz w:val="18"/>
                <w:szCs w:val="18"/>
                <w:lang w:val="en-GB"/>
              </w:rPr>
              <w:t>price data sources do not inform about their coverage. However, missing information</w:t>
            </w:r>
            <w:r w:rsidR="009F5963" w:rsidRPr="00923BE2">
              <w:rPr>
                <w:rFonts w:ascii="Arial" w:hAnsi="Arial" w:cs="Arial"/>
                <w:sz w:val="18"/>
                <w:szCs w:val="18"/>
                <w:lang w:val="en-GB"/>
              </w:rPr>
              <w:t xml:space="preserve"> of coverage</w:t>
            </w:r>
            <w:r w:rsidRPr="00923BE2">
              <w:rPr>
                <w:rFonts w:ascii="Arial" w:hAnsi="Arial" w:cs="Arial"/>
                <w:sz w:val="18"/>
                <w:szCs w:val="18"/>
                <w:lang w:val="en-GB"/>
              </w:rPr>
              <w:t xml:space="preserve"> does not imply that all medicines </w:t>
            </w:r>
            <w:r w:rsidR="009F5963" w:rsidRPr="00923BE2">
              <w:rPr>
                <w:rFonts w:ascii="Arial" w:hAnsi="Arial" w:cs="Arial"/>
                <w:sz w:val="18"/>
                <w:szCs w:val="18"/>
                <w:lang w:val="en-GB"/>
              </w:rPr>
              <w:t>are</w:t>
            </w:r>
            <w:r w:rsidRPr="00923BE2">
              <w:rPr>
                <w:rFonts w:ascii="Arial" w:hAnsi="Arial" w:cs="Arial"/>
                <w:sz w:val="18"/>
                <w:szCs w:val="18"/>
                <w:lang w:val="en-GB"/>
              </w:rPr>
              <w:t xml:space="preserve"> included. </w:t>
            </w:r>
          </w:p>
        </w:tc>
        <w:tc>
          <w:tcPr>
            <w:tcW w:w="3969" w:type="dxa"/>
          </w:tcPr>
          <w:p w14:paraId="0F12E859" w14:textId="77777777" w:rsidR="00910262" w:rsidRPr="00923BE2" w:rsidRDefault="00910262" w:rsidP="00910262">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How to proceed:</w:t>
            </w:r>
          </w:p>
          <w:p w14:paraId="3711019A" w14:textId="27F257D4" w:rsidR="00910262" w:rsidRPr="00923BE2" w:rsidRDefault="0027484F" w:rsidP="00910262">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Researchers are urged to carefully review if the medicines they aim to include in their research are covered in the selected data source. If the data source is publicly available, it is recommended searching in advance, during the assessment of the source, for the medicines needed for the study, at least on a sample basis. In case of accessibility of the data source against costs, it is advised asking the managers of the data source about the medicines included. A demo sample version, if made accessible, could be analysed with a view of exploring its usefulness for the planned study. The investigation of a sample also allows getting a better understanding of the set-up of the source and its presentation of the data.</w:t>
            </w:r>
          </w:p>
          <w:p w14:paraId="169C617C" w14:textId="2277386E" w:rsidR="00910262" w:rsidRPr="00923BE2" w:rsidRDefault="00910262" w:rsidP="009A61D5">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Checklist questions:</w:t>
            </w:r>
          </w:p>
          <w:p w14:paraId="7DDBE1CC" w14:textId="1D7E4FAD"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Does the data source offer price information for all medicines, or at least for the required groups of medicines?</w:t>
            </w:r>
          </w:p>
          <w:p w14:paraId="7772518E" w14:textId="73A9B2C0"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Does the data source specify which medicines (e.g. non-prescription, non-funded, hospital-only medicines, those not marketed) are not included?</w:t>
            </w:r>
          </w:p>
          <w:p w14:paraId="77AFBDED" w14:textId="02F7529F"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Does the source provide price information for all medicines listed, or are some pharmaceuticals indicated without a price?</w:t>
            </w:r>
          </w:p>
          <w:p w14:paraId="2C162B5A" w14:textId="5E40934D"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 xml:space="preserve">Is it explained why some price information has not been included in the data source? </w:t>
            </w:r>
          </w:p>
        </w:tc>
      </w:tr>
      <w:tr w:rsidR="00533954" w:rsidRPr="00923BE2" w14:paraId="50E715A8" w14:textId="77777777" w:rsidTr="009A61D5">
        <w:trPr>
          <w:cantSplit/>
        </w:trPr>
        <w:tc>
          <w:tcPr>
            <w:tcW w:w="1219" w:type="dxa"/>
          </w:tcPr>
          <w:p w14:paraId="5FCDD7B0" w14:textId="7981FF00" w:rsidR="00533954" w:rsidRPr="00923BE2" w:rsidRDefault="00533954" w:rsidP="00780AEC">
            <w:pPr>
              <w:spacing w:before="40" w:after="40" w:line="240" w:lineRule="atLeast"/>
              <w:rPr>
                <w:rFonts w:ascii="Arial" w:hAnsi="Arial" w:cs="Arial"/>
                <w:sz w:val="18"/>
                <w:szCs w:val="18"/>
                <w:lang w:val="en-GB"/>
              </w:rPr>
            </w:pPr>
            <w:r w:rsidRPr="00923BE2">
              <w:rPr>
                <w:rFonts w:ascii="Arial" w:hAnsi="Arial" w:cs="Arial"/>
                <w:sz w:val="18"/>
                <w:szCs w:val="18"/>
                <w:lang w:val="en-GB"/>
              </w:rPr>
              <w:lastRenderedPageBreak/>
              <w:t xml:space="preserve">Price </w:t>
            </w:r>
            <w:r w:rsidRPr="00923BE2">
              <w:rPr>
                <w:rFonts w:ascii="Arial" w:hAnsi="Arial" w:cs="Arial"/>
                <w:b/>
                <w:sz w:val="18"/>
                <w:szCs w:val="18"/>
                <w:lang w:val="en-GB"/>
              </w:rPr>
              <w:t>t</w:t>
            </w:r>
            <w:r w:rsidRPr="00923BE2">
              <w:rPr>
                <w:rFonts w:ascii="Arial" w:hAnsi="Arial" w:cs="Arial"/>
                <w:sz w:val="18"/>
                <w:szCs w:val="18"/>
                <w:lang w:val="en-GB"/>
              </w:rPr>
              <w:t>ypes</w:t>
            </w:r>
            <w:r w:rsidR="00B35359" w:rsidRPr="00923BE2">
              <w:rPr>
                <w:rFonts w:ascii="Arial" w:hAnsi="Arial" w:cs="Arial"/>
                <w:sz w:val="18"/>
                <w:szCs w:val="18"/>
                <w:lang w:val="en-GB"/>
              </w:rPr>
              <w:t xml:space="preserve"> and further specifi</w:t>
            </w:r>
            <w:r w:rsidR="009D1547" w:rsidRPr="00923BE2">
              <w:rPr>
                <w:rFonts w:ascii="Arial" w:hAnsi="Arial" w:cs="Arial"/>
                <w:sz w:val="18"/>
                <w:szCs w:val="18"/>
                <w:lang w:val="en-GB"/>
              </w:rPr>
              <w:softHyphen/>
            </w:r>
            <w:r w:rsidR="00B35359" w:rsidRPr="00923BE2">
              <w:rPr>
                <w:rFonts w:ascii="Arial" w:hAnsi="Arial" w:cs="Arial"/>
                <w:sz w:val="18"/>
                <w:szCs w:val="18"/>
                <w:lang w:val="en-GB"/>
              </w:rPr>
              <w:t>cation</w:t>
            </w:r>
            <w:r w:rsidR="009D1547" w:rsidRPr="00923BE2">
              <w:rPr>
                <w:rFonts w:ascii="Arial" w:hAnsi="Arial" w:cs="Arial"/>
                <w:sz w:val="18"/>
                <w:szCs w:val="18"/>
                <w:lang w:val="en-GB"/>
              </w:rPr>
              <w:t>s</w:t>
            </w:r>
            <w:r w:rsidR="00B35359" w:rsidRPr="00923BE2">
              <w:rPr>
                <w:rFonts w:ascii="Arial" w:hAnsi="Arial" w:cs="Arial"/>
                <w:sz w:val="18"/>
                <w:szCs w:val="18"/>
                <w:lang w:val="en-GB"/>
              </w:rPr>
              <w:t xml:space="preserve"> of price data</w:t>
            </w:r>
          </w:p>
        </w:tc>
        <w:tc>
          <w:tcPr>
            <w:tcW w:w="1758" w:type="dxa"/>
          </w:tcPr>
          <w:p w14:paraId="1B7D0F11" w14:textId="77777777" w:rsidR="00533954" w:rsidRPr="00923BE2" w:rsidRDefault="00533954" w:rsidP="00780AEC">
            <w:pPr>
              <w:spacing w:before="40" w:after="40" w:line="240" w:lineRule="atLeast"/>
              <w:rPr>
                <w:rFonts w:ascii="Arial" w:hAnsi="Arial" w:cs="Arial"/>
                <w:sz w:val="18"/>
                <w:szCs w:val="18"/>
                <w:lang w:val="en-GB"/>
              </w:rPr>
            </w:pPr>
            <w:r w:rsidRPr="00923BE2">
              <w:rPr>
                <w:rFonts w:ascii="Arial" w:hAnsi="Arial" w:cs="Arial"/>
                <w:sz w:val="18"/>
                <w:szCs w:val="18"/>
                <w:lang w:val="en-GB"/>
              </w:rPr>
              <w:t>It is advised checking whether, or not, the source provides price information for the price types selected for the research. The choice of the price types should not depend on the data source but it should be aligned to the purpose of the study.</w:t>
            </w:r>
          </w:p>
          <w:p w14:paraId="447FC7AF" w14:textId="5BC8432A" w:rsidR="00240099" w:rsidRPr="00923BE2" w:rsidRDefault="00240099" w:rsidP="00240099">
            <w:pPr>
              <w:spacing w:before="40" w:after="40" w:line="240" w:lineRule="atLeast"/>
              <w:rPr>
                <w:rFonts w:ascii="Arial" w:hAnsi="Arial" w:cs="Arial"/>
                <w:sz w:val="18"/>
                <w:szCs w:val="18"/>
                <w:lang w:val="en-GB"/>
              </w:rPr>
            </w:pPr>
          </w:p>
          <w:p w14:paraId="76D85FA3" w14:textId="77777777" w:rsidR="00800017" w:rsidRPr="00923BE2" w:rsidRDefault="00800017" w:rsidP="00780AEC">
            <w:pPr>
              <w:spacing w:before="40" w:after="40" w:line="240" w:lineRule="atLeast"/>
              <w:rPr>
                <w:rFonts w:ascii="Arial" w:hAnsi="Arial" w:cs="Arial"/>
                <w:sz w:val="18"/>
                <w:szCs w:val="18"/>
                <w:lang w:val="en-GB"/>
              </w:rPr>
            </w:pPr>
          </w:p>
        </w:tc>
        <w:tc>
          <w:tcPr>
            <w:tcW w:w="6946" w:type="dxa"/>
          </w:tcPr>
          <w:p w14:paraId="71972927" w14:textId="23DFA5B9" w:rsidR="00240099" w:rsidRPr="00923BE2" w:rsidRDefault="00240099" w:rsidP="00240099">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Under the label of ‘medicine price data source’, different price data can be offered, and some of them are not price data but other data (‘price proxies’). If they are price data, they can refer to different price types, and they can be </w:t>
            </w:r>
            <w:r w:rsidR="00DB6B8F" w:rsidRPr="00923BE2">
              <w:rPr>
                <w:rFonts w:ascii="Arial" w:hAnsi="Arial" w:cs="Arial"/>
                <w:sz w:val="18"/>
                <w:szCs w:val="18"/>
                <w:lang w:val="en-GB"/>
              </w:rPr>
              <w:t>presented in</w:t>
            </w:r>
            <w:r w:rsidRPr="00923BE2">
              <w:rPr>
                <w:rFonts w:ascii="Arial" w:hAnsi="Arial" w:cs="Arial"/>
                <w:sz w:val="18"/>
                <w:szCs w:val="18"/>
                <w:lang w:val="en-GB"/>
              </w:rPr>
              <w:t xml:space="preserve"> different formats of dosage aggregation.</w:t>
            </w:r>
          </w:p>
          <w:p w14:paraId="47D2F319" w14:textId="77777777" w:rsidR="00240099" w:rsidRPr="00923BE2" w:rsidRDefault="00240099" w:rsidP="00240099">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Key considerations:</w:t>
            </w:r>
          </w:p>
          <w:p w14:paraId="32F9916E" w14:textId="5CD248BF" w:rsidR="00240099" w:rsidRPr="00923BE2" w:rsidRDefault="00240099" w:rsidP="00240099">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Some data sources pretend to offer medicine price data but in fact they offer other economic </w:t>
            </w:r>
            <w:r w:rsidR="009B4661" w:rsidRPr="00923BE2">
              <w:rPr>
                <w:rFonts w:ascii="Arial" w:hAnsi="Arial" w:cs="Arial"/>
                <w:sz w:val="18"/>
                <w:szCs w:val="18"/>
                <w:lang w:val="en-GB"/>
              </w:rPr>
              <w:t xml:space="preserve">data, such as expenditure data. </w:t>
            </w:r>
            <w:r w:rsidRPr="00923BE2">
              <w:rPr>
                <w:rFonts w:ascii="Arial" w:hAnsi="Arial" w:cs="Arial"/>
                <w:sz w:val="18"/>
                <w:szCs w:val="18"/>
                <w:lang w:val="en-GB"/>
              </w:rPr>
              <w:t xml:space="preserve">For a price study, expenditure or sales data are, in principle, not correct; these data are useful for other research purposes. In a few exceptional cases, using expenditure and volume data to develop a ‘price proxy’ can be acceptable depending on the study objective. In most cases, however, original price data are required. </w:t>
            </w:r>
          </w:p>
          <w:p w14:paraId="66F10829" w14:textId="2B4D02E0" w:rsidR="00240099" w:rsidRPr="00923BE2" w:rsidRDefault="00240099" w:rsidP="00240099">
            <w:pPr>
              <w:spacing w:before="40" w:after="40" w:line="240" w:lineRule="atLeast"/>
              <w:rPr>
                <w:rFonts w:ascii="Arial" w:hAnsi="Arial" w:cs="Arial"/>
                <w:sz w:val="18"/>
                <w:szCs w:val="18"/>
                <w:lang w:val="en-GB"/>
              </w:rPr>
            </w:pPr>
            <w:r w:rsidRPr="00923BE2">
              <w:rPr>
                <w:rFonts w:ascii="Arial" w:hAnsi="Arial" w:cs="Arial"/>
                <w:sz w:val="18"/>
                <w:szCs w:val="18"/>
                <w:lang w:val="en-GB"/>
              </w:rPr>
              <w:t>Key characteristics to define price data are price types and the formats of how data are presented.</w:t>
            </w:r>
          </w:p>
          <w:p w14:paraId="30273F98" w14:textId="662A253B" w:rsidR="00533954" w:rsidRPr="00923BE2" w:rsidRDefault="00533954" w:rsidP="00533954">
            <w:pPr>
              <w:spacing w:before="40" w:after="40" w:line="240" w:lineRule="atLeast"/>
              <w:rPr>
                <w:rFonts w:ascii="Arial" w:hAnsi="Arial" w:cs="Arial"/>
                <w:sz w:val="18"/>
                <w:szCs w:val="18"/>
                <w:lang w:val="en-GB"/>
              </w:rPr>
            </w:pPr>
            <w:r w:rsidRPr="00923BE2">
              <w:rPr>
                <w:rFonts w:ascii="Arial" w:hAnsi="Arial" w:cs="Arial"/>
                <w:sz w:val="18"/>
                <w:szCs w:val="18"/>
                <w:lang w:val="en-GB"/>
              </w:rPr>
              <w:t>Common price types for outpatient medicines in price–regulated countries are the ex-factory price (manufacturer price), the pharmacy purchasing price (wholesaler price) and the (pharmacy) retail price (consumer price) including or excluding taxes (typically the value-added tax</w:t>
            </w:r>
            <w:r w:rsidR="005D1AEB" w:rsidRPr="00923BE2">
              <w:rPr>
                <w:rFonts w:ascii="Arial" w:hAnsi="Arial" w:cs="Arial"/>
                <w:sz w:val="18"/>
                <w:szCs w:val="18"/>
                <w:lang w:val="en-GB"/>
              </w:rPr>
              <w:t>)</w:t>
            </w:r>
            <w:r w:rsidR="00A4162E" w:rsidRPr="00923BE2">
              <w:rPr>
                <w:rFonts w:ascii="Arial" w:hAnsi="Arial" w:cs="Arial"/>
                <w:sz w:val="18"/>
                <w:szCs w:val="18"/>
                <w:lang w:val="en-GB"/>
              </w:rPr>
              <w:t xml:space="preserve">. </w:t>
            </w:r>
            <w:r w:rsidRPr="00923BE2">
              <w:rPr>
                <w:rFonts w:ascii="Arial" w:hAnsi="Arial" w:cs="Arial"/>
                <w:sz w:val="18"/>
                <w:szCs w:val="18"/>
                <w:lang w:val="en-GB"/>
              </w:rPr>
              <w:t>Price studies in the inpatient sector likely consider procurement prices that correspond to ex-factory prices, since supply chain add-ons usually do not come into play for hospitals that tend to dispense medicines solely to inpatients. Besides list prices, discounted prices may exist at the ex-factory, wholesale and retail price levels due to price reductions granted by suppliers to the purchasers</w:t>
            </w:r>
            <w:r w:rsidR="00A4162E" w:rsidRPr="00923BE2">
              <w:rPr>
                <w:rFonts w:ascii="Arial" w:hAnsi="Arial" w:cs="Arial"/>
                <w:sz w:val="18"/>
                <w:szCs w:val="18"/>
                <w:lang w:val="en-GB"/>
              </w:rPr>
              <w:t xml:space="preserve">. </w:t>
            </w:r>
            <w:r w:rsidRPr="00923BE2">
              <w:rPr>
                <w:rFonts w:ascii="Arial" w:hAnsi="Arial" w:cs="Arial"/>
                <w:sz w:val="18"/>
                <w:szCs w:val="18"/>
                <w:lang w:val="en-GB"/>
              </w:rPr>
              <w:t>The extent of discounts is often confidential</w:t>
            </w:r>
            <w:r w:rsidR="004105A6" w:rsidRPr="00923BE2">
              <w:rPr>
                <w:rFonts w:ascii="Arial" w:hAnsi="Arial" w:cs="Arial"/>
                <w:sz w:val="18"/>
                <w:szCs w:val="18"/>
                <w:lang w:val="en-GB"/>
              </w:rPr>
              <w:t xml:space="preserve">, particularly if they are the result of negotiations between a payer and a pharmaceutical company, but in some cases, such as for mandatory discounts provided for in legislation, </w:t>
            </w:r>
            <w:r w:rsidR="0089212A" w:rsidRPr="00923BE2">
              <w:rPr>
                <w:rFonts w:ascii="Arial" w:hAnsi="Arial" w:cs="Arial"/>
                <w:sz w:val="18"/>
                <w:szCs w:val="18"/>
                <w:lang w:val="en-GB"/>
              </w:rPr>
              <w:t>discounts are known.</w:t>
            </w:r>
            <w:r w:rsidR="004105A6" w:rsidRPr="00923BE2">
              <w:rPr>
                <w:rFonts w:ascii="Arial" w:hAnsi="Arial" w:cs="Arial"/>
                <w:sz w:val="18"/>
                <w:szCs w:val="18"/>
                <w:lang w:val="en-GB"/>
              </w:rPr>
              <w:t xml:space="preserve"> </w:t>
            </w:r>
          </w:p>
          <w:p w14:paraId="6D648A9C" w14:textId="65BE3783" w:rsidR="00533954" w:rsidRPr="00923BE2" w:rsidRDefault="00A4162E" w:rsidP="00533954">
            <w:pPr>
              <w:spacing w:before="40" w:after="40" w:line="240" w:lineRule="atLeast"/>
              <w:rPr>
                <w:rFonts w:ascii="Arial" w:hAnsi="Arial" w:cs="Arial"/>
                <w:sz w:val="18"/>
                <w:szCs w:val="18"/>
                <w:lang w:val="en-GB"/>
              </w:rPr>
            </w:pPr>
            <w:r w:rsidRPr="00923BE2">
              <w:rPr>
                <w:rFonts w:ascii="Arial" w:hAnsi="Arial" w:cs="Arial"/>
                <w:sz w:val="18"/>
                <w:szCs w:val="18"/>
                <w:lang w:val="en-GB"/>
              </w:rPr>
              <w:t>The</w:t>
            </w:r>
            <w:r w:rsidR="00C23857" w:rsidRPr="00923BE2">
              <w:rPr>
                <w:rFonts w:ascii="Arial" w:hAnsi="Arial" w:cs="Arial"/>
                <w:sz w:val="18"/>
                <w:szCs w:val="18"/>
                <w:lang w:val="en-GB"/>
              </w:rPr>
              <w:t xml:space="preserve"> medicine price study</w:t>
            </w:r>
            <w:r w:rsidRPr="00923BE2">
              <w:rPr>
                <w:rFonts w:ascii="Arial" w:hAnsi="Arial" w:cs="Arial"/>
                <w:sz w:val="18"/>
                <w:szCs w:val="18"/>
                <w:lang w:val="en-GB"/>
              </w:rPr>
              <w:t xml:space="preserve"> can be done for different price types depending on the study objective. </w:t>
            </w:r>
            <w:r w:rsidR="00C82E8C" w:rsidRPr="00923BE2">
              <w:rPr>
                <w:rFonts w:ascii="Arial" w:hAnsi="Arial" w:cs="Arial"/>
                <w:sz w:val="18"/>
                <w:szCs w:val="18"/>
                <w:lang w:val="en-GB"/>
              </w:rPr>
              <w:t>Even if price data for the selected</w:t>
            </w:r>
            <w:r w:rsidR="00533954" w:rsidRPr="00923BE2">
              <w:rPr>
                <w:rFonts w:ascii="Arial" w:hAnsi="Arial" w:cs="Arial"/>
                <w:sz w:val="18"/>
                <w:szCs w:val="18"/>
                <w:lang w:val="en-GB"/>
              </w:rPr>
              <w:t xml:space="preserve"> price type, or price types, </w:t>
            </w:r>
            <w:r w:rsidR="00A400B6" w:rsidRPr="00923BE2">
              <w:rPr>
                <w:rFonts w:ascii="Arial" w:hAnsi="Arial" w:cs="Arial"/>
                <w:sz w:val="18"/>
                <w:szCs w:val="18"/>
                <w:lang w:val="en-GB"/>
              </w:rPr>
              <w:t xml:space="preserve">to be </w:t>
            </w:r>
            <w:r w:rsidR="00533954" w:rsidRPr="00923BE2">
              <w:rPr>
                <w:rFonts w:ascii="Arial" w:hAnsi="Arial" w:cs="Arial"/>
                <w:sz w:val="18"/>
                <w:szCs w:val="18"/>
                <w:lang w:val="en-GB"/>
              </w:rPr>
              <w:t xml:space="preserve">analysed in the study </w:t>
            </w:r>
            <w:r w:rsidR="00C23857" w:rsidRPr="00923BE2">
              <w:rPr>
                <w:rFonts w:ascii="Arial" w:hAnsi="Arial" w:cs="Arial"/>
                <w:sz w:val="18"/>
                <w:szCs w:val="18"/>
                <w:lang w:val="en-GB"/>
              </w:rPr>
              <w:t>are</w:t>
            </w:r>
            <w:r w:rsidR="00A400B6" w:rsidRPr="00923BE2">
              <w:rPr>
                <w:rFonts w:ascii="Arial" w:hAnsi="Arial" w:cs="Arial"/>
                <w:sz w:val="18"/>
                <w:szCs w:val="18"/>
                <w:lang w:val="en-GB"/>
              </w:rPr>
              <w:t xml:space="preserve"> not available in the assessed</w:t>
            </w:r>
            <w:r w:rsidR="00533954" w:rsidRPr="00923BE2">
              <w:rPr>
                <w:rFonts w:ascii="Arial" w:hAnsi="Arial" w:cs="Arial"/>
                <w:sz w:val="18"/>
                <w:szCs w:val="18"/>
                <w:lang w:val="en-GB"/>
              </w:rPr>
              <w:t xml:space="preserve"> source</w:t>
            </w:r>
            <w:r w:rsidR="00A400B6" w:rsidRPr="00923BE2">
              <w:rPr>
                <w:rFonts w:ascii="Arial" w:hAnsi="Arial" w:cs="Arial"/>
                <w:sz w:val="18"/>
                <w:szCs w:val="18"/>
                <w:lang w:val="en-GB"/>
              </w:rPr>
              <w:t>, data can be calculated</w:t>
            </w:r>
            <w:r w:rsidR="0080016E" w:rsidRPr="00923BE2">
              <w:rPr>
                <w:rFonts w:ascii="Arial" w:hAnsi="Arial" w:cs="Arial"/>
                <w:sz w:val="18"/>
                <w:szCs w:val="18"/>
                <w:lang w:val="en-GB"/>
              </w:rPr>
              <w:t xml:space="preserve"> from price data</w:t>
            </w:r>
            <w:r w:rsidR="00A400B6" w:rsidRPr="00923BE2">
              <w:rPr>
                <w:rFonts w:ascii="Arial" w:hAnsi="Arial" w:cs="Arial"/>
                <w:sz w:val="18"/>
                <w:szCs w:val="18"/>
                <w:lang w:val="en-GB"/>
              </w:rPr>
              <w:t xml:space="preserve"> in some cases.</w:t>
            </w:r>
            <w:r w:rsidR="00EF476D" w:rsidRPr="00923BE2">
              <w:rPr>
                <w:rFonts w:ascii="Arial" w:hAnsi="Arial" w:cs="Arial"/>
                <w:sz w:val="18"/>
                <w:szCs w:val="18"/>
                <w:lang w:val="en-GB"/>
              </w:rPr>
              <w:t xml:space="preserve"> For instance, the </w:t>
            </w:r>
            <w:r w:rsidR="00533954" w:rsidRPr="00923BE2">
              <w:rPr>
                <w:rFonts w:ascii="Arial" w:hAnsi="Arial" w:cs="Arial"/>
                <w:sz w:val="18"/>
                <w:szCs w:val="18"/>
                <w:lang w:val="en-GB"/>
              </w:rPr>
              <w:t>pharmacy retail price</w:t>
            </w:r>
            <w:r w:rsidR="001A3CFE" w:rsidRPr="00923BE2">
              <w:rPr>
                <w:rFonts w:ascii="Arial" w:hAnsi="Arial" w:cs="Arial"/>
                <w:sz w:val="18"/>
                <w:szCs w:val="18"/>
                <w:lang w:val="en-GB"/>
              </w:rPr>
              <w:t xml:space="preserve"> can be derived from the ex-factory price indicated in the data source</w:t>
            </w:r>
            <w:r w:rsidR="00533954" w:rsidRPr="00923BE2">
              <w:rPr>
                <w:rFonts w:ascii="Arial" w:hAnsi="Arial" w:cs="Arial"/>
                <w:sz w:val="18"/>
                <w:szCs w:val="18"/>
                <w:lang w:val="en-GB"/>
              </w:rPr>
              <w:t xml:space="preserve"> by applying statutory wholesale and pharmacy mark-ups</w:t>
            </w:r>
            <w:r w:rsidR="001A3CFE" w:rsidRPr="00923BE2">
              <w:rPr>
                <w:rFonts w:ascii="Arial" w:hAnsi="Arial" w:cs="Arial"/>
                <w:sz w:val="18"/>
                <w:szCs w:val="18"/>
                <w:lang w:val="en-GB"/>
              </w:rPr>
              <w:t>.</w:t>
            </w:r>
            <w:r w:rsidR="00533954" w:rsidRPr="00923BE2">
              <w:rPr>
                <w:rFonts w:ascii="Arial" w:hAnsi="Arial" w:cs="Arial"/>
                <w:sz w:val="18"/>
                <w:szCs w:val="18"/>
                <w:lang w:val="en-GB"/>
              </w:rPr>
              <w:t xml:space="preserve"> However, this is only possible if the remuneration of supply chain actors is regulated, and in a way that it depends on the medicine price</w:t>
            </w:r>
            <w:r w:rsidR="001A3CFE" w:rsidRPr="00923BE2">
              <w:rPr>
                <w:rFonts w:ascii="Arial" w:hAnsi="Arial" w:cs="Arial"/>
                <w:sz w:val="18"/>
                <w:szCs w:val="18"/>
                <w:lang w:val="en-GB"/>
              </w:rPr>
              <w:t xml:space="preserve"> (e.g. as mark-ups or margins, and not a price-disconnected </w:t>
            </w:r>
            <w:r w:rsidR="00533954" w:rsidRPr="00923BE2">
              <w:rPr>
                <w:rFonts w:ascii="Arial" w:hAnsi="Arial" w:cs="Arial"/>
                <w:sz w:val="18"/>
                <w:szCs w:val="18"/>
                <w:lang w:val="en-GB"/>
              </w:rPr>
              <w:t>dispensing fee</w:t>
            </w:r>
            <w:r w:rsidR="001A3CFE" w:rsidRPr="00923BE2">
              <w:rPr>
                <w:rFonts w:ascii="Arial" w:hAnsi="Arial" w:cs="Arial"/>
                <w:sz w:val="18"/>
                <w:szCs w:val="18"/>
                <w:lang w:val="en-GB"/>
              </w:rPr>
              <w:t xml:space="preserve"> or other fee-for-service remuneration)</w:t>
            </w:r>
            <w:r w:rsidR="00533954" w:rsidRPr="00923BE2">
              <w:rPr>
                <w:rFonts w:ascii="Arial" w:hAnsi="Arial" w:cs="Arial"/>
                <w:sz w:val="18"/>
                <w:szCs w:val="18"/>
                <w:lang w:val="en-GB"/>
              </w:rPr>
              <w:t>.</w:t>
            </w:r>
          </w:p>
        </w:tc>
        <w:tc>
          <w:tcPr>
            <w:tcW w:w="3969" w:type="dxa"/>
          </w:tcPr>
          <w:p w14:paraId="6D79837F" w14:textId="77777777" w:rsidR="00800017" w:rsidRPr="00923BE2" w:rsidRDefault="00800017" w:rsidP="00800017">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How to proceed:</w:t>
            </w:r>
          </w:p>
          <w:p w14:paraId="56281C82" w14:textId="0130455F" w:rsidR="00800017" w:rsidRPr="00923BE2" w:rsidRDefault="00800017" w:rsidP="00800017">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 xml:space="preserve">Researchers </w:t>
            </w:r>
            <w:r w:rsidR="00DC1B80" w:rsidRPr="00923BE2">
              <w:rPr>
                <w:rFonts w:ascii="Arial" w:hAnsi="Arial" w:cs="Arial"/>
                <w:sz w:val="18"/>
                <w:szCs w:val="18"/>
                <w:lang w:val="en-GB"/>
              </w:rPr>
              <w:t>have</w:t>
            </w:r>
            <w:r w:rsidRPr="00923BE2">
              <w:rPr>
                <w:rFonts w:ascii="Arial" w:hAnsi="Arial" w:cs="Arial"/>
                <w:sz w:val="18"/>
                <w:szCs w:val="18"/>
                <w:lang w:val="en-GB"/>
              </w:rPr>
              <w:t xml:space="preserve"> to define in advance which price data they require</w:t>
            </w:r>
            <w:r w:rsidR="00197758" w:rsidRPr="00923BE2">
              <w:rPr>
                <w:rFonts w:ascii="Arial" w:hAnsi="Arial" w:cs="Arial"/>
                <w:sz w:val="18"/>
                <w:szCs w:val="18"/>
                <w:lang w:val="en-GB"/>
              </w:rPr>
              <w:t xml:space="preserve"> (in particular with regard to the price type but also for other methodological choice</w:t>
            </w:r>
            <w:r w:rsidR="00DC1B80" w:rsidRPr="00923BE2">
              <w:rPr>
                <w:rFonts w:ascii="Arial" w:hAnsi="Arial" w:cs="Arial"/>
                <w:sz w:val="18"/>
                <w:szCs w:val="18"/>
                <w:lang w:val="en-GB"/>
              </w:rPr>
              <w:t>s</w:t>
            </w:r>
            <w:r w:rsidR="00197758" w:rsidRPr="00923BE2">
              <w:rPr>
                <w:rFonts w:ascii="Arial" w:hAnsi="Arial" w:cs="Arial"/>
                <w:sz w:val="18"/>
                <w:szCs w:val="18"/>
                <w:lang w:val="en-GB"/>
              </w:rPr>
              <w:t xml:space="preserve"> discussed</w:t>
            </w:r>
            <w:r w:rsidR="00DC1B80" w:rsidRPr="00923BE2">
              <w:rPr>
                <w:rFonts w:ascii="Arial" w:hAnsi="Arial" w:cs="Arial"/>
                <w:sz w:val="18"/>
                <w:szCs w:val="18"/>
                <w:lang w:val="en-GB"/>
              </w:rPr>
              <w:t xml:space="preserve"> in the section of</w:t>
            </w:r>
            <w:r w:rsidR="00197758" w:rsidRPr="00923BE2">
              <w:rPr>
                <w:rFonts w:ascii="Arial" w:hAnsi="Arial" w:cs="Arial"/>
                <w:sz w:val="18"/>
                <w:szCs w:val="18"/>
                <w:lang w:val="en-GB"/>
              </w:rPr>
              <w:t xml:space="preserve"> different assessment criteria)</w:t>
            </w:r>
            <w:r w:rsidRPr="00923BE2">
              <w:rPr>
                <w:rFonts w:ascii="Arial" w:hAnsi="Arial" w:cs="Arial"/>
                <w:sz w:val="18"/>
                <w:szCs w:val="18"/>
                <w:lang w:val="en-GB"/>
              </w:rPr>
              <w:t xml:space="preserve">. In </w:t>
            </w:r>
            <w:r w:rsidR="00DC1B80" w:rsidRPr="00923BE2">
              <w:rPr>
                <w:rFonts w:ascii="Arial" w:hAnsi="Arial" w:cs="Arial"/>
                <w:sz w:val="18"/>
                <w:szCs w:val="18"/>
                <w:lang w:val="en-GB"/>
              </w:rPr>
              <w:t>the</w:t>
            </w:r>
            <w:r w:rsidRPr="00923BE2">
              <w:rPr>
                <w:rFonts w:ascii="Arial" w:hAnsi="Arial" w:cs="Arial"/>
                <w:sz w:val="18"/>
                <w:szCs w:val="18"/>
                <w:lang w:val="en-GB"/>
              </w:rPr>
              <w:t xml:space="preserve"> methodology development process, </w:t>
            </w:r>
            <w:r w:rsidR="006643DC" w:rsidRPr="00923BE2">
              <w:rPr>
                <w:rFonts w:ascii="Arial" w:hAnsi="Arial" w:cs="Arial"/>
                <w:sz w:val="18"/>
                <w:szCs w:val="18"/>
                <w:lang w:val="en-GB"/>
              </w:rPr>
              <w:t>researcher</w:t>
            </w:r>
            <w:r w:rsidR="00197758" w:rsidRPr="00923BE2">
              <w:rPr>
                <w:rFonts w:ascii="Arial" w:hAnsi="Arial" w:cs="Arial"/>
                <w:sz w:val="18"/>
                <w:szCs w:val="18"/>
                <w:lang w:val="en-GB"/>
              </w:rPr>
              <w:t>s</w:t>
            </w:r>
            <w:r w:rsidR="006643DC" w:rsidRPr="00923BE2">
              <w:rPr>
                <w:rFonts w:ascii="Arial" w:hAnsi="Arial" w:cs="Arial"/>
                <w:sz w:val="18"/>
                <w:szCs w:val="18"/>
                <w:lang w:val="en-GB"/>
              </w:rPr>
              <w:t xml:space="preserve"> should also </w:t>
            </w:r>
            <w:r w:rsidR="00165960" w:rsidRPr="00923BE2">
              <w:rPr>
                <w:rFonts w:ascii="Arial" w:hAnsi="Arial" w:cs="Arial"/>
                <w:sz w:val="18"/>
                <w:szCs w:val="18"/>
                <w:lang w:val="en-GB"/>
              </w:rPr>
              <w:t>decide</w:t>
            </w:r>
            <w:r w:rsidR="006643DC" w:rsidRPr="00923BE2">
              <w:rPr>
                <w:rFonts w:ascii="Arial" w:hAnsi="Arial" w:cs="Arial"/>
                <w:sz w:val="18"/>
                <w:szCs w:val="18"/>
                <w:lang w:val="en-GB"/>
              </w:rPr>
              <w:t xml:space="preserve"> </w:t>
            </w:r>
            <w:r w:rsidR="000E55D4" w:rsidRPr="00923BE2">
              <w:rPr>
                <w:rFonts w:ascii="Arial" w:hAnsi="Arial" w:cs="Arial"/>
                <w:sz w:val="18"/>
                <w:szCs w:val="18"/>
                <w:lang w:val="en-GB"/>
              </w:rPr>
              <w:t>if</w:t>
            </w:r>
            <w:r w:rsidR="006643DC" w:rsidRPr="00923BE2">
              <w:rPr>
                <w:rFonts w:ascii="Arial" w:hAnsi="Arial" w:cs="Arial"/>
                <w:sz w:val="18"/>
                <w:szCs w:val="18"/>
                <w:lang w:val="en-GB"/>
              </w:rPr>
              <w:t xml:space="preserve"> and which price proxies </w:t>
            </w:r>
            <w:r w:rsidR="00A57E47" w:rsidRPr="00923BE2">
              <w:rPr>
                <w:rFonts w:ascii="Arial" w:hAnsi="Arial" w:cs="Arial"/>
                <w:sz w:val="18"/>
                <w:szCs w:val="18"/>
                <w:lang w:val="en-GB"/>
              </w:rPr>
              <w:t>could be</w:t>
            </w:r>
            <w:r w:rsidR="006643DC" w:rsidRPr="00923BE2">
              <w:rPr>
                <w:rFonts w:ascii="Arial" w:hAnsi="Arial" w:cs="Arial"/>
                <w:sz w:val="18"/>
                <w:szCs w:val="18"/>
                <w:lang w:val="en-GB"/>
              </w:rPr>
              <w:t xml:space="preserve"> acceptable</w:t>
            </w:r>
            <w:r w:rsidR="00165960" w:rsidRPr="00923BE2">
              <w:rPr>
                <w:rFonts w:ascii="Arial" w:hAnsi="Arial" w:cs="Arial"/>
                <w:sz w:val="18"/>
                <w:szCs w:val="18"/>
                <w:lang w:val="en-GB"/>
              </w:rPr>
              <w:t xml:space="preserve"> if no price data were accessible. </w:t>
            </w:r>
            <w:r w:rsidR="00D14450" w:rsidRPr="00923BE2">
              <w:rPr>
                <w:rFonts w:ascii="Arial" w:hAnsi="Arial" w:cs="Arial"/>
                <w:sz w:val="18"/>
                <w:szCs w:val="18"/>
                <w:lang w:val="en-GB"/>
              </w:rPr>
              <w:t xml:space="preserve">With </w:t>
            </w:r>
            <w:r w:rsidR="002C7E57" w:rsidRPr="00923BE2">
              <w:rPr>
                <w:rFonts w:ascii="Arial" w:hAnsi="Arial" w:cs="Arial"/>
                <w:sz w:val="18"/>
                <w:szCs w:val="18"/>
                <w:lang w:val="en-GB"/>
              </w:rPr>
              <w:t xml:space="preserve">line with the definition of price </w:t>
            </w:r>
            <w:r w:rsidR="00197758" w:rsidRPr="00923BE2">
              <w:rPr>
                <w:rFonts w:ascii="Arial" w:hAnsi="Arial" w:cs="Arial"/>
                <w:sz w:val="18"/>
                <w:szCs w:val="18"/>
                <w:lang w:val="en-GB"/>
              </w:rPr>
              <w:t>data, researcher</w:t>
            </w:r>
            <w:r w:rsidR="00DC1B80" w:rsidRPr="00923BE2">
              <w:rPr>
                <w:rFonts w:ascii="Arial" w:hAnsi="Arial" w:cs="Arial"/>
                <w:sz w:val="18"/>
                <w:szCs w:val="18"/>
                <w:lang w:val="en-GB"/>
              </w:rPr>
              <w:t>s</w:t>
            </w:r>
            <w:r w:rsidR="00197758" w:rsidRPr="00923BE2">
              <w:rPr>
                <w:rFonts w:ascii="Arial" w:hAnsi="Arial" w:cs="Arial"/>
                <w:sz w:val="18"/>
                <w:szCs w:val="18"/>
                <w:lang w:val="en-GB"/>
              </w:rPr>
              <w:t xml:space="preserve"> should then check </w:t>
            </w:r>
            <w:r w:rsidR="002753BB" w:rsidRPr="00923BE2">
              <w:rPr>
                <w:rFonts w:ascii="Arial" w:hAnsi="Arial" w:cs="Arial"/>
                <w:sz w:val="18"/>
                <w:szCs w:val="18"/>
                <w:lang w:val="en-GB"/>
              </w:rPr>
              <w:t xml:space="preserve">whether the </w:t>
            </w:r>
            <w:r w:rsidR="000F47A5" w:rsidRPr="00923BE2">
              <w:rPr>
                <w:rFonts w:ascii="Arial" w:hAnsi="Arial" w:cs="Arial"/>
                <w:sz w:val="18"/>
                <w:szCs w:val="18"/>
                <w:lang w:val="en-GB"/>
              </w:rPr>
              <w:t>source provide</w:t>
            </w:r>
            <w:r w:rsidR="00DC1B80" w:rsidRPr="00923BE2">
              <w:rPr>
                <w:rFonts w:ascii="Arial" w:hAnsi="Arial" w:cs="Arial"/>
                <w:sz w:val="18"/>
                <w:szCs w:val="18"/>
                <w:lang w:val="en-GB"/>
              </w:rPr>
              <w:t>s</w:t>
            </w:r>
            <w:r w:rsidR="000F47A5" w:rsidRPr="00923BE2">
              <w:rPr>
                <w:rFonts w:ascii="Arial" w:hAnsi="Arial" w:cs="Arial"/>
                <w:sz w:val="18"/>
                <w:szCs w:val="18"/>
                <w:lang w:val="en-GB"/>
              </w:rPr>
              <w:t xml:space="preserve"> the data for the required price type(s) and in the requested </w:t>
            </w:r>
            <w:r w:rsidR="00DF46AF" w:rsidRPr="00923BE2">
              <w:rPr>
                <w:rFonts w:ascii="Arial" w:hAnsi="Arial" w:cs="Arial"/>
                <w:sz w:val="18"/>
                <w:szCs w:val="18"/>
                <w:lang w:val="en-GB"/>
              </w:rPr>
              <w:t xml:space="preserve">format. If not, </w:t>
            </w:r>
            <w:r w:rsidR="009E5BA5" w:rsidRPr="00923BE2">
              <w:rPr>
                <w:rFonts w:ascii="Arial" w:hAnsi="Arial" w:cs="Arial"/>
                <w:sz w:val="18"/>
                <w:szCs w:val="18"/>
                <w:lang w:val="en-GB"/>
              </w:rPr>
              <w:t xml:space="preserve">it shall be checked whether it is possible to derive </w:t>
            </w:r>
            <w:r w:rsidR="0052772B" w:rsidRPr="00923BE2">
              <w:rPr>
                <w:rFonts w:ascii="Arial" w:hAnsi="Arial" w:cs="Arial"/>
                <w:sz w:val="18"/>
                <w:szCs w:val="18"/>
                <w:lang w:val="en-GB"/>
              </w:rPr>
              <w:t xml:space="preserve">the required price type(s) and format </w:t>
            </w:r>
            <w:r w:rsidR="00DC1B80" w:rsidRPr="00923BE2">
              <w:rPr>
                <w:rFonts w:ascii="Arial" w:hAnsi="Arial" w:cs="Arial"/>
                <w:sz w:val="18"/>
                <w:szCs w:val="18"/>
                <w:lang w:val="en-GB"/>
              </w:rPr>
              <w:t>through further</w:t>
            </w:r>
            <w:r w:rsidR="0052772B" w:rsidRPr="00923BE2">
              <w:rPr>
                <w:rFonts w:ascii="Arial" w:hAnsi="Arial" w:cs="Arial"/>
                <w:sz w:val="18"/>
                <w:szCs w:val="18"/>
                <w:lang w:val="en-GB"/>
              </w:rPr>
              <w:t xml:space="preserve"> </w:t>
            </w:r>
            <w:r w:rsidR="00171B41" w:rsidRPr="00923BE2">
              <w:rPr>
                <w:rFonts w:ascii="Arial" w:hAnsi="Arial" w:cs="Arial"/>
                <w:sz w:val="18"/>
                <w:szCs w:val="18"/>
                <w:lang w:val="en-GB"/>
              </w:rPr>
              <w:t xml:space="preserve">calculation </w:t>
            </w:r>
            <w:r w:rsidR="00DC1B80" w:rsidRPr="00923BE2">
              <w:rPr>
                <w:rFonts w:ascii="Arial" w:hAnsi="Arial" w:cs="Arial"/>
                <w:sz w:val="18"/>
                <w:szCs w:val="18"/>
                <w:lang w:val="en-GB"/>
              </w:rPr>
              <w:t>of</w:t>
            </w:r>
            <w:r w:rsidR="00171B41" w:rsidRPr="00923BE2">
              <w:rPr>
                <w:rFonts w:ascii="Arial" w:hAnsi="Arial" w:cs="Arial"/>
                <w:sz w:val="18"/>
                <w:szCs w:val="18"/>
                <w:lang w:val="en-GB"/>
              </w:rPr>
              <w:t xml:space="preserve"> data </w:t>
            </w:r>
            <w:r w:rsidR="00DC1B80" w:rsidRPr="00923BE2">
              <w:rPr>
                <w:rFonts w:ascii="Arial" w:hAnsi="Arial" w:cs="Arial"/>
                <w:sz w:val="18"/>
                <w:szCs w:val="18"/>
                <w:lang w:val="en-GB"/>
              </w:rPr>
              <w:t>retrieved from</w:t>
            </w:r>
            <w:r w:rsidR="00171B41" w:rsidRPr="00923BE2">
              <w:rPr>
                <w:rFonts w:ascii="Arial" w:hAnsi="Arial" w:cs="Arial"/>
                <w:sz w:val="18"/>
                <w:szCs w:val="18"/>
                <w:lang w:val="en-GB"/>
              </w:rPr>
              <w:t xml:space="preserve"> the data </w:t>
            </w:r>
            <w:r w:rsidR="00DC1B80" w:rsidRPr="00923BE2">
              <w:rPr>
                <w:rFonts w:ascii="Arial" w:hAnsi="Arial" w:cs="Arial"/>
                <w:sz w:val="18"/>
                <w:szCs w:val="18"/>
                <w:lang w:val="en-GB"/>
              </w:rPr>
              <w:t>source.</w:t>
            </w:r>
          </w:p>
          <w:p w14:paraId="5032AC9E" w14:textId="32E0F63E" w:rsidR="00800017" w:rsidRPr="00923BE2" w:rsidRDefault="00800017" w:rsidP="009A61D5">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Checklist questions:</w:t>
            </w:r>
          </w:p>
          <w:p w14:paraId="4526813A" w14:textId="77777777" w:rsidR="00533954" w:rsidRPr="00923BE2" w:rsidRDefault="00533954" w:rsidP="00780AEC">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Does the source provide price, expenditure or cost data?</w:t>
            </w:r>
          </w:p>
          <w:p w14:paraId="71385FF7" w14:textId="77777777" w:rsidR="00533954" w:rsidRPr="00923BE2" w:rsidRDefault="00533954" w:rsidP="00780AEC">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Are price data offered for single presentations (i.e. medicines in a defined pharmaceutical form, dosage and pack size)?</w:t>
            </w:r>
          </w:p>
          <w:p w14:paraId="1AC67507" w14:textId="77777777" w:rsidR="00533954" w:rsidRPr="00923BE2" w:rsidRDefault="00533954" w:rsidP="00780AEC">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At which price type, or types, does the source offer price information? Are the indicated price types those that were selected for the analysis?</w:t>
            </w:r>
          </w:p>
          <w:p w14:paraId="4A844F68" w14:textId="77777777" w:rsidR="00533954" w:rsidRPr="00923BE2" w:rsidRDefault="00533954" w:rsidP="00780AEC">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Is the format of how data are presented clear? Can price information be standardised to allow the use of data from different sources, in line with the study objective?</w:t>
            </w:r>
          </w:p>
        </w:tc>
      </w:tr>
      <w:tr w:rsidR="00533954" w:rsidRPr="00923BE2" w14:paraId="493F4745" w14:textId="77777777" w:rsidTr="009A61D5">
        <w:trPr>
          <w:cantSplit/>
        </w:trPr>
        <w:tc>
          <w:tcPr>
            <w:tcW w:w="1219" w:type="dxa"/>
          </w:tcPr>
          <w:p w14:paraId="6CFF160B" w14:textId="356ABF3B" w:rsidR="00BC66CE" w:rsidRPr="00923BE2" w:rsidRDefault="00BC66CE" w:rsidP="007F1EF9">
            <w:pPr>
              <w:spacing w:before="40" w:after="40" w:line="240" w:lineRule="atLeast"/>
              <w:rPr>
                <w:rFonts w:ascii="Arial" w:hAnsi="Arial" w:cs="Arial"/>
                <w:sz w:val="18"/>
                <w:szCs w:val="18"/>
                <w:lang w:val="en-GB"/>
              </w:rPr>
            </w:pPr>
            <w:r w:rsidRPr="00923BE2">
              <w:rPr>
                <w:rFonts w:ascii="Arial" w:hAnsi="Arial" w:cs="Arial"/>
                <w:sz w:val="18"/>
                <w:szCs w:val="18"/>
                <w:lang w:val="en-GB"/>
              </w:rPr>
              <w:t xml:space="preserve">Price </w:t>
            </w:r>
            <w:r w:rsidRPr="00923BE2">
              <w:rPr>
                <w:rFonts w:ascii="Arial" w:hAnsi="Arial" w:cs="Arial"/>
                <w:b/>
                <w:sz w:val="18"/>
                <w:szCs w:val="18"/>
                <w:lang w:val="en-GB"/>
              </w:rPr>
              <w:t>t</w:t>
            </w:r>
            <w:r w:rsidRPr="00923BE2">
              <w:rPr>
                <w:rFonts w:ascii="Arial" w:hAnsi="Arial" w:cs="Arial"/>
                <w:sz w:val="18"/>
                <w:szCs w:val="18"/>
                <w:lang w:val="en-GB"/>
              </w:rPr>
              <w:t>ypes</w:t>
            </w:r>
            <w:r w:rsidR="00F054F8" w:rsidRPr="00923BE2">
              <w:rPr>
                <w:rFonts w:ascii="Arial" w:hAnsi="Arial" w:cs="Arial"/>
                <w:sz w:val="18"/>
                <w:szCs w:val="18"/>
                <w:lang w:val="en-GB"/>
              </w:rPr>
              <w:t xml:space="preserve"> and further specifi</w:t>
            </w:r>
            <w:r w:rsidR="00F054F8" w:rsidRPr="00923BE2">
              <w:rPr>
                <w:rFonts w:ascii="Arial" w:hAnsi="Arial" w:cs="Arial"/>
                <w:sz w:val="18"/>
                <w:szCs w:val="18"/>
                <w:lang w:val="en-GB"/>
              </w:rPr>
              <w:softHyphen/>
              <w:t xml:space="preserve">cations of price data </w:t>
            </w:r>
            <w:r w:rsidR="00F054F8" w:rsidRPr="00923BE2">
              <w:rPr>
                <w:rFonts w:ascii="Arial" w:hAnsi="Arial" w:cs="Arial"/>
                <w:i/>
                <w:sz w:val="18"/>
                <w:szCs w:val="18"/>
                <w:lang w:val="en-GB"/>
              </w:rPr>
              <w:t>(continued)</w:t>
            </w:r>
          </w:p>
        </w:tc>
        <w:tc>
          <w:tcPr>
            <w:tcW w:w="1758" w:type="dxa"/>
          </w:tcPr>
          <w:p w14:paraId="10FD8ABA" w14:textId="4D6484E4" w:rsidR="00BC66CE" w:rsidRPr="00923BE2" w:rsidRDefault="00BC66CE" w:rsidP="00F142C4">
            <w:pPr>
              <w:keepNext/>
              <w:keepLines/>
              <w:spacing w:before="40" w:after="40" w:line="240" w:lineRule="atLeast"/>
              <w:outlineLvl w:val="1"/>
              <w:rPr>
                <w:rFonts w:ascii="Arial" w:hAnsi="Arial" w:cs="Arial"/>
                <w:sz w:val="18"/>
                <w:szCs w:val="18"/>
                <w:lang w:val="en-GB"/>
              </w:rPr>
            </w:pPr>
          </w:p>
        </w:tc>
        <w:tc>
          <w:tcPr>
            <w:tcW w:w="6946" w:type="dxa"/>
          </w:tcPr>
          <w:p w14:paraId="0EFB6983" w14:textId="77777777" w:rsidR="004105A6" w:rsidRPr="00923BE2" w:rsidRDefault="004105A6" w:rsidP="00533954">
            <w:pPr>
              <w:spacing w:before="40" w:after="40" w:line="240" w:lineRule="atLeast"/>
              <w:rPr>
                <w:rFonts w:ascii="Arial" w:hAnsi="Arial" w:cs="Arial"/>
                <w:sz w:val="18"/>
                <w:szCs w:val="18"/>
                <w:lang w:val="en-GB"/>
              </w:rPr>
            </w:pPr>
            <w:r w:rsidRPr="00923BE2">
              <w:rPr>
                <w:rFonts w:ascii="Arial" w:hAnsi="Arial" w:cs="Arial"/>
                <w:sz w:val="18"/>
                <w:szCs w:val="18"/>
                <w:lang w:val="en-GB"/>
              </w:rPr>
              <w:t>Cross-country comparisons must be conducted at the level of the same price type. Therefore, it has to be explored in advance whether the data sources of different countries offer the selected price type or, alternatively, allow a determination of the required price types as described above.</w:t>
            </w:r>
          </w:p>
          <w:p w14:paraId="6825AF52" w14:textId="5E0B921E" w:rsidR="00533954" w:rsidRPr="00923BE2" w:rsidRDefault="00533954" w:rsidP="00533954">
            <w:pPr>
              <w:spacing w:before="40" w:after="40" w:line="240" w:lineRule="atLeast"/>
              <w:rPr>
                <w:rFonts w:ascii="Arial" w:hAnsi="Arial" w:cs="Arial"/>
                <w:sz w:val="18"/>
                <w:szCs w:val="18"/>
                <w:lang w:val="en-GB"/>
              </w:rPr>
            </w:pPr>
            <w:r w:rsidRPr="00923BE2">
              <w:rPr>
                <w:rFonts w:ascii="Arial" w:hAnsi="Arial" w:cs="Arial"/>
                <w:sz w:val="18"/>
                <w:szCs w:val="18"/>
                <w:lang w:val="en-GB"/>
              </w:rPr>
              <w:t>The format of how price data are presented (e.g. per pack, per Defined Daily Dose (DDD), per ‘standard unit’, per treatment course) must be clear. Though variation in the data presentation of different sources constitutes a methodological challenge, this can be handled by means of appropriate standardisation under the condition that information required for doing the standardisation is accessible.</w:t>
            </w:r>
          </w:p>
          <w:p w14:paraId="08C1E780" w14:textId="6A4C9423" w:rsidR="009F5963" w:rsidRPr="00923BE2" w:rsidRDefault="009F5963">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Finally, it is also recommended checking if price data are consistently provided for all medicines listed in the source. This advice is based on the experience that some databases list all medicines that received a marketing authorisation, but they provide price information for only some of them.</w:t>
            </w:r>
          </w:p>
        </w:tc>
        <w:tc>
          <w:tcPr>
            <w:tcW w:w="3969" w:type="dxa"/>
          </w:tcPr>
          <w:p w14:paraId="2A062828" w14:textId="5F3661C2" w:rsidR="00BC66CE" w:rsidRPr="00923BE2" w:rsidRDefault="00BC66CE" w:rsidP="009A61D5">
            <w:pPr>
              <w:spacing w:before="40" w:after="40" w:line="240" w:lineRule="atLeast"/>
              <w:rPr>
                <w:rFonts w:ascii="Arial" w:hAnsi="Arial" w:cs="Arial"/>
                <w:sz w:val="18"/>
                <w:szCs w:val="18"/>
                <w:lang w:val="en-GB"/>
              </w:rPr>
            </w:pPr>
          </w:p>
        </w:tc>
      </w:tr>
      <w:tr w:rsidR="00714434" w:rsidRPr="00923BE2" w14:paraId="7E223BBB" w14:textId="77777777" w:rsidTr="00A37E05">
        <w:trPr>
          <w:cantSplit/>
        </w:trPr>
        <w:tc>
          <w:tcPr>
            <w:tcW w:w="13892" w:type="dxa"/>
            <w:gridSpan w:val="4"/>
          </w:tcPr>
          <w:p w14:paraId="3F140575" w14:textId="277DBA2F" w:rsidR="00714434" w:rsidRPr="00923BE2" w:rsidRDefault="000A1C1B" w:rsidP="003D6153">
            <w:pPr>
              <w:keepNext/>
              <w:keepLines/>
              <w:spacing w:before="40" w:after="40" w:line="240" w:lineRule="atLeast"/>
              <w:rPr>
                <w:rFonts w:ascii="Arial" w:hAnsi="Arial" w:cs="Arial"/>
                <w:i/>
                <w:sz w:val="18"/>
                <w:szCs w:val="18"/>
                <w:lang w:val="en-GB"/>
              </w:rPr>
            </w:pPr>
            <w:r w:rsidRPr="00923BE2">
              <w:rPr>
                <w:rFonts w:ascii="Arial" w:hAnsi="Arial" w:cs="Arial"/>
                <w:i/>
                <w:sz w:val="18"/>
                <w:szCs w:val="18"/>
                <w:lang w:val="en-GB"/>
              </w:rPr>
              <w:t xml:space="preserve">Secondary </w:t>
            </w:r>
            <w:r w:rsidR="00714434" w:rsidRPr="00923BE2">
              <w:rPr>
                <w:rFonts w:ascii="Arial" w:hAnsi="Arial" w:cs="Arial"/>
                <w:i/>
                <w:sz w:val="18"/>
                <w:szCs w:val="18"/>
                <w:lang w:val="en-GB"/>
              </w:rPr>
              <w:t>criteria</w:t>
            </w:r>
          </w:p>
        </w:tc>
      </w:tr>
      <w:tr w:rsidR="00BC66CE" w:rsidRPr="00923BE2" w14:paraId="60C5C6F1" w14:textId="77777777" w:rsidTr="009A61D5">
        <w:trPr>
          <w:cantSplit/>
        </w:trPr>
        <w:tc>
          <w:tcPr>
            <w:tcW w:w="1219" w:type="dxa"/>
          </w:tcPr>
          <w:p w14:paraId="025A7A29" w14:textId="77777777" w:rsidR="00BC66CE" w:rsidRPr="00923BE2" w:rsidRDefault="00BC66CE" w:rsidP="003D6153">
            <w:pPr>
              <w:spacing w:before="40" w:after="40" w:line="240" w:lineRule="atLeast"/>
              <w:rPr>
                <w:rFonts w:ascii="Arial" w:hAnsi="Arial" w:cs="Arial"/>
                <w:sz w:val="18"/>
                <w:szCs w:val="18"/>
                <w:lang w:val="en-GB"/>
              </w:rPr>
            </w:pPr>
            <w:r w:rsidRPr="00923BE2">
              <w:rPr>
                <w:rFonts w:ascii="Arial" w:hAnsi="Arial" w:cs="Arial"/>
                <w:sz w:val="18"/>
                <w:szCs w:val="18"/>
                <w:lang w:val="en-GB"/>
              </w:rPr>
              <w:t>Easy handling</w:t>
            </w:r>
          </w:p>
        </w:tc>
        <w:tc>
          <w:tcPr>
            <w:tcW w:w="1758" w:type="dxa"/>
          </w:tcPr>
          <w:p w14:paraId="640D28DF" w14:textId="090E2E33" w:rsidR="00BC66CE" w:rsidRPr="00923BE2" w:rsidRDefault="00BC66CE" w:rsidP="001D1C85">
            <w:pPr>
              <w:spacing w:before="40" w:after="40" w:line="240" w:lineRule="atLeast"/>
              <w:rPr>
                <w:rFonts w:ascii="Arial" w:hAnsi="Arial" w:cs="Arial"/>
                <w:sz w:val="18"/>
                <w:szCs w:val="18"/>
                <w:lang w:val="en-GB"/>
              </w:rPr>
            </w:pPr>
            <w:r w:rsidRPr="00923BE2">
              <w:rPr>
                <w:rFonts w:ascii="Arial" w:hAnsi="Arial" w:cs="Arial"/>
                <w:sz w:val="18"/>
                <w:szCs w:val="18"/>
                <w:lang w:val="en-GB"/>
              </w:rPr>
              <w:t>While the ‘comfort function’ is less decisive for the selection of a data source than mandatory criteria, it could also be considered. Complex and time-intensive data retrieval should be accounted for in the planning process.</w:t>
            </w:r>
          </w:p>
        </w:tc>
        <w:tc>
          <w:tcPr>
            <w:tcW w:w="6946" w:type="dxa"/>
          </w:tcPr>
          <w:p w14:paraId="444065D4" w14:textId="16DBF2E3" w:rsidR="0033551F" w:rsidRPr="00923BE2" w:rsidRDefault="0026598C" w:rsidP="0033551F">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w:t>
            </w:r>
            <w:r w:rsidR="0033551F" w:rsidRPr="00923BE2">
              <w:rPr>
                <w:rFonts w:ascii="Arial" w:hAnsi="Arial" w:cs="Arial"/>
                <w:sz w:val="18"/>
                <w:szCs w:val="18"/>
                <w:lang w:val="en-GB"/>
              </w:rPr>
              <w:t xml:space="preserve">Data can be provided in different </w:t>
            </w:r>
            <w:r w:rsidR="008E22D3" w:rsidRPr="00923BE2">
              <w:rPr>
                <w:rFonts w:ascii="Arial" w:hAnsi="Arial" w:cs="Arial"/>
                <w:sz w:val="18"/>
                <w:szCs w:val="18"/>
                <w:lang w:val="en-GB"/>
              </w:rPr>
              <w:t xml:space="preserve">technical solutions </w:t>
            </w:r>
            <w:r w:rsidR="0033551F" w:rsidRPr="00923BE2">
              <w:rPr>
                <w:rFonts w:ascii="Arial" w:hAnsi="Arial" w:cs="Arial"/>
                <w:sz w:val="18"/>
                <w:szCs w:val="18"/>
                <w:lang w:val="en-GB"/>
              </w:rPr>
              <w:t>that can range from paper lists to electronic query standards. The way of how the information is presented in a source may considerably impact the time resources required for collection and follow-up manipulation of the data.</w:t>
            </w:r>
          </w:p>
          <w:p w14:paraId="67EB98D4" w14:textId="77777777" w:rsidR="00BB700E" w:rsidRPr="00923BE2" w:rsidRDefault="00BB700E" w:rsidP="00BB700E">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Key considerations:</w:t>
            </w:r>
          </w:p>
          <w:p w14:paraId="758F59BE" w14:textId="77777777" w:rsidR="0033551F" w:rsidRPr="00923BE2" w:rsidRDefault="0033551F" w:rsidP="0033551F">
            <w:pPr>
              <w:spacing w:before="40" w:after="40" w:line="240" w:lineRule="atLeast"/>
              <w:rPr>
                <w:rFonts w:ascii="Arial" w:hAnsi="Arial" w:cs="Arial"/>
                <w:sz w:val="18"/>
                <w:szCs w:val="18"/>
                <w:lang w:val="en-GB"/>
              </w:rPr>
            </w:pPr>
            <w:r w:rsidRPr="00923BE2">
              <w:rPr>
                <w:rFonts w:ascii="Arial" w:hAnsi="Arial" w:cs="Arial"/>
                <w:sz w:val="18"/>
                <w:szCs w:val="18"/>
                <w:lang w:val="en-GB"/>
              </w:rPr>
              <w:t>Data provision through a website does not automatically imply easy handling. For instance, the collection might be time-intensive if each price data point has to be retrieved separately because no download function is provided.</w:t>
            </w:r>
          </w:p>
          <w:p w14:paraId="01B5DFEF" w14:textId="33E208B5" w:rsidR="009166CB" w:rsidRPr="00923BE2" w:rsidRDefault="0033551F" w:rsidP="009A61D5">
            <w:pPr>
              <w:spacing w:before="40" w:after="40" w:line="240" w:lineRule="atLeast"/>
              <w:rPr>
                <w:rFonts w:ascii="Arial" w:eastAsiaTheme="majorEastAsia" w:hAnsi="Arial" w:cs="Arial"/>
                <w:b/>
                <w:bCs/>
                <w:color w:val="4F81BD" w:themeColor="accent1"/>
                <w:sz w:val="18"/>
                <w:szCs w:val="18"/>
                <w:lang w:val="en-GB"/>
              </w:rPr>
            </w:pPr>
            <w:r w:rsidRPr="00923BE2">
              <w:rPr>
                <w:rFonts w:ascii="Arial" w:hAnsi="Arial" w:cs="Arial"/>
                <w:sz w:val="18"/>
                <w:szCs w:val="18"/>
                <w:lang w:val="en-GB"/>
              </w:rPr>
              <w:t>The features of the search function are another aspect to consider. Some sources allow searching by International Non-Proprietary Name (INN) or by ATC code, whereas others require a search by trade name. If the latter is the case, additional time is needed to first identify the appropriate trade names through other searches (e.g. in a register that contains all authorised medicines) since trade names can differ across countries.</w:t>
            </w:r>
            <w:r w:rsidR="0076060F" w:rsidRPr="00923BE2">
              <w:rPr>
                <w:rFonts w:ascii="Arial" w:hAnsi="Arial" w:cs="Arial"/>
                <w:sz w:val="18"/>
                <w:szCs w:val="18"/>
                <w:lang w:val="en-GB"/>
              </w:rPr>
              <w:t xml:space="preserve"> If for a generic medicine price study </w:t>
            </w:r>
            <w:r w:rsidR="00266560" w:rsidRPr="00923BE2">
              <w:rPr>
                <w:rFonts w:ascii="Arial" w:hAnsi="Arial" w:cs="Arial"/>
                <w:sz w:val="18"/>
                <w:szCs w:val="18"/>
                <w:lang w:val="en-GB"/>
              </w:rPr>
              <w:t xml:space="preserve">the lowest-priced generic is aimed to be identified, </w:t>
            </w:r>
            <w:r w:rsidRPr="00923BE2">
              <w:rPr>
                <w:rFonts w:ascii="Arial" w:hAnsi="Arial" w:cs="Arial"/>
                <w:sz w:val="18"/>
                <w:szCs w:val="18"/>
                <w:lang w:val="en-GB"/>
              </w:rPr>
              <w:t>a source that allows identifying, selecting and ranking available generic versions is preferred to manual data retrieval and manipulation. Similarly, the lack of filters for inclusion, or exclusion of, specific groups (non-reimbursed, non-prescription or non-marketed medicines) likely increases the working time to collect and process the data.</w:t>
            </w:r>
          </w:p>
        </w:tc>
        <w:tc>
          <w:tcPr>
            <w:tcW w:w="3969" w:type="dxa"/>
          </w:tcPr>
          <w:p w14:paraId="13AF174F" w14:textId="77777777" w:rsidR="0026598C" w:rsidRPr="00923BE2" w:rsidRDefault="0026598C" w:rsidP="0026598C">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How to proceed:</w:t>
            </w:r>
          </w:p>
          <w:p w14:paraId="3F1DF5CF" w14:textId="0174CE44" w:rsidR="0026598C" w:rsidRPr="00923BE2" w:rsidRDefault="0026598C" w:rsidP="0026598C">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 xml:space="preserve">Researchers </w:t>
            </w:r>
            <w:r w:rsidR="00BB700E" w:rsidRPr="00923BE2">
              <w:rPr>
                <w:rFonts w:ascii="Arial" w:hAnsi="Arial" w:cs="Arial"/>
                <w:sz w:val="18"/>
                <w:szCs w:val="18"/>
                <w:lang w:val="en-GB"/>
              </w:rPr>
              <w:t xml:space="preserve">should </w:t>
            </w:r>
            <w:r w:rsidR="00A37E05" w:rsidRPr="00923BE2">
              <w:rPr>
                <w:rFonts w:ascii="Arial" w:hAnsi="Arial" w:cs="Arial"/>
                <w:sz w:val="18"/>
                <w:szCs w:val="18"/>
                <w:lang w:val="en-GB"/>
              </w:rPr>
              <w:t>test the retrieval of the data (in freely accessible data sources or in a demo version)</w:t>
            </w:r>
            <w:r w:rsidR="00E26C5F" w:rsidRPr="00923BE2">
              <w:rPr>
                <w:rFonts w:ascii="Arial" w:hAnsi="Arial" w:cs="Arial"/>
                <w:sz w:val="18"/>
                <w:szCs w:val="18"/>
                <w:lang w:val="en-GB"/>
              </w:rPr>
              <w:t xml:space="preserve"> and, if data collection turns</w:t>
            </w:r>
            <w:r w:rsidR="003B1CB4" w:rsidRPr="00923BE2">
              <w:rPr>
                <w:rFonts w:ascii="Arial" w:hAnsi="Arial" w:cs="Arial"/>
                <w:sz w:val="18"/>
                <w:szCs w:val="18"/>
                <w:lang w:val="en-GB"/>
              </w:rPr>
              <w:t xml:space="preserve"> out to be cumbersome, plan sufficient time resources. Researchers can also </w:t>
            </w:r>
            <w:r w:rsidR="00DA643E" w:rsidRPr="00923BE2">
              <w:rPr>
                <w:rFonts w:ascii="Arial" w:hAnsi="Arial" w:cs="Arial"/>
                <w:sz w:val="18"/>
                <w:szCs w:val="18"/>
                <w:lang w:val="en-GB"/>
              </w:rPr>
              <w:t>address the data source providers and ask whether data could be provided in a more easy to handle solution (e.g. set of raw data that is fed in a web database).</w:t>
            </w:r>
          </w:p>
          <w:p w14:paraId="196CAFEA" w14:textId="752289EE" w:rsidR="0026598C" w:rsidRPr="00923BE2" w:rsidRDefault="0026598C" w:rsidP="009A61D5">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Checklist questions:</w:t>
            </w:r>
          </w:p>
          <w:p w14:paraId="67E5D2C5" w14:textId="0727174F"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Is the source electronically available?</w:t>
            </w:r>
          </w:p>
          <w:p w14:paraId="76D3C5A6" w14:textId="77777777"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Can the data be easily retrieved and transferred into a format required for further analyses?</w:t>
            </w:r>
          </w:p>
          <w:p w14:paraId="35527BB3" w14:textId="5F465970"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Does the source allow for the collection of several data points at one time, or do you have to retrieve each single data point separately?</w:t>
            </w:r>
          </w:p>
          <w:p w14:paraId="38604863" w14:textId="77777777"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How are data stored in the source, and how are stored data made accessible to the data collectors?</w:t>
            </w:r>
          </w:p>
        </w:tc>
      </w:tr>
      <w:tr w:rsidR="00BC66CE" w:rsidRPr="00CE3EB1" w14:paraId="658EE25F" w14:textId="77777777" w:rsidTr="009A61D5">
        <w:trPr>
          <w:cantSplit/>
        </w:trPr>
        <w:tc>
          <w:tcPr>
            <w:tcW w:w="1219" w:type="dxa"/>
          </w:tcPr>
          <w:p w14:paraId="1E6E089C" w14:textId="77777777" w:rsidR="00BC66CE" w:rsidRPr="00923BE2" w:rsidRDefault="00BC66CE" w:rsidP="003D6153">
            <w:pPr>
              <w:spacing w:before="40" w:after="40" w:line="240" w:lineRule="atLeast"/>
              <w:rPr>
                <w:rFonts w:ascii="Arial" w:hAnsi="Arial" w:cs="Arial"/>
                <w:sz w:val="18"/>
                <w:szCs w:val="18"/>
                <w:lang w:val="en-GB"/>
              </w:rPr>
            </w:pPr>
            <w:r w:rsidRPr="00923BE2">
              <w:rPr>
                <w:rFonts w:ascii="Arial" w:hAnsi="Arial" w:cs="Arial"/>
                <w:sz w:val="18"/>
                <w:szCs w:val="18"/>
                <w:lang w:val="en-GB"/>
              </w:rPr>
              <w:t>Additional information</w:t>
            </w:r>
          </w:p>
        </w:tc>
        <w:tc>
          <w:tcPr>
            <w:tcW w:w="1758" w:type="dxa"/>
          </w:tcPr>
          <w:p w14:paraId="7E4D0237" w14:textId="3F5E06A7" w:rsidR="00BC66CE" w:rsidRPr="00923BE2" w:rsidRDefault="00BC66CE" w:rsidP="00D1431C">
            <w:pPr>
              <w:spacing w:before="40" w:after="40" w:line="240" w:lineRule="atLeast"/>
              <w:rPr>
                <w:rFonts w:ascii="Arial" w:hAnsi="Arial" w:cs="Arial"/>
                <w:sz w:val="18"/>
                <w:szCs w:val="18"/>
                <w:lang w:val="en-GB"/>
              </w:rPr>
            </w:pPr>
            <w:r w:rsidRPr="00923BE2">
              <w:rPr>
                <w:rFonts w:ascii="Arial" w:hAnsi="Arial" w:cs="Arial"/>
                <w:sz w:val="18"/>
                <w:szCs w:val="18"/>
                <w:lang w:val="en-GB"/>
              </w:rPr>
              <w:t>If further (not price–related) information about the studied medicines is required, its provision in a data source might be beneficial.</w:t>
            </w:r>
          </w:p>
        </w:tc>
        <w:tc>
          <w:tcPr>
            <w:tcW w:w="6946" w:type="dxa"/>
          </w:tcPr>
          <w:p w14:paraId="0593A506" w14:textId="1F63D5F7" w:rsidR="001B07C6" w:rsidRPr="00923BE2" w:rsidRDefault="001B07C6" w:rsidP="0033551F">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Summary:</w:t>
            </w:r>
            <w:r w:rsidRPr="00923BE2">
              <w:rPr>
                <w:rFonts w:ascii="Arial" w:hAnsi="Arial" w:cs="Arial"/>
                <w:sz w:val="18"/>
                <w:szCs w:val="18"/>
                <w:lang w:val="en-GB"/>
              </w:rPr>
              <w:t xml:space="preserve"> </w:t>
            </w:r>
            <w:r w:rsidR="009166CB" w:rsidRPr="00923BE2">
              <w:rPr>
                <w:rFonts w:ascii="Arial" w:hAnsi="Arial" w:cs="Arial"/>
                <w:sz w:val="18"/>
                <w:szCs w:val="18"/>
                <w:lang w:val="en-GB"/>
              </w:rPr>
              <w:t>For a price study, further information about the medicines (e.g. their reimbursement and/or prescription status, dispensing rules, prescribing prerequisites) can be helpful and is, in some cases, essential.</w:t>
            </w:r>
          </w:p>
          <w:p w14:paraId="12B43908" w14:textId="740A305E" w:rsidR="001B07C6" w:rsidRPr="00923BE2" w:rsidRDefault="001B07C6" w:rsidP="009A61D5">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Key considerations:</w:t>
            </w:r>
          </w:p>
          <w:p w14:paraId="2E29C1DD" w14:textId="0E6CA025" w:rsidR="00BC66CE" w:rsidRPr="00923BE2" w:rsidRDefault="009166CB" w:rsidP="0033551F">
            <w:pPr>
              <w:spacing w:before="40" w:after="40" w:line="240" w:lineRule="atLeast"/>
              <w:rPr>
                <w:rFonts w:ascii="Arial" w:hAnsi="Arial" w:cs="Arial"/>
                <w:sz w:val="18"/>
                <w:szCs w:val="18"/>
                <w:lang w:val="en-GB"/>
              </w:rPr>
            </w:pPr>
            <w:r w:rsidRPr="00923BE2">
              <w:rPr>
                <w:rFonts w:ascii="Arial" w:hAnsi="Arial" w:cs="Arial"/>
                <w:sz w:val="18"/>
                <w:szCs w:val="18"/>
                <w:lang w:val="en-GB"/>
              </w:rPr>
              <w:t>Research might be focused on specific market segments such as the reimbursement, outpatient or prescription-only medicines sectors, and features that help identify medicines of defined sectors is appreciated. Further needed data might be volume data if price indices are planned, for instance. If such data are required for research, their provision in the identified data source is an appreciated supporting service.</w:t>
            </w:r>
          </w:p>
        </w:tc>
        <w:tc>
          <w:tcPr>
            <w:tcW w:w="3969" w:type="dxa"/>
          </w:tcPr>
          <w:p w14:paraId="14183C80" w14:textId="77777777" w:rsidR="001B07C6" w:rsidRPr="00923BE2" w:rsidRDefault="001B07C6" w:rsidP="001B07C6">
            <w:pPr>
              <w:keepNext/>
              <w:keepLines/>
              <w:spacing w:before="40" w:after="40" w:line="240" w:lineRule="atLeast"/>
              <w:outlineLvl w:val="1"/>
              <w:rPr>
                <w:rFonts w:ascii="Arial" w:hAnsi="Arial" w:cs="Arial"/>
                <w:sz w:val="18"/>
                <w:szCs w:val="18"/>
                <w:u w:val="single"/>
                <w:lang w:val="en-GB"/>
              </w:rPr>
            </w:pPr>
            <w:r w:rsidRPr="00923BE2">
              <w:rPr>
                <w:rFonts w:ascii="Arial" w:hAnsi="Arial" w:cs="Arial"/>
                <w:sz w:val="18"/>
                <w:szCs w:val="18"/>
                <w:u w:val="single"/>
                <w:lang w:val="en-GB"/>
              </w:rPr>
              <w:t>How to proceed:</w:t>
            </w:r>
          </w:p>
          <w:p w14:paraId="00D5C342" w14:textId="2D2A86C7" w:rsidR="001B07C6" w:rsidRPr="00923BE2" w:rsidRDefault="001B07C6" w:rsidP="001B07C6">
            <w:pPr>
              <w:keepNext/>
              <w:keepLines/>
              <w:spacing w:before="40" w:after="40" w:line="240" w:lineRule="atLeast"/>
              <w:outlineLvl w:val="1"/>
              <w:rPr>
                <w:rFonts w:ascii="Arial" w:hAnsi="Arial" w:cs="Arial"/>
                <w:sz w:val="18"/>
                <w:szCs w:val="18"/>
                <w:lang w:val="en-GB"/>
              </w:rPr>
            </w:pPr>
            <w:r w:rsidRPr="00923BE2">
              <w:rPr>
                <w:rFonts w:ascii="Arial" w:hAnsi="Arial" w:cs="Arial"/>
                <w:sz w:val="18"/>
                <w:szCs w:val="18"/>
                <w:lang w:val="en-GB"/>
              </w:rPr>
              <w:t>Researchers should identify in their study protocol possible additional data that they may need.</w:t>
            </w:r>
          </w:p>
          <w:p w14:paraId="6C5134FE" w14:textId="502F16B4" w:rsidR="001B07C6" w:rsidRPr="00923BE2" w:rsidRDefault="001B07C6" w:rsidP="009A61D5">
            <w:pPr>
              <w:spacing w:before="40" w:after="40" w:line="240" w:lineRule="atLeast"/>
              <w:rPr>
                <w:rFonts w:ascii="Arial" w:hAnsi="Arial" w:cs="Arial"/>
                <w:sz w:val="18"/>
                <w:szCs w:val="18"/>
                <w:lang w:val="en-GB"/>
              </w:rPr>
            </w:pPr>
            <w:r w:rsidRPr="00923BE2">
              <w:rPr>
                <w:rFonts w:ascii="Arial" w:hAnsi="Arial" w:cs="Arial"/>
                <w:sz w:val="18"/>
                <w:szCs w:val="18"/>
                <w:u w:val="single"/>
                <w:lang w:val="en-GB"/>
              </w:rPr>
              <w:t>Checklist questions:</w:t>
            </w:r>
          </w:p>
          <w:p w14:paraId="6B5AE500" w14:textId="395C8A13" w:rsidR="00BC66CE" w:rsidRPr="00923BE2" w:rsidRDefault="00BC66CE" w:rsidP="003D6153">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Which additional information is provided by the source?</w:t>
            </w:r>
          </w:p>
          <w:p w14:paraId="192618B7" w14:textId="1499FA37" w:rsidR="00BC66CE" w:rsidRPr="00923BE2" w:rsidRDefault="00BC66CE" w:rsidP="00CD2352">
            <w:pPr>
              <w:pStyle w:val="ListParagraph"/>
              <w:numPr>
                <w:ilvl w:val="0"/>
                <w:numId w:val="3"/>
              </w:numPr>
              <w:spacing w:before="40" w:after="40" w:line="240" w:lineRule="atLeast"/>
              <w:ind w:left="113" w:hanging="113"/>
              <w:contextualSpacing w:val="0"/>
              <w:rPr>
                <w:rFonts w:ascii="Arial" w:hAnsi="Arial" w:cs="Arial"/>
                <w:sz w:val="18"/>
                <w:szCs w:val="18"/>
                <w:lang w:val="en-GB"/>
              </w:rPr>
            </w:pPr>
            <w:r w:rsidRPr="00923BE2">
              <w:rPr>
                <w:rFonts w:ascii="Arial" w:hAnsi="Arial" w:cs="Arial"/>
                <w:sz w:val="18"/>
                <w:szCs w:val="18"/>
                <w:lang w:val="en-GB"/>
              </w:rPr>
              <w:t>Are there pieces of additional information essential for the research question?</w:t>
            </w:r>
          </w:p>
        </w:tc>
        <w:bookmarkStart w:id="0" w:name="_GoBack"/>
        <w:bookmarkEnd w:id="0"/>
      </w:tr>
    </w:tbl>
    <w:p w14:paraId="358F31B3" w14:textId="77777777" w:rsidR="0079074B" w:rsidRDefault="0079074B" w:rsidP="0079074B">
      <w:pPr>
        <w:spacing w:line="480" w:lineRule="auto"/>
        <w:jc w:val="both"/>
        <w:rPr>
          <w:rFonts w:ascii="Arial" w:hAnsi="Arial" w:cs="Arial"/>
          <w:lang w:val="en-GB"/>
        </w:rPr>
      </w:pPr>
    </w:p>
    <w:sectPr w:rsidR="0079074B" w:rsidSect="00BC66CE">
      <w:footerReference w:type="even" r:id="rId14"/>
      <w:footerReference w:type="default" r:id="rId15"/>
      <w:pgSz w:w="16840" w:h="11900" w:orient="landscape"/>
      <w:pgMar w:top="1417" w:right="1417" w:bottom="1417" w:left="1134"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5B835" w14:textId="77777777" w:rsidR="00F7503C" w:rsidRDefault="00F7503C" w:rsidP="00405C43">
      <w:r>
        <w:separator/>
      </w:r>
    </w:p>
  </w:endnote>
  <w:endnote w:type="continuationSeparator" w:id="0">
    <w:p w14:paraId="6B3276CD" w14:textId="77777777" w:rsidR="00F7503C" w:rsidRDefault="00F7503C" w:rsidP="0040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5B81D" w14:textId="77777777" w:rsidR="00B55D40" w:rsidRDefault="00B55D40" w:rsidP="00405C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1D92CF" w14:textId="77777777" w:rsidR="00B55D40" w:rsidRDefault="00B55D40" w:rsidP="00405C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00463" w14:textId="77777777" w:rsidR="00B55D40" w:rsidRDefault="00B55D40" w:rsidP="00405C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B3588">
      <w:rPr>
        <w:rStyle w:val="PageNumber"/>
        <w:noProof/>
      </w:rPr>
      <w:t>1</w:t>
    </w:r>
    <w:r>
      <w:rPr>
        <w:rStyle w:val="PageNumber"/>
      </w:rPr>
      <w:fldChar w:fldCharType="end"/>
    </w:r>
  </w:p>
  <w:p w14:paraId="736ECD1F" w14:textId="77777777" w:rsidR="00B55D40" w:rsidRDefault="00B55D40" w:rsidP="00405C4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9D9BA" w14:textId="77777777" w:rsidR="00F7503C" w:rsidRDefault="00F7503C" w:rsidP="00405C43">
      <w:r>
        <w:separator/>
      </w:r>
    </w:p>
  </w:footnote>
  <w:footnote w:type="continuationSeparator" w:id="0">
    <w:p w14:paraId="513D4604" w14:textId="77777777" w:rsidR="00F7503C" w:rsidRDefault="00F7503C" w:rsidP="0040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26FCB"/>
    <w:multiLevelType w:val="hybridMultilevel"/>
    <w:tmpl w:val="D6CA7FE8"/>
    <w:lvl w:ilvl="0" w:tplc="B9C8AAF4">
      <w:start w:val="7"/>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3503C0"/>
    <w:multiLevelType w:val="hybridMultilevel"/>
    <w:tmpl w:val="FA24E2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675624"/>
    <w:multiLevelType w:val="hybridMultilevel"/>
    <w:tmpl w:val="C5E46E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0EB2A95"/>
    <w:multiLevelType w:val="hybridMultilevel"/>
    <w:tmpl w:val="EFB23BA8"/>
    <w:lvl w:ilvl="0" w:tplc="8F60BD5C">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f0t5dev99srvmesvd5pesexdevstpdasexz&quot;&gt;Pharma_SV&lt;record-ids&gt;&lt;item&gt;44&lt;/item&gt;&lt;item&gt;164&lt;/item&gt;&lt;item&gt;177&lt;/item&gt;&lt;item&gt;224&lt;/item&gt;&lt;item&gt;227&lt;/item&gt;&lt;item&gt;657&lt;/item&gt;&lt;item&gt;764&lt;/item&gt;&lt;item&gt;1013&lt;/item&gt;&lt;item&gt;1585&lt;/item&gt;&lt;item&gt;1749&lt;/item&gt;&lt;item&gt;2228&lt;/item&gt;&lt;item&gt;2230&lt;/item&gt;&lt;item&gt;2231&lt;/item&gt;&lt;/record-ids&gt;&lt;/item&gt;&lt;item db-id=&quot;wsp959v28rp2t6ez52svpxsozf50avfefepv&quot;&gt;BookPrices_Textierung&lt;record-ids&gt;&lt;item&gt;3&lt;/item&gt;&lt;item&gt;6&lt;/item&gt;&lt;item&gt;20&lt;/item&gt;&lt;item&gt;21&lt;/item&gt;&lt;item&gt;22&lt;/item&gt;&lt;item&gt;24&lt;/item&gt;&lt;item&gt;25&lt;/item&gt;&lt;item&gt;32&lt;/item&gt;&lt;item&gt;48&lt;/item&gt;&lt;item&gt;49&lt;/item&gt;&lt;item&gt;52&lt;/item&gt;&lt;item&gt;53&lt;/item&gt;&lt;/record-ids&gt;&lt;/item&gt;&lt;/Libraries&gt;"/>
  </w:docVars>
  <w:rsids>
    <w:rsidRoot w:val="005C1C28"/>
    <w:rsid w:val="00001D4D"/>
    <w:rsid w:val="0000218B"/>
    <w:rsid w:val="00004C3B"/>
    <w:rsid w:val="00004DD3"/>
    <w:rsid w:val="000054BE"/>
    <w:rsid w:val="00005EAE"/>
    <w:rsid w:val="000064BB"/>
    <w:rsid w:val="00006616"/>
    <w:rsid w:val="00007E71"/>
    <w:rsid w:val="000107B5"/>
    <w:rsid w:val="000108A6"/>
    <w:rsid w:val="00011137"/>
    <w:rsid w:val="0001160C"/>
    <w:rsid w:val="00011940"/>
    <w:rsid w:val="00012D20"/>
    <w:rsid w:val="00014086"/>
    <w:rsid w:val="000166E8"/>
    <w:rsid w:val="00017902"/>
    <w:rsid w:val="00017DE9"/>
    <w:rsid w:val="00020DA8"/>
    <w:rsid w:val="00021325"/>
    <w:rsid w:val="0002182E"/>
    <w:rsid w:val="00022D04"/>
    <w:rsid w:val="000266C9"/>
    <w:rsid w:val="00030206"/>
    <w:rsid w:val="000316A2"/>
    <w:rsid w:val="000340C0"/>
    <w:rsid w:val="00037C66"/>
    <w:rsid w:val="00041C6B"/>
    <w:rsid w:val="00041D6D"/>
    <w:rsid w:val="00041E5A"/>
    <w:rsid w:val="00042F9D"/>
    <w:rsid w:val="00043376"/>
    <w:rsid w:val="000452CA"/>
    <w:rsid w:val="000459CB"/>
    <w:rsid w:val="00050CBA"/>
    <w:rsid w:val="00054E81"/>
    <w:rsid w:val="00056DFA"/>
    <w:rsid w:val="00056F0F"/>
    <w:rsid w:val="00057667"/>
    <w:rsid w:val="000577AE"/>
    <w:rsid w:val="0006072D"/>
    <w:rsid w:val="00063650"/>
    <w:rsid w:val="000654A6"/>
    <w:rsid w:val="00065DC5"/>
    <w:rsid w:val="00066010"/>
    <w:rsid w:val="000664A3"/>
    <w:rsid w:val="00067E72"/>
    <w:rsid w:val="0007146F"/>
    <w:rsid w:val="00071790"/>
    <w:rsid w:val="00073DFA"/>
    <w:rsid w:val="000741F9"/>
    <w:rsid w:val="0007421B"/>
    <w:rsid w:val="00080CA2"/>
    <w:rsid w:val="00081717"/>
    <w:rsid w:val="00086413"/>
    <w:rsid w:val="00086C87"/>
    <w:rsid w:val="000873B7"/>
    <w:rsid w:val="000901A5"/>
    <w:rsid w:val="000902DB"/>
    <w:rsid w:val="00091553"/>
    <w:rsid w:val="000942FA"/>
    <w:rsid w:val="00094B77"/>
    <w:rsid w:val="00094E52"/>
    <w:rsid w:val="000951D8"/>
    <w:rsid w:val="00095EEE"/>
    <w:rsid w:val="00096146"/>
    <w:rsid w:val="0009649B"/>
    <w:rsid w:val="000A17DC"/>
    <w:rsid w:val="000A1C1B"/>
    <w:rsid w:val="000A24DB"/>
    <w:rsid w:val="000A39A8"/>
    <w:rsid w:val="000A486E"/>
    <w:rsid w:val="000A4E56"/>
    <w:rsid w:val="000A521B"/>
    <w:rsid w:val="000A61A5"/>
    <w:rsid w:val="000B0054"/>
    <w:rsid w:val="000B0E83"/>
    <w:rsid w:val="000B1A0A"/>
    <w:rsid w:val="000B28F4"/>
    <w:rsid w:val="000B423B"/>
    <w:rsid w:val="000B67BA"/>
    <w:rsid w:val="000C0B01"/>
    <w:rsid w:val="000C7056"/>
    <w:rsid w:val="000C7B7B"/>
    <w:rsid w:val="000C7D5C"/>
    <w:rsid w:val="000D1C25"/>
    <w:rsid w:val="000D288E"/>
    <w:rsid w:val="000D3495"/>
    <w:rsid w:val="000D3ABB"/>
    <w:rsid w:val="000D457B"/>
    <w:rsid w:val="000D50E9"/>
    <w:rsid w:val="000D5339"/>
    <w:rsid w:val="000D5558"/>
    <w:rsid w:val="000D66AB"/>
    <w:rsid w:val="000D78ED"/>
    <w:rsid w:val="000E05EA"/>
    <w:rsid w:val="000E0C99"/>
    <w:rsid w:val="000E55D4"/>
    <w:rsid w:val="000E5804"/>
    <w:rsid w:val="000E6CEE"/>
    <w:rsid w:val="000E6E85"/>
    <w:rsid w:val="000F142E"/>
    <w:rsid w:val="000F1691"/>
    <w:rsid w:val="000F1BDF"/>
    <w:rsid w:val="000F21C0"/>
    <w:rsid w:val="000F47A5"/>
    <w:rsid w:val="000F53F6"/>
    <w:rsid w:val="000F653B"/>
    <w:rsid w:val="001012B4"/>
    <w:rsid w:val="00102D38"/>
    <w:rsid w:val="001076E0"/>
    <w:rsid w:val="00113AE5"/>
    <w:rsid w:val="00114B92"/>
    <w:rsid w:val="00116B16"/>
    <w:rsid w:val="00122C17"/>
    <w:rsid w:val="00123CE1"/>
    <w:rsid w:val="00124B7E"/>
    <w:rsid w:val="0012735B"/>
    <w:rsid w:val="00131D0A"/>
    <w:rsid w:val="0013407E"/>
    <w:rsid w:val="00134384"/>
    <w:rsid w:val="00134D26"/>
    <w:rsid w:val="0013544C"/>
    <w:rsid w:val="00135A81"/>
    <w:rsid w:val="00137EAD"/>
    <w:rsid w:val="00141388"/>
    <w:rsid w:val="00142303"/>
    <w:rsid w:val="00142BAC"/>
    <w:rsid w:val="00146C2A"/>
    <w:rsid w:val="00150E5F"/>
    <w:rsid w:val="00152A7A"/>
    <w:rsid w:val="00152A7C"/>
    <w:rsid w:val="001537B2"/>
    <w:rsid w:val="00160181"/>
    <w:rsid w:val="00161E3F"/>
    <w:rsid w:val="00164014"/>
    <w:rsid w:val="00165960"/>
    <w:rsid w:val="001703BA"/>
    <w:rsid w:val="00170BFE"/>
    <w:rsid w:val="00171B41"/>
    <w:rsid w:val="00173B58"/>
    <w:rsid w:val="0017455E"/>
    <w:rsid w:val="00180DEB"/>
    <w:rsid w:val="001820C1"/>
    <w:rsid w:val="001836F8"/>
    <w:rsid w:val="00187A7C"/>
    <w:rsid w:val="00194752"/>
    <w:rsid w:val="00197758"/>
    <w:rsid w:val="001A07B3"/>
    <w:rsid w:val="001A0FF0"/>
    <w:rsid w:val="001A1F3E"/>
    <w:rsid w:val="001A24F4"/>
    <w:rsid w:val="001A3BB3"/>
    <w:rsid w:val="001A3CFE"/>
    <w:rsid w:val="001A5812"/>
    <w:rsid w:val="001B0708"/>
    <w:rsid w:val="001B07C6"/>
    <w:rsid w:val="001B288D"/>
    <w:rsid w:val="001B4AC6"/>
    <w:rsid w:val="001B639F"/>
    <w:rsid w:val="001B68D5"/>
    <w:rsid w:val="001C3B1C"/>
    <w:rsid w:val="001C4927"/>
    <w:rsid w:val="001C780C"/>
    <w:rsid w:val="001D1370"/>
    <w:rsid w:val="001D1C85"/>
    <w:rsid w:val="001D41C5"/>
    <w:rsid w:val="001D50C5"/>
    <w:rsid w:val="001D764B"/>
    <w:rsid w:val="001E2EB0"/>
    <w:rsid w:val="001E3D80"/>
    <w:rsid w:val="001E51DE"/>
    <w:rsid w:val="001E6C71"/>
    <w:rsid w:val="001E7189"/>
    <w:rsid w:val="001E718F"/>
    <w:rsid w:val="001E7E15"/>
    <w:rsid w:val="001E7E2A"/>
    <w:rsid w:val="001F001D"/>
    <w:rsid w:val="001F01F7"/>
    <w:rsid w:val="001F0838"/>
    <w:rsid w:val="001F0D92"/>
    <w:rsid w:val="001F380D"/>
    <w:rsid w:val="001F6033"/>
    <w:rsid w:val="001F73BD"/>
    <w:rsid w:val="001F7631"/>
    <w:rsid w:val="001F7C5C"/>
    <w:rsid w:val="002044B0"/>
    <w:rsid w:val="00204A63"/>
    <w:rsid w:val="002058FC"/>
    <w:rsid w:val="00207F42"/>
    <w:rsid w:val="0021011D"/>
    <w:rsid w:val="002114FD"/>
    <w:rsid w:val="00211CF1"/>
    <w:rsid w:val="00213464"/>
    <w:rsid w:val="002141A4"/>
    <w:rsid w:val="00214263"/>
    <w:rsid w:val="0021566E"/>
    <w:rsid w:val="00217514"/>
    <w:rsid w:val="00220E01"/>
    <w:rsid w:val="002213BE"/>
    <w:rsid w:val="00224AB8"/>
    <w:rsid w:val="00226CA0"/>
    <w:rsid w:val="00226FFC"/>
    <w:rsid w:val="00234564"/>
    <w:rsid w:val="00236C59"/>
    <w:rsid w:val="00240099"/>
    <w:rsid w:val="002402A1"/>
    <w:rsid w:val="002412B7"/>
    <w:rsid w:val="00244580"/>
    <w:rsid w:val="00244A0C"/>
    <w:rsid w:val="0024563F"/>
    <w:rsid w:val="00253A75"/>
    <w:rsid w:val="002545A1"/>
    <w:rsid w:val="00255AC9"/>
    <w:rsid w:val="00255DF6"/>
    <w:rsid w:val="0025700D"/>
    <w:rsid w:val="00257DFC"/>
    <w:rsid w:val="00257FC2"/>
    <w:rsid w:val="00260040"/>
    <w:rsid w:val="00260A11"/>
    <w:rsid w:val="00262215"/>
    <w:rsid w:val="002630AC"/>
    <w:rsid w:val="00263D42"/>
    <w:rsid w:val="0026598C"/>
    <w:rsid w:val="0026604E"/>
    <w:rsid w:val="00266560"/>
    <w:rsid w:val="00271ECA"/>
    <w:rsid w:val="0027484F"/>
    <w:rsid w:val="0027533F"/>
    <w:rsid w:val="002753BB"/>
    <w:rsid w:val="00277D9B"/>
    <w:rsid w:val="0028103E"/>
    <w:rsid w:val="00282B09"/>
    <w:rsid w:val="00283237"/>
    <w:rsid w:val="002839AB"/>
    <w:rsid w:val="00284E59"/>
    <w:rsid w:val="0028560F"/>
    <w:rsid w:val="0028676A"/>
    <w:rsid w:val="00286ED2"/>
    <w:rsid w:val="00287DEF"/>
    <w:rsid w:val="00290693"/>
    <w:rsid w:val="00290DA6"/>
    <w:rsid w:val="002927A3"/>
    <w:rsid w:val="00292A50"/>
    <w:rsid w:val="002953C7"/>
    <w:rsid w:val="00296B29"/>
    <w:rsid w:val="002A18CD"/>
    <w:rsid w:val="002A2976"/>
    <w:rsid w:val="002A3353"/>
    <w:rsid w:val="002A348D"/>
    <w:rsid w:val="002A6312"/>
    <w:rsid w:val="002B0E08"/>
    <w:rsid w:val="002B24AA"/>
    <w:rsid w:val="002B2B25"/>
    <w:rsid w:val="002B2C5A"/>
    <w:rsid w:val="002B2D62"/>
    <w:rsid w:val="002B494D"/>
    <w:rsid w:val="002B7296"/>
    <w:rsid w:val="002B7A37"/>
    <w:rsid w:val="002C0A34"/>
    <w:rsid w:val="002C1359"/>
    <w:rsid w:val="002C2C01"/>
    <w:rsid w:val="002C44F0"/>
    <w:rsid w:val="002C53A6"/>
    <w:rsid w:val="002C7E57"/>
    <w:rsid w:val="002C7E98"/>
    <w:rsid w:val="002D4EB0"/>
    <w:rsid w:val="002D6779"/>
    <w:rsid w:val="002E57CF"/>
    <w:rsid w:val="002E6F1D"/>
    <w:rsid w:val="002F105F"/>
    <w:rsid w:val="002F1407"/>
    <w:rsid w:val="002F2009"/>
    <w:rsid w:val="002F433C"/>
    <w:rsid w:val="002F7478"/>
    <w:rsid w:val="002F7AD2"/>
    <w:rsid w:val="003004F0"/>
    <w:rsid w:val="00300F32"/>
    <w:rsid w:val="003015FA"/>
    <w:rsid w:val="003045E4"/>
    <w:rsid w:val="00304D14"/>
    <w:rsid w:val="00306E15"/>
    <w:rsid w:val="0031181A"/>
    <w:rsid w:val="003129C6"/>
    <w:rsid w:val="00313F53"/>
    <w:rsid w:val="00316662"/>
    <w:rsid w:val="00316BC2"/>
    <w:rsid w:val="00320AAD"/>
    <w:rsid w:val="00323392"/>
    <w:rsid w:val="00327751"/>
    <w:rsid w:val="00330FF5"/>
    <w:rsid w:val="00333B34"/>
    <w:rsid w:val="0033551F"/>
    <w:rsid w:val="0033604E"/>
    <w:rsid w:val="00340270"/>
    <w:rsid w:val="003408B9"/>
    <w:rsid w:val="00340C35"/>
    <w:rsid w:val="00341F3F"/>
    <w:rsid w:val="00342F83"/>
    <w:rsid w:val="00343FA5"/>
    <w:rsid w:val="00343FED"/>
    <w:rsid w:val="00344593"/>
    <w:rsid w:val="003463AE"/>
    <w:rsid w:val="00346B81"/>
    <w:rsid w:val="0034753B"/>
    <w:rsid w:val="00352F9B"/>
    <w:rsid w:val="00354048"/>
    <w:rsid w:val="0035459C"/>
    <w:rsid w:val="0035478B"/>
    <w:rsid w:val="0035672A"/>
    <w:rsid w:val="0036216B"/>
    <w:rsid w:val="00363DEB"/>
    <w:rsid w:val="003646AB"/>
    <w:rsid w:val="00365A44"/>
    <w:rsid w:val="00370E24"/>
    <w:rsid w:val="00370EDE"/>
    <w:rsid w:val="00371010"/>
    <w:rsid w:val="00374AA9"/>
    <w:rsid w:val="00374AE9"/>
    <w:rsid w:val="00374E7D"/>
    <w:rsid w:val="003800B6"/>
    <w:rsid w:val="00382DEA"/>
    <w:rsid w:val="00382E90"/>
    <w:rsid w:val="0038488E"/>
    <w:rsid w:val="003878D1"/>
    <w:rsid w:val="00390BEE"/>
    <w:rsid w:val="00391824"/>
    <w:rsid w:val="00391839"/>
    <w:rsid w:val="00392EE1"/>
    <w:rsid w:val="00397197"/>
    <w:rsid w:val="00397905"/>
    <w:rsid w:val="00397A0D"/>
    <w:rsid w:val="003A053C"/>
    <w:rsid w:val="003A1A3D"/>
    <w:rsid w:val="003A1A4E"/>
    <w:rsid w:val="003A25C1"/>
    <w:rsid w:val="003A3994"/>
    <w:rsid w:val="003A6B6B"/>
    <w:rsid w:val="003A6BB4"/>
    <w:rsid w:val="003B085D"/>
    <w:rsid w:val="003B1CB4"/>
    <w:rsid w:val="003B1DE4"/>
    <w:rsid w:val="003B338B"/>
    <w:rsid w:val="003B4727"/>
    <w:rsid w:val="003B69C1"/>
    <w:rsid w:val="003B6FE0"/>
    <w:rsid w:val="003B7AEE"/>
    <w:rsid w:val="003C0FC1"/>
    <w:rsid w:val="003C3759"/>
    <w:rsid w:val="003C4A67"/>
    <w:rsid w:val="003C4C12"/>
    <w:rsid w:val="003C689E"/>
    <w:rsid w:val="003C6FD8"/>
    <w:rsid w:val="003D2D3F"/>
    <w:rsid w:val="003D469B"/>
    <w:rsid w:val="003D46B8"/>
    <w:rsid w:val="003D5592"/>
    <w:rsid w:val="003D6153"/>
    <w:rsid w:val="003D68C9"/>
    <w:rsid w:val="003E1FD3"/>
    <w:rsid w:val="003E2961"/>
    <w:rsid w:val="003E5453"/>
    <w:rsid w:val="003E5FB3"/>
    <w:rsid w:val="003E69C6"/>
    <w:rsid w:val="003F1C58"/>
    <w:rsid w:val="003F2D13"/>
    <w:rsid w:val="003F6034"/>
    <w:rsid w:val="003F645F"/>
    <w:rsid w:val="003F6F01"/>
    <w:rsid w:val="003F79CD"/>
    <w:rsid w:val="003F7AB5"/>
    <w:rsid w:val="00400B3E"/>
    <w:rsid w:val="00401B78"/>
    <w:rsid w:val="0040454C"/>
    <w:rsid w:val="00405C43"/>
    <w:rsid w:val="00406266"/>
    <w:rsid w:val="00406869"/>
    <w:rsid w:val="004105A6"/>
    <w:rsid w:val="00410C2A"/>
    <w:rsid w:val="00414F7F"/>
    <w:rsid w:val="00423264"/>
    <w:rsid w:val="004240C2"/>
    <w:rsid w:val="00425479"/>
    <w:rsid w:val="0042751C"/>
    <w:rsid w:val="0043118B"/>
    <w:rsid w:val="00436A29"/>
    <w:rsid w:val="00437E07"/>
    <w:rsid w:val="00437E2F"/>
    <w:rsid w:val="00442B08"/>
    <w:rsid w:val="004434C7"/>
    <w:rsid w:val="00443DD1"/>
    <w:rsid w:val="004454EF"/>
    <w:rsid w:val="0044597C"/>
    <w:rsid w:val="00445B83"/>
    <w:rsid w:val="0044639E"/>
    <w:rsid w:val="004477D8"/>
    <w:rsid w:val="004515C0"/>
    <w:rsid w:val="00455C72"/>
    <w:rsid w:val="00456914"/>
    <w:rsid w:val="00457534"/>
    <w:rsid w:val="0046085D"/>
    <w:rsid w:val="004617E1"/>
    <w:rsid w:val="0046462B"/>
    <w:rsid w:val="00465372"/>
    <w:rsid w:val="00466528"/>
    <w:rsid w:val="00467F09"/>
    <w:rsid w:val="0047182C"/>
    <w:rsid w:val="0047593D"/>
    <w:rsid w:val="004765A4"/>
    <w:rsid w:val="00480137"/>
    <w:rsid w:val="0048082F"/>
    <w:rsid w:val="00482FC9"/>
    <w:rsid w:val="00483CDB"/>
    <w:rsid w:val="0049009B"/>
    <w:rsid w:val="00494D8D"/>
    <w:rsid w:val="004A0555"/>
    <w:rsid w:val="004A1AD3"/>
    <w:rsid w:val="004A5B3C"/>
    <w:rsid w:val="004B0744"/>
    <w:rsid w:val="004B1FD2"/>
    <w:rsid w:val="004B27FF"/>
    <w:rsid w:val="004B4367"/>
    <w:rsid w:val="004B4C59"/>
    <w:rsid w:val="004B4D24"/>
    <w:rsid w:val="004B5122"/>
    <w:rsid w:val="004B5232"/>
    <w:rsid w:val="004B55D3"/>
    <w:rsid w:val="004B5B53"/>
    <w:rsid w:val="004D0083"/>
    <w:rsid w:val="004D0F7C"/>
    <w:rsid w:val="004D2598"/>
    <w:rsid w:val="004D2663"/>
    <w:rsid w:val="004D2938"/>
    <w:rsid w:val="004E4293"/>
    <w:rsid w:val="004E5247"/>
    <w:rsid w:val="004E773D"/>
    <w:rsid w:val="004F0117"/>
    <w:rsid w:val="004F153D"/>
    <w:rsid w:val="004F4FAD"/>
    <w:rsid w:val="004F6A40"/>
    <w:rsid w:val="004F6DD7"/>
    <w:rsid w:val="00503689"/>
    <w:rsid w:val="005046A9"/>
    <w:rsid w:val="005065FC"/>
    <w:rsid w:val="005108BA"/>
    <w:rsid w:val="005108CC"/>
    <w:rsid w:val="00511473"/>
    <w:rsid w:val="00511997"/>
    <w:rsid w:val="00513A6A"/>
    <w:rsid w:val="00515A5C"/>
    <w:rsid w:val="00525A28"/>
    <w:rsid w:val="0052772B"/>
    <w:rsid w:val="00530676"/>
    <w:rsid w:val="0053117A"/>
    <w:rsid w:val="00533954"/>
    <w:rsid w:val="0054045D"/>
    <w:rsid w:val="00543CFC"/>
    <w:rsid w:val="0054487D"/>
    <w:rsid w:val="0054624A"/>
    <w:rsid w:val="005473B4"/>
    <w:rsid w:val="00550B3F"/>
    <w:rsid w:val="00551683"/>
    <w:rsid w:val="00553D12"/>
    <w:rsid w:val="005553C9"/>
    <w:rsid w:val="00556F56"/>
    <w:rsid w:val="0055765C"/>
    <w:rsid w:val="00560F6D"/>
    <w:rsid w:val="005613FE"/>
    <w:rsid w:val="005617FB"/>
    <w:rsid w:val="00565CED"/>
    <w:rsid w:val="00567FAD"/>
    <w:rsid w:val="005728AF"/>
    <w:rsid w:val="00574411"/>
    <w:rsid w:val="00575836"/>
    <w:rsid w:val="00577C45"/>
    <w:rsid w:val="00580F7C"/>
    <w:rsid w:val="00581E09"/>
    <w:rsid w:val="005825DA"/>
    <w:rsid w:val="00584AE5"/>
    <w:rsid w:val="0058610F"/>
    <w:rsid w:val="00586971"/>
    <w:rsid w:val="00587A73"/>
    <w:rsid w:val="005905FF"/>
    <w:rsid w:val="005910F8"/>
    <w:rsid w:val="005932D4"/>
    <w:rsid w:val="0059335E"/>
    <w:rsid w:val="0059393D"/>
    <w:rsid w:val="00595C0A"/>
    <w:rsid w:val="00596287"/>
    <w:rsid w:val="005A1634"/>
    <w:rsid w:val="005A3274"/>
    <w:rsid w:val="005A4020"/>
    <w:rsid w:val="005A44BA"/>
    <w:rsid w:val="005B0985"/>
    <w:rsid w:val="005B41CC"/>
    <w:rsid w:val="005B532D"/>
    <w:rsid w:val="005C1C28"/>
    <w:rsid w:val="005D1AEB"/>
    <w:rsid w:val="005E175D"/>
    <w:rsid w:val="005E39E7"/>
    <w:rsid w:val="005E3B2C"/>
    <w:rsid w:val="005E4936"/>
    <w:rsid w:val="005F00AB"/>
    <w:rsid w:val="005F04F5"/>
    <w:rsid w:val="005F2B74"/>
    <w:rsid w:val="005F35B3"/>
    <w:rsid w:val="005F3788"/>
    <w:rsid w:val="005F402A"/>
    <w:rsid w:val="005F5325"/>
    <w:rsid w:val="005F5518"/>
    <w:rsid w:val="005F5AF7"/>
    <w:rsid w:val="005F5D39"/>
    <w:rsid w:val="005F60CF"/>
    <w:rsid w:val="00600D02"/>
    <w:rsid w:val="0060219F"/>
    <w:rsid w:val="00606E0A"/>
    <w:rsid w:val="00607FB8"/>
    <w:rsid w:val="00614476"/>
    <w:rsid w:val="00615354"/>
    <w:rsid w:val="0061671E"/>
    <w:rsid w:val="00620E35"/>
    <w:rsid w:val="00621352"/>
    <w:rsid w:val="00624603"/>
    <w:rsid w:val="00625615"/>
    <w:rsid w:val="00626975"/>
    <w:rsid w:val="00631E7A"/>
    <w:rsid w:val="00632BE8"/>
    <w:rsid w:val="00635536"/>
    <w:rsid w:val="00635F3F"/>
    <w:rsid w:val="006374FE"/>
    <w:rsid w:val="00642496"/>
    <w:rsid w:val="00645D8B"/>
    <w:rsid w:val="00645DAA"/>
    <w:rsid w:val="0064647D"/>
    <w:rsid w:val="006506B5"/>
    <w:rsid w:val="006521E6"/>
    <w:rsid w:val="0065263F"/>
    <w:rsid w:val="0065267A"/>
    <w:rsid w:val="0065569C"/>
    <w:rsid w:val="00660284"/>
    <w:rsid w:val="00663727"/>
    <w:rsid w:val="006643DC"/>
    <w:rsid w:val="00664E31"/>
    <w:rsid w:val="006679EF"/>
    <w:rsid w:val="00667B68"/>
    <w:rsid w:val="00671492"/>
    <w:rsid w:val="00671B8F"/>
    <w:rsid w:val="0067246C"/>
    <w:rsid w:val="00674E76"/>
    <w:rsid w:val="0067793F"/>
    <w:rsid w:val="00677ABA"/>
    <w:rsid w:val="00677ECF"/>
    <w:rsid w:val="006847D5"/>
    <w:rsid w:val="0068616E"/>
    <w:rsid w:val="0068788F"/>
    <w:rsid w:val="00690224"/>
    <w:rsid w:val="006910B3"/>
    <w:rsid w:val="006931BD"/>
    <w:rsid w:val="0069407A"/>
    <w:rsid w:val="0069477D"/>
    <w:rsid w:val="00695FE8"/>
    <w:rsid w:val="00697118"/>
    <w:rsid w:val="00697729"/>
    <w:rsid w:val="006979A4"/>
    <w:rsid w:val="006A26A3"/>
    <w:rsid w:val="006A3607"/>
    <w:rsid w:val="006A4CC6"/>
    <w:rsid w:val="006A4DAF"/>
    <w:rsid w:val="006A597E"/>
    <w:rsid w:val="006A653F"/>
    <w:rsid w:val="006A6616"/>
    <w:rsid w:val="006A7C57"/>
    <w:rsid w:val="006B02B6"/>
    <w:rsid w:val="006B1DE1"/>
    <w:rsid w:val="006B2E7D"/>
    <w:rsid w:val="006B35C8"/>
    <w:rsid w:val="006B75FC"/>
    <w:rsid w:val="006C5AAB"/>
    <w:rsid w:val="006C6941"/>
    <w:rsid w:val="006D08B2"/>
    <w:rsid w:val="006D2BD2"/>
    <w:rsid w:val="006D3975"/>
    <w:rsid w:val="006D5AE2"/>
    <w:rsid w:val="006D6F9E"/>
    <w:rsid w:val="006D7493"/>
    <w:rsid w:val="006E49AF"/>
    <w:rsid w:val="006E66A0"/>
    <w:rsid w:val="006F0151"/>
    <w:rsid w:val="006F0983"/>
    <w:rsid w:val="006F1FE9"/>
    <w:rsid w:val="006F3BB1"/>
    <w:rsid w:val="006F4BCB"/>
    <w:rsid w:val="00700448"/>
    <w:rsid w:val="00700A33"/>
    <w:rsid w:val="00701E45"/>
    <w:rsid w:val="00704403"/>
    <w:rsid w:val="00704DC8"/>
    <w:rsid w:val="00705269"/>
    <w:rsid w:val="00705F6E"/>
    <w:rsid w:val="00710756"/>
    <w:rsid w:val="007124EB"/>
    <w:rsid w:val="00712D8A"/>
    <w:rsid w:val="00714434"/>
    <w:rsid w:val="0071789E"/>
    <w:rsid w:val="00720F77"/>
    <w:rsid w:val="00720FB1"/>
    <w:rsid w:val="007218B2"/>
    <w:rsid w:val="00721C96"/>
    <w:rsid w:val="00722C10"/>
    <w:rsid w:val="00725CDB"/>
    <w:rsid w:val="00726715"/>
    <w:rsid w:val="00727258"/>
    <w:rsid w:val="00731386"/>
    <w:rsid w:val="007359A0"/>
    <w:rsid w:val="00736731"/>
    <w:rsid w:val="0074110D"/>
    <w:rsid w:val="0074154E"/>
    <w:rsid w:val="0074228E"/>
    <w:rsid w:val="007423CD"/>
    <w:rsid w:val="00744702"/>
    <w:rsid w:val="00746CC5"/>
    <w:rsid w:val="00752D74"/>
    <w:rsid w:val="0075371D"/>
    <w:rsid w:val="00754049"/>
    <w:rsid w:val="00754CD1"/>
    <w:rsid w:val="00756DB6"/>
    <w:rsid w:val="0076060F"/>
    <w:rsid w:val="00761F32"/>
    <w:rsid w:val="0076246E"/>
    <w:rsid w:val="00762D34"/>
    <w:rsid w:val="007648FF"/>
    <w:rsid w:val="0077421C"/>
    <w:rsid w:val="00775219"/>
    <w:rsid w:val="0077671A"/>
    <w:rsid w:val="0077754B"/>
    <w:rsid w:val="00780AEC"/>
    <w:rsid w:val="00780E33"/>
    <w:rsid w:val="00782479"/>
    <w:rsid w:val="007828F5"/>
    <w:rsid w:val="0078485A"/>
    <w:rsid w:val="00784EBE"/>
    <w:rsid w:val="00786D78"/>
    <w:rsid w:val="0078761B"/>
    <w:rsid w:val="0079074B"/>
    <w:rsid w:val="007917A9"/>
    <w:rsid w:val="00793A48"/>
    <w:rsid w:val="00793EDD"/>
    <w:rsid w:val="007940B6"/>
    <w:rsid w:val="00794FB6"/>
    <w:rsid w:val="00795271"/>
    <w:rsid w:val="007957AC"/>
    <w:rsid w:val="007A295F"/>
    <w:rsid w:val="007A3D39"/>
    <w:rsid w:val="007B0781"/>
    <w:rsid w:val="007B19B2"/>
    <w:rsid w:val="007B68FF"/>
    <w:rsid w:val="007C0361"/>
    <w:rsid w:val="007C3931"/>
    <w:rsid w:val="007C4160"/>
    <w:rsid w:val="007C4BD7"/>
    <w:rsid w:val="007D06E9"/>
    <w:rsid w:val="007D1956"/>
    <w:rsid w:val="007D21D8"/>
    <w:rsid w:val="007D69C7"/>
    <w:rsid w:val="007D6B78"/>
    <w:rsid w:val="007E188F"/>
    <w:rsid w:val="007E2206"/>
    <w:rsid w:val="007E3D47"/>
    <w:rsid w:val="007E43B9"/>
    <w:rsid w:val="007E7C50"/>
    <w:rsid w:val="007F08E7"/>
    <w:rsid w:val="007F1EF9"/>
    <w:rsid w:val="007F6CAA"/>
    <w:rsid w:val="00800017"/>
    <w:rsid w:val="0080016E"/>
    <w:rsid w:val="00800E2C"/>
    <w:rsid w:val="008014D9"/>
    <w:rsid w:val="00801618"/>
    <w:rsid w:val="00801F5D"/>
    <w:rsid w:val="00807411"/>
    <w:rsid w:val="00812656"/>
    <w:rsid w:val="00812B4B"/>
    <w:rsid w:val="008144F6"/>
    <w:rsid w:val="00816775"/>
    <w:rsid w:val="00817B89"/>
    <w:rsid w:val="00820EAA"/>
    <w:rsid w:val="00824A32"/>
    <w:rsid w:val="00826641"/>
    <w:rsid w:val="008275D2"/>
    <w:rsid w:val="00831C89"/>
    <w:rsid w:val="00831DAC"/>
    <w:rsid w:val="00832892"/>
    <w:rsid w:val="008378E3"/>
    <w:rsid w:val="008427BD"/>
    <w:rsid w:val="00843A4E"/>
    <w:rsid w:val="00847A20"/>
    <w:rsid w:val="008502AA"/>
    <w:rsid w:val="008516EE"/>
    <w:rsid w:val="00852FC8"/>
    <w:rsid w:val="008553D7"/>
    <w:rsid w:val="0085560F"/>
    <w:rsid w:val="00855F78"/>
    <w:rsid w:val="00856D81"/>
    <w:rsid w:val="0085788D"/>
    <w:rsid w:val="00860764"/>
    <w:rsid w:val="00862AEA"/>
    <w:rsid w:val="00864902"/>
    <w:rsid w:val="008661AC"/>
    <w:rsid w:val="00870043"/>
    <w:rsid w:val="00870062"/>
    <w:rsid w:val="0087109B"/>
    <w:rsid w:val="00871633"/>
    <w:rsid w:val="00871FAA"/>
    <w:rsid w:val="0087537D"/>
    <w:rsid w:val="008767E1"/>
    <w:rsid w:val="00876A19"/>
    <w:rsid w:val="00876F1D"/>
    <w:rsid w:val="00877A10"/>
    <w:rsid w:val="00882DDF"/>
    <w:rsid w:val="0088334E"/>
    <w:rsid w:val="00890D7A"/>
    <w:rsid w:val="0089212A"/>
    <w:rsid w:val="00894438"/>
    <w:rsid w:val="00895EE3"/>
    <w:rsid w:val="008A3125"/>
    <w:rsid w:val="008A5BDF"/>
    <w:rsid w:val="008A7237"/>
    <w:rsid w:val="008B091C"/>
    <w:rsid w:val="008B5321"/>
    <w:rsid w:val="008B5C01"/>
    <w:rsid w:val="008B7159"/>
    <w:rsid w:val="008C3309"/>
    <w:rsid w:val="008C3388"/>
    <w:rsid w:val="008C3758"/>
    <w:rsid w:val="008C4633"/>
    <w:rsid w:val="008C5B4B"/>
    <w:rsid w:val="008D00A9"/>
    <w:rsid w:val="008D271D"/>
    <w:rsid w:val="008D3A75"/>
    <w:rsid w:val="008D45D1"/>
    <w:rsid w:val="008D474C"/>
    <w:rsid w:val="008D7753"/>
    <w:rsid w:val="008E085C"/>
    <w:rsid w:val="008E126E"/>
    <w:rsid w:val="008E1741"/>
    <w:rsid w:val="008E22D3"/>
    <w:rsid w:val="008E3526"/>
    <w:rsid w:val="008E583A"/>
    <w:rsid w:val="008E7210"/>
    <w:rsid w:val="008E74B0"/>
    <w:rsid w:val="008F2C57"/>
    <w:rsid w:val="008F3376"/>
    <w:rsid w:val="008F4144"/>
    <w:rsid w:val="008F41C7"/>
    <w:rsid w:val="008F4AEC"/>
    <w:rsid w:val="008F64BB"/>
    <w:rsid w:val="00900109"/>
    <w:rsid w:val="00901D8D"/>
    <w:rsid w:val="00903263"/>
    <w:rsid w:val="00904C18"/>
    <w:rsid w:val="009050F8"/>
    <w:rsid w:val="00906220"/>
    <w:rsid w:val="009079E3"/>
    <w:rsid w:val="00910262"/>
    <w:rsid w:val="00911E8C"/>
    <w:rsid w:val="00912B57"/>
    <w:rsid w:val="00914256"/>
    <w:rsid w:val="00914A32"/>
    <w:rsid w:val="009166CB"/>
    <w:rsid w:val="009219EA"/>
    <w:rsid w:val="00923BE2"/>
    <w:rsid w:val="00926CCB"/>
    <w:rsid w:val="0092710E"/>
    <w:rsid w:val="009277E0"/>
    <w:rsid w:val="00927D9F"/>
    <w:rsid w:val="00927F76"/>
    <w:rsid w:val="00931C16"/>
    <w:rsid w:val="00932341"/>
    <w:rsid w:val="00934920"/>
    <w:rsid w:val="00936232"/>
    <w:rsid w:val="0093714E"/>
    <w:rsid w:val="0093729A"/>
    <w:rsid w:val="00941037"/>
    <w:rsid w:val="009413CD"/>
    <w:rsid w:val="00943365"/>
    <w:rsid w:val="00943E30"/>
    <w:rsid w:val="0094439A"/>
    <w:rsid w:val="00944DE1"/>
    <w:rsid w:val="0094548B"/>
    <w:rsid w:val="009460E7"/>
    <w:rsid w:val="009538CF"/>
    <w:rsid w:val="0095401B"/>
    <w:rsid w:val="0095678F"/>
    <w:rsid w:val="0096171E"/>
    <w:rsid w:val="00963C42"/>
    <w:rsid w:val="0096401A"/>
    <w:rsid w:val="0096447F"/>
    <w:rsid w:val="00964AE3"/>
    <w:rsid w:val="00966258"/>
    <w:rsid w:val="00966D6F"/>
    <w:rsid w:val="009719B9"/>
    <w:rsid w:val="00972436"/>
    <w:rsid w:val="00972EA0"/>
    <w:rsid w:val="00972EEE"/>
    <w:rsid w:val="009734DD"/>
    <w:rsid w:val="00977138"/>
    <w:rsid w:val="00977F58"/>
    <w:rsid w:val="00980D4D"/>
    <w:rsid w:val="0098104F"/>
    <w:rsid w:val="009817C0"/>
    <w:rsid w:val="00981A8D"/>
    <w:rsid w:val="0098414F"/>
    <w:rsid w:val="00984A01"/>
    <w:rsid w:val="009865BE"/>
    <w:rsid w:val="00991BA5"/>
    <w:rsid w:val="009A34F4"/>
    <w:rsid w:val="009A476A"/>
    <w:rsid w:val="009A61D5"/>
    <w:rsid w:val="009A672D"/>
    <w:rsid w:val="009A7FFD"/>
    <w:rsid w:val="009B0BB7"/>
    <w:rsid w:val="009B1E62"/>
    <w:rsid w:val="009B2533"/>
    <w:rsid w:val="009B41FE"/>
    <w:rsid w:val="009B4661"/>
    <w:rsid w:val="009B6386"/>
    <w:rsid w:val="009B73A5"/>
    <w:rsid w:val="009C0935"/>
    <w:rsid w:val="009C0C9C"/>
    <w:rsid w:val="009C16ED"/>
    <w:rsid w:val="009C2FBB"/>
    <w:rsid w:val="009C4596"/>
    <w:rsid w:val="009C51D3"/>
    <w:rsid w:val="009C5361"/>
    <w:rsid w:val="009C5843"/>
    <w:rsid w:val="009C598C"/>
    <w:rsid w:val="009C7035"/>
    <w:rsid w:val="009D1547"/>
    <w:rsid w:val="009D2598"/>
    <w:rsid w:val="009D27E9"/>
    <w:rsid w:val="009D7073"/>
    <w:rsid w:val="009E0660"/>
    <w:rsid w:val="009E0E46"/>
    <w:rsid w:val="009E0F34"/>
    <w:rsid w:val="009E21FE"/>
    <w:rsid w:val="009E3E6F"/>
    <w:rsid w:val="009E54CB"/>
    <w:rsid w:val="009E5BA5"/>
    <w:rsid w:val="009E6503"/>
    <w:rsid w:val="009F1D83"/>
    <w:rsid w:val="009F2DA1"/>
    <w:rsid w:val="009F31C8"/>
    <w:rsid w:val="009F3FF8"/>
    <w:rsid w:val="009F5582"/>
    <w:rsid w:val="009F5963"/>
    <w:rsid w:val="009F7FA4"/>
    <w:rsid w:val="00A01DE0"/>
    <w:rsid w:val="00A02B6E"/>
    <w:rsid w:val="00A054D5"/>
    <w:rsid w:val="00A057A5"/>
    <w:rsid w:val="00A16BDB"/>
    <w:rsid w:val="00A16CCF"/>
    <w:rsid w:val="00A176ED"/>
    <w:rsid w:val="00A178D1"/>
    <w:rsid w:val="00A200E2"/>
    <w:rsid w:val="00A21E62"/>
    <w:rsid w:val="00A223A2"/>
    <w:rsid w:val="00A277D1"/>
    <w:rsid w:val="00A31CEE"/>
    <w:rsid w:val="00A31DF2"/>
    <w:rsid w:val="00A32345"/>
    <w:rsid w:val="00A37E05"/>
    <w:rsid w:val="00A400B6"/>
    <w:rsid w:val="00A4162E"/>
    <w:rsid w:val="00A41986"/>
    <w:rsid w:val="00A4235E"/>
    <w:rsid w:val="00A43FEC"/>
    <w:rsid w:val="00A441CB"/>
    <w:rsid w:val="00A442C1"/>
    <w:rsid w:val="00A44BEB"/>
    <w:rsid w:val="00A453EC"/>
    <w:rsid w:val="00A46C45"/>
    <w:rsid w:val="00A4740F"/>
    <w:rsid w:val="00A47B23"/>
    <w:rsid w:val="00A50430"/>
    <w:rsid w:val="00A514B8"/>
    <w:rsid w:val="00A51756"/>
    <w:rsid w:val="00A5421B"/>
    <w:rsid w:val="00A55093"/>
    <w:rsid w:val="00A55745"/>
    <w:rsid w:val="00A57633"/>
    <w:rsid w:val="00A57E47"/>
    <w:rsid w:val="00A6154F"/>
    <w:rsid w:val="00A637B2"/>
    <w:rsid w:val="00A71A10"/>
    <w:rsid w:val="00A71E95"/>
    <w:rsid w:val="00A75B59"/>
    <w:rsid w:val="00A76B10"/>
    <w:rsid w:val="00A771F2"/>
    <w:rsid w:val="00A83C96"/>
    <w:rsid w:val="00A85BEC"/>
    <w:rsid w:val="00A87C0E"/>
    <w:rsid w:val="00A91B01"/>
    <w:rsid w:val="00A9240C"/>
    <w:rsid w:val="00A93EC7"/>
    <w:rsid w:val="00A9468E"/>
    <w:rsid w:val="00A955E0"/>
    <w:rsid w:val="00A9577B"/>
    <w:rsid w:val="00A9661B"/>
    <w:rsid w:val="00A97564"/>
    <w:rsid w:val="00A97C30"/>
    <w:rsid w:val="00AA1340"/>
    <w:rsid w:val="00AA2249"/>
    <w:rsid w:val="00AA2D7A"/>
    <w:rsid w:val="00AA5456"/>
    <w:rsid w:val="00AA7176"/>
    <w:rsid w:val="00AA72AD"/>
    <w:rsid w:val="00AB0F26"/>
    <w:rsid w:val="00AB1303"/>
    <w:rsid w:val="00AB3E88"/>
    <w:rsid w:val="00AB673F"/>
    <w:rsid w:val="00AC01D9"/>
    <w:rsid w:val="00AC389F"/>
    <w:rsid w:val="00AC566A"/>
    <w:rsid w:val="00AC7432"/>
    <w:rsid w:val="00AD2CBE"/>
    <w:rsid w:val="00AD341C"/>
    <w:rsid w:val="00AD4090"/>
    <w:rsid w:val="00AD48EB"/>
    <w:rsid w:val="00AD4ECD"/>
    <w:rsid w:val="00AD6DDF"/>
    <w:rsid w:val="00AE110A"/>
    <w:rsid w:val="00AE1419"/>
    <w:rsid w:val="00AE2439"/>
    <w:rsid w:val="00AE4429"/>
    <w:rsid w:val="00AE47B0"/>
    <w:rsid w:val="00AE507B"/>
    <w:rsid w:val="00AE619B"/>
    <w:rsid w:val="00AF2373"/>
    <w:rsid w:val="00AF34B0"/>
    <w:rsid w:val="00AF392A"/>
    <w:rsid w:val="00AF3E14"/>
    <w:rsid w:val="00AF67A4"/>
    <w:rsid w:val="00AF6B2B"/>
    <w:rsid w:val="00AF6D22"/>
    <w:rsid w:val="00AF79A8"/>
    <w:rsid w:val="00B003F5"/>
    <w:rsid w:val="00B02FDD"/>
    <w:rsid w:val="00B0387A"/>
    <w:rsid w:val="00B0426F"/>
    <w:rsid w:val="00B042F9"/>
    <w:rsid w:val="00B12D1D"/>
    <w:rsid w:val="00B1374F"/>
    <w:rsid w:val="00B13952"/>
    <w:rsid w:val="00B146E4"/>
    <w:rsid w:val="00B15A38"/>
    <w:rsid w:val="00B16689"/>
    <w:rsid w:val="00B17146"/>
    <w:rsid w:val="00B204C3"/>
    <w:rsid w:val="00B24A12"/>
    <w:rsid w:val="00B255D7"/>
    <w:rsid w:val="00B264B8"/>
    <w:rsid w:val="00B272D2"/>
    <w:rsid w:val="00B32DFB"/>
    <w:rsid w:val="00B35359"/>
    <w:rsid w:val="00B357EE"/>
    <w:rsid w:val="00B40A90"/>
    <w:rsid w:val="00B42884"/>
    <w:rsid w:val="00B43CE3"/>
    <w:rsid w:val="00B444FD"/>
    <w:rsid w:val="00B47224"/>
    <w:rsid w:val="00B479E5"/>
    <w:rsid w:val="00B51A45"/>
    <w:rsid w:val="00B52AB0"/>
    <w:rsid w:val="00B53DD3"/>
    <w:rsid w:val="00B55D40"/>
    <w:rsid w:val="00B56DE5"/>
    <w:rsid w:val="00B613CD"/>
    <w:rsid w:val="00B63057"/>
    <w:rsid w:val="00B648C3"/>
    <w:rsid w:val="00B66852"/>
    <w:rsid w:val="00B67476"/>
    <w:rsid w:val="00B702BC"/>
    <w:rsid w:val="00B7140C"/>
    <w:rsid w:val="00B736F1"/>
    <w:rsid w:val="00B743CF"/>
    <w:rsid w:val="00B7446B"/>
    <w:rsid w:val="00B7518B"/>
    <w:rsid w:val="00B751CA"/>
    <w:rsid w:val="00B75BB4"/>
    <w:rsid w:val="00B75E15"/>
    <w:rsid w:val="00B76627"/>
    <w:rsid w:val="00B7663D"/>
    <w:rsid w:val="00B775E2"/>
    <w:rsid w:val="00B83438"/>
    <w:rsid w:val="00B856C2"/>
    <w:rsid w:val="00B8683B"/>
    <w:rsid w:val="00B86EB0"/>
    <w:rsid w:val="00B90A07"/>
    <w:rsid w:val="00B93F75"/>
    <w:rsid w:val="00B943E3"/>
    <w:rsid w:val="00B94A3A"/>
    <w:rsid w:val="00B95A0A"/>
    <w:rsid w:val="00B95C04"/>
    <w:rsid w:val="00B95ECB"/>
    <w:rsid w:val="00B973EC"/>
    <w:rsid w:val="00BA1447"/>
    <w:rsid w:val="00BA1E3A"/>
    <w:rsid w:val="00BA1F30"/>
    <w:rsid w:val="00BA378E"/>
    <w:rsid w:val="00BA4DB0"/>
    <w:rsid w:val="00BA66CD"/>
    <w:rsid w:val="00BB01E7"/>
    <w:rsid w:val="00BB3588"/>
    <w:rsid w:val="00BB700E"/>
    <w:rsid w:val="00BC07BE"/>
    <w:rsid w:val="00BC3FE3"/>
    <w:rsid w:val="00BC5967"/>
    <w:rsid w:val="00BC66CE"/>
    <w:rsid w:val="00BC7017"/>
    <w:rsid w:val="00BC7A79"/>
    <w:rsid w:val="00BD0B04"/>
    <w:rsid w:val="00BD1D10"/>
    <w:rsid w:val="00BD26A7"/>
    <w:rsid w:val="00BD33E9"/>
    <w:rsid w:val="00BD34FE"/>
    <w:rsid w:val="00BD64A0"/>
    <w:rsid w:val="00BE1484"/>
    <w:rsid w:val="00BE4267"/>
    <w:rsid w:val="00BE46A7"/>
    <w:rsid w:val="00BE524C"/>
    <w:rsid w:val="00BE7086"/>
    <w:rsid w:val="00BE73EF"/>
    <w:rsid w:val="00BE75E9"/>
    <w:rsid w:val="00BE79DE"/>
    <w:rsid w:val="00BF1B45"/>
    <w:rsid w:val="00BF2AEF"/>
    <w:rsid w:val="00BF3910"/>
    <w:rsid w:val="00BF3945"/>
    <w:rsid w:val="00BF3ACC"/>
    <w:rsid w:val="00BF6156"/>
    <w:rsid w:val="00BF66E1"/>
    <w:rsid w:val="00C015A1"/>
    <w:rsid w:val="00C02905"/>
    <w:rsid w:val="00C05BBF"/>
    <w:rsid w:val="00C10EFF"/>
    <w:rsid w:val="00C11598"/>
    <w:rsid w:val="00C11A80"/>
    <w:rsid w:val="00C15267"/>
    <w:rsid w:val="00C16E3C"/>
    <w:rsid w:val="00C20BD3"/>
    <w:rsid w:val="00C21D8A"/>
    <w:rsid w:val="00C21FFC"/>
    <w:rsid w:val="00C22CE1"/>
    <w:rsid w:val="00C23305"/>
    <w:rsid w:val="00C23647"/>
    <w:rsid w:val="00C23832"/>
    <w:rsid w:val="00C23857"/>
    <w:rsid w:val="00C33F82"/>
    <w:rsid w:val="00C37B75"/>
    <w:rsid w:val="00C407E3"/>
    <w:rsid w:val="00C40B83"/>
    <w:rsid w:val="00C40CF4"/>
    <w:rsid w:val="00C41756"/>
    <w:rsid w:val="00C5132A"/>
    <w:rsid w:val="00C544AE"/>
    <w:rsid w:val="00C56E7E"/>
    <w:rsid w:val="00C61545"/>
    <w:rsid w:val="00C619F6"/>
    <w:rsid w:val="00C61FFA"/>
    <w:rsid w:val="00C6729C"/>
    <w:rsid w:val="00C672D6"/>
    <w:rsid w:val="00C67F67"/>
    <w:rsid w:val="00C67FD1"/>
    <w:rsid w:val="00C70626"/>
    <w:rsid w:val="00C74021"/>
    <w:rsid w:val="00C7425F"/>
    <w:rsid w:val="00C82E8C"/>
    <w:rsid w:val="00C84593"/>
    <w:rsid w:val="00C859A4"/>
    <w:rsid w:val="00C9046D"/>
    <w:rsid w:val="00C9115A"/>
    <w:rsid w:val="00C931AE"/>
    <w:rsid w:val="00C9401A"/>
    <w:rsid w:val="00C972F0"/>
    <w:rsid w:val="00C97501"/>
    <w:rsid w:val="00C97ADF"/>
    <w:rsid w:val="00CA0714"/>
    <w:rsid w:val="00CA2BE9"/>
    <w:rsid w:val="00CA659D"/>
    <w:rsid w:val="00CA774E"/>
    <w:rsid w:val="00CA7A4E"/>
    <w:rsid w:val="00CB0607"/>
    <w:rsid w:val="00CB0ABB"/>
    <w:rsid w:val="00CB38F9"/>
    <w:rsid w:val="00CB5C10"/>
    <w:rsid w:val="00CC07FE"/>
    <w:rsid w:val="00CC0E26"/>
    <w:rsid w:val="00CC2A64"/>
    <w:rsid w:val="00CC3729"/>
    <w:rsid w:val="00CC6398"/>
    <w:rsid w:val="00CD0222"/>
    <w:rsid w:val="00CD20F6"/>
    <w:rsid w:val="00CD2352"/>
    <w:rsid w:val="00CD415C"/>
    <w:rsid w:val="00CD54CA"/>
    <w:rsid w:val="00CD5556"/>
    <w:rsid w:val="00CD6401"/>
    <w:rsid w:val="00CD7211"/>
    <w:rsid w:val="00CE1B76"/>
    <w:rsid w:val="00CE1FCD"/>
    <w:rsid w:val="00CE3EB1"/>
    <w:rsid w:val="00CE4B37"/>
    <w:rsid w:val="00CE4DA0"/>
    <w:rsid w:val="00CE6ED3"/>
    <w:rsid w:val="00CF17E9"/>
    <w:rsid w:val="00D016C9"/>
    <w:rsid w:val="00D0612C"/>
    <w:rsid w:val="00D07C2A"/>
    <w:rsid w:val="00D07CC0"/>
    <w:rsid w:val="00D14004"/>
    <w:rsid w:val="00D1431C"/>
    <w:rsid w:val="00D14450"/>
    <w:rsid w:val="00D14EA5"/>
    <w:rsid w:val="00D1706A"/>
    <w:rsid w:val="00D17173"/>
    <w:rsid w:val="00D17EC9"/>
    <w:rsid w:val="00D238BF"/>
    <w:rsid w:val="00D25E9C"/>
    <w:rsid w:val="00D31861"/>
    <w:rsid w:val="00D32346"/>
    <w:rsid w:val="00D32E52"/>
    <w:rsid w:val="00D33E7F"/>
    <w:rsid w:val="00D3700B"/>
    <w:rsid w:val="00D37159"/>
    <w:rsid w:val="00D40A5B"/>
    <w:rsid w:val="00D41007"/>
    <w:rsid w:val="00D41B43"/>
    <w:rsid w:val="00D4344B"/>
    <w:rsid w:val="00D44B7F"/>
    <w:rsid w:val="00D452D3"/>
    <w:rsid w:val="00D4689B"/>
    <w:rsid w:val="00D46915"/>
    <w:rsid w:val="00D46FD8"/>
    <w:rsid w:val="00D47768"/>
    <w:rsid w:val="00D47BE6"/>
    <w:rsid w:val="00D511E1"/>
    <w:rsid w:val="00D53D1C"/>
    <w:rsid w:val="00D60C40"/>
    <w:rsid w:val="00D62C10"/>
    <w:rsid w:val="00D64502"/>
    <w:rsid w:val="00D6703F"/>
    <w:rsid w:val="00D73679"/>
    <w:rsid w:val="00D77A5F"/>
    <w:rsid w:val="00D82453"/>
    <w:rsid w:val="00D82CFA"/>
    <w:rsid w:val="00D836C1"/>
    <w:rsid w:val="00D9076E"/>
    <w:rsid w:val="00D91979"/>
    <w:rsid w:val="00D95A7D"/>
    <w:rsid w:val="00D95E4A"/>
    <w:rsid w:val="00D97151"/>
    <w:rsid w:val="00DA412C"/>
    <w:rsid w:val="00DA5B0A"/>
    <w:rsid w:val="00DA643E"/>
    <w:rsid w:val="00DB1D0E"/>
    <w:rsid w:val="00DB2185"/>
    <w:rsid w:val="00DB623E"/>
    <w:rsid w:val="00DB6B8F"/>
    <w:rsid w:val="00DC194A"/>
    <w:rsid w:val="00DC1B80"/>
    <w:rsid w:val="00DC1BCA"/>
    <w:rsid w:val="00DC279C"/>
    <w:rsid w:val="00DC57D2"/>
    <w:rsid w:val="00DC5A20"/>
    <w:rsid w:val="00DC7779"/>
    <w:rsid w:val="00DD21C5"/>
    <w:rsid w:val="00DD329A"/>
    <w:rsid w:val="00DD335E"/>
    <w:rsid w:val="00DD5BBC"/>
    <w:rsid w:val="00DD60CB"/>
    <w:rsid w:val="00DD6FAF"/>
    <w:rsid w:val="00DD7737"/>
    <w:rsid w:val="00DE3392"/>
    <w:rsid w:val="00DE4D95"/>
    <w:rsid w:val="00DE50D3"/>
    <w:rsid w:val="00DF1AE5"/>
    <w:rsid w:val="00DF20ED"/>
    <w:rsid w:val="00DF42F0"/>
    <w:rsid w:val="00DF46AF"/>
    <w:rsid w:val="00DF49CE"/>
    <w:rsid w:val="00DF5028"/>
    <w:rsid w:val="00DF588B"/>
    <w:rsid w:val="00DF6462"/>
    <w:rsid w:val="00E00395"/>
    <w:rsid w:val="00E0123B"/>
    <w:rsid w:val="00E0286C"/>
    <w:rsid w:val="00E04D6D"/>
    <w:rsid w:val="00E04DD2"/>
    <w:rsid w:val="00E05260"/>
    <w:rsid w:val="00E06117"/>
    <w:rsid w:val="00E06543"/>
    <w:rsid w:val="00E07F7C"/>
    <w:rsid w:val="00E10F21"/>
    <w:rsid w:val="00E1109B"/>
    <w:rsid w:val="00E110E0"/>
    <w:rsid w:val="00E119CA"/>
    <w:rsid w:val="00E11C3E"/>
    <w:rsid w:val="00E13798"/>
    <w:rsid w:val="00E140BF"/>
    <w:rsid w:val="00E15BD6"/>
    <w:rsid w:val="00E20959"/>
    <w:rsid w:val="00E20B42"/>
    <w:rsid w:val="00E21920"/>
    <w:rsid w:val="00E22870"/>
    <w:rsid w:val="00E22A30"/>
    <w:rsid w:val="00E24AED"/>
    <w:rsid w:val="00E260DA"/>
    <w:rsid w:val="00E26C5F"/>
    <w:rsid w:val="00E27A39"/>
    <w:rsid w:val="00E31BC8"/>
    <w:rsid w:val="00E34280"/>
    <w:rsid w:val="00E360F1"/>
    <w:rsid w:val="00E36F95"/>
    <w:rsid w:val="00E40113"/>
    <w:rsid w:val="00E4120C"/>
    <w:rsid w:val="00E41EB6"/>
    <w:rsid w:val="00E42833"/>
    <w:rsid w:val="00E44A0F"/>
    <w:rsid w:val="00E44BD7"/>
    <w:rsid w:val="00E44DAD"/>
    <w:rsid w:val="00E464CF"/>
    <w:rsid w:val="00E529FA"/>
    <w:rsid w:val="00E536A5"/>
    <w:rsid w:val="00E55A12"/>
    <w:rsid w:val="00E6161D"/>
    <w:rsid w:val="00E61ECC"/>
    <w:rsid w:val="00E6258C"/>
    <w:rsid w:val="00E664AB"/>
    <w:rsid w:val="00E67C94"/>
    <w:rsid w:val="00E67F69"/>
    <w:rsid w:val="00E7095C"/>
    <w:rsid w:val="00E7488E"/>
    <w:rsid w:val="00E748F1"/>
    <w:rsid w:val="00E80D32"/>
    <w:rsid w:val="00E852DF"/>
    <w:rsid w:val="00E870EE"/>
    <w:rsid w:val="00E90283"/>
    <w:rsid w:val="00E9258C"/>
    <w:rsid w:val="00E93783"/>
    <w:rsid w:val="00E949C7"/>
    <w:rsid w:val="00E94D02"/>
    <w:rsid w:val="00E958EA"/>
    <w:rsid w:val="00E97168"/>
    <w:rsid w:val="00E974B7"/>
    <w:rsid w:val="00EA0D5D"/>
    <w:rsid w:val="00EA12EA"/>
    <w:rsid w:val="00EA2C2F"/>
    <w:rsid w:val="00EA40CF"/>
    <w:rsid w:val="00EA434A"/>
    <w:rsid w:val="00EA503A"/>
    <w:rsid w:val="00EA503F"/>
    <w:rsid w:val="00EA566A"/>
    <w:rsid w:val="00EA7945"/>
    <w:rsid w:val="00EA7B9D"/>
    <w:rsid w:val="00EB1CDF"/>
    <w:rsid w:val="00EB3632"/>
    <w:rsid w:val="00EB5D8C"/>
    <w:rsid w:val="00EB6E91"/>
    <w:rsid w:val="00EB7838"/>
    <w:rsid w:val="00EC133D"/>
    <w:rsid w:val="00EC4057"/>
    <w:rsid w:val="00EC66C0"/>
    <w:rsid w:val="00EC6943"/>
    <w:rsid w:val="00EC76F9"/>
    <w:rsid w:val="00ED09BB"/>
    <w:rsid w:val="00ED3C69"/>
    <w:rsid w:val="00ED45AB"/>
    <w:rsid w:val="00ED61C9"/>
    <w:rsid w:val="00ED6938"/>
    <w:rsid w:val="00ED7C75"/>
    <w:rsid w:val="00EE09E0"/>
    <w:rsid w:val="00EE0CDF"/>
    <w:rsid w:val="00EE0D81"/>
    <w:rsid w:val="00EE3CBF"/>
    <w:rsid w:val="00EE4F2B"/>
    <w:rsid w:val="00EE532C"/>
    <w:rsid w:val="00EF249C"/>
    <w:rsid w:val="00EF24CC"/>
    <w:rsid w:val="00EF476D"/>
    <w:rsid w:val="00EF4D24"/>
    <w:rsid w:val="00EF4EBA"/>
    <w:rsid w:val="00EF5D2E"/>
    <w:rsid w:val="00EF61D1"/>
    <w:rsid w:val="00F019D5"/>
    <w:rsid w:val="00F02D93"/>
    <w:rsid w:val="00F03633"/>
    <w:rsid w:val="00F03CE0"/>
    <w:rsid w:val="00F054F8"/>
    <w:rsid w:val="00F070CD"/>
    <w:rsid w:val="00F079C2"/>
    <w:rsid w:val="00F13279"/>
    <w:rsid w:val="00F1392A"/>
    <w:rsid w:val="00F142C4"/>
    <w:rsid w:val="00F1585E"/>
    <w:rsid w:val="00F15A6E"/>
    <w:rsid w:val="00F16F59"/>
    <w:rsid w:val="00F17519"/>
    <w:rsid w:val="00F20B2D"/>
    <w:rsid w:val="00F20C41"/>
    <w:rsid w:val="00F21BD2"/>
    <w:rsid w:val="00F25078"/>
    <w:rsid w:val="00F2546B"/>
    <w:rsid w:val="00F2710D"/>
    <w:rsid w:val="00F27ADF"/>
    <w:rsid w:val="00F30FB9"/>
    <w:rsid w:val="00F355D5"/>
    <w:rsid w:val="00F35848"/>
    <w:rsid w:val="00F35F14"/>
    <w:rsid w:val="00F41C87"/>
    <w:rsid w:val="00F457D9"/>
    <w:rsid w:val="00F470DA"/>
    <w:rsid w:val="00F50230"/>
    <w:rsid w:val="00F53078"/>
    <w:rsid w:val="00F53713"/>
    <w:rsid w:val="00F53F66"/>
    <w:rsid w:val="00F6035C"/>
    <w:rsid w:val="00F6115D"/>
    <w:rsid w:val="00F61A37"/>
    <w:rsid w:val="00F62E4D"/>
    <w:rsid w:val="00F7065C"/>
    <w:rsid w:val="00F70CE8"/>
    <w:rsid w:val="00F71142"/>
    <w:rsid w:val="00F7503C"/>
    <w:rsid w:val="00F75EEE"/>
    <w:rsid w:val="00F7670B"/>
    <w:rsid w:val="00F7687D"/>
    <w:rsid w:val="00F7713C"/>
    <w:rsid w:val="00F77563"/>
    <w:rsid w:val="00F8316C"/>
    <w:rsid w:val="00F8354E"/>
    <w:rsid w:val="00F9642E"/>
    <w:rsid w:val="00FA02F3"/>
    <w:rsid w:val="00FA1527"/>
    <w:rsid w:val="00FA1A79"/>
    <w:rsid w:val="00FA2228"/>
    <w:rsid w:val="00FA47D5"/>
    <w:rsid w:val="00FA4B5F"/>
    <w:rsid w:val="00FA72F1"/>
    <w:rsid w:val="00FA74FE"/>
    <w:rsid w:val="00FA7A42"/>
    <w:rsid w:val="00FB054F"/>
    <w:rsid w:val="00FB180F"/>
    <w:rsid w:val="00FB325A"/>
    <w:rsid w:val="00FB3A80"/>
    <w:rsid w:val="00FB4B97"/>
    <w:rsid w:val="00FB4D14"/>
    <w:rsid w:val="00FB5A98"/>
    <w:rsid w:val="00FC266E"/>
    <w:rsid w:val="00FC4C48"/>
    <w:rsid w:val="00FC50BD"/>
    <w:rsid w:val="00FD070F"/>
    <w:rsid w:val="00FD1448"/>
    <w:rsid w:val="00FD15E7"/>
    <w:rsid w:val="00FD3F61"/>
    <w:rsid w:val="00FD5423"/>
    <w:rsid w:val="00FD74C1"/>
    <w:rsid w:val="00FD7EBE"/>
    <w:rsid w:val="00FE0D49"/>
    <w:rsid w:val="00FE3BDF"/>
    <w:rsid w:val="00FF23AB"/>
    <w:rsid w:val="00FF3E20"/>
    <w:rsid w:val="00FF3F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D4768"/>
  <w14:defaultImageDpi w14:val="300"/>
  <w15:docId w15:val="{8962CD32-D13E-4081-B236-869A7956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740F"/>
    <w:rPr>
      <w:color w:val="0000FF" w:themeColor="hyperlink"/>
      <w:u w:val="single"/>
    </w:rPr>
  </w:style>
  <w:style w:type="paragraph" w:styleId="ListParagraph">
    <w:name w:val="List Paragraph"/>
    <w:basedOn w:val="Normal"/>
    <w:uiPriority w:val="34"/>
    <w:qFormat/>
    <w:rsid w:val="0067246C"/>
    <w:pPr>
      <w:ind w:left="720"/>
      <w:contextualSpacing/>
    </w:pPr>
  </w:style>
  <w:style w:type="table" w:styleId="TableGrid">
    <w:name w:val="Table Grid"/>
    <w:basedOn w:val="TableNormal"/>
    <w:uiPriority w:val="59"/>
    <w:rsid w:val="00DA4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rsid w:val="00A02B6E"/>
    <w:pPr>
      <w:jc w:val="center"/>
    </w:pPr>
    <w:rPr>
      <w:rFonts w:ascii="Cambria" w:hAnsi="Cambria"/>
    </w:rPr>
  </w:style>
  <w:style w:type="paragraph" w:customStyle="1" w:styleId="EndNoteBibliography">
    <w:name w:val="EndNote Bibliography"/>
    <w:basedOn w:val="Normal"/>
    <w:rsid w:val="00A02B6E"/>
    <w:pPr>
      <w:jc w:val="both"/>
    </w:pPr>
    <w:rPr>
      <w:rFonts w:ascii="Cambria" w:hAnsi="Cambria"/>
    </w:rPr>
  </w:style>
  <w:style w:type="paragraph" w:styleId="Footer">
    <w:name w:val="footer"/>
    <w:basedOn w:val="Normal"/>
    <w:link w:val="FooterChar"/>
    <w:uiPriority w:val="99"/>
    <w:unhideWhenUsed/>
    <w:rsid w:val="00405C43"/>
    <w:pPr>
      <w:tabs>
        <w:tab w:val="center" w:pos="4536"/>
        <w:tab w:val="right" w:pos="9072"/>
      </w:tabs>
    </w:pPr>
  </w:style>
  <w:style w:type="character" w:customStyle="1" w:styleId="FooterChar">
    <w:name w:val="Footer Char"/>
    <w:basedOn w:val="DefaultParagraphFont"/>
    <w:link w:val="Footer"/>
    <w:uiPriority w:val="99"/>
    <w:rsid w:val="00405C43"/>
  </w:style>
  <w:style w:type="character" w:styleId="PageNumber">
    <w:name w:val="page number"/>
    <w:basedOn w:val="DefaultParagraphFont"/>
    <w:uiPriority w:val="99"/>
    <w:semiHidden/>
    <w:unhideWhenUsed/>
    <w:rsid w:val="00405C43"/>
  </w:style>
  <w:style w:type="paragraph" w:styleId="Header">
    <w:name w:val="header"/>
    <w:basedOn w:val="Normal"/>
    <w:link w:val="HeaderChar"/>
    <w:uiPriority w:val="99"/>
    <w:unhideWhenUsed/>
    <w:rsid w:val="00876F1D"/>
    <w:pPr>
      <w:tabs>
        <w:tab w:val="center" w:pos="4536"/>
        <w:tab w:val="right" w:pos="9072"/>
      </w:tabs>
    </w:pPr>
  </w:style>
  <w:style w:type="character" w:customStyle="1" w:styleId="HeaderChar">
    <w:name w:val="Header Char"/>
    <w:basedOn w:val="DefaultParagraphFont"/>
    <w:link w:val="Header"/>
    <w:uiPriority w:val="99"/>
    <w:rsid w:val="00876F1D"/>
  </w:style>
  <w:style w:type="character" w:styleId="LineNumber">
    <w:name w:val="line number"/>
    <w:basedOn w:val="DefaultParagraphFont"/>
    <w:uiPriority w:val="99"/>
    <w:semiHidden/>
    <w:unhideWhenUsed/>
    <w:rsid w:val="00E97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812635">
      <w:bodyDiv w:val="1"/>
      <w:marLeft w:val="0"/>
      <w:marRight w:val="0"/>
      <w:marTop w:val="0"/>
      <w:marBottom w:val="0"/>
      <w:divBdr>
        <w:top w:val="none" w:sz="0" w:space="0" w:color="auto"/>
        <w:left w:val="none" w:sz="0" w:space="0" w:color="auto"/>
        <w:bottom w:val="none" w:sz="0" w:space="0" w:color="auto"/>
        <w:right w:val="none" w:sz="0" w:space="0" w:color="auto"/>
      </w:divBdr>
      <w:divsChild>
        <w:div w:id="2130315921">
          <w:marLeft w:val="0"/>
          <w:marRight w:val="0"/>
          <w:marTop w:val="0"/>
          <w:marBottom w:val="0"/>
          <w:divBdr>
            <w:top w:val="none" w:sz="0" w:space="0" w:color="auto"/>
            <w:left w:val="none" w:sz="0" w:space="0" w:color="auto"/>
            <w:bottom w:val="none" w:sz="0" w:space="0" w:color="auto"/>
            <w:right w:val="none" w:sz="0" w:space="0" w:color="auto"/>
          </w:divBdr>
        </w:div>
        <w:div w:id="1637373095">
          <w:marLeft w:val="0"/>
          <w:marRight w:val="0"/>
          <w:marTop w:val="0"/>
          <w:marBottom w:val="0"/>
          <w:divBdr>
            <w:top w:val="none" w:sz="0" w:space="0" w:color="auto"/>
            <w:left w:val="none" w:sz="0" w:space="0" w:color="auto"/>
            <w:bottom w:val="none" w:sz="0" w:space="0" w:color="auto"/>
            <w:right w:val="none" w:sz="0" w:space="0" w:color="auto"/>
          </w:divBdr>
        </w:div>
        <w:div w:id="600995161">
          <w:marLeft w:val="0"/>
          <w:marRight w:val="0"/>
          <w:marTop w:val="0"/>
          <w:marBottom w:val="0"/>
          <w:divBdr>
            <w:top w:val="none" w:sz="0" w:space="0" w:color="auto"/>
            <w:left w:val="none" w:sz="0" w:space="0" w:color="auto"/>
            <w:bottom w:val="none" w:sz="0" w:space="0" w:color="auto"/>
            <w:right w:val="none" w:sz="0" w:space="0" w:color="auto"/>
          </w:divBdr>
        </w:div>
        <w:div w:id="100801382">
          <w:marLeft w:val="0"/>
          <w:marRight w:val="0"/>
          <w:marTop w:val="0"/>
          <w:marBottom w:val="0"/>
          <w:divBdr>
            <w:top w:val="none" w:sz="0" w:space="0" w:color="auto"/>
            <w:left w:val="none" w:sz="0" w:space="0" w:color="auto"/>
            <w:bottom w:val="none" w:sz="0" w:space="0" w:color="auto"/>
            <w:right w:val="none" w:sz="0" w:space="0" w:color="auto"/>
          </w:divBdr>
        </w:div>
        <w:div w:id="670642097">
          <w:marLeft w:val="0"/>
          <w:marRight w:val="0"/>
          <w:marTop w:val="0"/>
          <w:marBottom w:val="0"/>
          <w:divBdr>
            <w:top w:val="none" w:sz="0" w:space="0" w:color="auto"/>
            <w:left w:val="none" w:sz="0" w:space="0" w:color="auto"/>
            <w:bottom w:val="none" w:sz="0" w:space="0" w:color="auto"/>
            <w:right w:val="none" w:sz="0" w:space="0" w:color="auto"/>
          </w:divBdr>
        </w:div>
        <w:div w:id="518860485">
          <w:marLeft w:val="0"/>
          <w:marRight w:val="0"/>
          <w:marTop w:val="0"/>
          <w:marBottom w:val="0"/>
          <w:divBdr>
            <w:top w:val="none" w:sz="0" w:space="0" w:color="auto"/>
            <w:left w:val="none" w:sz="0" w:space="0" w:color="auto"/>
            <w:bottom w:val="none" w:sz="0" w:space="0" w:color="auto"/>
            <w:right w:val="none" w:sz="0" w:space="0" w:color="auto"/>
          </w:divBdr>
        </w:div>
        <w:div w:id="1098984667">
          <w:marLeft w:val="0"/>
          <w:marRight w:val="0"/>
          <w:marTop w:val="0"/>
          <w:marBottom w:val="0"/>
          <w:divBdr>
            <w:top w:val="none" w:sz="0" w:space="0" w:color="auto"/>
            <w:left w:val="none" w:sz="0" w:space="0" w:color="auto"/>
            <w:bottom w:val="none" w:sz="0" w:space="0" w:color="auto"/>
            <w:right w:val="none" w:sz="0" w:space="0" w:color="auto"/>
          </w:divBdr>
        </w:div>
        <w:div w:id="1468937208">
          <w:marLeft w:val="0"/>
          <w:marRight w:val="0"/>
          <w:marTop w:val="0"/>
          <w:marBottom w:val="0"/>
          <w:divBdr>
            <w:top w:val="none" w:sz="0" w:space="0" w:color="auto"/>
            <w:left w:val="none" w:sz="0" w:space="0" w:color="auto"/>
            <w:bottom w:val="none" w:sz="0" w:space="0" w:color="auto"/>
            <w:right w:val="none" w:sz="0" w:space="0" w:color="auto"/>
          </w:divBdr>
        </w:div>
        <w:div w:id="1270354882">
          <w:marLeft w:val="0"/>
          <w:marRight w:val="0"/>
          <w:marTop w:val="0"/>
          <w:marBottom w:val="0"/>
          <w:divBdr>
            <w:top w:val="none" w:sz="0" w:space="0" w:color="auto"/>
            <w:left w:val="none" w:sz="0" w:space="0" w:color="auto"/>
            <w:bottom w:val="none" w:sz="0" w:space="0" w:color="auto"/>
            <w:right w:val="none" w:sz="0" w:space="0" w:color="auto"/>
          </w:divBdr>
        </w:div>
        <w:div w:id="262541586">
          <w:marLeft w:val="0"/>
          <w:marRight w:val="0"/>
          <w:marTop w:val="0"/>
          <w:marBottom w:val="0"/>
          <w:divBdr>
            <w:top w:val="none" w:sz="0" w:space="0" w:color="auto"/>
            <w:left w:val="none" w:sz="0" w:space="0" w:color="auto"/>
            <w:bottom w:val="none" w:sz="0" w:space="0" w:color="auto"/>
            <w:right w:val="none" w:sz="0" w:space="0" w:color="auto"/>
          </w:divBdr>
        </w:div>
        <w:div w:id="1698968199">
          <w:marLeft w:val="0"/>
          <w:marRight w:val="0"/>
          <w:marTop w:val="0"/>
          <w:marBottom w:val="0"/>
          <w:divBdr>
            <w:top w:val="none" w:sz="0" w:space="0" w:color="auto"/>
            <w:left w:val="none" w:sz="0" w:space="0" w:color="auto"/>
            <w:bottom w:val="none" w:sz="0" w:space="0" w:color="auto"/>
            <w:right w:val="none" w:sz="0" w:space="0" w:color="auto"/>
          </w:divBdr>
        </w:div>
        <w:div w:id="200547258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gov.au/pbs/home" TargetMode="External"/><Relationship Id="rId13" Type="http://schemas.openxmlformats.org/officeDocument/2006/relationships/hyperlink" Target="https://goeg.at/Pharma_Price_Inform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qvi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emed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mshpriceguide.org/en/home/" TargetMode="External"/><Relationship Id="rId4" Type="http://schemas.openxmlformats.org/officeDocument/2006/relationships/settings" Target="settings.xml"/><Relationship Id="rId9" Type="http://schemas.openxmlformats.org/officeDocument/2006/relationships/hyperlink" Target="http://portal.anvisa.gov.br/listas-de-precos" TargetMode="External"/><Relationship Id="rId14"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D9D14-6017-4283-976B-5C46ED61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3739</Words>
  <Characters>21316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Vogler</dc:creator>
  <cp:keywords/>
  <dc:description/>
  <cp:lastModifiedBy>Tracy Candelaria</cp:lastModifiedBy>
  <cp:revision>2</cp:revision>
  <dcterms:created xsi:type="dcterms:W3CDTF">2019-02-07T19:34:00Z</dcterms:created>
  <dcterms:modified xsi:type="dcterms:W3CDTF">2019-02-07T19:34:00Z</dcterms:modified>
</cp:coreProperties>
</file>