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6489D" w14:textId="77777777" w:rsidR="00C135DD" w:rsidRPr="00CF4CE9" w:rsidRDefault="00C135DD" w:rsidP="00CF4CE9">
      <w:pPr>
        <w:spacing w:after="0" w:line="480" w:lineRule="auto"/>
        <w:rPr>
          <w:rFonts w:ascii="Arial" w:hAnsi="Arial" w:cs="Arial"/>
          <w:b/>
          <w:sz w:val="24"/>
          <w:szCs w:val="24"/>
        </w:rPr>
      </w:pPr>
      <w:r w:rsidRPr="00CF4CE9">
        <w:rPr>
          <w:rFonts w:ascii="Arial" w:hAnsi="Arial" w:cs="Arial"/>
          <w:b/>
          <w:caps/>
          <w:sz w:val="24"/>
          <w:szCs w:val="24"/>
        </w:rPr>
        <w:t>Supplementary file 1</w:t>
      </w:r>
      <w:r w:rsidRPr="00CF4CE9">
        <w:rPr>
          <w:rFonts w:ascii="Arial" w:hAnsi="Arial" w:cs="Arial"/>
          <w:b/>
          <w:sz w:val="24"/>
          <w:szCs w:val="24"/>
        </w:rPr>
        <w:t xml:space="preserve"> </w:t>
      </w:r>
    </w:p>
    <w:p w14:paraId="47EBAB6D" w14:textId="77777777" w:rsidR="006C0A43" w:rsidRDefault="006C0A43" w:rsidP="00CF4CE9">
      <w:pPr>
        <w:spacing w:after="0" w:line="480" w:lineRule="auto"/>
        <w:rPr>
          <w:rFonts w:ascii="Arial" w:hAnsi="Arial" w:cs="Arial"/>
          <w:b/>
          <w:sz w:val="24"/>
          <w:szCs w:val="24"/>
        </w:rPr>
      </w:pPr>
    </w:p>
    <w:p w14:paraId="086C6B95" w14:textId="1FEE0F9E" w:rsidR="00C135DD" w:rsidRPr="00CF4CE9" w:rsidRDefault="00C135DD" w:rsidP="00CF4CE9">
      <w:pPr>
        <w:spacing w:after="0" w:line="480" w:lineRule="auto"/>
        <w:rPr>
          <w:rFonts w:ascii="Arial" w:hAnsi="Arial" w:cs="Arial"/>
          <w:b/>
          <w:sz w:val="24"/>
          <w:szCs w:val="24"/>
        </w:rPr>
      </w:pPr>
      <w:r w:rsidRPr="00CF4CE9">
        <w:rPr>
          <w:rFonts w:ascii="Arial" w:hAnsi="Arial" w:cs="Arial"/>
          <w:b/>
          <w:sz w:val="24"/>
          <w:szCs w:val="24"/>
        </w:rPr>
        <w:t>Calculation of Sepsis Post</w:t>
      </w:r>
      <w:r w:rsidR="006C0A43">
        <w:rPr>
          <w:rFonts w:ascii="Arial" w:hAnsi="Arial" w:cs="Arial"/>
          <w:b/>
          <w:sz w:val="24"/>
          <w:szCs w:val="24"/>
        </w:rPr>
        <w:t>s</w:t>
      </w:r>
      <w:r w:rsidRPr="00CF4CE9">
        <w:rPr>
          <w:rFonts w:ascii="Arial" w:hAnsi="Arial" w:cs="Arial"/>
          <w:b/>
          <w:sz w:val="24"/>
          <w:szCs w:val="24"/>
        </w:rPr>
        <w:t>urvival Discounting Factor</w:t>
      </w:r>
    </w:p>
    <w:p w14:paraId="4267DD9D" w14:textId="203FE7BD" w:rsidR="00C135DD" w:rsidRPr="00CF4CE9" w:rsidRDefault="00C135DD" w:rsidP="00CF4CE9">
      <w:pPr>
        <w:spacing w:after="0" w:line="480" w:lineRule="auto"/>
        <w:rPr>
          <w:rFonts w:ascii="Arial" w:hAnsi="Arial" w:cs="Arial"/>
          <w:sz w:val="24"/>
          <w:szCs w:val="24"/>
        </w:rPr>
      </w:pPr>
      <w:r w:rsidRPr="00CF4CE9">
        <w:rPr>
          <w:rFonts w:ascii="Arial" w:hAnsi="Arial" w:cs="Arial"/>
          <w:sz w:val="24"/>
          <w:szCs w:val="24"/>
        </w:rPr>
        <w:t xml:space="preserve">In this study, we drew on several recent studies to generate a new life-expectancy discounting factor for patients with sepsis. There are a multitude of studies reporting </w:t>
      </w:r>
      <w:r w:rsidRPr="00CF4CE9">
        <w:rPr>
          <w:rFonts w:ascii="Arial" w:hAnsi="Arial" w:cs="Arial"/>
          <w:noProof/>
          <w:sz w:val="24"/>
          <w:szCs w:val="24"/>
        </w:rPr>
        <w:t>1-year</w:t>
      </w:r>
      <w:r w:rsidRPr="00CF4CE9">
        <w:rPr>
          <w:rFonts w:ascii="Arial" w:hAnsi="Arial" w:cs="Arial"/>
          <w:sz w:val="24"/>
          <w:szCs w:val="24"/>
        </w:rPr>
        <w:t xml:space="preserve"> survival rate for patients with sepsis </w:t>
      </w:r>
      <w:r w:rsidRPr="00CF4CE9">
        <w:rPr>
          <w:rFonts w:ascii="Arial" w:hAnsi="Arial" w:cs="Arial"/>
          <w:sz w:val="24"/>
          <w:szCs w:val="24"/>
        </w:rPr>
        <w:fldChar w:fldCharType="begin" w:fldLock="1"/>
      </w:r>
      <w:r w:rsidRPr="00CF4CE9">
        <w:rPr>
          <w:rFonts w:ascii="Arial" w:hAnsi="Arial" w:cs="Arial"/>
          <w:sz w:val="24"/>
          <w:szCs w:val="24"/>
        </w:rPr>
        <w:instrText>ADDIN CSL_CITATION {"citationItems":[{"id":"ITEM-1","itemData":{"DOI":"10.1097/CCM.0b013e3181d8cc1d","ISBN":"1530-0293 (Electronic)\\n0090-3493 (Linking)","ISSN":"00903493","PMID":"20308885","abstract":"BACKGROUND Long-term outcomes from sepsis are poorly understood, and sepsis in patients may have different long-term effects on mortality and quality of life. Long-term outcome studies of other critical illnesses such as acute lung injury have demonstrated incremental health effects that persist after hospital discharge. Whether patients with sepsis have similar long-term mortality and quality-of-life effects is unclear. OBJECTIVE We performed a systematic review of studies reporting long-term mortality and quality-of-life data (&gt;3 months) in patients with sepsis, severe sepsis, and septic shock using defined search criteria. DESIGN Systematic review of the literature. INTERVENTIONS None. MAIN RESULTS Patients with sepsis showed ongoing mortality up to 2 yrs and beyond after the standard 28-day inhospital mortality end point. Patients with sepsis also had decrements in quality-of-life measures after hospital discharge. Results were consistent across varying severity of illness and different patient populations in different countries, including large and small studies. In addition, these results were consistent within observational and randomized, controlled trials. Study quality was limited by inadequate control groups and poor adjustment for confounding variables. CONCLUSIONS Patients with sepsis have ongoing mortality beyond short-term end points, and survivors consistently demonstrate impaired quality of life. The use of 28-day mortality as an end point for clinical studies may lead to inaccurate inferences. Both observational and interventional future studies should include longer-term end points to better-understand the natural history of sepsis and the effect of interventions on patient morbidities.","author":[{"dropping-particle":"","family":"Winters","given":"Bradford D.","non-dropping-particle":"","parse-names":false,"suffix":""},{"dropping-particle":"","family":"Eberlein","given":"Michael","non-dropping-particle":"","parse-names":false,"suffix":""},{"dropping-particle":"","family":"Leung","given":"Janice","non-dropping-particle":"","parse-names":false,"suffix":""},{"dropping-particle":"","family":"Needham","given":"Dale M.","non-dropping-particle":"","parse-names":false,"suffix":""},{"dropping-particle":"","family":"Pronovost","given":"Peter J.","non-dropping-particle":"","parse-names":false,"suffix":""},{"dropping-particle":"","family":"Sevransky","given":"Jonathan E.","non-dropping-particle":"","parse-names":false,"suffix":""}],"container-title":"Critical Care Medicine","id":"ITEM-1","issue":"5","issued":{"date-parts":[["2010"]]},"page":"1276-1283","title":"Long-term mortality and quality of life in sepsis: A systematic review","type":"article-journal","volume":"38"},"uris":["http://www.mendeley.com/documents/?uuid=522ce8d8-a1d7-4e37-98d7-609ef1273e41"]}],"mendeley":{"formattedCitation":"(32)","plainTextFormattedCitation":"(32)","previouslyFormattedCitation":"(32)"},"properties":{"noteIndex":0},"schema":"https://github.com/citation-style-language/schema/raw/master/csl-citation.json"}</w:instrText>
      </w:r>
      <w:r w:rsidRPr="00CF4CE9">
        <w:rPr>
          <w:rFonts w:ascii="Arial" w:hAnsi="Arial" w:cs="Arial"/>
          <w:sz w:val="24"/>
          <w:szCs w:val="24"/>
        </w:rPr>
        <w:fldChar w:fldCharType="separate"/>
      </w:r>
      <w:r w:rsidRPr="00CF4CE9">
        <w:rPr>
          <w:rFonts w:ascii="Arial" w:hAnsi="Arial" w:cs="Arial"/>
          <w:noProof/>
          <w:sz w:val="24"/>
          <w:szCs w:val="24"/>
        </w:rPr>
        <w:t>(</w:t>
      </w:r>
      <w:r w:rsidR="00AE2611">
        <w:rPr>
          <w:rFonts w:ascii="Arial" w:hAnsi="Arial" w:cs="Arial"/>
          <w:noProof/>
          <w:sz w:val="24"/>
          <w:szCs w:val="24"/>
        </w:rPr>
        <w:t>1</w:t>
      </w:r>
      <w:r w:rsidRPr="00CF4CE9">
        <w:rPr>
          <w:rFonts w:ascii="Arial" w:hAnsi="Arial" w:cs="Arial"/>
          <w:noProof/>
          <w:sz w:val="24"/>
          <w:szCs w:val="24"/>
        </w:rPr>
        <w:t>)</w:t>
      </w:r>
      <w:r w:rsidRPr="00CF4CE9">
        <w:rPr>
          <w:rFonts w:ascii="Arial" w:hAnsi="Arial" w:cs="Arial"/>
          <w:sz w:val="24"/>
          <w:szCs w:val="24"/>
        </w:rPr>
        <w:fldChar w:fldCharType="end"/>
      </w:r>
      <w:r w:rsidRPr="00CF4CE9">
        <w:rPr>
          <w:rFonts w:ascii="Arial" w:hAnsi="Arial" w:cs="Arial"/>
          <w:sz w:val="24"/>
          <w:szCs w:val="24"/>
        </w:rPr>
        <w:t xml:space="preserve">. We identified 28-day to </w:t>
      </w:r>
      <w:r w:rsidRPr="00CF4CE9">
        <w:rPr>
          <w:rFonts w:ascii="Arial" w:hAnsi="Arial" w:cs="Arial"/>
          <w:noProof/>
          <w:sz w:val="24"/>
          <w:szCs w:val="24"/>
        </w:rPr>
        <w:t>1-year</w:t>
      </w:r>
      <w:r w:rsidRPr="00CF4CE9">
        <w:rPr>
          <w:rFonts w:ascii="Arial" w:hAnsi="Arial" w:cs="Arial"/>
          <w:sz w:val="24"/>
          <w:szCs w:val="24"/>
        </w:rPr>
        <w:t xml:space="preserve"> mortality rates for patients with sepsis from two large randomized clinical trials </w:t>
      </w:r>
      <w:r w:rsidRPr="00CF4CE9">
        <w:rPr>
          <w:rFonts w:ascii="Arial" w:hAnsi="Arial" w:cs="Arial"/>
          <w:sz w:val="24"/>
          <w:szCs w:val="24"/>
        </w:rPr>
        <w:fldChar w:fldCharType="begin" w:fldLock="1"/>
      </w:r>
      <w:r w:rsidRPr="00CF4CE9">
        <w:rPr>
          <w:rFonts w:ascii="Arial" w:hAnsi="Arial" w:cs="Arial"/>
          <w:sz w:val="24"/>
          <w:szCs w:val="24"/>
        </w:rPr>
        <w:instrText>ADDIN CSL_CITATION {"citationItems":[{"id":"ITEM-1","itemData":{"DOI":"10.1097/01.CCM.0000266588.95733.63","ISSN":"0090-3493","PMID":"17452935","abstract":"OBJECTIVE To demonstrate that drotrecogin alfa (activated) has an acceptable safety profile 1 yr from randomization. DESIGN One-year follow-up of patients participating in a placebo-controlled clinical study of drotrecogin alfa (activated) in severe sepsis patients at low risk of death (the ADDRESS study). SETTING The study was conducted at 516 hospitals in 34 countries. PATIENTS The study included 2,640 patients. INTERVENTIONS One-year follow-up was performed as an addendum to the placebo-controlled ADDRESS study. Treatment groups were compared using the chi-square test and Kaplan-Meier estimates. MEASUREMENTS AND MAIN RESULTS Survival status at 1 yr was obtained for 90% of patients enrolled in the study (n = 2,376). The difference in mortality rate between drotrecogin alfa (activated) and placebo patients was numerically smaller at 1 yr (34.2% and 34.0%, respectively, p = .94) than at 28 days (18.5% and 17.0%, respectively, p = .34). In the subgroups defined by organ dysfunction class (single or multiple) and Acute Physiology and Chronic Health Evaluation II score (&lt;25 or &gt;or=25), the differences in mortality rate between treatment groups at 1 yr were consistent with those observed at 28 days; no significant differences in mortality rates between treatment groups were observed. No additional serious adverse events were reported during the period between hospital discharge and 1 yr. CONCLUSIONS No increased risk of death or evidence of harm at 1 yr was associated with drotrecogin alfa (activated) administration in patients with severe sepsis at lower risk of death.","author":[{"dropping-particle":"","family":"Laterre","given":"Pierre-Francois","non-dropping-particle":"","parse-names":false,"suffix":""},{"dropping-particle":"","family":"Abraham","given":"Edward","non-dropping-particle":"","parse-names":false,"suffix":""},{"dropping-particle":"","family":"Janes","given":"Jonathan M","non-dropping-particle":"","parse-names":false,"suffix":""},{"dropping-particle":"","family":"Trzaskoma","given":"Benjamin L","non-dropping-particle":"","parse-names":false,"suffix":""},{"dropping-particle":"","family":"Correll","given":"Nancy L","non-dropping-particle":"","parse-names":false,"suffix":""},{"dropping-particle":"V","family":"Booth","given":"Frank","non-dropping-particle":"","parse-names":false,"suffix":""}],"container-title":"Critical care medicine","id":"ITEM-1","issue":"6","issued":{"date-parts":[["2007","6"]]},"page":"1457-63","title":"ADDRESS (ADministration of DRotrecogin alfa [activated] in Early stage Severe Sepsis) long-term follow-up: one-year safety and efficacy evaluation.","type":"article-journal","volume":"35"},"uris":["http://www.mendeley.com/documents/?uuid=f1f6dd68-0078-4c64-8087-3f107ec02c28"]},{"id":"ITEM-2","itemData":{"ISSN":"0090-3493","PMID":"15640631","abstract":"OBJECTIVE To determine long-term survival for subjects with severe sepsis enrolled in the previous multiple-center trial (PROWESS) of drotrecogin alfa (activated) (DrotAA) vs. placebo. DESIGN Retrospective, cross-sectional, blinded follow-up of subjects enrolled in a previous randomized, controlled trial. SETTING One hundred sixty-four tertiary care institutions in 11 countries. PARTICIPANTS The 1,690 subjects with severe sepsis enrolled and treated with study drug in PROWESS, of whom 1,220 were alive at 28 days (the end of the original PROWESS follow-up). INTERVENTIONS DrotAA (n = 850), 24 mug/kg/hr for 96 hrs, or placebo (n = 840). MEASUREMENTS AND MAIN RESULTS Long-term survival data were collected. We had follow-up information on 100% of subjects at 28 days, 98% at hospital discharge, 94% at 3 months, and 93% at 1 yr. The longest follow-up was 3.6 yrs. Hospital survival was higher with DrotAA vs. placebo (70.3% vs. 65.1%, p = .03). There was no statistically significant difference in duration of survival time or in landmark survival rates in subjects who received DrotAA compared with those who received placebo (median duration of survival = 1113 days vs. 846 days for DrotAA vs. placebo, p = .10; landmark survival rates for DrotAA vs. placebo, 66.1% vs. 62.4% at 3 months [p = .11], 62.2% vs. 60.3% at 6 months [p = .44], 58.9% vs. 57.2% at 1 yr [p = .49], and 52.6% vs. 49.3% at 2(1/2) yrs [p = .21]). There was a significant interaction (p = .0008) between treatment assignment and baseline Acute Physiology and Chronic Health Evaluation (APACHE) II scores, suggesting qualitative differences in treatment effect with severity of illness. Subjects with APACHE II &gt;/=25 had better survival time with DrotAA (median duration of survival: 450 vs. 71 days, p =.0005). Survival rates were also higher at landmark time points (DrotAA vs. placebo, 58.9% vs. 48.4% at 3 months [p = .003], 55.2% vs. 45.3% at 6 months [p = .005], 52.1% vs. 41.3% at 1 yr [p = .002], and 45.6% vs. 33.8% at 2(1/2) yrs [p = .001]). In the APACHE II &lt;25 group there was no significant difference in survival time or survival rates at landmark time points except at 1 yr (DrotAA vs. placebo, 65.5% vs. 72.0% at 1 yr, p = .04). CONCLUSIONS The acute survival benefit observed in subjects with severe sepsis who received DrotAA persists to hospital discharge. The survival benefit loses statistical significance thereafter. Post hoc analysis suggests the effect of DrotAA varies by APACHE II score with i…","author":[{"dropping-particle":"","family":"Angus","given":"Derek C","non-dropping-particle":"","parse-names":false,"suffix":""},{"dropping-particle":"","family":"Laterre","given":"Pierre-Francois","non-dropping-particle":"","parse-names":false,"suffix":""},{"dropping-particle":"","family":"Helterbrand","given":"Jeff","non-dropping-particle":"","parse-names":false,"suffix":""},{"dropping-particle":"","family":"Ely","given":"E Wesley","non-dropping-particle":"","parse-names":false,"suffix":""},{"dropping-particle":"","family":"Ball","given":"Daniel E","non-dropping-particle":"","parse-names":false,"suffix":""},{"dropping-particle":"","family":"Garg","given":"Rekha","non-dropping-particle":"","parse-names":false,"suffix":""},{"dropping-particle":"","family":"Weissfeld","given":"Lisa A","non-dropping-particle":"","parse-names":false,"suffix":""},{"dropping-particle":"","family":"Bernard","given":"Gordon R","non-dropping-particle":"","parse-names":false,"suffix":""},{"dropping-particle":"","family":"PROWESS Investigators","given":"","non-dropping-particle":"","parse-names":false,"suffix":""}],"container-title":"Critical care medicine","id":"ITEM-2","issue":"11","issued":{"date-parts":[["2004","11"]]},"page":"2199-206","title":"The effect of drotrecogin alfa (activated) on long-term survival after severe sepsis.","type":"article-journal","volume":"32"},"uris":["http://www.mendeley.com/documents/?uuid=1783feb1-66e8-48e7-bf0c-267b47c26b55"]}],"mendeley":{"formattedCitation":"(30, 33)","plainTextFormattedCitation":"(30, 33)","previouslyFormattedCitation":"(30, 33)"},"properties":{"noteIndex":0},"schema":"https://github.com/citation-style-language/schema/raw/master/csl-citation.json"}</w:instrText>
      </w:r>
      <w:r w:rsidRPr="00CF4CE9">
        <w:rPr>
          <w:rFonts w:ascii="Arial" w:hAnsi="Arial" w:cs="Arial"/>
          <w:sz w:val="24"/>
          <w:szCs w:val="24"/>
        </w:rPr>
        <w:fldChar w:fldCharType="separate"/>
      </w:r>
      <w:r w:rsidRPr="00CF4CE9">
        <w:rPr>
          <w:rFonts w:ascii="Arial" w:hAnsi="Arial" w:cs="Arial"/>
          <w:noProof/>
          <w:sz w:val="24"/>
          <w:szCs w:val="24"/>
        </w:rPr>
        <w:t>(2,</w:t>
      </w:r>
      <w:r w:rsidR="00573F65">
        <w:rPr>
          <w:rFonts w:ascii="Arial" w:hAnsi="Arial" w:cs="Arial"/>
          <w:noProof/>
          <w:sz w:val="24"/>
          <w:szCs w:val="24"/>
        </w:rPr>
        <w:t>3</w:t>
      </w:r>
      <w:r w:rsidRPr="00CF4CE9">
        <w:rPr>
          <w:rFonts w:ascii="Arial" w:hAnsi="Arial" w:cs="Arial"/>
          <w:noProof/>
          <w:sz w:val="24"/>
          <w:szCs w:val="24"/>
        </w:rPr>
        <w:t>)</w:t>
      </w:r>
      <w:r w:rsidRPr="00CF4CE9">
        <w:rPr>
          <w:rFonts w:ascii="Arial" w:hAnsi="Arial" w:cs="Arial"/>
          <w:sz w:val="24"/>
          <w:szCs w:val="24"/>
        </w:rPr>
        <w:fldChar w:fldCharType="end"/>
      </w:r>
      <w:r w:rsidRPr="00CF4CE9">
        <w:rPr>
          <w:rFonts w:ascii="Arial" w:hAnsi="Arial" w:cs="Arial"/>
          <w:sz w:val="24"/>
          <w:szCs w:val="24"/>
        </w:rPr>
        <w:t xml:space="preserve"> and two large observational studies </w:t>
      </w:r>
      <w:r w:rsidRPr="00CF4CE9">
        <w:rPr>
          <w:rFonts w:ascii="Arial" w:hAnsi="Arial" w:cs="Arial"/>
          <w:sz w:val="24"/>
          <w:szCs w:val="24"/>
        </w:rPr>
        <w:fldChar w:fldCharType="begin" w:fldLock="1"/>
      </w:r>
      <w:r w:rsidRPr="00CF4CE9">
        <w:rPr>
          <w:rFonts w:ascii="Arial" w:hAnsi="Arial" w:cs="Arial"/>
          <w:sz w:val="24"/>
          <w:szCs w:val="24"/>
        </w:rPr>
        <w:instrText>ADDIN CSL_CITATION {"citationItems":[{"id":"ITEM-1","itemData":{"DOI":"10.18553/jmcp.2004.10.6.521","ISSN":"1083-4087","PMID":"15548124","abstract":"OBJECTIVE To determine severe sepsis (SS) incidence, hospital mortality, 1-year mortality, and costs associated with care in a sample of enrollees in a nationally representative individual practice association (IPA)-network managed care organization (MCO). METHODS This was a retrospective analysis of administrative claims data for commercial (not managed Medicare) members. We identified MCO members hospitalized for SS between July 1995 and December 1998. SS cases were identified by a combination of ICD-9-CM codes for infection and organ dysfunction. Enrollment information, physician, facility, and pharmacy claims were analyzed. Subjects with continuous enrollment were followed for 1 full year of observation. Costs were health plan payments to providers, after subtraction of member cost-share amounts. RESULTS The incidence rate was 0.91 cases of SS per 1,000 enrollees, increasing with age. The mean age of SS patients was 50 years, and 53% were male. Approximately 63% received surgical intervention. Mortality was 21% during the first hospitalization and 36.1% at 1 year. During follow-up, 47.1% of survivors were rehospitalized. Mean index hospitalization length of stay and costs were 16 days and 26,820 dollars, with 1-year inpatient and outpatient costs totaling 48,996 dollars. Mean outpatient costs per survivor were 8,363 dollars, and mean per-patient-per-month (PPPM) outpatient costs were 906 dollars. Total follow-up costs including rehospitalization were similar for nonsurvivors compared with survivors (7,710 dollars versus 8,522 dollars, P=0.274), but PPPM costs were higher for nonsurvivors (1,760 dollars versus 699 dollars, P&lt;0.001). CONCLUSIONS Incidence, hospital, and 1-year mortality rates were lower in this population compared with literature reports and were associated with a lower average age in this managed care population. Mean SS hospitalization costs were high, and nearly one half of survivors required rehospitalization within 1 year. Study results suggest the need to evaluate SS interventions for improvement in health outcomes and cost outcomes, particularly in postsurgical patients.","author":[{"dropping-particle":"","family":"Braun","given":"LeeAnn","non-dropping-particle":"","parse-names":false,"suffix":""},{"dropping-particle":"","family":"Riedel","given":"Aylin Atlan","non-dropping-particle":"","parse-names":false,"suffix":""},{"dropping-particle":"","family":"Cooper","given":"Liesl Marie","non-dropping-particle":"","parse-names":false,"suffix":""}],"container-title":"Journal of managed care pharmacy : JMCP","id":"ITEM-1","issue":"6","issued":{"date-parts":[["2004"]]},"page":"521-30","title":"Severe sepsis in managed care: analysis of incidence, one-year mortality, and associated costs of care.","type":"article-journal","volume":"10"},"uris":["http://www.mendeley.com/documents/?uuid=1c9479a6-c01c-4edd-9303-76c8718f7bc9"]},{"id":"ITEM-2","itemData":{"DOI":"10.1097/01.CCM.0000251508.12555.3E","ISSN":"0090-3493","PMID":"17110874","abstract":"OBJECTIVE To assess the predictive performance for 1-yr mortality of the previously derived and validated Mortality in Emergency Department Sepsis (MEDS) score. DESIGN Prospective cohort study. PATIENTS Consecutive adult (aged &gt; or =18 yrs) emergency department patients presenting to an urban, tertiary care, university hospital were eligible if they had a clinically suspected infection as indicated by the decision to obtain a blood culture. The enrollment period was between February 1, 2000, and February 1, 2001. Of 3,926 eligible patient visits, 3,762 (96%) were enrolled and 3,102 unique first visits were analyzed. INTERVENTIONS None. MEASUREMENTS AND MAIN RESULTS A total of 667 patients (21.5%) died within 1 yr. The unadjusted 1-yr mortality rates for the MEDS risk groups were: very low risk, 7%; low risk, 20%; moderate risk, 37%; high risk, 64%; very high risk, 80%. Using a Cox proportional hazard model that controlled for age, sex, and Charlson co-morbidity index, the 1-yr hazard ratios compared with the baseline very low-risk group were: low risk, 2.2 (1.7-2.9); moderate risk, 3.5 (2.7-4.6); high risk, 6.7 (4.9-9.3); and very high risk, 10.5 (7.2-15.4). The groups were significantly different (p &lt; .0001). CONCLUSIONS Although the score was initially derived for 28-day in-hospital mortality, our results indicate that the MEDS score also predicts patient survival at 1 yr after index hospital visit with suspected infection. The score needs external validation before widespread use.","author":[{"dropping-particle":"","family":"Shapiro","given":"Nathan I","non-dropping-particle":"","parse-names":false,"suffix":""},{"dropping-particle":"","family":"Howell","given":"Michael D","non-dropping-particle":"","parse-names":false,"suffix":""},{"dropping-particle":"","family":"Talmor","given":"Daniel","non-dropping-particle":"","parse-names":false,"suffix":""},{"dropping-particle":"","family":"Donnino","given":"Michael","non-dropping-particle":"","parse-names":false,"suffix":""},{"dropping-particle":"","family":"Ngo","given":"Long","non-dropping-particle":"","parse-names":false,"suffix":""},{"dropping-particle":"","family":"Bates","given":"David W","non-dropping-particle":"","parse-names":false,"suffix":""}],"container-title":"Critical care medicine","id":"ITEM-2","issue":"1","issued":{"date-parts":[["2007","1"]]},"page":"192-8","title":"Mortality in Emergency Department Sepsis (MEDS) score predicts 1-year mortality.","type":"article-journal","volume":"35"},"uris":["http://www.mendeley.com/documents/?uuid=af6f466e-fe68-4aa7-a34a-362c1a88b935"]}],"mendeley":{"formattedCitation":"(28, 29)","plainTextFormattedCitation":"(28, 29)","previouslyFormattedCitation":"(28, 29)"},"properties":{"noteIndex":0},"schema":"https://github.com/citation-style-language/schema/raw/master/csl-citation.json"}</w:instrText>
      </w:r>
      <w:r w:rsidRPr="00CF4CE9">
        <w:rPr>
          <w:rFonts w:ascii="Arial" w:hAnsi="Arial" w:cs="Arial"/>
          <w:sz w:val="24"/>
          <w:szCs w:val="24"/>
        </w:rPr>
        <w:fldChar w:fldCharType="separate"/>
      </w:r>
      <w:r w:rsidRPr="00CF4CE9">
        <w:rPr>
          <w:rFonts w:ascii="Arial" w:hAnsi="Arial" w:cs="Arial"/>
          <w:noProof/>
          <w:sz w:val="24"/>
          <w:szCs w:val="24"/>
        </w:rPr>
        <w:t>(</w:t>
      </w:r>
      <w:r w:rsidR="00F3332E">
        <w:rPr>
          <w:rFonts w:ascii="Arial" w:hAnsi="Arial" w:cs="Arial"/>
          <w:noProof/>
          <w:sz w:val="24"/>
          <w:szCs w:val="24"/>
        </w:rPr>
        <w:t>4,5</w:t>
      </w:r>
      <w:r w:rsidRPr="00CF4CE9">
        <w:rPr>
          <w:rFonts w:ascii="Arial" w:hAnsi="Arial" w:cs="Arial"/>
          <w:noProof/>
          <w:sz w:val="24"/>
          <w:szCs w:val="24"/>
        </w:rPr>
        <w:t>)</w:t>
      </w:r>
      <w:r w:rsidRPr="00CF4CE9">
        <w:rPr>
          <w:rFonts w:ascii="Arial" w:hAnsi="Arial" w:cs="Arial"/>
          <w:sz w:val="24"/>
          <w:szCs w:val="24"/>
        </w:rPr>
        <w:fldChar w:fldCharType="end"/>
      </w:r>
      <w:r w:rsidRPr="00CF4CE9">
        <w:rPr>
          <w:rFonts w:ascii="Arial" w:hAnsi="Arial" w:cs="Arial"/>
          <w:sz w:val="24"/>
          <w:szCs w:val="24"/>
        </w:rPr>
        <w:t xml:space="preserve">. We used a study by Linder </w:t>
      </w:r>
      <w:r w:rsidRPr="00CF4CE9">
        <w:rPr>
          <w:rFonts w:ascii="Arial" w:hAnsi="Arial" w:cs="Arial"/>
          <w:noProof/>
          <w:sz w:val="24"/>
          <w:szCs w:val="24"/>
        </w:rPr>
        <w:t>et al.</w:t>
      </w:r>
      <w:r w:rsidRPr="00CF4CE9">
        <w:rPr>
          <w:rFonts w:ascii="Arial" w:hAnsi="Arial" w:cs="Arial"/>
          <w:sz w:val="24"/>
          <w:szCs w:val="24"/>
        </w:rPr>
        <w:t xml:space="preserve"> to estimate the long-term outcomes of sepsis </w:t>
      </w:r>
      <w:r w:rsidRPr="00CF4CE9">
        <w:rPr>
          <w:rFonts w:ascii="Arial" w:hAnsi="Arial" w:cs="Arial"/>
          <w:sz w:val="24"/>
          <w:szCs w:val="24"/>
        </w:rPr>
        <w:fldChar w:fldCharType="begin" w:fldLock="1"/>
      </w:r>
      <w:r w:rsidRPr="00CF4CE9">
        <w:rPr>
          <w:rFonts w:ascii="Arial" w:hAnsi="Arial" w:cs="Arial"/>
          <w:sz w:val="24"/>
          <w:szCs w:val="24"/>
        </w:rPr>
        <w:instrText>ADDIN CSL_CITATION {"citationItems":[{"id":"ITEM-1","itemData":{"DOI":"10.1097/CCM.0000000000000503","ISBN":"0000000000000","ISSN":"1530-0293","PMID":"25054672","abstract":"OBJECTIVES Long-term (1- to 10-year) outcomes after severe sepsis in previously healthy persons are unknown. We aimed to determine the 1- to 10-year mortality rates of previously healthy patients with severe sepsis and compare these to mortality rates of patients with nonseptic critical illness and the general population. DESIGN A prospective cohort study of 2,289 patients from one mixed medical-surgical ICU and one cardiovascular surgery ICU. Age- and gender-comparable general British Columbia population was used as comparison. Patients were followed from the date of admission to the ICU to January 31, 2013. Provincial vital statistics were used to determine the patients' date of death. For the general population comparison, expected survival was obtained from life tables of the population of British Columbia, Canada. SETTING A quaternary-level provincial referral hospital in Vancouver, British Columbia, Canada. PATIENTS Two thousand two hundred eighty-nine patients from one mixed medical-surgical ICU and one cardiovascular surgery ICU. Age- and gender-comparable general British Columbia population was used for comparison. INTERVENTIONS None. MEASUREMENTS AND MAIN RESULTS Patients with severe sepsis without comorbidities had higher mortality from 1 to 10 years than general British Columbia population (p &lt; 0.01). Younger patients with severe sepsis (&lt; 60 yr) had the worst 1- to 5-year and 5- to 10-year mortality (hazard ratio [95% CI], 17.8 [13.4-24.8] and 6.0 [4-9]) compared with the general population. Patients with severe sepsis had significantly poorer 1- to 10-year mortality rates (30.5%) compared with patients with nonseptic critical illness (22.1%) and patients who have undergone cardiovascular surgery (15.9%). Patients with sepsis had higher mortality rates from 1-5 years and 5-10 years than the general British Columbia population (hazard ratio [95% CI], 4.5 [2.2-9.1] and 2.2 [0.9-14.7]). CONCLUSIONS Previously healthy patients suffering an episode of severe sepsis have increased long-term mortality compared with patients with nonseptic critical illness and a general population.","author":[{"dropping-particle":"","family":"Linder","given":"Adam","non-dropping-particle":"","parse-names":false,"suffix":""},{"dropping-particle":"","family":"Guh","given":"Daphne","non-dropping-particle":"","parse-names":false,"suffix":""},{"dropping-particle":"","family":"Boyd","given":"John H.","non-dropping-particle":"","parse-names":false,"suffix":""},{"dropping-particle":"","family":"Walley","given":"Keith R.","non-dropping-particle":"","parse-names":false,"suffix":""},{"dropping-particle":"","family":"Anis","given":"Aslam H.","non-dropping-particle":"","parse-names":false,"suffix":""},{"dropping-particle":"","family":"Russell","given":"James A.","non-dropping-particle":"","parse-names":false,"suffix":""}],"container-title":"Critical care medicine","id":"ITEM-1","issue":"10","issued":{"date-parts":[["2014","10"]]},"page":"2211-8","title":"Long-term (10-year) mortality of younger previously healthy patients with severe sepsis/septic shock is worse than that of patients with nonseptic critical illness and of the general population.","type":"article-journal","volume":"42"},"uris":["http://www.mendeley.com/documents/?uuid=7a691ab3-5dd2-4bfe-bbc4-17094b8225b3"]}],"mendeley":{"formattedCitation":"(31)","plainTextFormattedCitation":"(31)","previouslyFormattedCitation":"(31)"},"properties":{"noteIndex":0},"schema":"https://github.com/citation-style-language/schema/raw/master/csl-citation.json"}</w:instrText>
      </w:r>
      <w:r w:rsidRPr="00CF4CE9">
        <w:rPr>
          <w:rFonts w:ascii="Arial" w:hAnsi="Arial" w:cs="Arial"/>
          <w:sz w:val="24"/>
          <w:szCs w:val="24"/>
        </w:rPr>
        <w:fldChar w:fldCharType="separate"/>
      </w:r>
      <w:r w:rsidRPr="00CF4CE9">
        <w:rPr>
          <w:rFonts w:ascii="Arial" w:hAnsi="Arial" w:cs="Arial"/>
          <w:noProof/>
          <w:sz w:val="24"/>
          <w:szCs w:val="24"/>
        </w:rPr>
        <w:t>(</w:t>
      </w:r>
      <w:r w:rsidR="004543DD">
        <w:rPr>
          <w:rFonts w:ascii="Arial" w:hAnsi="Arial" w:cs="Arial"/>
          <w:noProof/>
          <w:sz w:val="24"/>
          <w:szCs w:val="24"/>
        </w:rPr>
        <w:t>6</w:t>
      </w:r>
      <w:r w:rsidRPr="00CF4CE9">
        <w:rPr>
          <w:rFonts w:ascii="Arial" w:hAnsi="Arial" w:cs="Arial"/>
          <w:noProof/>
          <w:sz w:val="24"/>
          <w:szCs w:val="24"/>
        </w:rPr>
        <w:t>)</w:t>
      </w:r>
      <w:r w:rsidRPr="00CF4CE9">
        <w:rPr>
          <w:rFonts w:ascii="Arial" w:hAnsi="Arial" w:cs="Arial"/>
          <w:sz w:val="24"/>
          <w:szCs w:val="24"/>
        </w:rPr>
        <w:fldChar w:fldCharType="end"/>
      </w:r>
      <w:r w:rsidRPr="00CF4CE9">
        <w:rPr>
          <w:rFonts w:ascii="Arial" w:hAnsi="Arial" w:cs="Arial"/>
          <w:sz w:val="24"/>
          <w:szCs w:val="24"/>
        </w:rPr>
        <w:t xml:space="preserve">. This study identified a cohort of 2,289 sepsis survivors at 1 year after ICU admission </w:t>
      </w:r>
      <w:r w:rsidR="00AF6A94">
        <w:rPr>
          <w:rFonts w:ascii="Arial" w:hAnsi="Arial" w:cs="Arial"/>
          <w:sz w:val="24"/>
          <w:szCs w:val="24"/>
        </w:rPr>
        <w:t>in</w:t>
      </w:r>
      <w:r w:rsidRPr="00CF4CE9">
        <w:rPr>
          <w:rFonts w:ascii="Arial" w:hAnsi="Arial" w:cs="Arial"/>
          <w:sz w:val="24"/>
          <w:szCs w:val="24"/>
        </w:rPr>
        <w:t xml:space="preserve"> British Columbia, Canada</w:t>
      </w:r>
      <w:r w:rsidR="00AF6A94">
        <w:rPr>
          <w:rFonts w:ascii="Arial" w:hAnsi="Arial" w:cs="Arial"/>
          <w:sz w:val="24"/>
          <w:szCs w:val="24"/>
        </w:rPr>
        <w:t>,</w:t>
      </w:r>
      <w:r w:rsidRPr="00CF4CE9">
        <w:rPr>
          <w:rFonts w:ascii="Arial" w:hAnsi="Arial" w:cs="Arial"/>
          <w:sz w:val="24"/>
          <w:szCs w:val="24"/>
        </w:rPr>
        <w:t xml:space="preserve"> and tracked their mortality status for 9 years. More important</w:t>
      </w:r>
      <w:r w:rsidR="00AF6A94">
        <w:rPr>
          <w:rFonts w:ascii="Arial" w:hAnsi="Arial" w:cs="Arial"/>
          <w:sz w:val="24"/>
          <w:szCs w:val="24"/>
        </w:rPr>
        <w:t>ly</w:t>
      </w:r>
      <w:r w:rsidRPr="00CF4CE9">
        <w:rPr>
          <w:rFonts w:ascii="Arial" w:hAnsi="Arial" w:cs="Arial"/>
          <w:sz w:val="24"/>
          <w:szCs w:val="24"/>
        </w:rPr>
        <w:t>, this study also included the mortality status of an age</w:t>
      </w:r>
      <w:r w:rsidR="00AF6A94">
        <w:rPr>
          <w:rFonts w:ascii="Arial" w:hAnsi="Arial" w:cs="Arial"/>
          <w:sz w:val="24"/>
          <w:szCs w:val="24"/>
        </w:rPr>
        <w:t xml:space="preserve">- and </w:t>
      </w:r>
      <w:r w:rsidRPr="00CF4CE9">
        <w:rPr>
          <w:rFonts w:ascii="Arial" w:hAnsi="Arial" w:cs="Arial"/>
          <w:sz w:val="24"/>
          <w:szCs w:val="24"/>
        </w:rPr>
        <w:t>gender</w:t>
      </w:r>
      <w:r w:rsidR="00AF6A94">
        <w:rPr>
          <w:rFonts w:ascii="Arial" w:hAnsi="Arial" w:cs="Arial"/>
          <w:sz w:val="24"/>
          <w:szCs w:val="24"/>
        </w:rPr>
        <w:t>-</w:t>
      </w:r>
      <w:r w:rsidRPr="00CF4CE9">
        <w:rPr>
          <w:rFonts w:ascii="Arial" w:hAnsi="Arial" w:cs="Arial"/>
          <w:sz w:val="24"/>
          <w:szCs w:val="24"/>
        </w:rPr>
        <w:t xml:space="preserve">matched general population. We used the data from Linder </w:t>
      </w:r>
      <w:r w:rsidRPr="00CF4CE9">
        <w:rPr>
          <w:rFonts w:ascii="Arial" w:hAnsi="Arial" w:cs="Arial"/>
          <w:noProof/>
          <w:sz w:val="24"/>
          <w:szCs w:val="24"/>
        </w:rPr>
        <w:t>et al.</w:t>
      </w:r>
      <w:r w:rsidRPr="00CF4CE9">
        <w:rPr>
          <w:rFonts w:ascii="Arial" w:hAnsi="Arial" w:cs="Arial"/>
          <w:sz w:val="24"/>
          <w:szCs w:val="24"/>
        </w:rPr>
        <w:t xml:space="preserve"> to generate mortality rates from year 1 to year 10 for patients with sepsis and the general population (30.5</w:t>
      </w:r>
      <w:r w:rsidR="00997AC1">
        <w:rPr>
          <w:rFonts w:ascii="Arial" w:hAnsi="Arial" w:cs="Arial"/>
          <w:sz w:val="24"/>
          <w:szCs w:val="24"/>
        </w:rPr>
        <w:t xml:space="preserve"> percent</w:t>
      </w:r>
      <w:r w:rsidRPr="00CF4CE9">
        <w:rPr>
          <w:rFonts w:ascii="Arial" w:hAnsi="Arial" w:cs="Arial"/>
          <w:sz w:val="24"/>
          <w:szCs w:val="24"/>
        </w:rPr>
        <w:t xml:space="preserve"> </w:t>
      </w:r>
      <w:r w:rsidRPr="00CF4CE9">
        <w:rPr>
          <w:rFonts w:ascii="Arial" w:hAnsi="Arial" w:cs="Arial"/>
          <w:noProof/>
          <w:sz w:val="24"/>
          <w:szCs w:val="24"/>
        </w:rPr>
        <w:t>vs</w:t>
      </w:r>
      <w:r w:rsidRPr="00CF4CE9">
        <w:rPr>
          <w:rFonts w:ascii="Arial" w:hAnsi="Arial" w:cs="Arial"/>
          <w:sz w:val="24"/>
          <w:szCs w:val="24"/>
        </w:rPr>
        <w:t xml:space="preserve"> 11.8</w:t>
      </w:r>
      <w:r w:rsidR="00997AC1">
        <w:rPr>
          <w:rFonts w:ascii="Arial" w:hAnsi="Arial" w:cs="Arial"/>
          <w:sz w:val="24"/>
          <w:szCs w:val="24"/>
        </w:rPr>
        <w:t xml:space="preserve"> percent</w:t>
      </w:r>
      <w:r w:rsidRPr="00CF4CE9">
        <w:rPr>
          <w:rFonts w:ascii="Arial" w:hAnsi="Arial" w:cs="Arial"/>
          <w:sz w:val="24"/>
          <w:szCs w:val="24"/>
        </w:rPr>
        <w:t xml:space="preserve">). </w:t>
      </w:r>
    </w:p>
    <w:p w14:paraId="18593C4C" w14:textId="5253BE60" w:rsidR="00C135DD" w:rsidRDefault="00C135DD" w:rsidP="0075661B">
      <w:pPr>
        <w:spacing w:after="0" w:line="480" w:lineRule="auto"/>
        <w:rPr>
          <w:rFonts w:ascii="Arial" w:hAnsi="Arial" w:cs="Arial"/>
          <w:sz w:val="24"/>
          <w:szCs w:val="24"/>
          <w:lang w:eastAsia="zh-CN"/>
        </w:rPr>
      </w:pPr>
      <w:r w:rsidRPr="00CF4CE9">
        <w:rPr>
          <w:rFonts w:ascii="Arial" w:hAnsi="Arial" w:cs="Arial"/>
          <w:sz w:val="24"/>
          <w:szCs w:val="24"/>
        </w:rPr>
        <w:t>The calculation of the life-expectancy</w:t>
      </w:r>
      <w:r w:rsidRPr="00CF4CE9">
        <w:rPr>
          <w:rFonts w:ascii="Arial" w:hAnsi="Arial" w:cs="Arial"/>
          <w:noProof/>
          <w:sz w:val="24"/>
          <w:szCs w:val="24"/>
        </w:rPr>
        <w:t xml:space="preserve"> discounting</w:t>
      </w:r>
      <w:r w:rsidRPr="00CF4CE9">
        <w:rPr>
          <w:rFonts w:ascii="Arial" w:hAnsi="Arial" w:cs="Arial"/>
          <w:sz w:val="24"/>
          <w:szCs w:val="24"/>
        </w:rPr>
        <w:t xml:space="preserve"> factor is as follows. We first calculated the probability of 1-year survival given that a patient survived in 28 days. For example, in </w:t>
      </w:r>
      <w:r w:rsidRPr="00CF4CE9">
        <w:rPr>
          <w:rFonts w:ascii="Arial" w:hAnsi="Arial" w:cs="Arial"/>
          <w:noProof/>
          <w:sz w:val="24"/>
          <w:szCs w:val="24"/>
        </w:rPr>
        <w:t>Laterre</w:t>
      </w:r>
      <w:r w:rsidRPr="00CF4CE9">
        <w:rPr>
          <w:rFonts w:ascii="Arial" w:hAnsi="Arial" w:cs="Arial"/>
          <w:sz w:val="24"/>
          <w:szCs w:val="24"/>
        </w:rPr>
        <w:t xml:space="preserve"> </w:t>
      </w:r>
      <w:r w:rsidRPr="00CF4CE9">
        <w:rPr>
          <w:rFonts w:ascii="Arial" w:hAnsi="Arial" w:cs="Arial"/>
          <w:noProof/>
          <w:sz w:val="24"/>
          <w:szCs w:val="24"/>
        </w:rPr>
        <w:t xml:space="preserve">et al. </w:t>
      </w:r>
      <w:r w:rsidRPr="00CF4CE9">
        <w:rPr>
          <w:rFonts w:ascii="Arial" w:hAnsi="Arial" w:cs="Arial"/>
          <w:noProof/>
          <w:sz w:val="24"/>
          <w:szCs w:val="24"/>
        </w:rPr>
        <w:fldChar w:fldCharType="begin" w:fldLock="1"/>
      </w:r>
      <w:r w:rsidRPr="00CF4CE9">
        <w:rPr>
          <w:rFonts w:ascii="Arial" w:hAnsi="Arial" w:cs="Arial"/>
          <w:noProof/>
          <w:sz w:val="24"/>
          <w:szCs w:val="24"/>
        </w:rPr>
        <w:instrText>ADDIN CSL_CITATION {"citationItems":[{"id":"ITEM-1","itemData":{"DOI":"10.1097/01.CCM.0000266588.95733.63","ISSN":"0090-3493","PMID":"17452935","abstract":"OBJECTIVE To demonstrate that drotrecogin alfa (activated) has an acceptable safety profile 1 yr from randomization. DESIGN One-year follow-up of patients participating in a placebo-controlled clinical study of drotrecogin alfa (activated) in severe sepsis patients at low risk of death (the ADDRESS study). SETTING The study was conducted at 516 hospitals in 34 countries. PATIENTS The study included 2,640 patients. INTERVENTIONS One-year follow-up was performed as an addendum to the placebo-controlled ADDRESS study. Treatment groups were compared using the chi-square test and Kaplan-Meier estimates. MEASUREMENTS AND MAIN RESULTS Survival status at 1 yr was obtained for 90% of patients enrolled in the study (n = 2,376). The difference in mortality rate between drotrecogin alfa (activated) and placebo patients was numerically smaller at 1 yr (34.2% and 34.0%, respectively, p = .94) than at 28 days (18.5% and 17.0%, respectively, p = .34). In the subgroups defined by organ dysfunction class (single or multiple) and Acute Physiology and Chronic Health Evaluation II score (&lt;25 or &gt;or=25), the differences in mortality rate between treatment groups at 1 yr were consistent with those observed at 28 days; no significant differences in mortality rates between treatment groups were observed. No additional serious adverse events were reported during the period between hospital discharge and 1 yr. CONCLUSIONS No increased risk of death or evidence of harm at 1 yr was associated with drotrecogin alfa (activated) administration in patients with severe sepsis at lower risk of death.","author":[{"dropping-particle":"","family":"Laterre","given":"Pierre-Francois","non-dropping-particle":"","parse-names":false,"suffix":""},{"dropping-particle":"","family":"Abraham","given":"Edward","non-dropping-particle":"","parse-names":false,"suffix":""},{"dropping-particle":"","family":"Janes","given":"Jonathan M","non-dropping-particle":"","parse-names":false,"suffix":""},{"dropping-particle":"","family":"Trzaskoma","given":"Benjamin L","non-dropping-particle":"","parse-names":false,"suffix":""},{"dropping-particle":"","family":"Correll","given":"Nancy L","non-dropping-particle":"","parse-names":false,"suffix":""},{"dropping-particle":"V","family":"Booth","given":"Frank","non-dropping-particle":"","parse-names":false,"suffix":""}],"container-title":"Critical care medicine","id":"ITEM-1","issue":"6","issued":{"date-parts":[["2007","6"]]},"page":"1457-63","title":"ADDRESS (ADministration of DRotrecogin alfa [activated] in Early stage Severe Sepsis) long-term follow-up: one-year safety and efficacy evaluation.","type":"article-journal","volume":"35"},"uris":["http://www.mendeley.com/documents/?uuid=f1f6dd68-0078-4c64-8087-3f107ec02c28"]}],"mendeley":{"formattedCitation":"(30)","plainTextFormattedCitation":"(30)","previouslyFormattedCitation":"(30)"},"properties":{"noteIndex":0},"schema":"https://github.com/citation-style-language/schema/raw/master/csl-citation.json"}</w:instrText>
      </w:r>
      <w:r w:rsidRPr="00CF4CE9">
        <w:rPr>
          <w:rFonts w:ascii="Arial" w:hAnsi="Arial" w:cs="Arial"/>
          <w:noProof/>
          <w:sz w:val="24"/>
          <w:szCs w:val="24"/>
        </w:rPr>
        <w:fldChar w:fldCharType="separate"/>
      </w:r>
      <w:r w:rsidRPr="00CF4CE9">
        <w:rPr>
          <w:rFonts w:ascii="Arial" w:hAnsi="Arial" w:cs="Arial"/>
          <w:noProof/>
          <w:sz w:val="24"/>
          <w:szCs w:val="24"/>
        </w:rPr>
        <w:t>(2)</w:t>
      </w:r>
      <w:r w:rsidRPr="00CF4CE9">
        <w:rPr>
          <w:rFonts w:ascii="Arial" w:hAnsi="Arial" w:cs="Arial"/>
          <w:noProof/>
          <w:sz w:val="24"/>
          <w:szCs w:val="24"/>
        </w:rPr>
        <w:fldChar w:fldCharType="end"/>
      </w:r>
      <w:r w:rsidRPr="00CF4CE9">
        <w:rPr>
          <w:rFonts w:ascii="Arial" w:hAnsi="Arial" w:cs="Arial"/>
          <w:sz w:val="24"/>
          <w:szCs w:val="24"/>
        </w:rPr>
        <w:t>,</w:t>
      </w:r>
      <w:r w:rsidRPr="00CF4CE9">
        <w:rPr>
          <w:rFonts w:ascii="Arial" w:hAnsi="Arial" w:cs="Arial"/>
          <w:noProof/>
          <w:sz w:val="24"/>
          <w:szCs w:val="24"/>
          <w:vertAlign w:val="superscript"/>
        </w:rPr>
        <w:t xml:space="preserve"> </w:t>
      </w:r>
      <w:r w:rsidRPr="00CF4CE9">
        <w:rPr>
          <w:rFonts w:ascii="Arial" w:hAnsi="Arial" w:cs="Arial"/>
          <w:sz w:val="24"/>
          <w:szCs w:val="24"/>
        </w:rPr>
        <w:t>the 28-day mortality rate was 17</w:t>
      </w:r>
      <w:r w:rsidR="00997AC1">
        <w:rPr>
          <w:rFonts w:ascii="Arial" w:hAnsi="Arial" w:cs="Arial"/>
          <w:sz w:val="24"/>
          <w:szCs w:val="24"/>
        </w:rPr>
        <w:t xml:space="preserve"> percent</w:t>
      </w:r>
      <w:r w:rsidRPr="00CF4CE9">
        <w:rPr>
          <w:rFonts w:ascii="Arial" w:hAnsi="Arial" w:cs="Arial"/>
          <w:sz w:val="24"/>
          <w:szCs w:val="24"/>
        </w:rPr>
        <w:t xml:space="preserve">, </w:t>
      </w:r>
      <w:r w:rsidRPr="00CF4CE9">
        <w:rPr>
          <w:rFonts w:ascii="Arial" w:hAnsi="Arial" w:cs="Arial"/>
          <w:noProof/>
          <w:sz w:val="24"/>
          <w:szCs w:val="24"/>
        </w:rPr>
        <w:t>and</w:t>
      </w:r>
      <w:r w:rsidRPr="00CF4CE9">
        <w:rPr>
          <w:rFonts w:ascii="Arial" w:hAnsi="Arial" w:cs="Arial"/>
          <w:sz w:val="24"/>
          <w:szCs w:val="24"/>
        </w:rPr>
        <w:t xml:space="preserve"> the 1-year mortality rate was 34</w:t>
      </w:r>
      <w:r w:rsidR="00997AC1">
        <w:rPr>
          <w:rFonts w:ascii="Arial" w:hAnsi="Arial" w:cs="Arial"/>
          <w:sz w:val="24"/>
          <w:szCs w:val="24"/>
        </w:rPr>
        <w:t xml:space="preserve"> percent</w:t>
      </w:r>
      <w:r w:rsidRPr="00CF4CE9">
        <w:rPr>
          <w:rFonts w:ascii="Arial" w:hAnsi="Arial" w:cs="Arial"/>
          <w:sz w:val="24"/>
          <w:szCs w:val="24"/>
        </w:rPr>
        <w:t>. The 1-year mortality rate for 28-day survivors was (34</w:t>
      </w:r>
      <w:r w:rsidR="00997AC1">
        <w:rPr>
          <w:rFonts w:ascii="Arial" w:hAnsi="Arial" w:cs="Arial"/>
          <w:sz w:val="24"/>
          <w:szCs w:val="24"/>
        </w:rPr>
        <w:t xml:space="preserve"> percent</w:t>
      </w:r>
      <w:r w:rsidR="00AF6A94">
        <w:rPr>
          <w:rFonts w:ascii="Arial" w:hAnsi="Arial" w:cs="Arial"/>
          <w:sz w:val="24"/>
          <w:szCs w:val="24"/>
        </w:rPr>
        <w:t>–</w:t>
      </w:r>
      <w:r w:rsidRPr="00CF4CE9">
        <w:rPr>
          <w:rFonts w:ascii="Arial" w:hAnsi="Arial" w:cs="Arial"/>
          <w:sz w:val="24"/>
          <w:szCs w:val="24"/>
        </w:rPr>
        <w:t>17</w:t>
      </w:r>
      <w:r w:rsidR="00997AC1">
        <w:rPr>
          <w:rFonts w:ascii="Arial" w:hAnsi="Arial" w:cs="Arial"/>
          <w:sz w:val="24"/>
          <w:szCs w:val="24"/>
        </w:rPr>
        <w:t xml:space="preserve"> percent</w:t>
      </w:r>
      <w:r w:rsidRPr="00CF4CE9">
        <w:rPr>
          <w:rFonts w:ascii="Arial" w:hAnsi="Arial" w:cs="Arial"/>
          <w:sz w:val="24"/>
          <w:szCs w:val="24"/>
        </w:rPr>
        <w:t>)/(1-17</w:t>
      </w:r>
      <w:r w:rsidR="00997AC1">
        <w:rPr>
          <w:rFonts w:ascii="Arial" w:hAnsi="Arial" w:cs="Arial"/>
          <w:sz w:val="24"/>
          <w:szCs w:val="24"/>
        </w:rPr>
        <w:t xml:space="preserve"> percent</w:t>
      </w:r>
      <w:r w:rsidRPr="00CF4CE9">
        <w:rPr>
          <w:rFonts w:ascii="Arial" w:hAnsi="Arial" w:cs="Arial"/>
          <w:sz w:val="24"/>
          <w:szCs w:val="24"/>
        </w:rPr>
        <w:t>)</w:t>
      </w:r>
      <w:r w:rsidR="00AF6A94">
        <w:rPr>
          <w:rFonts w:ascii="Arial" w:hAnsi="Arial" w:cs="Arial"/>
          <w:sz w:val="24"/>
          <w:szCs w:val="24"/>
        </w:rPr>
        <w:t xml:space="preserve"> </w:t>
      </w:r>
      <w:r w:rsidRPr="00CF4CE9">
        <w:rPr>
          <w:rFonts w:ascii="Arial" w:hAnsi="Arial" w:cs="Arial"/>
          <w:sz w:val="24"/>
          <w:szCs w:val="24"/>
        </w:rPr>
        <w:t>=</w:t>
      </w:r>
      <w:r w:rsidR="00AF6A94">
        <w:rPr>
          <w:rFonts w:ascii="Arial" w:hAnsi="Arial" w:cs="Arial"/>
          <w:sz w:val="24"/>
          <w:szCs w:val="24"/>
        </w:rPr>
        <w:t xml:space="preserve"> </w:t>
      </w:r>
      <w:r w:rsidRPr="00CF4CE9">
        <w:rPr>
          <w:rFonts w:ascii="Arial" w:hAnsi="Arial" w:cs="Arial"/>
          <w:sz w:val="24"/>
          <w:szCs w:val="24"/>
        </w:rPr>
        <w:t>20.5</w:t>
      </w:r>
      <w:r w:rsidR="00997AC1">
        <w:rPr>
          <w:rFonts w:ascii="Arial" w:hAnsi="Arial" w:cs="Arial"/>
          <w:sz w:val="24"/>
          <w:szCs w:val="24"/>
        </w:rPr>
        <w:t xml:space="preserve"> percent</w:t>
      </w:r>
      <w:r w:rsidRPr="00CF4CE9">
        <w:rPr>
          <w:rFonts w:ascii="Arial" w:hAnsi="Arial" w:cs="Arial"/>
          <w:sz w:val="24"/>
          <w:szCs w:val="24"/>
        </w:rPr>
        <w:t>. At the same time, we also knew that the 1- to 10-year mortality rate for sepsis survivor was 30.5</w:t>
      </w:r>
      <w:r w:rsidR="00997AC1">
        <w:rPr>
          <w:rFonts w:ascii="Arial" w:hAnsi="Arial" w:cs="Arial"/>
          <w:sz w:val="24"/>
          <w:szCs w:val="24"/>
        </w:rPr>
        <w:t xml:space="preserve"> percent</w:t>
      </w:r>
      <w:r w:rsidRPr="00CF4CE9">
        <w:rPr>
          <w:rFonts w:ascii="Arial" w:hAnsi="Arial" w:cs="Arial"/>
          <w:sz w:val="24"/>
          <w:szCs w:val="24"/>
        </w:rPr>
        <w:t xml:space="preserve"> based on Linder et al. </w:t>
      </w:r>
      <w:r w:rsidRPr="00CF4CE9">
        <w:rPr>
          <w:rFonts w:ascii="Arial" w:hAnsi="Arial" w:cs="Arial"/>
          <w:sz w:val="24"/>
          <w:szCs w:val="24"/>
        </w:rPr>
        <w:fldChar w:fldCharType="begin" w:fldLock="1"/>
      </w:r>
      <w:r w:rsidRPr="00CF4CE9">
        <w:rPr>
          <w:rFonts w:ascii="Arial" w:hAnsi="Arial" w:cs="Arial"/>
          <w:sz w:val="24"/>
          <w:szCs w:val="24"/>
        </w:rPr>
        <w:instrText>ADDIN CSL_CITATION {"citationItems":[{"id":"ITEM-1","itemData":{"DOI":"10.1097/CCM.0000000000000503","ISBN":"0000000000000","ISSN":"1530-0293","PMID":"25054672","abstract":"OBJECTIVES Long-term (1- to 10-year) outcomes after severe sepsis in previously healthy persons are unknown. We aimed to determine the 1- to 10-year mortality rates of previously healthy patients with severe sepsis and compare these to mortality rates of patients with nonseptic critical illness and the general population. DESIGN A prospective cohort study of 2,289 patients from one mixed medical-surgical ICU and one cardiovascular surgery ICU. Age- and gender-comparable general British Columbia population was used as comparison. Patients were followed from the date of admission to the ICU to January 31, 2013. Provincial vital statistics were used to determine the patients' date of death. For the general population comparison, expected survival was obtained from life tables of the population of British Columbia, Canada. SETTING A quaternary-level provincial referral hospital in Vancouver, British Columbia, Canada. PATIENTS Two thousand two hundred eighty-nine patients from one mixed medical-surgical ICU and one cardiovascular surgery ICU. Age- and gender-comparable general British Columbia population was used for comparison. INTERVENTIONS None. MEASUREMENTS AND MAIN RESULTS Patients with severe sepsis without comorbidities had higher mortality from 1 to 10 years than general British Columbia population (p &lt; 0.01). Younger patients with severe sepsis (&lt; 60 yr) had the worst 1- to 5-year and 5- to 10-year mortality (hazard ratio [95% CI], 17.8 [13.4-24.8] and 6.0 [4-9]) compared with the general population. Patients with severe sepsis had significantly poorer 1- to 10-year mortality rates (30.5%) compared with patients with nonseptic critical illness (22.1%) and patients who have undergone cardiovascular surgery (15.9%). Patients with sepsis had higher mortality rates from 1-5 years and 5-10 years than the general British Columbia population (hazard ratio [95% CI], 4.5 [2.2-9.1] and 2.2 [0.9-14.7]). CONCLUSIONS Previously healthy patients suffering an episode of severe sepsis have increased long-term mortality compared with patients with nonseptic critical illness and a general population.","author":[{"dropping-particle":"","family":"Linder","given":"Adam","non-dropping-particle":"","parse-names":false,"suffix":""},{"dropping-particle":"","family":"Guh","given":"Daphne","non-dropping-particle":"","parse-names":false,"suffix":""},{"dropping-particle":"","family":"Boyd","given":"John H.","non-dropping-particle":"","parse-names":false,"suffix":""},{"dropping-particle":"","family":"Walley","given":"Keith R.","non-dropping-particle":"","parse-names":false,"suffix":""},{"dropping-particle":"","family":"Anis","given":"Aslam H.","non-dropping-particle":"","parse-names":false,"suffix":""},{"dropping-particle":"","family":"Russell","given":"James A.","non-dropping-particle":"","parse-names":false,"suffix":""}],"container-title":"Critical care medicine","id":"ITEM-1","issue":"10","issued":{"date-parts":[["2014","10"]]},"page":"2211-8","title":"Long-term (10-year) mortality of younger previously healthy patients with severe sepsis/septic shock is worse than that of patients with nonseptic critical illness and of the general population.","type":"article-journal","volume":"42"},"uris":["http://www.mendeley.com/documents/?uuid=7a691ab3-5dd2-4bfe-bbc4-17094b8225b3"]}],"mendeley":{"formattedCitation":"(31)","plainTextFormattedCitation":"(31)","previouslyFormattedCitation":"(31)"},"properties":{"noteIndex":0},"schema":"https://github.com/citation-style-language/schema/raw/master/csl-citation.json"}</w:instrText>
      </w:r>
      <w:r w:rsidRPr="00CF4CE9">
        <w:rPr>
          <w:rFonts w:ascii="Arial" w:hAnsi="Arial" w:cs="Arial"/>
          <w:sz w:val="24"/>
          <w:szCs w:val="24"/>
        </w:rPr>
        <w:fldChar w:fldCharType="separate"/>
      </w:r>
      <w:r w:rsidRPr="00CF4CE9">
        <w:rPr>
          <w:rFonts w:ascii="Arial" w:hAnsi="Arial" w:cs="Arial"/>
          <w:noProof/>
          <w:sz w:val="24"/>
          <w:szCs w:val="24"/>
        </w:rPr>
        <w:t>(</w:t>
      </w:r>
      <w:r w:rsidR="004543DD">
        <w:rPr>
          <w:rFonts w:ascii="Arial" w:hAnsi="Arial" w:cs="Arial"/>
          <w:noProof/>
          <w:sz w:val="24"/>
          <w:szCs w:val="24"/>
        </w:rPr>
        <w:t>6</w:t>
      </w:r>
      <w:r w:rsidRPr="00CF4CE9">
        <w:rPr>
          <w:rFonts w:ascii="Arial" w:hAnsi="Arial" w:cs="Arial"/>
          <w:noProof/>
          <w:sz w:val="24"/>
          <w:szCs w:val="24"/>
        </w:rPr>
        <w:t>)</w:t>
      </w:r>
      <w:r w:rsidRPr="00CF4CE9">
        <w:rPr>
          <w:rFonts w:ascii="Arial" w:hAnsi="Arial" w:cs="Arial"/>
          <w:sz w:val="24"/>
          <w:szCs w:val="24"/>
        </w:rPr>
        <w:fldChar w:fldCharType="end"/>
      </w:r>
      <w:r w:rsidRPr="00CF4CE9">
        <w:rPr>
          <w:rFonts w:ascii="Arial" w:hAnsi="Arial" w:cs="Arial"/>
          <w:sz w:val="24"/>
          <w:szCs w:val="24"/>
        </w:rPr>
        <w:t>. The 10-year survival rate for 28-day survivors was thus (1</w:t>
      </w:r>
      <w:r w:rsidR="00AF6A94">
        <w:rPr>
          <w:rFonts w:ascii="Arial" w:hAnsi="Arial" w:cs="Arial"/>
          <w:sz w:val="24"/>
          <w:szCs w:val="24"/>
        </w:rPr>
        <w:t>–</w:t>
      </w:r>
      <w:r w:rsidRPr="00CF4CE9">
        <w:rPr>
          <w:rFonts w:ascii="Arial" w:hAnsi="Arial" w:cs="Arial"/>
          <w:sz w:val="24"/>
          <w:szCs w:val="24"/>
        </w:rPr>
        <w:t>20.5</w:t>
      </w:r>
      <w:r w:rsidR="00997AC1">
        <w:rPr>
          <w:rFonts w:ascii="Arial" w:hAnsi="Arial" w:cs="Arial"/>
          <w:sz w:val="24"/>
          <w:szCs w:val="24"/>
        </w:rPr>
        <w:t xml:space="preserve"> percent</w:t>
      </w:r>
      <w:r w:rsidRPr="00CF4CE9">
        <w:rPr>
          <w:rFonts w:ascii="Arial" w:hAnsi="Arial" w:cs="Arial"/>
          <w:sz w:val="24"/>
          <w:szCs w:val="24"/>
        </w:rPr>
        <w:t>)</w:t>
      </w:r>
      <w:r w:rsidR="00AF6A94">
        <w:rPr>
          <w:rFonts w:ascii="Arial" w:hAnsi="Arial" w:cs="Arial"/>
          <w:sz w:val="24"/>
          <w:szCs w:val="24"/>
        </w:rPr>
        <w:t xml:space="preserve"> </w:t>
      </w:r>
      <w:r w:rsidR="006C0A43">
        <w:rPr>
          <w:rFonts w:ascii="Arial" w:hAnsi="Arial" w:cs="Arial"/>
          <w:sz w:val="24"/>
          <w:szCs w:val="24"/>
        </w:rPr>
        <w:t>×</w:t>
      </w:r>
      <w:r w:rsidR="00AF6A94">
        <w:rPr>
          <w:rFonts w:ascii="Arial" w:hAnsi="Arial" w:cs="Arial"/>
          <w:sz w:val="24"/>
          <w:szCs w:val="24"/>
        </w:rPr>
        <w:t xml:space="preserve"> </w:t>
      </w:r>
      <w:r w:rsidRPr="00CF4CE9">
        <w:rPr>
          <w:rFonts w:ascii="Arial" w:hAnsi="Arial" w:cs="Arial"/>
          <w:sz w:val="24"/>
          <w:szCs w:val="24"/>
        </w:rPr>
        <w:t>(1</w:t>
      </w:r>
      <w:r w:rsidR="00AF6A94">
        <w:rPr>
          <w:rFonts w:ascii="Arial" w:hAnsi="Arial" w:cs="Arial"/>
          <w:sz w:val="24"/>
          <w:szCs w:val="24"/>
        </w:rPr>
        <w:t>–</w:t>
      </w:r>
      <w:r w:rsidRPr="00CF4CE9">
        <w:rPr>
          <w:rFonts w:ascii="Arial" w:hAnsi="Arial" w:cs="Arial"/>
          <w:sz w:val="24"/>
          <w:szCs w:val="24"/>
        </w:rPr>
        <w:t>30.5</w:t>
      </w:r>
      <w:r w:rsidR="00997AC1">
        <w:rPr>
          <w:rFonts w:ascii="Arial" w:hAnsi="Arial" w:cs="Arial"/>
          <w:sz w:val="24"/>
          <w:szCs w:val="24"/>
        </w:rPr>
        <w:t xml:space="preserve"> percent</w:t>
      </w:r>
      <w:r w:rsidRPr="00CF4CE9">
        <w:rPr>
          <w:rFonts w:ascii="Arial" w:hAnsi="Arial" w:cs="Arial"/>
          <w:sz w:val="24"/>
          <w:szCs w:val="24"/>
        </w:rPr>
        <w:t>)</w:t>
      </w:r>
      <w:r w:rsidR="00AF6A94">
        <w:rPr>
          <w:rFonts w:ascii="Arial" w:hAnsi="Arial" w:cs="Arial"/>
          <w:sz w:val="24"/>
          <w:szCs w:val="24"/>
        </w:rPr>
        <w:t xml:space="preserve"> </w:t>
      </w:r>
      <w:r w:rsidRPr="00CF4CE9">
        <w:rPr>
          <w:rFonts w:ascii="Arial" w:hAnsi="Arial" w:cs="Arial"/>
          <w:sz w:val="24"/>
          <w:szCs w:val="24"/>
        </w:rPr>
        <w:t>=</w:t>
      </w:r>
      <w:r w:rsidR="00AF6A94">
        <w:rPr>
          <w:rFonts w:ascii="Arial" w:hAnsi="Arial" w:cs="Arial"/>
          <w:sz w:val="24"/>
          <w:szCs w:val="24"/>
        </w:rPr>
        <w:t xml:space="preserve"> </w:t>
      </w:r>
      <w:r w:rsidRPr="00CF4CE9">
        <w:rPr>
          <w:rFonts w:ascii="Arial" w:hAnsi="Arial" w:cs="Arial"/>
          <w:sz w:val="24"/>
          <w:szCs w:val="24"/>
        </w:rPr>
        <w:t>55.3</w:t>
      </w:r>
      <w:r w:rsidR="00997AC1">
        <w:rPr>
          <w:rFonts w:ascii="Arial" w:hAnsi="Arial" w:cs="Arial"/>
          <w:sz w:val="24"/>
          <w:szCs w:val="24"/>
        </w:rPr>
        <w:t xml:space="preserve"> percent</w:t>
      </w:r>
      <w:r w:rsidRPr="00CF4CE9">
        <w:rPr>
          <w:rFonts w:ascii="Arial" w:hAnsi="Arial" w:cs="Arial"/>
          <w:sz w:val="24"/>
          <w:szCs w:val="24"/>
        </w:rPr>
        <w:t xml:space="preserve">. Linder et al. also </w:t>
      </w:r>
      <w:r w:rsidRPr="00CF4CE9">
        <w:rPr>
          <w:rFonts w:ascii="Arial" w:hAnsi="Arial" w:cs="Arial"/>
          <w:noProof/>
          <w:sz w:val="24"/>
          <w:szCs w:val="24"/>
        </w:rPr>
        <w:t>showed</w:t>
      </w:r>
      <w:r w:rsidRPr="00CF4CE9">
        <w:rPr>
          <w:rFonts w:ascii="Arial" w:hAnsi="Arial" w:cs="Arial"/>
          <w:sz w:val="24"/>
          <w:szCs w:val="24"/>
        </w:rPr>
        <w:t xml:space="preserve"> that the 1-year mortality rate for an age</w:t>
      </w:r>
      <w:r w:rsidR="00AF6A94">
        <w:rPr>
          <w:rFonts w:ascii="Arial" w:hAnsi="Arial" w:cs="Arial"/>
          <w:sz w:val="24"/>
          <w:szCs w:val="24"/>
        </w:rPr>
        <w:t xml:space="preserve">- and </w:t>
      </w:r>
      <w:r w:rsidRPr="00CF4CE9">
        <w:rPr>
          <w:rFonts w:ascii="Arial" w:hAnsi="Arial" w:cs="Arial"/>
          <w:sz w:val="24"/>
          <w:szCs w:val="24"/>
        </w:rPr>
        <w:t>gender</w:t>
      </w:r>
      <w:r w:rsidR="00AF6A94">
        <w:rPr>
          <w:rFonts w:ascii="Arial" w:hAnsi="Arial" w:cs="Arial"/>
          <w:sz w:val="24"/>
          <w:szCs w:val="24"/>
        </w:rPr>
        <w:t>-</w:t>
      </w:r>
      <w:r w:rsidRPr="00CF4CE9">
        <w:rPr>
          <w:rFonts w:ascii="Arial" w:hAnsi="Arial" w:cs="Arial"/>
          <w:sz w:val="24"/>
          <w:szCs w:val="24"/>
        </w:rPr>
        <w:t>matched general population was 1.1</w:t>
      </w:r>
      <w:r w:rsidR="00997AC1">
        <w:rPr>
          <w:rFonts w:ascii="Arial" w:hAnsi="Arial" w:cs="Arial"/>
          <w:sz w:val="24"/>
          <w:szCs w:val="24"/>
        </w:rPr>
        <w:t xml:space="preserve"> percent</w:t>
      </w:r>
      <w:r w:rsidRPr="00CF4CE9">
        <w:rPr>
          <w:rFonts w:ascii="Arial" w:hAnsi="Arial" w:cs="Arial"/>
          <w:sz w:val="24"/>
          <w:szCs w:val="24"/>
        </w:rPr>
        <w:t xml:space="preserve">, </w:t>
      </w:r>
      <w:r w:rsidRPr="00CF4CE9">
        <w:rPr>
          <w:rFonts w:ascii="Arial" w:hAnsi="Arial" w:cs="Arial"/>
          <w:noProof/>
          <w:sz w:val="24"/>
          <w:szCs w:val="24"/>
        </w:rPr>
        <w:t>and</w:t>
      </w:r>
      <w:r w:rsidRPr="00CF4CE9">
        <w:rPr>
          <w:rFonts w:ascii="Arial" w:hAnsi="Arial" w:cs="Arial"/>
          <w:sz w:val="24"/>
          <w:szCs w:val="24"/>
        </w:rPr>
        <w:t xml:space="preserve"> the mortality rate </w:t>
      </w:r>
      <w:r w:rsidRPr="00CF4CE9">
        <w:rPr>
          <w:rFonts w:ascii="Arial" w:hAnsi="Arial" w:cs="Arial"/>
          <w:sz w:val="24"/>
          <w:szCs w:val="24"/>
        </w:rPr>
        <w:lastRenderedPageBreak/>
        <w:t>from</w:t>
      </w:r>
      <w:r w:rsidR="00AF6A94">
        <w:rPr>
          <w:rFonts w:ascii="Arial" w:hAnsi="Arial" w:cs="Arial"/>
          <w:sz w:val="24"/>
          <w:szCs w:val="24"/>
        </w:rPr>
        <w:t xml:space="preserve"> year</w:t>
      </w:r>
      <w:r w:rsidRPr="00CF4CE9">
        <w:rPr>
          <w:rFonts w:ascii="Arial" w:hAnsi="Arial" w:cs="Arial"/>
          <w:sz w:val="24"/>
          <w:szCs w:val="24"/>
        </w:rPr>
        <w:t xml:space="preserve"> 1</w:t>
      </w:r>
      <w:r w:rsidR="00AF6A94">
        <w:rPr>
          <w:rFonts w:ascii="Arial" w:hAnsi="Arial" w:cs="Arial"/>
          <w:sz w:val="24"/>
          <w:szCs w:val="24"/>
        </w:rPr>
        <w:t xml:space="preserve"> to year </w:t>
      </w:r>
      <w:r w:rsidRPr="00CF4CE9">
        <w:rPr>
          <w:rFonts w:ascii="Arial" w:hAnsi="Arial" w:cs="Arial"/>
          <w:sz w:val="24"/>
          <w:szCs w:val="24"/>
        </w:rPr>
        <w:t>10 year was 11.8</w:t>
      </w:r>
      <w:r w:rsidR="00997AC1">
        <w:rPr>
          <w:rFonts w:ascii="Arial" w:hAnsi="Arial" w:cs="Arial"/>
          <w:sz w:val="24"/>
          <w:szCs w:val="24"/>
        </w:rPr>
        <w:t xml:space="preserve"> percent</w:t>
      </w:r>
      <w:r w:rsidRPr="00CF4CE9">
        <w:rPr>
          <w:rFonts w:ascii="Arial" w:hAnsi="Arial" w:cs="Arial"/>
          <w:sz w:val="24"/>
          <w:szCs w:val="24"/>
        </w:rPr>
        <w:t>. The 10-year survival rate for a matched general population was thus equal to (1</w:t>
      </w:r>
      <w:r w:rsidR="00AF6A94">
        <w:rPr>
          <w:rFonts w:ascii="Arial" w:hAnsi="Arial" w:cs="Arial"/>
          <w:sz w:val="24"/>
          <w:szCs w:val="24"/>
        </w:rPr>
        <w:t>–</w:t>
      </w:r>
      <w:r w:rsidRPr="00CF4CE9">
        <w:rPr>
          <w:rFonts w:ascii="Arial" w:hAnsi="Arial" w:cs="Arial"/>
          <w:sz w:val="24"/>
          <w:szCs w:val="24"/>
        </w:rPr>
        <w:t>1.1</w:t>
      </w:r>
      <w:r w:rsidR="00997AC1">
        <w:rPr>
          <w:rFonts w:ascii="Arial" w:hAnsi="Arial" w:cs="Arial"/>
          <w:sz w:val="24"/>
          <w:szCs w:val="24"/>
        </w:rPr>
        <w:t xml:space="preserve"> percent</w:t>
      </w:r>
      <w:r w:rsidRPr="00CF4CE9">
        <w:rPr>
          <w:rFonts w:ascii="Arial" w:hAnsi="Arial" w:cs="Arial"/>
          <w:sz w:val="24"/>
          <w:szCs w:val="24"/>
        </w:rPr>
        <w:t>)</w:t>
      </w:r>
      <w:r w:rsidR="00AF6A94">
        <w:rPr>
          <w:rFonts w:ascii="Arial" w:hAnsi="Arial" w:cs="Arial"/>
          <w:sz w:val="24"/>
          <w:szCs w:val="24"/>
        </w:rPr>
        <w:t xml:space="preserve"> </w:t>
      </w:r>
      <w:r w:rsidR="006C0A43">
        <w:rPr>
          <w:rFonts w:ascii="Arial" w:hAnsi="Arial" w:cs="Arial"/>
          <w:sz w:val="24"/>
          <w:szCs w:val="24"/>
        </w:rPr>
        <w:t>×</w:t>
      </w:r>
      <w:r w:rsidR="00AF6A94">
        <w:rPr>
          <w:rFonts w:ascii="Arial" w:hAnsi="Arial" w:cs="Arial"/>
          <w:sz w:val="24"/>
          <w:szCs w:val="24"/>
        </w:rPr>
        <w:t xml:space="preserve"> </w:t>
      </w:r>
      <w:r w:rsidRPr="00CF4CE9">
        <w:rPr>
          <w:rFonts w:ascii="Arial" w:hAnsi="Arial" w:cs="Arial"/>
          <w:sz w:val="24"/>
          <w:szCs w:val="24"/>
        </w:rPr>
        <w:t>(1</w:t>
      </w:r>
      <w:r w:rsidR="00AF6A94">
        <w:rPr>
          <w:rFonts w:ascii="Arial" w:hAnsi="Arial" w:cs="Arial"/>
          <w:sz w:val="24"/>
          <w:szCs w:val="24"/>
        </w:rPr>
        <w:t>–</w:t>
      </w:r>
      <w:r w:rsidRPr="00CF4CE9">
        <w:rPr>
          <w:rFonts w:ascii="Arial" w:hAnsi="Arial" w:cs="Arial"/>
          <w:sz w:val="24"/>
          <w:szCs w:val="24"/>
        </w:rPr>
        <w:t>11.8</w:t>
      </w:r>
      <w:r w:rsidR="00997AC1">
        <w:rPr>
          <w:rFonts w:ascii="Arial" w:hAnsi="Arial" w:cs="Arial"/>
          <w:sz w:val="24"/>
          <w:szCs w:val="24"/>
        </w:rPr>
        <w:t xml:space="preserve"> percent</w:t>
      </w:r>
      <w:r w:rsidRPr="00CF4CE9">
        <w:rPr>
          <w:rFonts w:ascii="Arial" w:hAnsi="Arial" w:cs="Arial"/>
          <w:sz w:val="24"/>
          <w:szCs w:val="24"/>
        </w:rPr>
        <w:t>)</w:t>
      </w:r>
      <w:r w:rsidR="00AF6A94">
        <w:rPr>
          <w:rFonts w:ascii="Arial" w:hAnsi="Arial" w:cs="Arial"/>
          <w:sz w:val="24"/>
          <w:szCs w:val="24"/>
        </w:rPr>
        <w:t xml:space="preserve"> </w:t>
      </w:r>
      <w:r w:rsidRPr="00CF4CE9">
        <w:rPr>
          <w:rFonts w:ascii="Arial" w:hAnsi="Arial" w:cs="Arial"/>
          <w:sz w:val="24"/>
          <w:szCs w:val="24"/>
        </w:rPr>
        <w:t>=</w:t>
      </w:r>
      <w:r w:rsidR="00AF6A94">
        <w:rPr>
          <w:rFonts w:ascii="Arial" w:hAnsi="Arial" w:cs="Arial"/>
          <w:sz w:val="24"/>
          <w:szCs w:val="24"/>
        </w:rPr>
        <w:t xml:space="preserve"> </w:t>
      </w:r>
      <w:r w:rsidRPr="00CF4CE9">
        <w:rPr>
          <w:rFonts w:ascii="Arial" w:hAnsi="Arial" w:cs="Arial"/>
          <w:sz w:val="24"/>
          <w:szCs w:val="24"/>
        </w:rPr>
        <w:t>87.2</w:t>
      </w:r>
      <w:r w:rsidR="00997AC1">
        <w:rPr>
          <w:rFonts w:ascii="Arial" w:hAnsi="Arial" w:cs="Arial"/>
          <w:sz w:val="24"/>
          <w:szCs w:val="24"/>
        </w:rPr>
        <w:t xml:space="preserve"> percent</w:t>
      </w:r>
      <w:r w:rsidRPr="00CF4CE9">
        <w:rPr>
          <w:rFonts w:ascii="Arial" w:hAnsi="Arial" w:cs="Arial"/>
          <w:sz w:val="24"/>
          <w:szCs w:val="24"/>
        </w:rPr>
        <w:t>. Finally, the life expectancy factor is equal to the ratio of 10-year survival rates: 55.3</w:t>
      </w:r>
      <w:r w:rsidR="00997AC1">
        <w:rPr>
          <w:rFonts w:ascii="Arial" w:hAnsi="Arial" w:cs="Arial"/>
          <w:sz w:val="24"/>
          <w:szCs w:val="24"/>
        </w:rPr>
        <w:t xml:space="preserve"> percent</w:t>
      </w:r>
      <w:r w:rsidRPr="00CF4CE9">
        <w:rPr>
          <w:rFonts w:ascii="Arial" w:hAnsi="Arial" w:cs="Arial"/>
          <w:sz w:val="24"/>
          <w:szCs w:val="24"/>
        </w:rPr>
        <w:t>/87.2%</w:t>
      </w:r>
      <w:r w:rsidR="00AF6A94">
        <w:rPr>
          <w:rFonts w:ascii="Arial" w:hAnsi="Arial" w:cs="Arial"/>
          <w:sz w:val="24"/>
          <w:szCs w:val="24"/>
        </w:rPr>
        <w:t xml:space="preserve"> </w:t>
      </w:r>
      <w:r w:rsidRPr="00CF4CE9">
        <w:rPr>
          <w:rFonts w:ascii="Arial" w:hAnsi="Arial" w:cs="Arial"/>
          <w:sz w:val="24"/>
          <w:szCs w:val="24"/>
        </w:rPr>
        <w:t>=</w:t>
      </w:r>
      <w:r w:rsidR="00AF6A94">
        <w:rPr>
          <w:rFonts w:ascii="Arial" w:hAnsi="Arial" w:cs="Arial"/>
          <w:sz w:val="24"/>
          <w:szCs w:val="24"/>
        </w:rPr>
        <w:t xml:space="preserve"> </w:t>
      </w:r>
      <w:r w:rsidRPr="00CF4CE9">
        <w:rPr>
          <w:rFonts w:ascii="Arial" w:hAnsi="Arial" w:cs="Arial"/>
          <w:sz w:val="24"/>
          <w:szCs w:val="24"/>
        </w:rPr>
        <w:t xml:space="preserve">0.634. We calculated four sets of discounting factors based on four different estimates of 28-day to 1-year mortality rates </w:t>
      </w:r>
      <w:r w:rsidRPr="00CF4CE9">
        <w:rPr>
          <w:rFonts w:ascii="Arial" w:hAnsi="Arial" w:cs="Arial"/>
          <w:sz w:val="24"/>
          <w:szCs w:val="24"/>
        </w:rPr>
        <w:fldChar w:fldCharType="begin" w:fldLock="1"/>
      </w:r>
      <w:r w:rsidRPr="00CF4CE9">
        <w:rPr>
          <w:rFonts w:ascii="Arial" w:hAnsi="Arial" w:cs="Arial"/>
          <w:sz w:val="24"/>
          <w:szCs w:val="24"/>
        </w:rPr>
        <w:instrText>ADDIN CSL_CITATION {"citationItems":[{"id":"ITEM-1","itemData":{"DOI":"10.18553/jmcp.2004.10.6.521","ISSN":"1083-4087","PMID":"15548124","abstract":"OBJECTIVE To determine severe sepsis (SS) incidence, hospital mortality, 1-year mortality, and costs associated with care in a sample of enrollees in a nationally representative individual practice association (IPA)-network managed care organization (MCO). METHODS This was a retrospective analysis of administrative claims data for commercial (not managed Medicare) members. We identified MCO members hospitalized for SS between July 1995 and December 1998. SS cases were identified by a combination of ICD-9-CM codes for infection and organ dysfunction. Enrollment information, physician, facility, and pharmacy claims were analyzed. Subjects with continuous enrollment were followed for 1 full year of observation. Costs were health plan payments to providers, after subtraction of member cost-share amounts. RESULTS The incidence rate was 0.91 cases of SS per 1,000 enrollees, increasing with age. The mean age of SS patients was 50 years, and 53% were male. Approximately 63% received surgical intervention. Mortality was 21% during the first hospitalization and 36.1% at 1 year. During follow-up, 47.1% of survivors were rehospitalized. Mean index hospitalization length of stay and costs were 16 days and 26,820 dollars, with 1-year inpatient and outpatient costs totaling 48,996 dollars. Mean outpatient costs per survivor were 8,363 dollars, and mean per-patient-per-month (PPPM) outpatient costs were 906 dollars. Total follow-up costs including rehospitalization were similar for nonsurvivors compared with survivors (7,710 dollars versus 8,522 dollars, P=0.274), but PPPM costs were higher for nonsurvivors (1,760 dollars versus 699 dollars, P&lt;0.001). CONCLUSIONS Incidence, hospital, and 1-year mortality rates were lower in this population compared with literature reports and were associated with a lower average age in this managed care population. Mean SS hospitalization costs were high, and nearly one half of survivors required rehospitalization within 1 year. Study results suggest the need to evaluate SS interventions for improvement in health outcomes and cost outcomes, particularly in postsurgical patients.","author":[{"dropping-particle":"","family":"Braun","given":"LeeAnn","non-dropping-particle":"","parse-names":false,"suffix":""},{"dropping-particle":"","family":"Riedel","given":"Aylin Atlan","non-dropping-particle":"","parse-names":false,"suffix":""},{"dropping-particle":"","family":"Cooper","given":"Liesl Marie","non-dropping-particle":"","parse-names":false,"suffix":""}],"container-title":"Journal of managed care pharmacy : JMCP","id":"ITEM-1","issue":"6","issued":{"date-parts":[["2004"]]},"page":"521-30","title":"Severe sepsis in managed care: analysis of incidence, one-year mortality, and associated costs of care.","type":"article-journal","volume":"10"},"uris":["http://www.mendeley.com/documents/?uuid=f4572e9e-8b83-488f-b5df-633627634f26"]},{"id":"ITEM-2","itemData":{"DOI":"10.1097/01.CCM.0000251508.12555.3E","ISSN":"0090-3493","PMID":"17110874","abstract":"OBJECTIVE To assess the predictive performance for 1-yr mortality of the previously derived and validated Mortality in Emergency Department Sepsis (MEDS) score. DESIGN Prospective cohort study. PATIENTS Consecutive adult (aged &gt; or =18 yrs) emergency department patients presenting to an urban, tertiary care, university hospital were eligible if they had a clinically suspected infection as indicated by the decision to obtain a blood culture. The enrollment period was between February 1, 2000, and February 1, 2001. Of 3,926 eligible patient visits, 3,762 (96%) were enrolled and 3,102 unique first visits were analyzed. INTERVENTIONS None. MEASUREMENTS AND MAIN RESULTS A total of 667 patients (21.5%) died within 1 yr. The unadjusted 1-yr mortality rates for the MEDS risk groups were: very low risk, 7%; low risk, 20%; moderate risk, 37%; high risk, 64%; very high risk, 80%. Using a Cox proportional hazard model that controlled for age, sex, and Charlson co-morbidity index, the 1-yr hazard ratios compared with the baseline very low-risk group were: low risk, 2.2 (1.7-2.9); moderate risk, 3.5 (2.7-4.6); high risk, 6.7 (4.9-9.3); and very high risk, 10.5 (7.2-15.4). The groups were significantly different (p &lt; .0001). CONCLUSIONS Although the score was initially derived for 28-day in-hospital mortality, our results indicate that the MEDS score also predicts patient survival at 1 yr after index hospital visit with suspected infection. The score needs external validation before widespread use.","author":[{"dropping-particle":"","family":"Shapiro","given":"Nathan I","non-dropping-particle":"","parse-names":false,"suffix":""},{"dropping-particle":"","family":"Howell","given":"Michael D","non-dropping-particle":"","parse-names":false,"suffix":""},{"dropping-particle":"","family":"Talmor","given":"Daniel","non-dropping-particle":"","parse-names":false,"suffix":""},{"dropping-particle":"","family":"Donnino","given":"Michael","non-dropping-particle":"","parse-names":false,"suffix":""},{"dropping-particle":"","family":"Ngo","given":"Long","non-dropping-particle":"","parse-names":false,"suffix":""},{"dropping-particle":"","family":"Bates","given":"David W","non-dropping-particle":"","parse-names":false,"suffix":""}],"container-title":"Critical care medicine","id":"ITEM-2","issue":"1","issued":{"date-parts":[["2007","1"]]},"page":"192-8","title":"Mortality in Emergency Department Sepsis (MEDS) score predicts 1-year mortality.","type":"article-journal","volume":"35"},"uris":["http://www.mendeley.com/documents/?uuid=af6f466e-fe68-4aa7-a34a-362c1a88b935"]},{"id":"ITEM-3","itemData":{"DOI":"10.1097/01.CCM.0000266588.95733.63","ISSN":"0090-3493","PMID":"17452935","abstract":"OBJECTIVE To demonstrate that drotrecogin alfa (activated) has an acceptable safety profile 1 yr from randomization. DESIGN One-year follow-up of patients participating in a placebo-controlled clinical study of drotrecogin alfa (activated) in severe sepsis patients at low risk of death (the ADDRESS study). SETTING The study was conducted at 516 hospitals in 34 countries. PATIENTS The study included 2,640 patients. INTERVENTIONS One-year follow-up was performed as an addendum to the placebo-controlled ADDRESS study. Treatment groups were compared using the chi-square test and Kaplan-Meier estimates. MEASUREMENTS AND MAIN RESULTS Survival status at 1 yr was obtained for 90% of patients enrolled in the study (n = 2,376). The difference in mortality rate between drotrecogin alfa (activated) and placebo patients was numerically smaller at 1 yr (34.2% and 34.0%, respectively, p = .94) than at 28 days (18.5% and 17.0%, respectively, p = .34). In the subgroups defined by organ dysfunction class (single or multiple) and Acute Physiology and Chronic Health Evaluation II score (&lt;25 or &gt;or=25), the differences in mortality rate between treatment groups at 1 yr were consistent with those observed at 28 days; no significant differences in mortality rates between treatment groups were observed. No additional serious adverse events were reported during the period between hospital discharge and 1 yr. CONCLUSIONS No increased risk of death or evidence of harm at 1 yr was associated with drotrecogin alfa (activated) administration in patients with severe sepsis at lower risk of death.","author":[{"dropping-particle":"","family":"Laterre","given":"Pierre-Francois","non-dropping-particle":"","parse-names":false,"suffix":""},{"dropping-particle":"","family":"Abraham","given":"Edward","non-dropping-particle":"","parse-names":false,"suffix":""},{"dropping-particle":"","family":"Janes","given":"Jonathan M","non-dropping-particle":"","parse-names":false,"suffix":""},{"dropping-particle":"","family":"Trzaskoma","given":"Benjamin L","non-dropping-particle":"","parse-names":false,"suffix":""},{"dropping-particle":"","family":"Correll","given":"Nancy L","non-dropping-particle":"","parse-names":false,"suffix":""},{"dropping-particle":"V","family":"Booth","given":"Frank","non-dropping-particle":"","parse-names":false,"suffix":""}],"container-title":"Critical care medicine","id":"ITEM-3","issue":"6","issued":{"date-parts":[["2007","6"]]},"page":"1457-63","title":"ADDRESS (ADministration of DRotrecogin alfa [activated] in Early stage Severe Sepsis) long-term follow-up: one-year safety and efficacy evaluation.","type":"article-journal","volume":"35"},"uris":["http://www.mendeley.com/documents/?uuid=f1f6dd68-0078-4c64-8087-3f107ec02c28"]},{"id":"ITEM-4","itemData":{"ISSN":"0090-3493","PMID":"15640631","abstract":"OBJECTIVE To determine long-term survival for subjects with severe sepsis enrolled in the previous multiple-center trial (PROWESS) of drotrecogin alfa (activated) (DrotAA) vs. placebo. DESIGN Retrospective, cross-sectional, blinded follow-up of subjects enrolled in a previous randomized, controlled trial. SETTING One hundred sixty-four tertiary care institutions in 11 countries. PARTICIPANTS The 1,690 subjects with severe sepsis enrolled and treated with study drug in PROWESS, of whom 1,220 were alive at 28 days (the end of the original PROWESS follow-up). INTERVENTIONS DrotAA (n = 850), 24 mug/kg/hr for 96 hrs, or placebo (n = 840). MEASUREMENTS AND MAIN RESULTS Long-term survival data were collected. We had follow-up information on 100% of subjects at 28 days, 98% at hospital discharge, 94% at 3 months, and 93% at 1 yr. The longest follow-up was 3.6 yrs. Hospital survival was higher with DrotAA vs. placebo (70.3% vs. 65.1%, p = .03). There was no statistically significant difference in duration of survival time or in landmark survival rates in subjects who received DrotAA compared with those who received placebo (median duration of survival = 1113 days vs. 846 days for DrotAA vs. placebo, p = .10; landmark survival rates for DrotAA vs. placebo, 66.1% vs. 62.4% at 3 months [p = .11], 62.2% vs. 60.3% at 6 months [p = .44], 58.9% vs. 57.2% at 1 yr [p = .49], and 52.6% vs. 49.3% at 2(1/2) yrs [p = .21]). There was a significant interaction (p = .0008) between treatment assignment and baseline Acute Physiology and Chronic Health Evaluation (APACHE) II scores, suggesting qualitative differences in treatment effect with severity of illness. Subjects with APACHE II &gt;/=25 had better survival time with DrotAA (median duration of survival: 450 vs. 71 days, p =.0005). Survival rates were also higher at landmark time points (DrotAA vs. placebo, 58.9% vs. 48.4% at 3 months [p = .003], 55.2% vs. 45.3% at 6 months [p = .005], 52.1% vs. 41.3% at 1 yr [p = .002], and 45.6% vs. 33.8% at 2(1/2) yrs [p = .001]). In the APACHE II &lt;25 group there was no significant difference in survival time or survival rates at landmark time points except at 1 yr (DrotAA vs. placebo, 65.5% vs. 72.0% at 1 yr, p = .04). CONCLUSIONS The acute survival benefit observed in subjects with severe sepsis who received DrotAA persists to hospital discharge. The survival benefit loses statistical significance thereafter. Post hoc analysis suggests the effect of DrotAA varies by APACHE II score with i…","author":[{"dropping-particle":"","family":"Angus","given":"Derek C","non-dropping-particle":"","parse-names":false,"suffix":""},{"dropping-particle":"","family":"Laterre","given":"Pierre-Francois","non-dropping-particle":"","parse-names":false,"suffix":""},{"dropping-particle":"","family":"Helterbrand","given":"Jeff","non-dropping-particle":"","parse-names":false,"suffix":""},{"dropping-particle":"","family":"Ely","given":"E Wesley","non-dropping-particle":"","parse-names":false,"suffix":""},{"dropping-particle":"","family":"Ball","given":"Daniel E","non-dropping-particle":"","parse-names":false,"suffix":""},{"dropping-particle":"","family":"Garg","given":"Rekha","non-dropping-particle":"","parse-names":false,"suffix":""},{"dropping-particle":"","family":"Weissfeld","given":"Lisa A","non-dropping-particle":"","parse-names":false,"suffix":""},{"dropping-particle":"","family":"Bernard","given":"Gordon R","non-dropping-particle":"","parse-names":false,"suffix":""},{"dropping-particle":"","family":"PROWESS Investigators","given":"","non-dropping-particle":"","parse-names":false,"suffix":""}],"container-title":"Critical care medicine","id":"ITEM-4","issue":"11","issued":{"date-parts":[["2004","11"]]},"page":"2199-206","title":"The effect of drotrecogin alfa (activated) on long-term survival after severe sepsis.","type":"article-journal","volume":"32"},"uris":["http://www.mendeley.com/documents/?uuid=1783feb1-66e8-48e7-bf0c-267b47c26b55"]},{"id":"ITEM-5","itemData":{"DOI":"10.1097/CCM.0000000000000503","ISBN":"0000000000000","ISSN":"1530-0293","PMID":"25054672","abstract":"OBJECTIVES Long-term (1- to 10-year) outcomes after severe sepsis in previously healthy persons are unknown. We aimed to determine the 1- to 10-year mortality rates of previously healthy patients with severe sepsis and compare these to mortality rates of patients with nonseptic critical illness and the general population. DESIGN A prospective cohort study of 2,289 patients from one mixed medical-surgical ICU and one cardiovascular surgery ICU. Age- and gender-comparable general British Columbia population was used as comparison. Patients were followed from the date of admission to the ICU to January 31, 2013. Provincial vital statistics were used to determine the patients' date of death. For the general population comparison, expected survival was obtained from life tables of the population of British Columbia, Canada. SETTING A quaternary-level provincial referral hospital in Vancouver, British Columbia, Canada. PATIENTS Two thousand two hundred eighty-nine patients from one mixed medical-surgical ICU and one cardiovascular surgery ICU. Age- and gender-comparable general British Columbia population was used for comparison. INTERVENTIONS None. MEASUREMENTS AND MAIN RESULTS Patients with severe sepsis without comorbidities had higher mortality from 1 to 10 years than general British Columbia population (p &lt; 0.01). Younger patients with severe sepsis (&lt; 60 yr) had the worst 1- to 5-year and 5- to 10-year mortality (hazard ratio [95% CI], 17.8 [13.4-24.8] and 6.0 [4-9]) compared with the general population. Patients with severe sepsis had significantly poorer 1- to 10-year mortality rates (30.5%) compared with patients with nonseptic critical illness (22.1%) and patients who have undergone cardiovascular surgery (15.9%). Patients with sepsis had higher mortality rates from 1-5 years and 5-10 years than the general British Columbia population (hazard ratio [95% CI], 4.5 [2.2-9.1] and 2.2 [0.9-14.7]). CONCLUSIONS Previously healthy patients suffering an episode of severe sepsis have increased long-term mortality compared with patients with nonseptic critical illness and a general population.","author":[{"dropping-particle":"","family":"Linder","given":"Adam","non-dropping-particle":"","parse-names":false,"suffix":""},{"dropping-particle":"","family":"Guh","given":"Daphne","non-dropping-particle":"","parse-names":false,"suffix":""},{"dropping-particle":"","family":"Boyd","given":"John H.","non-dropping-particle":"","parse-names":false,"suffix":""},{"dropping-particle":"","family":"Walley","given":"Keith R.","non-dropping-particle":"","parse-names":false,"suffix":""},{"dropping-particle":"","family":"Anis","given":"Aslam H.","non-dropping-particle":"","parse-names":false,"suffix":""},{"dropping-particle":"","family":"Russell","given":"James A.","non-dropping-particle":"","parse-names":false,"suffix":""}],"container-title":"Critical care medicine","id":"ITEM-5","issue":"10","issued":{"date-parts":[["2014","10"]]},"page":"2211-8","title":"Long-term (10-year) mortality of younger previously healthy patients with severe sepsis/septic shock is worse than that of patients with nonseptic critical illness and of the general population.","type":"article-journal","volume":"42"},"uris":["http://www.mendeley.com/documents/?uuid=7a691ab3-5dd2-4bfe-bbc4-17094b8225b3"]}],"mendeley":{"formattedCitation":"(28–31, 33)","plainTextFormattedCitation":"(28–31, 33)","previouslyFormattedCitation":"(28–31, 33)"},"properties":{"noteIndex":0},"schema":"https://github.com/citation-style-language/schema/raw/master/csl-citation.json"}</w:instrText>
      </w:r>
      <w:r w:rsidRPr="00CF4CE9">
        <w:rPr>
          <w:rFonts w:ascii="Arial" w:hAnsi="Arial" w:cs="Arial"/>
          <w:sz w:val="24"/>
          <w:szCs w:val="24"/>
        </w:rPr>
        <w:fldChar w:fldCharType="separate"/>
      </w:r>
      <w:r w:rsidRPr="00CF4CE9">
        <w:rPr>
          <w:rFonts w:ascii="Arial" w:hAnsi="Arial" w:cs="Arial"/>
          <w:noProof/>
          <w:sz w:val="24"/>
          <w:szCs w:val="24"/>
          <w:lang w:eastAsia="zh-CN"/>
        </w:rPr>
        <w:t>(</w:t>
      </w:r>
      <w:r w:rsidR="005E00C2">
        <w:rPr>
          <w:rFonts w:ascii="Arial" w:hAnsi="Arial" w:cs="Arial"/>
          <w:noProof/>
          <w:sz w:val="24"/>
          <w:szCs w:val="24"/>
          <w:lang w:eastAsia="zh-CN"/>
        </w:rPr>
        <w:t>2</w:t>
      </w:r>
      <w:r w:rsidR="00BA7F88">
        <w:rPr>
          <w:rFonts w:ascii="Arial" w:hAnsi="Arial" w:cs="Arial"/>
          <w:noProof/>
          <w:sz w:val="24"/>
          <w:szCs w:val="24"/>
          <w:lang w:eastAsia="zh-CN"/>
        </w:rPr>
        <w:t>,4-7</w:t>
      </w:r>
      <w:r w:rsidRPr="00CF4CE9">
        <w:rPr>
          <w:rFonts w:ascii="Arial" w:hAnsi="Arial" w:cs="Arial"/>
          <w:noProof/>
          <w:sz w:val="24"/>
          <w:szCs w:val="24"/>
          <w:lang w:eastAsia="zh-CN"/>
        </w:rPr>
        <w:t>)</w:t>
      </w:r>
      <w:r w:rsidRPr="00CF4CE9">
        <w:rPr>
          <w:rFonts w:ascii="Arial" w:hAnsi="Arial" w:cs="Arial"/>
          <w:sz w:val="24"/>
          <w:szCs w:val="24"/>
        </w:rPr>
        <w:fldChar w:fldCharType="end"/>
      </w:r>
      <w:r w:rsidRPr="00CF4CE9">
        <w:rPr>
          <w:rFonts w:ascii="Arial" w:hAnsi="Arial" w:cs="Arial"/>
          <w:sz w:val="24"/>
          <w:szCs w:val="24"/>
        </w:rPr>
        <w:t>. The final discounting factor (0.623) is the average of all four estimates.</w:t>
      </w:r>
      <w:bookmarkStart w:id="0" w:name="_GoBack"/>
      <w:r w:rsidRPr="00CF4CE9">
        <w:rPr>
          <w:rFonts w:ascii="Arial" w:hAnsi="Arial" w:cs="Arial"/>
          <w:sz w:val="24"/>
          <w:szCs w:val="24"/>
          <w:lang w:eastAsia="zh-CN"/>
        </w:rPr>
        <w:t xml:space="preserve">  </w:t>
      </w:r>
      <w:bookmarkEnd w:id="0"/>
      <w:r w:rsidRPr="00CF4CE9">
        <w:rPr>
          <w:rFonts w:ascii="Arial" w:hAnsi="Arial" w:cs="Arial"/>
          <w:sz w:val="24"/>
          <w:szCs w:val="24"/>
          <w:lang w:eastAsia="zh-CN"/>
        </w:rPr>
        <w:t xml:space="preserve"> </w:t>
      </w:r>
    </w:p>
    <w:p w14:paraId="2998D9F1" w14:textId="67EDC1F9" w:rsidR="0092570F" w:rsidRDefault="0092570F" w:rsidP="0075661B">
      <w:pPr>
        <w:spacing w:after="0" w:line="480" w:lineRule="auto"/>
        <w:rPr>
          <w:rFonts w:ascii="Arial" w:hAnsi="Arial" w:cs="Arial"/>
          <w:sz w:val="24"/>
          <w:szCs w:val="24"/>
          <w:lang w:eastAsia="zh-CN"/>
        </w:rPr>
      </w:pPr>
    </w:p>
    <w:p w14:paraId="11D05C97" w14:textId="77777777" w:rsidR="0092570F" w:rsidRPr="007D19AB" w:rsidRDefault="0092570F" w:rsidP="0092570F">
      <w:pPr>
        <w:spacing w:line="480" w:lineRule="auto"/>
        <w:rPr>
          <w:rFonts w:ascii="Arial" w:hAnsi="Arial" w:cs="Arial"/>
          <w:sz w:val="24"/>
          <w:szCs w:val="24"/>
        </w:rPr>
      </w:pPr>
      <w:r w:rsidRPr="007D19AB">
        <w:rPr>
          <w:rFonts w:ascii="Arial" w:hAnsi="Arial" w:cs="Arial"/>
          <w:b/>
          <w:sz w:val="24"/>
          <w:szCs w:val="24"/>
        </w:rPr>
        <w:t>REFERENCES</w:t>
      </w:r>
    </w:p>
    <w:p w14:paraId="6AEE0445" w14:textId="6743D93A" w:rsidR="00AE2611" w:rsidRDefault="00AE2611" w:rsidP="00AE2611">
      <w:pPr>
        <w:pStyle w:val="ListParagraph"/>
        <w:widowControl w:val="0"/>
        <w:numPr>
          <w:ilvl w:val="0"/>
          <w:numId w:val="23"/>
        </w:numPr>
        <w:autoSpaceDE w:val="0"/>
        <w:autoSpaceDN w:val="0"/>
        <w:adjustRightInd w:val="0"/>
        <w:spacing w:line="480" w:lineRule="auto"/>
        <w:rPr>
          <w:rFonts w:ascii="Arial" w:hAnsi="Arial" w:cs="Arial"/>
          <w:noProof/>
          <w:sz w:val="24"/>
          <w:szCs w:val="24"/>
        </w:rPr>
      </w:pPr>
      <w:r w:rsidRPr="00923ED7">
        <w:rPr>
          <w:rFonts w:ascii="Arial" w:hAnsi="Arial" w:cs="Arial"/>
          <w:b/>
          <w:bCs/>
          <w:noProof/>
          <w:sz w:val="24"/>
          <w:szCs w:val="24"/>
        </w:rPr>
        <w:t xml:space="preserve">Winters BD, Eberlein M, Leung J, </w:t>
      </w:r>
      <w:r w:rsidRPr="00923ED7">
        <w:rPr>
          <w:rFonts w:ascii="Arial" w:hAnsi="Arial" w:cs="Arial"/>
          <w:b/>
          <w:bCs/>
          <w:i/>
          <w:iCs/>
          <w:noProof/>
          <w:sz w:val="24"/>
          <w:szCs w:val="24"/>
        </w:rPr>
        <w:t>et al</w:t>
      </w:r>
      <w:r w:rsidR="00923ED7" w:rsidRPr="00923ED7">
        <w:rPr>
          <w:rFonts w:ascii="Arial" w:hAnsi="Arial" w:cs="Arial"/>
          <w:b/>
          <w:bCs/>
          <w:i/>
          <w:iCs/>
          <w:noProof/>
          <w:sz w:val="24"/>
          <w:szCs w:val="24"/>
        </w:rPr>
        <w:t>.</w:t>
      </w:r>
      <w:r w:rsidRPr="00BA7F88">
        <w:rPr>
          <w:rFonts w:ascii="Arial" w:hAnsi="Arial" w:cs="Arial"/>
          <w:noProof/>
          <w:sz w:val="24"/>
          <w:szCs w:val="24"/>
        </w:rPr>
        <w:t xml:space="preserve"> (2010) Long-term mortality and quality of life in sepsis: a systematic review. </w:t>
      </w:r>
      <w:r w:rsidRPr="00BA7F88">
        <w:rPr>
          <w:rFonts w:ascii="Arial" w:hAnsi="Arial" w:cs="Arial"/>
          <w:i/>
          <w:iCs/>
          <w:noProof/>
          <w:sz w:val="24"/>
          <w:szCs w:val="24"/>
        </w:rPr>
        <w:t>Crit Care Med</w:t>
      </w:r>
      <w:r w:rsidRPr="00BA7F88">
        <w:rPr>
          <w:rFonts w:ascii="Arial" w:hAnsi="Arial" w:cs="Arial"/>
          <w:noProof/>
          <w:sz w:val="24"/>
          <w:szCs w:val="24"/>
        </w:rPr>
        <w:t xml:space="preserve"> </w:t>
      </w:r>
      <w:r w:rsidRPr="00923ED7">
        <w:rPr>
          <w:rFonts w:ascii="Arial" w:hAnsi="Arial" w:cs="Arial"/>
          <w:b/>
          <w:bCs/>
          <w:noProof/>
          <w:sz w:val="24"/>
          <w:szCs w:val="24"/>
        </w:rPr>
        <w:t>38</w:t>
      </w:r>
      <w:r w:rsidRPr="00BA7F88">
        <w:rPr>
          <w:rFonts w:ascii="Arial" w:hAnsi="Arial" w:cs="Arial"/>
          <w:noProof/>
          <w:sz w:val="24"/>
          <w:szCs w:val="24"/>
        </w:rPr>
        <w:t>, 1276–1283.</w:t>
      </w:r>
    </w:p>
    <w:p w14:paraId="0C1266F0" w14:textId="30F17CFC" w:rsidR="00573F65" w:rsidRPr="00573F65" w:rsidRDefault="00573F65" w:rsidP="00573F65">
      <w:pPr>
        <w:pStyle w:val="ListParagraph"/>
        <w:widowControl w:val="0"/>
        <w:numPr>
          <w:ilvl w:val="0"/>
          <w:numId w:val="23"/>
        </w:numPr>
        <w:autoSpaceDE w:val="0"/>
        <w:autoSpaceDN w:val="0"/>
        <w:adjustRightInd w:val="0"/>
        <w:spacing w:line="480" w:lineRule="auto"/>
        <w:rPr>
          <w:rFonts w:ascii="Arial" w:hAnsi="Arial" w:cs="Arial"/>
          <w:noProof/>
          <w:sz w:val="24"/>
          <w:szCs w:val="24"/>
        </w:rPr>
      </w:pPr>
      <w:r w:rsidRPr="00923ED7">
        <w:rPr>
          <w:rFonts w:ascii="Arial" w:hAnsi="Arial" w:cs="Arial"/>
          <w:b/>
          <w:bCs/>
          <w:noProof/>
          <w:sz w:val="24"/>
          <w:szCs w:val="24"/>
        </w:rPr>
        <w:t xml:space="preserve">Laterre P-F, Abraham E, Janes JM, </w:t>
      </w:r>
      <w:r w:rsidRPr="00923ED7">
        <w:rPr>
          <w:rFonts w:ascii="Arial" w:hAnsi="Arial" w:cs="Arial"/>
          <w:b/>
          <w:bCs/>
          <w:i/>
          <w:iCs/>
          <w:noProof/>
          <w:sz w:val="24"/>
          <w:szCs w:val="24"/>
        </w:rPr>
        <w:t>et al</w:t>
      </w:r>
      <w:r w:rsidR="00923ED7" w:rsidRPr="00923ED7">
        <w:rPr>
          <w:rFonts w:ascii="Arial" w:hAnsi="Arial" w:cs="Arial"/>
          <w:b/>
          <w:bCs/>
          <w:i/>
          <w:iCs/>
          <w:noProof/>
          <w:sz w:val="24"/>
          <w:szCs w:val="24"/>
        </w:rPr>
        <w:t>.</w:t>
      </w:r>
      <w:r w:rsidRPr="00573F65">
        <w:rPr>
          <w:rFonts w:ascii="Arial" w:hAnsi="Arial" w:cs="Arial"/>
          <w:noProof/>
          <w:sz w:val="24"/>
          <w:szCs w:val="24"/>
        </w:rPr>
        <w:t xml:space="preserve"> (2007) ADDRESS (ADministration of DRotrecogin alfa [activated] in Early stage Severe Sepsis) long-term follow-up: one-year safety and efficacy evaluation. </w:t>
      </w:r>
      <w:r w:rsidRPr="00573F65">
        <w:rPr>
          <w:rFonts w:ascii="Arial" w:hAnsi="Arial" w:cs="Arial"/>
          <w:i/>
          <w:iCs/>
          <w:noProof/>
          <w:sz w:val="24"/>
          <w:szCs w:val="24"/>
        </w:rPr>
        <w:t>Crit Care Med</w:t>
      </w:r>
      <w:r w:rsidRPr="00573F65">
        <w:rPr>
          <w:rFonts w:ascii="Arial" w:hAnsi="Arial" w:cs="Arial"/>
          <w:noProof/>
          <w:sz w:val="24"/>
          <w:szCs w:val="24"/>
        </w:rPr>
        <w:t xml:space="preserve"> </w:t>
      </w:r>
      <w:r w:rsidRPr="00923ED7">
        <w:rPr>
          <w:rFonts w:ascii="Arial" w:hAnsi="Arial" w:cs="Arial"/>
          <w:b/>
          <w:bCs/>
          <w:noProof/>
          <w:sz w:val="24"/>
          <w:szCs w:val="24"/>
        </w:rPr>
        <w:t>35</w:t>
      </w:r>
      <w:r w:rsidRPr="00573F65">
        <w:rPr>
          <w:rFonts w:ascii="Arial" w:hAnsi="Arial" w:cs="Arial"/>
          <w:noProof/>
          <w:sz w:val="24"/>
          <w:szCs w:val="24"/>
        </w:rPr>
        <w:t>, 1457–1463.</w:t>
      </w:r>
    </w:p>
    <w:p w14:paraId="7740CD56" w14:textId="3B548D23" w:rsidR="00573F65" w:rsidRDefault="008248E1" w:rsidP="00AE2611">
      <w:pPr>
        <w:pStyle w:val="ListParagraph"/>
        <w:widowControl w:val="0"/>
        <w:numPr>
          <w:ilvl w:val="0"/>
          <w:numId w:val="23"/>
        </w:numPr>
        <w:autoSpaceDE w:val="0"/>
        <w:autoSpaceDN w:val="0"/>
        <w:adjustRightInd w:val="0"/>
        <w:spacing w:line="480" w:lineRule="auto"/>
        <w:rPr>
          <w:rFonts w:ascii="Arial" w:hAnsi="Arial" w:cs="Arial"/>
          <w:noProof/>
          <w:sz w:val="24"/>
          <w:szCs w:val="24"/>
        </w:rPr>
      </w:pPr>
      <w:r w:rsidRPr="00923ED7">
        <w:rPr>
          <w:rFonts w:ascii="Arial" w:hAnsi="Arial" w:cs="Arial"/>
          <w:b/>
          <w:bCs/>
          <w:noProof/>
          <w:sz w:val="24"/>
          <w:szCs w:val="24"/>
        </w:rPr>
        <w:t xml:space="preserve">Angus DC, Laterre P-F, Helterbrand J, </w:t>
      </w:r>
      <w:r w:rsidRPr="00923ED7">
        <w:rPr>
          <w:rFonts w:ascii="Arial" w:hAnsi="Arial" w:cs="Arial"/>
          <w:b/>
          <w:bCs/>
          <w:i/>
          <w:iCs/>
          <w:noProof/>
          <w:sz w:val="24"/>
          <w:szCs w:val="24"/>
        </w:rPr>
        <w:t>et al</w:t>
      </w:r>
      <w:r w:rsidR="00923ED7">
        <w:rPr>
          <w:rFonts w:ascii="Arial" w:hAnsi="Arial" w:cs="Arial"/>
          <w:noProof/>
          <w:sz w:val="24"/>
          <w:szCs w:val="24"/>
        </w:rPr>
        <w:t>.</w:t>
      </w:r>
      <w:r>
        <w:rPr>
          <w:rFonts w:ascii="Arial" w:hAnsi="Arial" w:cs="Arial"/>
          <w:noProof/>
          <w:sz w:val="24"/>
          <w:szCs w:val="24"/>
        </w:rPr>
        <w:t xml:space="preserve"> (2004)</w:t>
      </w:r>
      <w:r w:rsidRPr="007D19AB">
        <w:rPr>
          <w:rFonts w:ascii="Arial" w:hAnsi="Arial" w:cs="Arial"/>
          <w:noProof/>
          <w:sz w:val="24"/>
          <w:szCs w:val="24"/>
        </w:rPr>
        <w:t xml:space="preserve"> The effect of drotrecogin alfa (activated) on long-term survival after severe sepsis. </w:t>
      </w:r>
      <w:r w:rsidRPr="007D19AB">
        <w:rPr>
          <w:rFonts w:ascii="Arial" w:hAnsi="Arial" w:cs="Arial"/>
          <w:i/>
          <w:iCs/>
          <w:noProof/>
          <w:sz w:val="24"/>
          <w:szCs w:val="24"/>
        </w:rPr>
        <w:t>Crit Care Med</w:t>
      </w:r>
      <w:r w:rsidRPr="007D19AB">
        <w:rPr>
          <w:rFonts w:ascii="Arial" w:hAnsi="Arial" w:cs="Arial"/>
          <w:noProof/>
          <w:sz w:val="24"/>
          <w:szCs w:val="24"/>
        </w:rPr>
        <w:t xml:space="preserve"> </w:t>
      </w:r>
      <w:r w:rsidRPr="00923ED7">
        <w:rPr>
          <w:rFonts w:ascii="Arial" w:hAnsi="Arial" w:cs="Arial"/>
          <w:b/>
          <w:bCs/>
          <w:noProof/>
          <w:sz w:val="24"/>
          <w:szCs w:val="24"/>
        </w:rPr>
        <w:t>32</w:t>
      </w:r>
      <w:r>
        <w:rPr>
          <w:rFonts w:ascii="Arial" w:hAnsi="Arial" w:cs="Arial"/>
          <w:noProof/>
          <w:sz w:val="24"/>
          <w:szCs w:val="24"/>
        </w:rPr>
        <w:t xml:space="preserve">, </w:t>
      </w:r>
      <w:r w:rsidRPr="007D19AB">
        <w:rPr>
          <w:rFonts w:ascii="Arial" w:hAnsi="Arial" w:cs="Arial"/>
          <w:noProof/>
          <w:sz w:val="24"/>
          <w:szCs w:val="24"/>
        </w:rPr>
        <w:t>2199–</w:t>
      </w:r>
      <w:r>
        <w:rPr>
          <w:rFonts w:ascii="Arial" w:hAnsi="Arial" w:cs="Arial"/>
          <w:noProof/>
          <w:sz w:val="24"/>
          <w:szCs w:val="24"/>
        </w:rPr>
        <w:t>2</w:t>
      </w:r>
      <w:r w:rsidRPr="007D19AB">
        <w:rPr>
          <w:rFonts w:ascii="Arial" w:hAnsi="Arial" w:cs="Arial"/>
          <w:noProof/>
          <w:sz w:val="24"/>
          <w:szCs w:val="24"/>
        </w:rPr>
        <w:t>206.</w:t>
      </w:r>
    </w:p>
    <w:p w14:paraId="6F5B44ED" w14:textId="35B75D65" w:rsidR="00F3332E" w:rsidRPr="00F3332E" w:rsidRDefault="00F3332E" w:rsidP="00F3332E">
      <w:pPr>
        <w:pStyle w:val="ListParagraph"/>
        <w:widowControl w:val="0"/>
        <w:numPr>
          <w:ilvl w:val="0"/>
          <w:numId w:val="23"/>
        </w:numPr>
        <w:autoSpaceDE w:val="0"/>
        <w:autoSpaceDN w:val="0"/>
        <w:adjustRightInd w:val="0"/>
        <w:spacing w:line="480" w:lineRule="auto"/>
        <w:rPr>
          <w:rFonts w:ascii="Arial" w:hAnsi="Arial" w:cs="Arial"/>
          <w:noProof/>
          <w:sz w:val="24"/>
          <w:szCs w:val="24"/>
        </w:rPr>
      </w:pPr>
      <w:r w:rsidRPr="00923ED7">
        <w:rPr>
          <w:rFonts w:ascii="Arial" w:hAnsi="Arial" w:cs="Arial"/>
          <w:b/>
          <w:bCs/>
          <w:noProof/>
          <w:sz w:val="24"/>
          <w:szCs w:val="24"/>
        </w:rPr>
        <w:t>Braun L, Riedel AA, Cooper LM</w:t>
      </w:r>
      <w:r w:rsidR="00923ED7" w:rsidRPr="00923ED7">
        <w:rPr>
          <w:rFonts w:ascii="Arial" w:hAnsi="Arial" w:cs="Arial"/>
          <w:b/>
          <w:bCs/>
          <w:noProof/>
          <w:sz w:val="24"/>
          <w:szCs w:val="24"/>
        </w:rPr>
        <w:t>.</w:t>
      </w:r>
      <w:r w:rsidRPr="00F3332E">
        <w:rPr>
          <w:rFonts w:ascii="Arial" w:hAnsi="Arial" w:cs="Arial"/>
          <w:noProof/>
          <w:sz w:val="24"/>
          <w:szCs w:val="24"/>
        </w:rPr>
        <w:t xml:space="preserve"> (2004) Severe sepsis in managed care: analysis of incidence, one-year mortality, and associated costs of care. </w:t>
      </w:r>
      <w:r w:rsidRPr="00F3332E">
        <w:rPr>
          <w:rFonts w:ascii="Arial" w:hAnsi="Arial" w:cs="Arial"/>
          <w:i/>
          <w:iCs/>
          <w:noProof/>
          <w:sz w:val="24"/>
          <w:szCs w:val="24"/>
        </w:rPr>
        <w:t>J Manag Care Pharm</w:t>
      </w:r>
      <w:r w:rsidRPr="00F3332E">
        <w:rPr>
          <w:rFonts w:ascii="Arial" w:hAnsi="Arial" w:cs="Arial"/>
          <w:noProof/>
          <w:sz w:val="24"/>
          <w:szCs w:val="24"/>
        </w:rPr>
        <w:t xml:space="preserve"> </w:t>
      </w:r>
      <w:r w:rsidRPr="00923ED7">
        <w:rPr>
          <w:rFonts w:ascii="Arial" w:hAnsi="Arial" w:cs="Arial"/>
          <w:b/>
          <w:bCs/>
          <w:noProof/>
          <w:sz w:val="24"/>
          <w:szCs w:val="24"/>
        </w:rPr>
        <w:t>10</w:t>
      </w:r>
      <w:r w:rsidRPr="00F3332E">
        <w:rPr>
          <w:rFonts w:ascii="Arial" w:hAnsi="Arial" w:cs="Arial"/>
          <w:noProof/>
          <w:sz w:val="24"/>
          <w:szCs w:val="24"/>
        </w:rPr>
        <w:t>, 521–530.</w:t>
      </w:r>
    </w:p>
    <w:p w14:paraId="1B7032FC" w14:textId="5686B1D3" w:rsidR="00F3332E" w:rsidRPr="00F3332E" w:rsidRDefault="00F3332E" w:rsidP="00F3332E">
      <w:pPr>
        <w:pStyle w:val="ListParagraph"/>
        <w:widowControl w:val="0"/>
        <w:numPr>
          <w:ilvl w:val="0"/>
          <w:numId w:val="23"/>
        </w:numPr>
        <w:autoSpaceDE w:val="0"/>
        <w:autoSpaceDN w:val="0"/>
        <w:adjustRightInd w:val="0"/>
        <w:spacing w:line="480" w:lineRule="auto"/>
        <w:rPr>
          <w:rFonts w:ascii="Arial" w:hAnsi="Arial" w:cs="Arial"/>
          <w:noProof/>
          <w:sz w:val="24"/>
          <w:szCs w:val="24"/>
        </w:rPr>
      </w:pPr>
      <w:r w:rsidRPr="00923ED7">
        <w:rPr>
          <w:rFonts w:ascii="Arial" w:hAnsi="Arial" w:cs="Arial"/>
          <w:b/>
          <w:bCs/>
          <w:noProof/>
          <w:sz w:val="24"/>
          <w:szCs w:val="24"/>
        </w:rPr>
        <w:t xml:space="preserve">Shapiro NI, Howell MD, Talmor D, </w:t>
      </w:r>
      <w:r w:rsidRPr="00923ED7">
        <w:rPr>
          <w:rFonts w:ascii="Arial" w:hAnsi="Arial" w:cs="Arial"/>
          <w:b/>
          <w:bCs/>
          <w:i/>
          <w:iCs/>
          <w:noProof/>
          <w:sz w:val="24"/>
          <w:szCs w:val="24"/>
        </w:rPr>
        <w:t>et al</w:t>
      </w:r>
      <w:r w:rsidR="00923ED7" w:rsidRPr="00923ED7">
        <w:rPr>
          <w:rFonts w:ascii="Arial" w:hAnsi="Arial" w:cs="Arial"/>
          <w:b/>
          <w:bCs/>
          <w:noProof/>
          <w:sz w:val="24"/>
          <w:szCs w:val="24"/>
        </w:rPr>
        <w:t>.</w:t>
      </w:r>
      <w:r w:rsidRPr="00F3332E">
        <w:rPr>
          <w:rFonts w:ascii="Arial" w:hAnsi="Arial" w:cs="Arial"/>
          <w:noProof/>
          <w:sz w:val="24"/>
          <w:szCs w:val="24"/>
        </w:rPr>
        <w:t xml:space="preserve"> (2007) Mortality in Emergency Department Sepsis (MEDS) score predicts 1-year mortality. </w:t>
      </w:r>
      <w:r w:rsidRPr="00F3332E">
        <w:rPr>
          <w:rFonts w:ascii="Arial" w:hAnsi="Arial" w:cs="Arial"/>
          <w:i/>
          <w:iCs/>
          <w:noProof/>
          <w:sz w:val="24"/>
          <w:szCs w:val="24"/>
        </w:rPr>
        <w:t>Crit Care Med</w:t>
      </w:r>
      <w:r w:rsidRPr="00F3332E">
        <w:rPr>
          <w:rFonts w:ascii="Arial" w:hAnsi="Arial" w:cs="Arial"/>
          <w:noProof/>
          <w:sz w:val="24"/>
          <w:szCs w:val="24"/>
        </w:rPr>
        <w:t xml:space="preserve"> </w:t>
      </w:r>
      <w:r w:rsidRPr="00923ED7">
        <w:rPr>
          <w:rFonts w:ascii="Arial" w:hAnsi="Arial" w:cs="Arial"/>
          <w:b/>
          <w:bCs/>
          <w:noProof/>
          <w:sz w:val="24"/>
          <w:szCs w:val="24"/>
        </w:rPr>
        <w:t>35</w:t>
      </w:r>
      <w:r w:rsidRPr="00F3332E">
        <w:rPr>
          <w:rFonts w:ascii="Arial" w:hAnsi="Arial" w:cs="Arial"/>
          <w:noProof/>
          <w:sz w:val="24"/>
          <w:szCs w:val="24"/>
        </w:rPr>
        <w:t>, 192–198.</w:t>
      </w:r>
    </w:p>
    <w:p w14:paraId="5424723D" w14:textId="0860C618" w:rsidR="00BA7F88" w:rsidRDefault="004543DD" w:rsidP="00AE2611">
      <w:pPr>
        <w:pStyle w:val="ListParagraph"/>
        <w:widowControl w:val="0"/>
        <w:numPr>
          <w:ilvl w:val="0"/>
          <w:numId w:val="23"/>
        </w:numPr>
        <w:autoSpaceDE w:val="0"/>
        <w:autoSpaceDN w:val="0"/>
        <w:adjustRightInd w:val="0"/>
        <w:spacing w:line="480" w:lineRule="auto"/>
        <w:rPr>
          <w:rFonts w:ascii="Arial" w:hAnsi="Arial" w:cs="Arial"/>
          <w:noProof/>
          <w:sz w:val="24"/>
          <w:szCs w:val="24"/>
        </w:rPr>
      </w:pPr>
      <w:r w:rsidRPr="00923ED7">
        <w:rPr>
          <w:rFonts w:ascii="Arial" w:hAnsi="Arial" w:cs="Arial"/>
          <w:b/>
          <w:bCs/>
          <w:noProof/>
          <w:sz w:val="24"/>
          <w:szCs w:val="24"/>
        </w:rPr>
        <w:t xml:space="preserve">Linder A, Guh D, Boyd JH, </w:t>
      </w:r>
      <w:r w:rsidRPr="00923ED7">
        <w:rPr>
          <w:rFonts w:ascii="Arial" w:hAnsi="Arial" w:cs="Arial"/>
          <w:b/>
          <w:bCs/>
          <w:i/>
          <w:iCs/>
          <w:noProof/>
          <w:sz w:val="24"/>
          <w:szCs w:val="24"/>
        </w:rPr>
        <w:t>et al</w:t>
      </w:r>
      <w:r w:rsidR="00923ED7" w:rsidRPr="00923ED7">
        <w:rPr>
          <w:rFonts w:ascii="Arial" w:hAnsi="Arial" w:cs="Arial"/>
          <w:b/>
          <w:bCs/>
          <w:noProof/>
          <w:sz w:val="24"/>
          <w:szCs w:val="24"/>
        </w:rPr>
        <w:t>.</w:t>
      </w:r>
      <w:r>
        <w:rPr>
          <w:rFonts w:ascii="Arial" w:hAnsi="Arial" w:cs="Arial"/>
          <w:noProof/>
          <w:sz w:val="24"/>
          <w:szCs w:val="24"/>
        </w:rPr>
        <w:t xml:space="preserve"> (2014)</w:t>
      </w:r>
      <w:r w:rsidRPr="007D19AB">
        <w:rPr>
          <w:rFonts w:ascii="Arial" w:hAnsi="Arial" w:cs="Arial"/>
          <w:noProof/>
          <w:sz w:val="24"/>
          <w:szCs w:val="24"/>
        </w:rPr>
        <w:t xml:space="preserve"> Long-term (10-year) mortality of </w:t>
      </w:r>
      <w:r w:rsidRPr="007D19AB">
        <w:rPr>
          <w:rFonts w:ascii="Arial" w:hAnsi="Arial" w:cs="Arial"/>
          <w:noProof/>
          <w:sz w:val="24"/>
          <w:szCs w:val="24"/>
        </w:rPr>
        <w:lastRenderedPageBreak/>
        <w:t xml:space="preserve">younger previously healthy patients with severe sepsis/septic shock is worse than that of patients with nonseptic critical illness and of the general population. </w:t>
      </w:r>
      <w:r w:rsidRPr="007D19AB">
        <w:rPr>
          <w:rFonts w:ascii="Arial" w:hAnsi="Arial" w:cs="Arial"/>
          <w:i/>
          <w:iCs/>
          <w:noProof/>
          <w:sz w:val="24"/>
          <w:szCs w:val="24"/>
        </w:rPr>
        <w:t>Crit Care Med</w:t>
      </w:r>
      <w:r w:rsidRPr="007D19AB">
        <w:rPr>
          <w:rFonts w:ascii="Arial" w:hAnsi="Arial" w:cs="Arial"/>
          <w:noProof/>
          <w:sz w:val="24"/>
          <w:szCs w:val="24"/>
        </w:rPr>
        <w:t xml:space="preserve"> </w:t>
      </w:r>
      <w:r w:rsidRPr="00923ED7">
        <w:rPr>
          <w:rFonts w:ascii="Arial" w:hAnsi="Arial" w:cs="Arial"/>
          <w:b/>
          <w:bCs/>
          <w:noProof/>
          <w:sz w:val="24"/>
          <w:szCs w:val="24"/>
        </w:rPr>
        <w:t>42</w:t>
      </w:r>
      <w:r>
        <w:rPr>
          <w:rFonts w:ascii="Arial" w:hAnsi="Arial" w:cs="Arial"/>
          <w:noProof/>
          <w:sz w:val="24"/>
          <w:szCs w:val="24"/>
        </w:rPr>
        <w:t xml:space="preserve">, </w:t>
      </w:r>
      <w:r w:rsidRPr="007D19AB">
        <w:rPr>
          <w:rFonts w:ascii="Arial" w:hAnsi="Arial" w:cs="Arial"/>
          <w:noProof/>
          <w:sz w:val="24"/>
          <w:szCs w:val="24"/>
        </w:rPr>
        <w:t>2211–</w:t>
      </w:r>
      <w:r>
        <w:rPr>
          <w:rFonts w:ascii="Arial" w:hAnsi="Arial" w:cs="Arial"/>
          <w:noProof/>
          <w:sz w:val="24"/>
          <w:szCs w:val="24"/>
        </w:rPr>
        <w:t>221</w:t>
      </w:r>
      <w:r w:rsidRPr="007D19AB">
        <w:rPr>
          <w:rFonts w:ascii="Arial" w:hAnsi="Arial" w:cs="Arial"/>
          <w:noProof/>
          <w:sz w:val="24"/>
          <w:szCs w:val="24"/>
        </w:rPr>
        <w:t>8.</w:t>
      </w:r>
      <w:r w:rsidR="00BA7F88" w:rsidRPr="00BA7F88">
        <w:rPr>
          <w:rFonts w:ascii="Arial" w:hAnsi="Arial" w:cs="Arial"/>
          <w:noProof/>
          <w:sz w:val="24"/>
          <w:szCs w:val="24"/>
        </w:rPr>
        <w:t xml:space="preserve"> </w:t>
      </w:r>
    </w:p>
    <w:p w14:paraId="2DF01B7D" w14:textId="039C436A" w:rsidR="00F3332E" w:rsidRPr="00BA7F88" w:rsidRDefault="00BA7F88" w:rsidP="00BA7F88">
      <w:pPr>
        <w:pStyle w:val="ListParagraph"/>
        <w:widowControl w:val="0"/>
        <w:numPr>
          <w:ilvl w:val="0"/>
          <w:numId w:val="23"/>
        </w:numPr>
        <w:autoSpaceDE w:val="0"/>
        <w:autoSpaceDN w:val="0"/>
        <w:adjustRightInd w:val="0"/>
        <w:spacing w:line="480" w:lineRule="auto"/>
        <w:rPr>
          <w:rFonts w:ascii="Arial" w:hAnsi="Arial" w:cs="Arial"/>
          <w:noProof/>
          <w:sz w:val="24"/>
          <w:szCs w:val="24"/>
        </w:rPr>
      </w:pPr>
      <w:r w:rsidRPr="00923ED7">
        <w:rPr>
          <w:rFonts w:ascii="Arial" w:hAnsi="Arial" w:cs="Arial"/>
          <w:b/>
          <w:bCs/>
          <w:noProof/>
          <w:sz w:val="24"/>
          <w:szCs w:val="24"/>
        </w:rPr>
        <w:t>Hanmer J, Kaplan RM</w:t>
      </w:r>
      <w:r w:rsidR="00923ED7" w:rsidRPr="00923ED7">
        <w:rPr>
          <w:rFonts w:ascii="Arial" w:hAnsi="Arial" w:cs="Arial"/>
          <w:b/>
          <w:bCs/>
          <w:noProof/>
          <w:sz w:val="24"/>
          <w:szCs w:val="24"/>
        </w:rPr>
        <w:t>.</w:t>
      </w:r>
      <w:r>
        <w:rPr>
          <w:rFonts w:ascii="Arial" w:hAnsi="Arial" w:cs="Arial"/>
          <w:noProof/>
          <w:sz w:val="24"/>
          <w:szCs w:val="24"/>
        </w:rPr>
        <w:t xml:space="preserve"> (2016)</w:t>
      </w:r>
      <w:r w:rsidRPr="007D19AB">
        <w:rPr>
          <w:rFonts w:ascii="Arial" w:hAnsi="Arial" w:cs="Arial"/>
          <w:noProof/>
          <w:sz w:val="24"/>
          <w:szCs w:val="24"/>
        </w:rPr>
        <w:t xml:space="preserve"> Update to the </w:t>
      </w:r>
      <w:r w:rsidRPr="002C3419">
        <w:rPr>
          <w:rFonts w:ascii="Arial" w:hAnsi="Arial" w:cs="Arial"/>
          <w:noProof/>
          <w:sz w:val="24"/>
          <w:szCs w:val="24"/>
        </w:rPr>
        <w:t>report of nationally representative values for the noninstitution</w:t>
      </w:r>
      <w:r w:rsidRPr="007D19AB">
        <w:rPr>
          <w:rFonts w:ascii="Arial" w:hAnsi="Arial" w:cs="Arial"/>
          <w:noProof/>
          <w:sz w:val="24"/>
          <w:szCs w:val="24"/>
        </w:rPr>
        <w:t xml:space="preserve">alized US </w:t>
      </w:r>
      <w:r w:rsidRPr="002C3419">
        <w:rPr>
          <w:rFonts w:ascii="Arial" w:hAnsi="Arial" w:cs="Arial"/>
          <w:noProof/>
          <w:sz w:val="24"/>
          <w:szCs w:val="24"/>
        </w:rPr>
        <w:t>adult population for five health-related quality-of-life sco</w:t>
      </w:r>
      <w:r w:rsidRPr="007D19AB">
        <w:rPr>
          <w:rFonts w:ascii="Arial" w:hAnsi="Arial" w:cs="Arial"/>
          <w:noProof/>
          <w:sz w:val="24"/>
          <w:szCs w:val="24"/>
        </w:rPr>
        <w:t xml:space="preserve">res. </w:t>
      </w:r>
      <w:r w:rsidRPr="007D19AB">
        <w:rPr>
          <w:rFonts w:ascii="Arial" w:hAnsi="Arial" w:cs="Arial"/>
          <w:i/>
          <w:iCs/>
          <w:noProof/>
          <w:sz w:val="24"/>
          <w:szCs w:val="24"/>
        </w:rPr>
        <w:t>Value Heal</w:t>
      </w:r>
      <w:r w:rsidRPr="007D19AB">
        <w:rPr>
          <w:rFonts w:ascii="Arial" w:hAnsi="Arial" w:cs="Arial"/>
          <w:noProof/>
          <w:sz w:val="24"/>
          <w:szCs w:val="24"/>
        </w:rPr>
        <w:t xml:space="preserve"> </w:t>
      </w:r>
      <w:r w:rsidRPr="00923ED7">
        <w:rPr>
          <w:rFonts w:ascii="Arial" w:hAnsi="Arial" w:cs="Arial"/>
          <w:b/>
          <w:bCs/>
          <w:noProof/>
          <w:sz w:val="24"/>
          <w:szCs w:val="24"/>
        </w:rPr>
        <w:t>19</w:t>
      </w:r>
      <w:r>
        <w:rPr>
          <w:rFonts w:ascii="Arial" w:hAnsi="Arial" w:cs="Arial"/>
          <w:noProof/>
          <w:sz w:val="24"/>
          <w:szCs w:val="24"/>
        </w:rPr>
        <w:t xml:space="preserve">, </w:t>
      </w:r>
      <w:r w:rsidRPr="007D19AB">
        <w:rPr>
          <w:rFonts w:ascii="Arial" w:hAnsi="Arial" w:cs="Arial"/>
          <w:noProof/>
          <w:sz w:val="24"/>
          <w:szCs w:val="24"/>
        </w:rPr>
        <w:t>1059–1062.</w:t>
      </w:r>
    </w:p>
    <w:p w14:paraId="27375BFA" w14:textId="77777777" w:rsidR="0092570F" w:rsidRPr="00CF4CE9" w:rsidRDefault="0092570F" w:rsidP="0075661B">
      <w:pPr>
        <w:spacing w:after="0" w:line="480" w:lineRule="auto"/>
        <w:rPr>
          <w:rFonts w:ascii="Arial" w:hAnsi="Arial" w:cs="Arial"/>
          <w:sz w:val="24"/>
          <w:szCs w:val="24"/>
        </w:rPr>
      </w:pPr>
    </w:p>
    <w:sectPr w:rsidR="0092570F" w:rsidRPr="00CF4CE9" w:rsidSect="00CF4CE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58075" w14:textId="77777777" w:rsidR="000C3CF7" w:rsidRDefault="000C3CF7" w:rsidP="00BB302E">
      <w:pPr>
        <w:spacing w:after="0" w:line="240" w:lineRule="auto"/>
      </w:pPr>
      <w:r>
        <w:separator/>
      </w:r>
    </w:p>
  </w:endnote>
  <w:endnote w:type="continuationSeparator" w:id="0">
    <w:p w14:paraId="715F76BD" w14:textId="77777777" w:rsidR="000C3CF7" w:rsidRDefault="000C3CF7" w:rsidP="00BB302E">
      <w:pPr>
        <w:spacing w:after="0" w:line="240" w:lineRule="auto"/>
      </w:pPr>
      <w:r>
        <w:continuationSeparator/>
      </w:r>
    </w:p>
  </w:endnote>
  <w:endnote w:type="continuationNotice" w:id="1">
    <w:p w14:paraId="23E43AA8" w14:textId="77777777" w:rsidR="000C3CF7" w:rsidRDefault="000C3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FFAFC" w14:textId="77777777" w:rsidR="000C3CF7" w:rsidRDefault="000C3CF7" w:rsidP="00BB302E">
      <w:pPr>
        <w:spacing w:after="0" w:line="240" w:lineRule="auto"/>
      </w:pPr>
      <w:r>
        <w:separator/>
      </w:r>
    </w:p>
  </w:footnote>
  <w:footnote w:type="continuationSeparator" w:id="0">
    <w:p w14:paraId="13652501" w14:textId="77777777" w:rsidR="000C3CF7" w:rsidRDefault="000C3CF7" w:rsidP="00BB302E">
      <w:pPr>
        <w:spacing w:after="0" w:line="240" w:lineRule="auto"/>
      </w:pPr>
      <w:r>
        <w:continuationSeparator/>
      </w:r>
    </w:p>
  </w:footnote>
  <w:footnote w:type="continuationNotice" w:id="1">
    <w:p w14:paraId="57619BF1" w14:textId="77777777" w:rsidR="000C3CF7" w:rsidRDefault="000C3C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582"/>
    <w:multiLevelType w:val="hybridMultilevel"/>
    <w:tmpl w:val="67B62536"/>
    <w:lvl w:ilvl="0" w:tplc="C15C6844">
      <w:start w:val="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62944"/>
    <w:multiLevelType w:val="multilevel"/>
    <w:tmpl w:val="BB1E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236AF"/>
    <w:multiLevelType w:val="hybridMultilevel"/>
    <w:tmpl w:val="441651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12756"/>
    <w:multiLevelType w:val="multilevel"/>
    <w:tmpl w:val="95B6D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C0A03"/>
    <w:multiLevelType w:val="hybridMultilevel"/>
    <w:tmpl w:val="E652727E"/>
    <w:lvl w:ilvl="0" w:tplc="04090001">
      <w:start w:val="1"/>
      <w:numFmt w:val="bullet"/>
      <w:lvlText w:val=""/>
      <w:lvlJc w:val="left"/>
      <w:pPr>
        <w:ind w:left="720" w:hanging="360"/>
      </w:pPr>
      <w:rPr>
        <w:rFonts w:ascii="Symbol" w:hAnsi="Symbol" w:hint="default"/>
      </w:rPr>
    </w:lvl>
    <w:lvl w:ilvl="1" w:tplc="C936B642">
      <w:start w:val="1"/>
      <w:numFmt w:val="bullet"/>
      <w:lvlText w:val="o"/>
      <w:lvlJc w:val="left"/>
      <w:pPr>
        <w:ind w:left="1440" w:hanging="360"/>
      </w:pPr>
      <w:rPr>
        <w:rFonts w:ascii="Courier New" w:hAnsi="Courier New" w:cs="Courier New" w:hint="default"/>
        <w:color w:val="00206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179AC"/>
    <w:multiLevelType w:val="hybridMultilevel"/>
    <w:tmpl w:val="7374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74D"/>
    <w:multiLevelType w:val="multilevel"/>
    <w:tmpl w:val="00A4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D786C"/>
    <w:multiLevelType w:val="hybridMultilevel"/>
    <w:tmpl w:val="DEA02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B1D4D"/>
    <w:multiLevelType w:val="hybridMultilevel"/>
    <w:tmpl w:val="651EAD8C"/>
    <w:lvl w:ilvl="0" w:tplc="7510895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02FE"/>
    <w:multiLevelType w:val="hybridMultilevel"/>
    <w:tmpl w:val="F280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05B78"/>
    <w:multiLevelType w:val="multilevel"/>
    <w:tmpl w:val="C9C4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7C492F"/>
    <w:multiLevelType w:val="hybridMultilevel"/>
    <w:tmpl w:val="B1545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914911"/>
    <w:multiLevelType w:val="hybridMultilevel"/>
    <w:tmpl w:val="0A1AF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442BC"/>
    <w:multiLevelType w:val="hybridMultilevel"/>
    <w:tmpl w:val="C8D8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246C5"/>
    <w:multiLevelType w:val="multilevel"/>
    <w:tmpl w:val="7DBE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B58AE"/>
    <w:multiLevelType w:val="hybridMultilevel"/>
    <w:tmpl w:val="37F2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54937"/>
    <w:multiLevelType w:val="hybridMultilevel"/>
    <w:tmpl w:val="1E620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17006"/>
    <w:multiLevelType w:val="hybridMultilevel"/>
    <w:tmpl w:val="51CE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E473E"/>
    <w:multiLevelType w:val="multilevel"/>
    <w:tmpl w:val="B802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2162DA"/>
    <w:multiLevelType w:val="multilevel"/>
    <w:tmpl w:val="1D28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4C2426"/>
    <w:multiLevelType w:val="hybridMultilevel"/>
    <w:tmpl w:val="223481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97AB6"/>
    <w:multiLevelType w:val="hybridMultilevel"/>
    <w:tmpl w:val="EBAC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93649"/>
    <w:multiLevelType w:val="multilevel"/>
    <w:tmpl w:val="B094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8"/>
  </w:num>
  <w:num w:numId="4">
    <w:abstractNumId w:val="16"/>
  </w:num>
  <w:num w:numId="5">
    <w:abstractNumId w:val="21"/>
  </w:num>
  <w:num w:numId="6">
    <w:abstractNumId w:val="17"/>
  </w:num>
  <w:num w:numId="7">
    <w:abstractNumId w:val="4"/>
  </w:num>
  <w:num w:numId="8">
    <w:abstractNumId w:val="13"/>
  </w:num>
  <w:num w:numId="9">
    <w:abstractNumId w:val="2"/>
  </w:num>
  <w:num w:numId="10">
    <w:abstractNumId w:val="12"/>
  </w:num>
  <w:num w:numId="11">
    <w:abstractNumId w:val="15"/>
  </w:num>
  <w:num w:numId="12">
    <w:abstractNumId w:val="5"/>
  </w:num>
  <w:num w:numId="13">
    <w:abstractNumId w:val="0"/>
  </w:num>
  <w:num w:numId="14">
    <w:abstractNumId w:val="9"/>
  </w:num>
  <w:num w:numId="15">
    <w:abstractNumId w:val="10"/>
  </w:num>
  <w:num w:numId="16">
    <w:abstractNumId w:val="6"/>
  </w:num>
  <w:num w:numId="17">
    <w:abstractNumId w:val="19"/>
  </w:num>
  <w:num w:numId="18">
    <w:abstractNumId w:val="14"/>
  </w:num>
  <w:num w:numId="19">
    <w:abstractNumId w:val="18"/>
  </w:num>
  <w:num w:numId="20">
    <w:abstractNumId w:val="22"/>
  </w:num>
  <w:num w:numId="21">
    <w:abstractNumId w:val="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OytDCzMDA2tAQSBko6SsGpxcWZ+XkgBebGtQAd+9ivLQAAAA=="/>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0C2D91"/>
    <w:rsid w:val="00000F36"/>
    <w:rsid w:val="00004D71"/>
    <w:rsid w:val="000117C9"/>
    <w:rsid w:val="00012876"/>
    <w:rsid w:val="00012898"/>
    <w:rsid w:val="00012C70"/>
    <w:rsid w:val="00013800"/>
    <w:rsid w:val="000149D7"/>
    <w:rsid w:val="00014C46"/>
    <w:rsid w:val="00015BAF"/>
    <w:rsid w:val="00015FF1"/>
    <w:rsid w:val="0001642B"/>
    <w:rsid w:val="000173D7"/>
    <w:rsid w:val="00020F9D"/>
    <w:rsid w:val="0002186A"/>
    <w:rsid w:val="000221E5"/>
    <w:rsid w:val="00024A04"/>
    <w:rsid w:val="00024B42"/>
    <w:rsid w:val="0002648A"/>
    <w:rsid w:val="000267CF"/>
    <w:rsid w:val="00026E83"/>
    <w:rsid w:val="00026FD4"/>
    <w:rsid w:val="00030F27"/>
    <w:rsid w:val="0003106B"/>
    <w:rsid w:val="00031324"/>
    <w:rsid w:val="00033244"/>
    <w:rsid w:val="000342C2"/>
    <w:rsid w:val="00035634"/>
    <w:rsid w:val="0003595F"/>
    <w:rsid w:val="00035CEE"/>
    <w:rsid w:val="000371E1"/>
    <w:rsid w:val="00037408"/>
    <w:rsid w:val="00037A0F"/>
    <w:rsid w:val="00037FCA"/>
    <w:rsid w:val="0004024D"/>
    <w:rsid w:val="00042128"/>
    <w:rsid w:val="000422E2"/>
    <w:rsid w:val="00045B2D"/>
    <w:rsid w:val="00046FB6"/>
    <w:rsid w:val="00050444"/>
    <w:rsid w:val="000509E4"/>
    <w:rsid w:val="0005143D"/>
    <w:rsid w:val="0005303B"/>
    <w:rsid w:val="00054710"/>
    <w:rsid w:val="00054DB7"/>
    <w:rsid w:val="00055442"/>
    <w:rsid w:val="00064B32"/>
    <w:rsid w:val="00066F48"/>
    <w:rsid w:val="00067367"/>
    <w:rsid w:val="00067D70"/>
    <w:rsid w:val="00067D7E"/>
    <w:rsid w:val="000708D2"/>
    <w:rsid w:val="000717B4"/>
    <w:rsid w:val="00072E0C"/>
    <w:rsid w:val="000737ED"/>
    <w:rsid w:val="000756A2"/>
    <w:rsid w:val="00075BE2"/>
    <w:rsid w:val="00075F04"/>
    <w:rsid w:val="00076F5F"/>
    <w:rsid w:val="000771D7"/>
    <w:rsid w:val="00077690"/>
    <w:rsid w:val="00077A17"/>
    <w:rsid w:val="00077E2F"/>
    <w:rsid w:val="0008150C"/>
    <w:rsid w:val="00081A01"/>
    <w:rsid w:val="0008208A"/>
    <w:rsid w:val="000834FC"/>
    <w:rsid w:val="00083A33"/>
    <w:rsid w:val="000849CF"/>
    <w:rsid w:val="00084CB8"/>
    <w:rsid w:val="00085C27"/>
    <w:rsid w:val="00086E91"/>
    <w:rsid w:val="0009360E"/>
    <w:rsid w:val="0009372D"/>
    <w:rsid w:val="00093F62"/>
    <w:rsid w:val="00094DAE"/>
    <w:rsid w:val="00096C6C"/>
    <w:rsid w:val="000A012C"/>
    <w:rsid w:val="000A02E7"/>
    <w:rsid w:val="000A0F05"/>
    <w:rsid w:val="000A12A2"/>
    <w:rsid w:val="000A70E3"/>
    <w:rsid w:val="000B0C14"/>
    <w:rsid w:val="000B12C5"/>
    <w:rsid w:val="000B3514"/>
    <w:rsid w:val="000B6B4F"/>
    <w:rsid w:val="000B742F"/>
    <w:rsid w:val="000B7D06"/>
    <w:rsid w:val="000C0D05"/>
    <w:rsid w:val="000C1587"/>
    <w:rsid w:val="000C2D91"/>
    <w:rsid w:val="000C3CF7"/>
    <w:rsid w:val="000C416A"/>
    <w:rsid w:val="000C4B3A"/>
    <w:rsid w:val="000C6903"/>
    <w:rsid w:val="000C7855"/>
    <w:rsid w:val="000D44BF"/>
    <w:rsid w:val="000D5D68"/>
    <w:rsid w:val="000D691C"/>
    <w:rsid w:val="000D7CC7"/>
    <w:rsid w:val="000E173D"/>
    <w:rsid w:val="000E178F"/>
    <w:rsid w:val="000E3709"/>
    <w:rsid w:val="000E404B"/>
    <w:rsid w:val="000E4FC0"/>
    <w:rsid w:val="000F01FE"/>
    <w:rsid w:val="000F1E4F"/>
    <w:rsid w:val="000F23C0"/>
    <w:rsid w:val="000F2AB7"/>
    <w:rsid w:val="000F2AD6"/>
    <w:rsid w:val="000F4F96"/>
    <w:rsid w:val="000F52CB"/>
    <w:rsid w:val="000F53E1"/>
    <w:rsid w:val="000F7D41"/>
    <w:rsid w:val="00100EAF"/>
    <w:rsid w:val="0010201F"/>
    <w:rsid w:val="00104110"/>
    <w:rsid w:val="00105ACD"/>
    <w:rsid w:val="001060FF"/>
    <w:rsid w:val="001066D6"/>
    <w:rsid w:val="00107081"/>
    <w:rsid w:val="00110DC5"/>
    <w:rsid w:val="00111173"/>
    <w:rsid w:val="001113E7"/>
    <w:rsid w:val="00111FB1"/>
    <w:rsid w:val="00111FB2"/>
    <w:rsid w:val="001120D3"/>
    <w:rsid w:val="00113EAA"/>
    <w:rsid w:val="0011407F"/>
    <w:rsid w:val="001142F1"/>
    <w:rsid w:val="00114610"/>
    <w:rsid w:val="00114830"/>
    <w:rsid w:val="00114870"/>
    <w:rsid w:val="00115471"/>
    <w:rsid w:val="001156A3"/>
    <w:rsid w:val="0011591C"/>
    <w:rsid w:val="00116995"/>
    <w:rsid w:val="00117BE4"/>
    <w:rsid w:val="0012082E"/>
    <w:rsid w:val="00120D29"/>
    <w:rsid w:val="00122489"/>
    <w:rsid w:val="00122C24"/>
    <w:rsid w:val="00123533"/>
    <w:rsid w:val="001236C2"/>
    <w:rsid w:val="00125122"/>
    <w:rsid w:val="001258F7"/>
    <w:rsid w:val="001265CF"/>
    <w:rsid w:val="001316AD"/>
    <w:rsid w:val="0013225C"/>
    <w:rsid w:val="00133942"/>
    <w:rsid w:val="00133B0E"/>
    <w:rsid w:val="001342A2"/>
    <w:rsid w:val="0013699C"/>
    <w:rsid w:val="001370EB"/>
    <w:rsid w:val="00137516"/>
    <w:rsid w:val="001413D6"/>
    <w:rsid w:val="0014231F"/>
    <w:rsid w:val="00143E64"/>
    <w:rsid w:val="00144C0B"/>
    <w:rsid w:val="00145EFD"/>
    <w:rsid w:val="001504EC"/>
    <w:rsid w:val="00152EBA"/>
    <w:rsid w:val="00153CEE"/>
    <w:rsid w:val="00153F0F"/>
    <w:rsid w:val="00155494"/>
    <w:rsid w:val="001573B0"/>
    <w:rsid w:val="00157EFC"/>
    <w:rsid w:val="00161F46"/>
    <w:rsid w:val="0016373F"/>
    <w:rsid w:val="00164323"/>
    <w:rsid w:val="00166F2D"/>
    <w:rsid w:val="00167806"/>
    <w:rsid w:val="0016780F"/>
    <w:rsid w:val="001708BB"/>
    <w:rsid w:val="00172EB2"/>
    <w:rsid w:val="0017633D"/>
    <w:rsid w:val="001779BE"/>
    <w:rsid w:val="00177D63"/>
    <w:rsid w:val="001812D9"/>
    <w:rsid w:val="00182420"/>
    <w:rsid w:val="00182D61"/>
    <w:rsid w:val="00183135"/>
    <w:rsid w:val="001832B3"/>
    <w:rsid w:val="001861E7"/>
    <w:rsid w:val="00187E5F"/>
    <w:rsid w:val="00190186"/>
    <w:rsid w:val="001909FE"/>
    <w:rsid w:val="00190D0C"/>
    <w:rsid w:val="00191C8F"/>
    <w:rsid w:val="00192845"/>
    <w:rsid w:val="00192917"/>
    <w:rsid w:val="001962E5"/>
    <w:rsid w:val="00197032"/>
    <w:rsid w:val="00197211"/>
    <w:rsid w:val="00197F40"/>
    <w:rsid w:val="001A0522"/>
    <w:rsid w:val="001A0645"/>
    <w:rsid w:val="001A183C"/>
    <w:rsid w:val="001A209D"/>
    <w:rsid w:val="001A5C04"/>
    <w:rsid w:val="001A7AC5"/>
    <w:rsid w:val="001B1183"/>
    <w:rsid w:val="001B4004"/>
    <w:rsid w:val="001B4BAE"/>
    <w:rsid w:val="001B518D"/>
    <w:rsid w:val="001B570C"/>
    <w:rsid w:val="001C0B88"/>
    <w:rsid w:val="001C1651"/>
    <w:rsid w:val="001C1DF8"/>
    <w:rsid w:val="001C2353"/>
    <w:rsid w:val="001C403B"/>
    <w:rsid w:val="001C4091"/>
    <w:rsid w:val="001C4C34"/>
    <w:rsid w:val="001C5443"/>
    <w:rsid w:val="001C5B06"/>
    <w:rsid w:val="001C65F7"/>
    <w:rsid w:val="001C6650"/>
    <w:rsid w:val="001C6FD2"/>
    <w:rsid w:val="001D056F"/>
    <w:rsid w:val="001D50BD"/>
    <w:rsid w:val="001D6DC6"/>
    <w:rsid w:val="001D764A"/>
    <w:rsid w:val="001D76B8"/>
    <w:rsid w:val="001E1482"/>
    <w:rsid w:val="001E1521"/>
    <w:rsid w:val="001E1725"/>
    <w:rsid w:val="001E285A"/>
    <w:rsid w:val="001E34C6"/>
    <w:rsid w:val="001E4BAD"/>
    <w:rsid w:val="001E510D"/>
    <w:rsid w:val="001E5CF9"/>
    <w:rsid w:val="001F0B22"/>
    <w:rsid w:val="001F254E"/>
    <w:rsid w:val="001F2C3F"/>
    <w:rsid w:val="001F302F"/>
    <w:rsid w:val="001F32BC"/>
    <w:rsid w:val="001F3B7F"/>
    <w:rsid w:val="001F5715"/>
    <w:rsid w:val="001F5F75"/>
    <w:rsid w:val="001F602B"/>
    <w:rsid w:val="001F6ADE"/>
    <w:rsid w:val="001F720A"/>
    <w:rsid w:val="001F7302"/>
    <w:rsid w:val="001F7329"/>
    <w:rsid w:val="00200C0A"/>
    <w:rsid w:val="00201D23"/>
    <w:rsid w:val="00203357"/>
    <w:rsid w:val="002040CE"/>
    <w:rsid w:val="0020415B"/>
    <w:rsid w:val="00204F02"/>
    <w:rsid w:val="00206099"/>
    <w:rsid w:val="002065F1"/>
    <w:rsid w:val="002073AE"/>
    <w:rsid w:val="002116A6"/>
    <w:rsid w:val="002129DC"/>
    <w:rsid w:val="00212AF6"/>
    <w:rsid w:val="0021374D"/>
    <w:rsid w:val="00215386"/>
    <w:rsid w:val="002203FB"/>
    <w:rsid w:val="002224BF"/>
    <w:rsid w:val="00224BE1"/>
    <w:rsid w:val="00232F60"/>
    <w:rsid w:val="002335FD"/>
    <w:rsid w:val="00233E8B"/>
    <w:rsid w:val="00234079"/>
    <w:rsid w:val="00235CE4"/>
    <w:rsid w:val="002372FB"/>
    <w:rsid w:val="00241972"/>
    <w:rsid w:val="0024298C"/>
    <w:rsid w:val="00243B28"/>
    <w:rsid w:val="00243EE1"/>
    <w:rsid w:val="00245591"/>
    <w:rsid w:val="00246835"/>
    <w:rsid w:val="00246DDC"/>
    <w:rsid w:val="00251544"/>
    <w:rsid w:val="00251D51"/>
    <w:rsid w:val="00253A36"/>
    <w:rsid w:val="0025444C"/>
    <w:rsid w:val="00254ECF"/>
    <w:rsid w:val="00255DAE"/>
    <w:rsid w:val="0026030D"/>
    <w:rsid w:val="002625DA"/>
    <w:rsid w:val="00263DD1"/>
    <w:rsid w:val="00270B52"/>
    <w:rsid w:val="0027188F"/>
    <w:rsid w:val="00272E23"/>
    <w:rsid w:val="002736BC"/>
    <w:rsid w:val="00273A9E"/>
    <w:rsid w:val="00275E66"/>
    <w:rsid w:val="00276182"/>
    <w:rsid w:val="00276A3C"/>
    <w:rsid w:val="00276EBF"/>
    <w:rsid w:val="00280F6B"/>
    <w:rsid w:val="00281269"/>
    <w:rsid w:val="002815FF"/>
    <w:rsid w:val="00282D44"/>
    <w:rsid w:val="00282D84"/>
    <w:rsid w:val="00282F45"/>
    <w:rsid w:val="00285187"/>
    <w:rsid w:val="0028554A"/>
    <w:rsid w:val="002865D2"/>
    <w:rsid w:val="00290D14"/>
    <w:rsid w:val="0029259B"/>
    <w:rsid w:val="002934D9"/>
    <w:rsid w:val="00294159"/>
    <w:rsid w:val="0029524C"/>
    <w:rsid w:val="00296860"/>
    <w:rsid w:val="00296EDD"/>
    <w:rsid w:val="0029719E"/>
    <w:rsid w:val="00297F19"/>
    <w:rsid w:val="002A0260"/>
    <w:rsid w:val="002A0613"/>
    <w:rsid w:val="002A0799"/>
    <w:rsid w:val="002A07D3"/>
    <w:rsid w:val="002A0EC4"/>
    <w:rsid w:val="002A5AAF"/>
    <w:rsid w:val="002A7037"/>
    <w:rsid w:val="002A7DA6"/>
    <w:rsid w:val="002B180A"/>
    <w:rsid w:val="002B233A"/>
    <w:rsid w:val="002B341C"/>
    <w:rsid w:val="002B361A"/>
    <w:rsid w:val="002B38D3"/>
    <w:rsid w:val="002B4347"/>
    <w:rsid w:val="002B4744"/>
    <w:rsid w:val="002B6D80"/>
    <w:rsid w:val="002B7A07"/>
    <w:rsid w:val="002C06D6"/>
    <w:rsid w:val="002C1B9A"/>
    <w:rsid w:val="002C2C69"/>
    <w:rsid w:val="002C2C93"/>
    <w:rsid w:val="002C3419"/>
    <w:rsid w:val="002C5BD4"/>
    <w:rsid w:val="002D0EAA"/>
    <w:rsid w:val="002D1804"/>
    <w:rsid w:val="002D1AE2"/>
    <w:rsid w:val="002D1CB8"/>
    <w:rsid w:val="002D3028"/>
    <w:rsid w:val="002D4140"/>
    <w:rsid w:val="002D6B8D"/>
    <w:rsid w:val="002E0975"/>
    <w:rsid w:val="002E0A5A"/>
    <w:rsid w:val="002E0E2C"/>
    <w:rsid w:val="002E2A69"/>
    <w:rsid w:val="002E2CBE"/>
    <w:rsid w:val="002E597C"/>
    <w:rsid w:val="002E6BFE"/>
    <w:rsid w:val="002E7622"/>
    <w:rsid w:val="002E783B"/>
    <w:rsid w:val="002F08F4"/>
    <w:rsid w:val="002F1F72"/>
    <w:rsid w:val="002F44EA"/>
    <w:rsid w:val="002F7C30"/>
    <w:rsid w:val="003001E7"/>
    <w:rsid w:val="00301D52"/>
    <w:rsid w:val="00302EC2"/>
    <w:rsid w:val="00304448"/>
    <w:rsid w:val="0030552A"/>
    <w:rsid w:val="00306EA0"/>
    <w:rsid w:val="00313C66"/>
    <w:rsid w:val="00313D19"/>
    <w:rsid w:val="00314EBA"/>
    <w:rsid w:val="00315D0C"/>
    <w:rsid w:val="0031633F"/>
    <w:rsid w:val="00317037"/>
    <w:rsid w:val="003200F5"/>
    <w:rsid w:val="00320D01"/>
    <w:rsid w:val="00323670"/>
    <w:rsid w:val="003261AC"/>
    <w:rsid w:val="00326E84"/>
    <w:rsid w:val="00330911"/>
    <w:rsid w:val="00331EAF"/>
    <w:rsid w:val="00332031"/>
    <w:rsid w:val="00332292"/>
    <w:rsid w:val="00332C59"/>
    <w:rsid w:val="00334FA2"/>
    <w:rsid w:val="0033550E"/>
    <w:rsid w:val="0033782F"/>
    <w:rsid w:val="003409DE"/>
    <w:rsid w:val="003412EA"/>
    <w:rsid w:val="0034160D"/>
    <w:rsid w:val="0034173B"/>
    <w:rsid w:val="00341A29"/>
    <w:rsid w:val="0034320A"/>
    <w:rsid w:val="003456F3"/>
    <w:rsid w:val="00345D25"/>
    <w:rsid w:val="003473CE"/>
    <w:rsid w:val="003477C5"/>
    <w:rsid w:val="00352BA4"/>
    <w:rsid w:val="003538DF"/>
    <w:rsid w:val="00353960"/>
    <w:rsid w:val="00355AF2"/>
    <w:rsid w:val="003576A8"/>
    <w:rsid w:val="003603F0"/>
    <w:rsid w:val="00360968"/>
    <w:rsid w:val="00360E20"/>
    <w:rsid w:val="0036121E"/>
    <w:rsid w:val="00361442"/>
    <w:rsid w:val="00361BEB"/>
    <w:rsid w:val="00362944"/>
    <w:rsid w:val="0036319A"/>
    <w:rsid w:val="00364564"/>
    <w:rsid w:val="00370867"/>
    <w:rsid w:val="00371503"/>
    <w:rsid w:val="003720EF"/>
    <w:rsid w:val="003730E0"/>
    <w:rsid w:val="003738E2"/>
    <w:rsid w:val="0037504D"/>
    <w:rsid w:val="0037558F"/>
    <w:rsid w:val="00380E5F"/>
    <w:rsid w:val="00381A6D"/>
    <w:rsid w:val="00387264"/>
    <w:rsid w:val="00391792"/>
    <w:rsid w:val="0039217E"/>
    <w:rsid w:val="003940D6"/>
    <w:rsid w:val="00396483"/>
    <w:rsid w:val="00397A43"/>
    <w:rsid w:val="003A0828"/>
    <w:rsid w:val="003A196F"/>
    <w:rsid w:val="003A1AA7"/>
    <w:rsid w:val="003A1E6D"/>
    <w:rsid w:val="003A2287"/>
    <w:rsid w:val="003A2FD1"/>
    <w:rsid w:val="003A4711"/>
    <w:rsid w:val="003A6291"/>
    <w:rsid w:val="003B1AD6"/>
    <w:rsid w:val="003B28A7"/>
    <w:rsid w:val="003B4074"/>
    <w:rsid w:val="003B413B"/>
    <w:rsid w:val="003B551B"/>
    <w:rsid w:val="003B59C6"/>
    <w:rsid w:val="003C0010"/>
    <w:rsid w:val="003C0BAB"/>
    <w:rsid w:val="003C0C2B"/>
    <w:rsid w:val="003C2A41"/>
    <w:rsid w:val="003C4AB2"/>
    <w:rsid w:val="003C5E63"/>
    <w:rsid w:val="003C703F"/>
    <w:rsid w:val="003D077A"/>
    <w:rsid w:val="003D1422"/>
    <w:rsid w:val="003D1CA8"/>
    <w:rsid w:val="003D1E1E"/>
    <w:rsid w:val="003E01B4"/>
    <w:rsid w:val="003E26D4"/>
    <w:rsid w:val="003E4E38"/>
    <w:rsid w:val="003E51B5"/>
    <w:rsid w:val="003E546A"/>
    <w:rsid w:val="003E663D"/>
    <w:rsid w:val="003E711C"/>
    <w:rsid w:val="003E7A05"/>
    <w:rsid w:val="003E7D37"/>
    <w:rsid w:val="003F062E"/>
    <w:rsid w:val="003F1409"/>
    <w:rsid w:val="003F228F"/>
    <w:rsid w:val="003F3D27"/>
    <w:rsid w:val="003F4097"/>
    <w:rsid w:val="003F4BEA"/>
    <w:rsid w:val="003F69D3"/>
    <w:rsid w:val="003F70DE"/>
    <w:rsid w:val="00400BBD"/>
    <w:rsid w:val="004019B7"/>
    <w:rsid w:val="00401FD0"/>
    <w:rsid w:val="00402BB8"/>
    <w:rsid w:val="004041B9"/>
    <w:rsid w:val="00405CEA"/>
    <w:rsid w:val="004063F3"/>
    <w:rsid w:val="00406827"/>
    <w:rsid w:val="00407611"/>
    <w:rsid w:val="00407E14"/>
    <w:rsid w:val="00410576"/>
    <w:rsid w:val="004127A8"/>
    <w:rsid w:val="00413D1A"/>
    <w:rsid w:val="00414067"/>
    <w:rsid w:val="00415047"/>
    <w:rsid w:val="0041509C"/>
    <w:rsid w:val="00416942"/>
    <w:rsid w:val="00420582"/>
    <w:rsid w:val="00421811"/>
    <w:rsid w:val="00423841"/>
    <w:rsid w:val="00425260"/>
    <w:rsid w:val="00425264"/>
    <w:rsid w:val="00425A25"/>
    <w:rsid w:val="004275DC"/>
    <w:rsid w:val="0043004F"/>
    <w:rsid w:val="00432FA1"/>
    <w:rsid w:val="00433523"/>
    <w:rsid w:val="00433697"/>
    <w:rsid w:val="00435E9A"/>
    <w:rsid w:val="004403B0"/>
    <w:rsid w:val="004428B0"/>
    <w:rsid w:val="00443285"/>
    <w:rsid w:val="0044384E"/>
    <w:rsid w:val="00443E8D"/>
    <w:rsid w:val="00444912"/>
    <w:rsid w:val="0044532F"/>
    <w:rsid w:val="00445CA6"/>
    <w:rsid w:val="00446642"/>
    <w:rsid w:val="00446B9C"/>
    <w:rsid w:val="00447E82"/>
    <w:rsid w:val="00450FD7"/>
    <w:rsid w:val="00453236"/>
    <w:rsid w:val="004540AC"/>
    <w:rsid w:val="004543DD"/>
    <w:rsid w:val="00454D57"/>
    <w:rsid w:val="00457603"/>
    <w:rsid w:val="0045771C"/>
    <w:rsid w:val="00457F11"/>
    <w:rsid w:val="00460ABB"/>
    <w:rsid w:val="0046184B"/>
    <w:rsid w:val="00463374"/>
    <w:rsid w:val="004635B1"/>
    <w:rsid w:val="004639D4"/>
    <w:rsid w:val="00464C2A"/>
    <w:rsid w:val="00465BDB"/>
    <w:rsid w:val="00466D70"/>
    <w:rsid w:val="00470CF6"/>
    <w:rsid w:val="0047299C"/>
    <w:rsid w:val="00472BEA"/>
    <w:rsid w:val="00475A04"/>
    <w:rsid w:val="004764A7"/>
    <w:rsid w:val="00480299"/>
    <w:rsid w:val="004805F8"/>
    <w:rsid w:val="00481745"/>
    <w:rsid w:val="00482CB7"/>
    <w:rsid w:val="00482FEC"/>
    <w:rsid w:val="00484729"/>
    <w:rsid w:val="004852AA"/>
    <w:rsid w:val="0048589F"/>
    <w:rsid w:val="00485CFB"/>
    <w:rsid w:val="00486157"/>
    <w:rsid w:val="00491287"/>
    <w:rsid w:val="00493900"/>
    <w:rsid w:val="00493C71"/>
    <w:rsid w:val="004943C2"/>
    <w:rsid w:val="004949B6"/>
    <w:rsid w:val="00497109"/>
    <w:rsid w:val="004A0D7D"/>
    <w:rsid w:val="004A1889"/>
    <w:rsid w:val="004A295F"/>
    <w:rsid w:val="004A4119"/>
    <w:rsid w:val="004A4309"/>
    <w:rsid w:val="004A4D18"/>
    <w:rsid w:val="004A518B"/>
    <w:rsid w:val="004A5FD4"/>
    <w:rsid w:val="004A73D8"/>
    <w:rsid w:val="004B03BD"/>
    <w:rsid w:val="004B1333"/>
    <w:rsid w:val="004B21C4"/>
    <w:rsid w:val="004B34D4"/>
    <w:rsid w:val="004B39B8"/>
    <w:rsid w:val="004B6814"/>
    <w:rsid w:val="004B7DF0"/>
    <w:rsid w:val="004C188A"/>
    <w:rsid w:val="004C1DD5"/>
    <w:rsid w:val="004C1F98"/>
    <w:rsid w:val="004C37EB"/>
    <w:rsid w:val="004C5889"/>
    <w:rsid w:val="004C77A8"/>
    <w:rsid w:val="004C7BB1"/>
    <w:rsid w:val="004D0608"/>
    <w:rsid w:val="004D13C9"/>
    <w:rsid w:val="004D18D8"/>
    <w:rsid w:val="004D219B"/>
    <w:rsid w:val="004D221C"/>
    <w:rsid w:val="004D2362"/>
    <w:rsid w:val="004D2D62"/>
    <w:rsid w:val="004D2DF4"/>
    <w:rsid w:val="004D4CE2"/>
    <w:rsid w:val="004D68EE"/>
    <w:rsid w:val="004D73F2"/>
    <w:rsid w:val="004D7C1B"/>
    <w:rsid w:val="004E0988"/>
    <w:rsid w:val="004E100E"/>
    <w:rsid w:val="004E26C2"/>
    <w:rsid w:val="004E2D8E"/>
    <w:rsid w:val="004E3911"/>
    <w:rsid w:val="004E479B"/>
    <w:rsid w:val="004E4D61"/>
    <w:rsid w:val="004E57EF"/>
    <w:rsid w:val="004E60A6"/>
    <w:rsid w:val="004E6D62"/>
    <w:rsid w:val="004F16AC"/>
    <w:rsid w:val="004F22E8"/>
    <w:rsid w:val="004F42EF"/>
    <w:rsid w:val="004F4941"/>
    <w:rsid w:val="004F4B98"/>
    <w:rsid w:val="004F4E15"/>
    <w:rsid w:val="004F7080"/>
    <w:rsid w:val="004F75B9"/>
    <w:rsid w:val="00501053"/>
    <w:rsid w:val="00504503"/>
    <w:rsid w:val="0050613C"/>
    <w:rsid w:val="0050719B"/>
    <w:rsid w:val="005112C1"/>
    <w:rsid w:val="005115D9"/>
    <w:rsid w:val="00512016"/>
    <w:rsid w:val="00512514"/>
    <w:rsid w:val="00512C22"/>
    <w:rsid w:val="005144D9"/>
    <w:rsid w:val="00515932"/>
    <w:rsid w:val="00517AFE"/>
    <w:rsid w:val="005207EC"/>
    <w:rsid w:val="00527B08"/>
    <w:rsid w:val="00530F8C"/>
    <w:rsid w:val="00532FD0"/>
    <w:rsid w:val="00533376"/>
    <w:rsid w:val="00534722"/>
    <w:rsid w:val="005363FF"/>
    <w:rsid w:val="0053664D"/>
    <w:rsid w:val="005376EB"/>
    <w:rsid w:val="00537966"/>
    <w:rsid w:val="00541BC3"/>
    <w:rsid w:val="0054307D"/>
    <w:rsid w:val="00543ABA"/>
    <w:rsid w:val="00543B59"/>
    <w:rsid w:val="00543CE5"/>
    <w:rsid w:val="00544B6F"/>
    <w:rsid w:val="00546285"/>
    <w:rsid w:val="005505F4"/>
    <w:rsid w:val="0055078B"/>
    <w:rsid w:val="00551F0E"/>
    <w:rsid w:val="005527DD"/>
    <w:rsid w:val="005562A4"/>
    <w:rsid w:val="0055668F"/>
    <w:rsid w:val="005571F9"/>
    <w:rsid w:val="00557839"/>
    <w:rsid w:val="00562B6D"/>
    <w:rsid w:val="0056425B"/>
    <w:rsid w:val="005649D9"/>
    <w:rsid w:val="00571249"/>
    <w:rsid w:val="005715A5"/>
    <w:rsid w:val="0057172F"/>
    <w:rsid w:val="0057247D"/>
    <w:rsid w:val="00572950"/>
    <w:rsid w:val="00572E0A"/>
    <w:rsid w:val="00573F65"/>
    <w:rsid w:val="005744A6"/>
    <w:rsid w:val="00574BAD"/>
    <w:rsid w:val="0057551B"/>
    <w:rsid w:val="00576DDA"/>
    <w:rsid w:val="00580AD6"/>
    <w:rsid w:val="0058144B"/>
    <w:rsid w:val="005818CB"/>
    <w:rsid w:val="00581C0D"/>
    <w:rsid w:val="00582B47"/>
    <w:rsid w:val="00583158"/>
    <w:rsid w:val="00584E36"/>
    <w:rsid w:val="00585F39"/>
    <w:rsid w:val="00592D30"/>
    <w:rsid w:val="00597730"/>
    <w:rsid w:val="005A020E"/>
    <w:rsid w:val="005A0FFD"/>
    <w:rsid w:val="005A22BD"/>
    <w:rsid w:val="005A22C6"/>
    <w:rsid w:val="005A2355"/>
    <w:rsid w:val="005A2BD2"/>
    <w:rsid w:val="005A365E"/>
    <w:rsid w:val="005A4FC5"/>
    <w:rsid w:val="005A5969"/>
    <w:rsid w:val="005A61FD"/>
    <w:rsid w:val="005A6855"/>
    <w:rsid w:val="005A769F"/>
    <w:rsid w:val="005A7B1E"/>
    <w:rsid w:val="005A7CEB"/>
    <w:rsid w:val="005B093B"/>
    <w:rsid w:val="005B1272"/>
    <w:rsid w:val="005B1CCC"/>
    <w:rsid w:val="005B2D98"/>
    <w:rsid w:val="005B3381"/>
    <w:rsid w:val="005B349C"/>
    <w:rsid w:val="005B3A08"/>
    <w:rsid w:val="005B450B"/>
    <w:rsid w:val="005B5E38"/>
    <w:rsid w:val="005B5FA4"/>
    <w:rsid w:val="005B6C6D"/>
    <w:rsid w:val="005B7716"/>
    <w:rsid w:val="005C14B1"/>
    <w:rsid w:val="005C2726"/>
    <w:rsid w:val="005C2D52"/>
    <w:rsid w:val="005C5127"/>
    <w:rsid w:val="005C5307"/>
    <w:rsid w:val="005C6349"/>
    <w:rsid w:val="005C76F1"/>
    <w:rsid w:val="005D0045"/>
    <w:rsid w:val="005D04AF"/>
    <w:rsid w:val="005D29ED"/>
    <w:rsid w:val="005D66C9"/>
    <w:rsid w:val="005E00C2"/>
    <w:rsid w:val="005E08F7"/>
    <w:rsid w:val="005E2071"/>
    <w:rsid w:val="005E31CE"/>
    <w:rsid w:val="005E3808"/>
    <w:rsid w:val="005E608A"/>
    <w:rsid w:val="005E7093"/>
    <w:rsid w:val="005E7CA0"/>
    <w:rsid w:val="005F0B80"/>
    <w:rsid w:val="005F3056"/>
    <w:rsid w:val="005F3C0F"/>
    <w:rsid w:val="005F3CC3"/>
    <w:rsid w:val="005F44EE"/>
    <w:rsid w:val="005F4AB3"/>
    <w:rsid w:val="005F604D"/>
    <w:rsid w:val="005F70B1"/>
    <w:rsid w:val="005F70BE"/>
    <w:rsid w:val="005F7E3C"/>
    <w:rsid w:val="006000B9"/>
    <w:rsid w:val="00600786"/>
    <w:rsid w:val="00600B49"/>
    <w:rsid w:val="00601A08"/>
    <w:rsid w:val="006023BB"/>
    <w:rsid w:val="006025BD"/>
    <w:rsid w:val="006027C4"/>
    <w:rsid w:val="00603C20"/>
    <w:rsid w:val="00604300"/>
    <w:rsid w:val="0060486C"/>
    <w:rsid w:val="0060664D"/>
    <w:rsid w:val="00607FEB"/>
    <w:rsid w:val="00611498"/>
    <w:rsid w:val="0061276E"/>
    <w:rsid w:val="00613F5B"/>
    <w:rsid w:val="0061581B"/>
    <w:rsid w:val="00617C2C"/>
    <w:rsid w:val="00620F5A"/>
    <w:rsid w:val="006215D2"/>
    <w:rsid w:val="00621883"/>
    <w:rsid w:val="00621EBF"/>
    <w:rsid w:val="006224BB"/>
    <w:rsid w:val="00623401"/>
    <w:rsid w:val="00624D12"/>
    <w:rsid w:val="00625ABE"/>
    <w:rsid w:val="00626258"/>
    <w:rsid w:val="00626AD8"/>
    <w:rsid w:val="00626E8D"/>
    <w:rsid w:val="0062731F"/>
    <w:rsid w:val="00627321"/>
    <w:rsid w:val="0062785B"/>
    <w:rsid w:val="00627F74"/>
    <w:rsid w:val="00631ED4"/>
    <w:rsid w:val="00636913"/>
    <w:rsid w:val="00636966"/>
    <w:rsid w:val="006378E1"/>
    <w:rsid w:val="006413EE"/>
    <w:rsid w:val="00642328"/>
    <w:rsid w:val="00642EBA"/>
    <w:rsid w:val="0064321B"/>
    <w:rsid w:val="006435AF"/>
    <w:rsid w:val="00644505"/>
    <w:rsid w:val="00644BF8"/>
    <w:rsid w:val="0064698F"/>
    <w:rsid w:val="00646ABA"/>
    <w:rsid w:val="00646F65"/>
    <w:rsid w:val="00647206"/>
    <w:rsid w:val="006473B6"/>
    <w:rsid w:val="00647D43"/>
    <w:rsid w:val="00651F17"/>
    <w:rsid w:val="006520CE"/>
    <w:rsid w:val="00655155"/>
    <w:rsid w:val="006555D6"/>
    <w:rsid w:val="006565BD"/>
    <w:rsid w:val="00660BBA"/>
    <w:rsid w:val="00661221"/>
    <w:rsid w:val="006614E0"/>
    <w:rsid w:val="006627B2"/>
    <w:rsid w:val="00665603"/>
    <w:rsid w:val="00666500"/>
    <w:rsid w:val="006669E7"/>
    <w:rsid w:val="00670A44"/>
    <w:rsid w:val="00670FB1"/>
    <w:rsid w:val="00671083"/>
    <w:rsid w:val="0067135C"/>
    <w:rsid w:val="00672177"/>
    <w:rsid w:val="00674759"/>
    <w:rsid w:val="00675805"/>
    <w:rsid w:val="00675B92"/>
    <w:rsid w:val="00676A4C"/>
    <w:rsid w:val="006773AD"/>
    <w:rsid w:val="00677F62"/>
    <w:rsid w:val="006801A5"/>
    <w:rsid w:val="00680257"/>
    <w:rsid w:val="00681419"/>
    <w:rsid w:val="0068246F"/>
    <w:rsid w:val="006827B7"/>
    <w:rsid w:val="00685338"/>
    <w:rsid w:val="00686C7A"/>
    <w:rsid w:val="0069080C"/>
    <w:rsid w:val="0069165C"/>
    <w:rsid w:val="00691B6A"/>
    <w:rsid w:val="006923FC"/>
    <w:rsid w:val="00693F37"/>
    <w:rsid w:val="00695E53"/>
    <w:rsid w:val="00695ED8"/>
    <w:rsid w:val="00696EDF"/>
    <w:rsid w:val="006A0806"/>
    <w:rsid w:val="006A1E36"/>
    <w:rsid w:val="006A31A9"/>
    <w:rsid w:val="006A37BD"/>
    <w:rsid w:val="006A3BD0"/>
    <w:rsid w:val="006A401C"/>
    <w:rsid w:val="006A434A"/>
    <w:rsid w:val="006A4462"/>
    <w:rsid w:val="006A4D2E"/>
    <w:rsid w:val="006A7858"/>
    <w:rsid w:val="006B0446"/>
    <w:rsid w:val="006B1511"/>
    <w:rsid w:val="006B2507"/>
    <w:rsid w:val="006B278F"/>
    <w:rsid w:val="006B2959"/>
    <w:rsid w:val="006B29CC"/>
    <w:rsid w:val="006B2FBD"/>
    <w:rsid w:val="006B3D48"/>
    <w:rsid w:val="006B402E"/>
    <w:rsid w:val="006B4524"/>
    <w:rsid w:val="006B4A32"/>
    <w:rsid w:val="006B5B97"/>
    <w:rsid w:val="006B5C3D"/>
    <w:rsid w:val="006B6187"/>
    <w:rsid w:val="006B6AAF"/>
    <w:rsid w:val="006C015A"/>
    <w:rsid w:val="006C0A43"/>
    <w:rsid w:val="006C0AC3"/>
    <w:rsid w:val="006C2057"/>
    <w:rsid w:val="006C2BD6"/>
    <w:rsid w:val="006C3883"/>
    <w:rsid w:val="006C3BE8"/>
    <w:rsid w:val="006C3C32"/>
    <w:rsid w:val="006C48D9"/>
    <w:rsid w:val="006C55CC"/>
    <w:rsid w:val="006D0468"/>
    <w:rsid w:val="006D0668"/>
    <w:rsid w:val="006D2C69"/>
    <w:rsid w:val="006D45A6"/>
    <w:rsid w:val="006D53DF"/>
    <w:rsid w:val="006D62F6"/>
    <w:rsid w:val="006D6495"/>
    <w:rsid w:val="006D7127"/>
    <w:rsid w:val="006D73AA"/>
    <w:rsid w:val="006E26B6"/>
    <w:rsid w:val="006E2F29"/>
    <w:rsid w:val="006E384F"/>
    <w:rsid w:val="006E3885"/>
    <w:rsid w:val="006E40B7"/>
    <w:rsid w:val="006E53F8"/>
    <w:rsid w:val="006E7FFE"/>
    <w:rsid w:val="006F1C90"/>
    <w:rsid w:val="006F2EC0"/>
    <w:rsid w:val="006F367C"/>
    <w:rsid w:val="006F42CB"/>
    <w:rsid w:val="006F48FB"/>
    <w:rsid w:val="006F4A7B"/>
    <w:rsid w:val="006F76A3"/>
    <w:rsid w:val="0070347D"/>
    <w:rsid w:val="00703AF1"/>
    <w:rsid w:val="00703CD5"/>
    <w:rsid w:val="007044CA"/>
    <w:rsid w:val="007048A6"/>
    <w:rsid w:val="00705965"/>
    <w:rsid w:val="007064F0"/>
    <w:rsid w:val="00706BD1"/>
    <w:rsid w:val="0070712E"/>
    <w:rsid w:val="0070770A"/>
    <w:rsid w:val="00707F65"/>
    <w:rsid w:val="0071043A"/>
    <w:rsid w:val="007109BC"/>
    <w:rsid w:val="0071227C"/>
    <w:rsid w:val="00712624"/>
    <w:rsid w:val="00712F92"/>
    <w:rsid w:val="00713A54"/>
    <w:rsid w:val="00714B50"/>
    <w:rsid w:val="00715D43"/>
    <w:rsid w:val="00715D7B"/>
    <w:rsid w:val="00717FBB"/>
    <w:rsid w:val="007214CB"/>
    <w:rsid w:val="00721591"/>
    <w:rsid w:val="00721DA5"/>
    <w:rsid w:val="0072244B"/>
    <w:rsid w:val="007224FE"/>
    <w:rsid w:val="007231BF"/>
    <w:rsid w:val="007262B9"/>
    <w:rsid w:val="0072653A"/>
    <w:rsid w:val="007278F7"/>
    <w:rsid w:val="007306B6"/>
    <w:rsid w:val="00730784"/>
    <w:rsid w:val="00730922"/>
    <w:rsid w:val="00731066"/>
    <w:rsid w:val="00733F18"/>
    <w:rsid w:val="007345A7"/>
    <w:rsid w:val="0073490C"/>
    <w:rsid w:val="00734CE4"/>
    <w:rsid w:val="00735F11"/>
    <w:rsid w:val="00737E2C"/>
    <w:rsid w:val="0074043D"/>
    <w:rsid w:val="0074077A"/>
    <w:rsid w:val="0074097F"/>
    <w:rsid w:val="007412D8"/>
    <w:rsid w:val="007423BB"/>
    <w:rsid w:val="00742F30"/>
    <w:rsid w:val="00745E1A"/>
    <w:rsid w:val="007508EA"/>
    <w:rsid w:val="00751395"/>
    <w:rsid w:val="00751572"/>
    <w:rsid w:val="0075164C"/>
    <w:rsid w:val="00751AC0"/>
    <w:rsid w:val="0075209F"/>
    <w:rsid w:val="00752AA9"/>
    <w:rsid w:val="0075332D"/>
    <w:rsid w:val="00754AF6"/>
    <w:rsid w:val="0075661B"/>
    <w:rsid w:val="00757103"/>
    <w:rsid w:val="007575E9"/>
    <w:rsid w:val="00762B9B"/>
    <w:rsid w:val="00764407"/>
    <w:rsid w:val="00764C11"/>
    <w:rsid w:val="00764CEE"/>
    <w:rsid w:val="00764F6C"/>
    <w:rsid w:val="00765F1F"/>
    <w:rsid w:val="007660EC"/>
    <w:rsid w:val="0076647A"/>
    <w:rsid w:val="007706FD"/>
    <w:rsid w:val="0077230B"/>
    <w:rsid w:val="007723D0"/>
    <w:rsid w:val="007735B7"/>
    <w:rsid w:val="0077400E"/>
    <w:rsid w:val="007747FC"/>
    <w:rsid w:val="00774A01"/>
    <w:rsid w:val="00777C0A"/>
    <w:rsid w:val="00777CAC"/>
    <w:rsid w:val="00780546"/>
    <w:rsid w:val="00780BED"/>
    <w:rsid w:val="00780E29"/>
    <w:rsid w:val="00787089"/>
    <w:rsid w:val="00787171"/>
    <w:rsid w:val="00787A6A"/>
    <w:rsid w:val="00787B69"/>
    <w:rsid w:val="00791657"/>
    <w:rsid w:val="00792987"/>
    <w:rsid w:val="00792CC3"/>
    <w:rsid w:val="00792F50"/>
    <w:rsid w:val="007953DE"/>
    <w:rsid w:val="0079665A"/>
    <w:rsid w:val="00797FB1"/>
    <w:rsid w:val="007A01BA"/>
    <w:rsid w:val="007A11B0"/>
    <w:rsid w:val="007A2A2C"/>
    <w:rsid w:val="007A2D67"/>
    <w:rsid w:val="007A417B"/>
    <w:rsid w:val="007A478E"/>
    <w:rsid w:val="007B1369"/>
    <w:rsid w:val="007B6D72"/>
    <w:rsid w:val="007B7606"/>
    <w:rsid w:val="007B7AF7"/>
    <w:rsid w:val="007B7B40"/>
    <w:rsid w:val="007C0CD0"/>
    <w:rsid w:val="007C1C7E"/>
    <w:rsid w:val="007C2E07"/>
    <w:rsid w:val="007C2F79"/>
    <w:rsid w:val="007C34A7"/>
    <w:rsid w:val="007C5B3C"/>
    <w:rsid w:val="007C629C"/>
    <w:rsid w:val="007D1972"/>
    <w:rsid w:val="007D19AB"/>
    <w:rsid w:val="007D3407"/>
    <w:rsid w:val="007D3DB9"/>
    <w:rsid w:val="007D4303"/>
    <w:rsid w:val="007D4375"/>
    <w:rsid w:val="007D50AF"/>
    <w:rsid w:val="007D521D"/>
    <w:rsid w:val="007D75F1"/>
    <w:rsid w:val="007D7E28"/>
    <w:rsid w:val="007E510F"/>
    <w:rsid w:val="007E77EE"/>
    <w:rsid w:val="007F04FF"/>
    <w:rsid w:val="007F199F"/>
    <w:rsid w:val="007F3D21"/>
    <w:rsid w:val="007F4771"/>
    <w:rsid w:val="007F49B7"/>
    <w:rsid w:val="007F7011"/>
    <w:rsid w:val="008016E3"/>
    <w:rsid w:val="00801C91"/>
    <w:rsid w:val="00803DC7"/>
    <w:rsid w:val="0080433E"/>
    <w:rsid w:val="00804D6B"/>
    <w:rsid w:val="00805C11"/>
    <w:rsid w:val="00812402"/>
    <w:rsid w:val="00813360"/>
    <w:rsid w:val="0081384F"/>
    <w:rsid w:val="0081396A"/>
    <w:rsid w:val="00814390"/>
    <w:rsid w:val="008159FC"/>
    <w:rsid w:val="00817212"/>
    <w:rsid w:val="008172AB"/>
    <w:rsid w:val="0081769B"/>
    <w:rsid w:val="00817D3A"/>
    <w:rsid w:val="00821A29"/>
    <w:rsid w:val="00823224"/>
    <w:rsid w:val="00823F0A"/>
    <w:rsid w:val="00823F9E"/>
    <w:rsid w:val="008248E1"/>
    <w:rsid w:val="00825090"/>
    <w:rsid w:val="00825828"/>
    <w:rsid w:val="00825AFB"/>
    <w:rsid w:val="00826616"/>
    <w:rsid w:val="00831BB8"/>
    <w:rsid w:val="00831F7D"/>
    <w:rsid w:val="00835974"/>
    <w:rsid w:val="00835B26"/>
    <w:rsid w:val="00836B35"/>
    <w:rsid w:val="00841289"/>
    <w:rsid w:val="00842828"/>
    <w:rsid w:val="008434A2"/>
    <w:rsid w:val="00844764"/>
    <w:rsid w:val="00845871"/>
    <w:rsid w:val="008466F3"/>
    <w:rsid w:val="00847D09"/>
    <w:rsid w:val="008500C6"/>
    <w:rsid w:val="00851BA0"/>
    <w:rsid w:val="008546A5"/>
    <w:rsid w:val="0085514D"/>
    <w:rsid w:val="00860F87"/>
    <w:rsid w:val="008626B9"/>
    <w:rsid w:val="008630C1"/>
    <w:rsid w:val="008638FF"/>
    <w:rsid w:val="00863D35"/>
    <w:rsid w:val="00864458"/>
    <w:rsid w:val="00864E56"/>
    <w:rsid w:val="0087332F"/>
    <w:rsid w:val="0087487A"/>
    <w:rsid w:val="00874F30"/>
    <w:rsid w:val="00875A07"/>
    <w:rsid w:val="0087701C"/>
    <w:rsid w:val="008770C9"/>
    <w:rsid w:val="008776C9"/>
    <w:rsid w:val="00877C43"/>
    <w:rsid w:val="00881056"/>
    <w:rsid w:val="00881AD2"/>
    <w:rsid w:val="00881B34"/>
    <w:rsid w:val="00882BED"/>
    <w:rsid w:val="008840F0"/>
    <w:rsid w:val="00884297"/>
    <w:rsid w:val="00884B09"/>
    <w:rsid w:val="00884D23"/>
    <w:rsid w:val="00886C55"/>
    <w:rsid w:val="008870FA"/>
    <w:rsid w:val="0088714A"/>
    <w:rsid w:val="008919C2"/>
    <w:rsid w:val="00894D7E"/>
    <w:rsid w:val="008950E0"/>
    <w:rsid w:val="00895217"/>
    <w:rsid w:val="008953C4"/>
    <w:rsid w:val="00896138"/>
    <w:rsid w:val="00897346"/>
    <w:rsid w:val="00897899"/>
    <w:rsid w:val="008A0075"/>
    <w:rsid w:val="008A152A"/>
    <w:rsid w:val="008A2055"/>
    <w:rsid w:val="008A2422"/>
    <w:rsid w:val="008A28BF"/>
    <w:rsid w:val="008A4C7F"/>
    <w:rsid w:val="008A63BD"/>
    <w:rsid w:val="008A681B"/>
    <w:rsid w:val="008A6F9C"/>
    <w:rsid w:val="008A7FB8"/>
    <w:rsid w:val="008B24E8"/>
    <w:rsid w:val="008B3075"/>
    <w:rsid w:val="008B466B"/>
    <w:rsid w:val="008B5E42"/>
    <w:rsid w:val="008C0514"/>
    <w:rsid w:val="008C0F4F"/>
    <w:rsid w:val="008C1B91"/>
    <w:rsid w:val="008C2D65"/>
    <w:rsid w:val="008C3FF8"/>
    <w:rsid w:val="008C64A3"/>
    <w:rsid w:val="008C6B02"/>
    <w:rsid w:val="008C793E"/>
    <w:rsid w:val="008D0030"/>
    <w:rsid w:val="008D380C"/>
    <w:rsid w:val="008D4707"/>
    <w:rsid w:val="008D478C"/>
    <w:rsid w:val="008D5F26"/>
    <w:rsid w:val="008D7104"/>
    <w:rsid w:val="008E3313"/>
    <w:rsid w:val="008E3B97"/>
    <w:rsid w:val="008E3E46"/>
    <w:rsid w:val="008E5D10"/>
    <w:rsid w:val="008E5D60"/>
    <w:rsid w:val="008E5EF2"/>
    <w:rsid w:val="008E62B0"/>
    <w:rsid w:val="008E78D1"/>
    <w:rsid w:val="008F0BEB"/>
    <w:rsid w:val="008F0F59"/>
    <w:rsid w:val="008F2155"/>
    <w:rsid w:val="008F3146"/>
    <w:rsid w:val="008F3852"/>
    <w:rsid w:val="008F615D"/>
    <w:rsid w:val="008F6991"/>
    <w:rsid w:val="008F78EC"/>
    <w:rsid w:val="00901446"/>
    <w:rsid w:val="00901DBE"/>
    <w:rsid w:val="00902247"/>
    <w:rsid w:val="00902D68"/>
    <w:rsid w:val="0090355D"/>
    <w:rsid w:val="00905547"/>
    <w:rsid w:val="00906392"/>
    <w:rsid w:val="00907CE3"/>
    <w:rsid w:val="00911797"/>
    <w:rsid w:val="009122AC"/>
    <w:rsid w:val="0091265B"/>
    <w:rsid w:val="009129B9"/>
    <w:rsid w:val="00912D22"/>
    <w:rsid w:val="00916373"/>
    <w:rsid w:val="009172AA"/>
    <w:rsid w:val="00917603"/>
    <w:rsid w:val="00917E57"/>
    <w:rsid w:val="009205B7"/>
    <w:rsid w:val="00920753"/>
    <w:rsid w:val="00920A0C"/>
    <w:rsid w:val="00921477"/>
    <w:rsid w:val="009232F2"/>
    <w:rsid w:val="00923ED7"/>
    <w:rsid w:val="00924D74"/>
    <w:rsid w:val="0092570F"/>
    <w:rsid w:val="009257EC"/>
    <w:rsid w:val="00926109"/>
    <w:rsid w:val="0093092E"/>
    <w:rsid w:val="0093321C"/>
    <w:rsid w:val="00935896"/>
    <w:rsid w:val="00937EF5"/>
    <w:rsid w:val="00937F12"/>
    <w:rsid w:val="00940930"/>
    <w:rsid w:val="00941185"/>
    <w:rsid w:val="00942D5D"/>
    <w:rsid w:val="00942E28"/>
    <w:rsid w:val="009445B0"/>
    <w:rsid w:val="00944B6F"/>
    <w:rsid w:val="0094504B"/>
    <w:rsid w:val="0094609B"/>
    <w:rsid w:val="009468A3"/>
    <w:rsid w:val="009469CB"/>
    <w:rsid w:val="00947010"/>
    <w:rsid w:val="0094706D"/>
    <w:rsid w:val="00947ED3"/>
    <w:rsid w:val="00950844"/>
    <w:rsid w:val="0095092E"/>
    <w:rsid w:val="00950FD0"/>
    <w:rsid w:val="00952B82"/>
    <w:rsid w:val="00952BFE"/>
    <w:rsid w:val="00953E70"/>
    <w:rsid w:val="009557E5"/>
    <w:rsid w:val="00955BD5"/>
    <w:rsid w:val="009563C0"/>
    <w:rsid w:val="00956C9F"/>
    <w:rsid w:val="00957FC3"/>
    <w:rsid w:val="00961130"/>
    <w:rsid w:val="00962A7C"/>
    <w:rsid w:val="0096330B"/>
    <w:rsid w:val="009641BF"/>
    <w:rsid w:val="009662C7"/>
    <w:rsid w:val="00967117"/>
    <w:rsid w:val="00971F0F"/>
    <w:rsid w:val="00973B64"/>
    <w:rsid w:val="009810ED"/>
    <w:rsid w:val="00982915"/>
    <w:rsid w:val="009829E1"/>
    <w:rsid w:val="00983AD5"/>
    <w:rsid w:val="009842EE"/>
    <w:rsid w:val="00985085"/>
    <w:rsid w:val="0098677F"/>
    <w:rsid w:val="00986A5C"/>
    <w:rsid w:val="00987AF0"/>
    <w:rsid w:val="00990533"/>
    <w:rsid w:val="00997AC1"/>
    <w:rsid w:val="00997BD5"/>
    <w:rsid w:val="00997DF2"/>
    <w:rsid w:val="009A0464"/>
    <w:rsid w:val="009A0A5F"/>
    <w:rsid w:val="009A182C"/>
    <w:rsid w:val="009A342B"/>
    <w:rsid w:val="009A515A"/>
    <w:rsid w:val="009A69D1"/>
    <w:rsid w:val="009A7D2D"/>
    <w:rsid w:val="009B1200"/>
    <w:rsid w:val="009B1DE3"/>
    <w:rsid w:val="009B2C84"/>
    <w:rsid w:val="009B6B08"/>
    <w:rsid w:val="009C40D7"/>
    <w:rsid w:val="009C4A8D"/>
    <w:rsid w:val="009C502F"/>
    <w:rsid w:val="009C5802"/>
    <w:rsid w:val="009C6624"/>
    <w:rsid w:val="009C763F"/>
    <w:rsid w:val="009D01C9"/>
    <w:rsid w:val="009D1C81"/>
    <w:rsid w:val="009D1CC0"/>
    <w:rsid w:val="009D223B"/>
    <w:rsid w:val="009D2259"/>
    <w:rsid w:val="009D4589"/>
    <w:rsid w:val="009D4BD6"/>
    <w:rsid w:val="009D5488"/>
    <w:rsid w:val="009D55AB"/>
    <w:rsid w:val="009D5F6C"/>
    <w:rsid w:val="009D657B"/>
    <w:rsid w:val="009D691A"/>
    <w:rsid w:val="009D73EE"/>
    <w:rsid w:val="009D7425"/>
    <w:rsid w:val="009E0D12"/>
    <w:rsid w:val="009E0E97"/>
    <w:rsid w:val="009E224F"/>
    <w:rsid w:val="009E2E3B"/>
    <w:rsid w:val="009E3279"/>
    <w:rsid w:val="009E3528"/>
    <w:rsid w:val="009E35C0"/>
    <w:rsid w:val="009E67EB"/>
    <w:rsid w:val="009E7D0F"/>
    <w:rsid w:val="009F2A8A"/>
    <w:rsid w:val="009F39BD"/>
    <w:rsid w:val="009F427B"/>
    <w:rsid w:val="009F437E"/>
    <w:rsid w:val="009F5A5E"/>
    <w:rsid w:val="009F5B3D"/>
    <w:rsid w:val="009F7D20"/>
    <w:rsid w:val="00A00722"/>
    <w:rsid w:val="00A01DF1"/>
    <w:rsid w:val="00A027D3"/>
    <w:rsid w:val="00A03480"/>
    <w:rsid w:val="00A03AF7"/>
    <w:rsid w:val="00A1105E"/>
    <w:rsid w:val="00A11125"/>
    <w:rsid w:val="00A12E5C"/>
    <w:rsid w:val="00A147F6"/>
    <w:rsid w:val="00A15838"/>
    <w:rsid w:val="00A226E9"/>
    <w:rsid w:val="00A228AB"/>
    <w:rsid w:val="00A231C0"/>
    <w:rsid w:val="00A23B6F"/>
    <w:rsid w:val="00A23DE0"/>
    <w:rsid w:val="00A249D8"/>
    <w:rsid w:val="00A24C42"/>
    <w:rsid w:val="00A24D0A"/>
    <w:rsid w:val="00A24FCD"/>
    <w:rsid w:val="00A257C5"/>
    <w:rsid w:val="00A2745F"/>
    <w:rsid w:val="00A31052"/>
    <w:rsid w:val="00A323A6"/>
    <w:rsid w:val="00A327A1"/>
    <w:rsid w:val="00A32DA2"/>
    <w:rsid w:val="00A32F96"/>
    <w:rsid w:val="00A33219"/>
    <w:rsid w:val="00A3670B"/>
    <w:rsid w:val="00A37DAF"/>
    <w:rsid w:val="00A44DB5"/>
    <w:rsid w:val="00A455D1"/>
    <w:rsid w:val="00A470CD"/>
    <w:rsid w:val="00A52CE8"/>
    <w:rsid w:val="00A5467A"/>
    <w:rsid w:val="00A565D5"/>
    <w:rsid w:val="00A5758E"/>
    <w:rsid w:val="00A61328"/>
    <w:rsid w:val="00A619E9"/>
    <w:rsid w:val="00A61CCA"/>
    <w:rsid w:val="00A622A6"/>
    <w:rsid w:val="00A63390"/>
    <w:rsid w:val="00A637C5"/>
    <w:rsid w:val="00A64FEE"/>
    <w:rsid w:val="00A6575E"/>
    <w:rsid w:val="00A65964"/>
    <w:rsid w:val="00A70F4E"/>
    <w:rsid w:val="00A72766"/>
    <w:rsid w:val="00A75389"/>
    <w:rsid w:val="00A7583D"/>
    <w:rsid w:val="00A75970"/>
    <w:rsid w:val="00A75B24"/>
    <w:rsid w:val="00A76DC5"/>
    <w:rsid w:val="00A80E85"/>
    <w:rsid w:val="00A83280"/>
    <w:rsid w:val="00A83D58"/>
    <w:rsid w:val="00A83E7E"/>
    <w:rsid w:val="00A83F43"/>
    <w:rsid w:val="00A8615E"/>
    <w:rsid w:val="00A86271"/>
    <w:rsid w:val="00A864F4"/>
    <w:rsid w:val="00A8673C"/>
    <w:rsid w:val="00A872C7"/>
    <w:rsid w:val="00A87AE5"/>
    <w:rsid w:val="00A917E5"/>
    <w:rsid w:val="00A91F37"/>
    <w:rsid w:val="00A926BC"/>
    <w:rsid w:val="00A939BC"/>
    <w:rsid w:val="00A940EF"/>
    <w:rsid w:val="00A964EC"/>
    <w:rsid w:val="00AA11B1"/>
    <w:rsid w:val="00AA1D8B"/>
    <w:rsid w:val="00AA2682"/>
    <w:rsid w:val="00AA3182"/>
    <w:rsid w:val="00AA4431"/>
    <w:rsid w:val="00AA7491"/>
    <w:rsid w:val="00AB03E7"/>
    <w:rsid w:val="00AB1441"/>
    <w:rsid w:val="00AB17F2"/>
    <w:rsid w:val="00AB1F4E"/>
    <w:rsid w:val="00AB2276"/>
    <w:rsid w:val="00AB310C"/>
    <w:rsid w:val="00AB3C57"/>
    <w:rsid w:val="00AB526F"/>
    <w:rsid w:val="00AB5346"/>
    <w:rsid w:val="00AD3D54"/>
    <w:rsid w:val="00AD4579"/>
    <w:rsid w:val="00AD5878"/>
    <w:rsid w:val="00AD58D6"/>
    <w:rsid w:val="00AD5D12"/>
    <w:rsid w:val="00AD62ED"/>
    <w:rsid w:val="00AD76B6"/>
    <w:rsid w:val="00AD7753"/>
    <w:rsid w:val="00AE0CB5"/>
    <w:rsid w:val="00AE201C"/>
    <w:rsid w:val="00AE21D5"/>
    <w:rsid w:val="00AE2611"/>
    <w:rsid w:val="00AE35B5"/>
    <w:rsid w:val="00AE5317"/>
    <w:rsid w:val="00AE6A8C"/>
    <w:rsid w:val="00AF00DD"/>
    <w:rsid w:val="00AF1397"/>
    <w:rsid w:val="00AF16BB"/>
    <w:rsid w:val="00AF22B1"/>
    <w:rsid w:val="00AF23FF"/>
    <w:rsid w:val="00AF2579"/>
    <w:rsid w:val="00AF3891"/>
    <w:rsid w:val="00AF4BE6"/>
    <w:rsid w:val="00AF4D3C"/>
    <w:rsid w:val="00AF54D2"/>
    <w:rsid w:val="00AF5EF3"/>
    <w:rsid w:val="00AF6432"/>
    <w:rsid w:val="00AF6A94"/>
    <w:rsid w:val="00AF7F69"/>
    <w:rsid w:val="00B00D5D"/>
    <w:rsid w:val="00B01C63"/>
    <w:rsid w:val="00B01DC4"/>
    <w:rsid w:val="00B02012"/>
    <w:rsid w:val="00B022FC"/>
    <w:rsid w:val="00B02553"/>
    <w:rsid w:val="00B03FA1"/>
    <w:rsid w:val="00B05ECA"/>
    <w:rsid w:val="00B1187A"/>
    <w:rsid w:val="00B12570"/>
    <w:rsid w:val="00B160FA"/>
    <w:rsid w:val="00B16630"/>
    <w:rsid w:val="00B17113"/>
    <w:rsid w:val="00B17BA5"/>
    <w:rsid w:val="00B20836"/>
    <w:rsid w:val="00B2141C"/>
    <w:rsid w:val="00B218FD"/>
    <w:rsid w:val="00B22155"/>
    <w:rsid w:val="00B22563"/>
    <w:rsid w:val="00B2296F"/>
    <w:rsid w:val="00B22B19"/>
    <w:rsid w:val="00B231DA"/>
    <w:rsid w:val="00B2410B"/>
    <w:rsid w:val="00B2431E"/>
    <w:rsid w:val="00B243F7"/>
    <w:rsid w:val="00B24447"/>
    <w:rsid w:val="00B24A8E"/>
    <w:rsid w:val="00B24CEA"/>
    <w:rsid w:val="00B24E52"/>
    <w:rsid w:val="00B256C8"/>
    <w:rsid w:val="00B25859"/>
    <w:rsid w:val="00B25F18"/>
    <w:rsid w:val="00B26DE0"/>
    <w:rsid w:val="00B30810"/>
    <w:rsid w:val="00B32156"/>
    <w:rsid w:val="00B3290B"/>
    <w:rsid w:val="00B32C19"/>
    <w:rsid w:val="00B33599"/>
    <w:rsid w:val="00B33A2F"/>
    <w:rsid w:val="00B34E2F"/>
    <w:rsid w:val="00B35798"/>
    <w:rsid w:val="00B36796"/>
    <w:rsid w:val="00B36D34"/>
    <w:rsid w:val="00B3701F"/>
    <w:rsid w:val="00B42014"/>
    <w:rsid w:val="00B43A72"/>
    <w:rsid w:val="00B45161"/>
    <w:rsid w:val="00B46EB0"/>
    <w:rsid w:val="00B47800"/>
    <w:rsid w:val="00B502EE"/>
    <w:rsid w:val="00B51751"/>
    <w:rsid w:val="00B5521A"/>
    <w:rsid w:val="00B56D55"/>
    <w:rsid w:val="00B574B8"/>
    <w:rsid w:val="00B57B87"/>
    <w:rsid w:val="00B62C85"/>
    <w:rsid w:val="00B64893"/>
    <w:rsid w:val="00B66A31"/>
    <w:rsid w:val="00B705E2"/>
    <w:rsid w:val="00B70A14"/>
    <w:rsid w:val="00B70B19"/>
    <w:rsid w:val="00B710DA"/>
    <w:rsid w:val="00B7112A"/>
    <w:rsid w:val="00B760F0"/>
    <w:rsid w:val="00B763F0"/>
    <w:rsid w:val="00B8064B"/>
    <w:rsid w:val="00B8088D"/>
    <w:rsid w:val="00B8135C"/>
    <w:rsid w:val="00B822B2"/>
    <w:rsid w:val="00B825EF"/>
    <w:rsid w:val="00B83B6B"/>
    <w:rsid w:val="00B84B62"/>
    <w:rsid w:val="00B868A1"/>
    <w:rsid w:val="00B87308"/>
    <w:rsid w:val="00B87941"/>
    <w:rsid w:val="00B90497"/>
    <w:rsid w:val="00B90E5B"/>
    <w:rsid w:val="00B9337F"/>
    <w:rsid w:val="00B93DA3"/>
    <w:rsid w:val="00B94C5C"/>
    <w:rsid w:val="00B95C09"/>
    <w:rsid w:val="00B96857"/>
    <w:rsid w:val="00B96D6D"/>
    <w:rsid w:val="00BA00CB"/>
    <w:rsid w:val="00BA0A14"/>
    <w:rsid w:val="00BA167F"/>
    <w:rsid w:val="00BA454D"/>
    <w:rsid w:val="00BA4C93"/>
    <w:rsid w:val="00BA4D6F"/>
    <w:rsid w:val="00BA611A"/>
    <w:rsid w:val="00BA6A7B"/>
    <w:rsid w:val="00BA7F88"/>
    <w:rsid w:val="00BB065C"/>
    <w:rsid w:val="00BB0D27"/>
    <w:rsid w:val="00BB2827"/>
    <w:rsid w:val="00BB302E"/>
    <w:rsid w:val="00BB3FFC"/>
    <w:rsid w:val="00BB6B9D"/>
    <w:rsid w:val="00BC13AA"/>
    <w:rsid w:val="00BC141E"/>
    <w:rsid w:val="00BC210F"/>
    <w:rsid w:val="00BC2334"/>
    <w:rsid w:val="00BC33D8"/>
    <w:rsid w:val="00BC3657"/>
    <w:rsid w:val="00BC539D"/>
    <w:rsid w:val="00BC5AFA"/>
    <w:rsid w:val="00BC647C"/>
    <w:rsid w:val="00BC6869"/>
    <w:rsid w:val="00BC6F0A"/>
    <w:rsid w:val="00BC777E"/>
    <w:rsid w:val="00BD13F4"/>
    <w:rsid w:val="00BD39E8"/>
    <w:rsid w:val="00BD3ADA"/>
    <w:rsid w:val="00BD4A08"/>
    <w:rsid w:val="00BD61B8"/>
    <w:rsid w:val="00BD766B"/>
    <w:rsid w:val="00BD7C04"/>
    <w:rsid w:val="00BE2052"/>
    <w:rsid w:val="00BE2C7E"/>
    <w:rsid w:val="00BE3376"/>
    <w:rsid w:val="00BE3AF8"/>
    <w:rsid w:val="00BE3BCE"/>
    <w:rsid w:val="00BE3E32"/>
    <w:rsid w:val="00BE6221"/>
    <w:rsid w:val="00BE65D3"/>
    <w:rsid w:val="00BE67A6"/>
    <w:rsid w:val="00BE6AA1"/>
    <w:rsid w:val="00BE7C30"/>
    <w:rsid w:val="00BF1817"/>
    <w:rsid w:val="00BF232C"/>
    <w:rsid w:val="00BF3880"/>
    <w:rsid w:val="00BF3EDB"/>
    <w:rsid w:val="00BF499C"/>
    <w:rsid w:val="00BF642A"/>
    <w:rsid w:val="00C006F7"/>
    <w:rsid w:val="00C00AA3"/>
    <w:rsid w:val="00C00FD3"/>
    <w:rsid w:val="00C019A3"/>
    <w:rsid w:val="00C024CA"/>
    <w:rsid w:val="00C03629"/>
    <w:rsid w:val="00C0466E"/>
    <w:rsid w:val="00C10140"/>
    <w:rsid w:val="00C10274"/>
    <w:rsid w:val="00C121D3"/>
    <w:rsid w:val="00C12C35"/>
    <w:rsid w:val="00C12C7A"/>
    <w:rsid w:val="00C135DD"/>
    <w:rsid w:val="00C16C41"/>
    <w:rsid w:val="00C172D5"/>
    <w:rsid w:val="00C20530"/>
    <w:rsid w:val="00C2079B"/>
    <w:rsid w:val="00C21102"/>
    <w:rsid w:val="00C23C7F"/>
    <w:rsid w:val="00C24BC9"/>
    <w:rsid w:val="00C26710"/>
    <w:rsid w:val="00C26DD9"/>
    <w:rsid w:val="00C27379"/>
    <w:rsid w:val="00C274C4"/>
    <w:rsid w:val="00C31195"/>
    <w:rsid w:val="00C32216"/>
    <w:rsid w:val="00C32FE3"/>
    <w:rsid w:val="00C36449"/>
    <w:rsid w:val="00C37708"/>
    <w:rsid w:val="00C37BC4"/>
    <w:rsid w:val="00C411B8"/>
    <w:rsid w:val="00C4262E"/>
    <w:rsid w:val="00C42F4E"/>
    <w:rsid w:val="00C4350E"/>
    <w:rsid w:val="00C4432F"/>
    <w:rsid w:val="00C456AD"/>
    <w:rsid w:val="00C4736E"/>
    <w:rsid w:val="00C5022B"/>
    <w:rsid w:val="00C51C4B"/>
    <w:rsid w:val="00C53F7E"/>
    <w:rsid w:val="00C54E52"/>
    <w:rsid w:val="00C552C8"/>
    <w:rsid w:val="00C55596"/>
    <w:rsid w:val="00C55F8C"/>
    <w:rsid w:val="00C563B0"/>
    <w:rsid w:val="00C57C83"/>
    <w:rsid w:val="00C60BC9"/>
    <w:rsid w:val="00C61828"/>
    <w:rsid w:val="00C61AB1"/>
    <w:rsid w:val="00C63DA1"/>
    <w:rsid w:val="00C642C2"/>
    <w:rsid w:val="00C65100"/>
    <w:rsid w:val="00C654C4"/>
    <w:rsid w:val="00C66867"/>
    <w:rsid w:val="00C67304"/>
    <w:rsid w:val="00C679CB"/>
    <w:rsid w:val="00C67F1A"/>
    <w:rsid w:val="00C72F95"/>
    <w:rsid w:val="00C76671"/>
    <w:rsid w:val="00C7772B"/>
    <w:rsid w:val="00C77E7D"/>
    <w:rsid w:val="00C81305"/>
    <w:rsid w:val="00C814A3"/>
    <w:rsid w:val="00C81824"/>
    <w:rsid w:val="00C83A4C"/>
    <w:rsid w:val="00C84CE5"/>
    <w:rsid w:val="00C85E7C"/>
    <w:rsid w:val="00C85E8A"/>
    <w:rsid w:val="00C912B9"/>
    <w:rsid w:val="00C9200C"/>
    <w:rsid w:val="00C945A4"/>
    <w:rsid w:val="00C96A28"/>
    <w:rsid w:val="00C971DA"/>
    <w:rsid w:val="00C975EB"/>
    <w:rsid w:val="00CA09B9"/>
    <w:rsid w:val="00CA2F54"/>
    <w:rsid w:val="00CA35BD"/>
    <w:rsid w:val="00CA4BDC"/>
    <w:rsid w:val="00CA4E7E"/>
    <w:rsid w:val="00CA5002"/>
    <w:rsid w:val="00CA570A"/>
    <w:rsid w:val="00CB09BC"/>
    <w:rsid w:val="00CB1701"/>
    <w:rsid w:val="00CB3FAF"/>
    <w:rsid w:val="00CB5109"/>
    <w:rsid w:val="00CB558C"/>
    <w:rsid w:val="00CB6BAF"/>
    <w:rsid w:val="00CB70B4"/>
    <w:rsid w:val="00CC1061"/>
    <w:rsid w:val="00CC2A01"/>
    <w:rsid w:val="00CC5F80"/>
    <w:rsid w:val="00CD25A7"/>
    <w:rsid w:val="00CD5734"/>
    <w:rsid w:val="00CD595D"/>
    <w:rsid w:val="00CD5F2A"/>
    <w:rsid w:val="00CD71F2"/>
    <w:rsid w:val="00CD743F"/>
    <w:rsid w:val="00CD7B39"/>
    <w:rsid w:val="00CD7CBF"/>
    <w:rsid w:val="00CE0D2A"/>
    <w:rsid w:val="00CE2EED"/>
    <w:rsid w:val="00CE52DD"/>
    <w:rsid w:val="00CE65C6"/>
    <w:rsid w:val="00CE742F"/>
    <w:rsid w:val="00CF0350"/>
    <w:rsid w:val="00CF1341"/>
    <w:rsid w:val="00CF3FC0"/>
    <w:rsid w:val="00CF4CE9"/>
    <w:rsid w:val="00CF540F"/>
    <w:rsid w:val="00D00F98"/>
    <w:rsid w:val="00D02F03"/>
    <w:rsid w:val="00D03451"/>
    <w:rsid w:val="00D0377D"/>
    <w:rsid w:val="00D05E60"/>
    <w:rsid w:val="00D063A6"/>
    <w:rsid w:val="00D06FC0"/>
    <w:rsid w:val="00D07304"/>
    <w:rsid w:val="00D10B4D"/>
    <w:rsid w:val="00D10C28"/>
    <w:rsid w:val="00D10F60"/>
    <w:rsid w:val="00D11C87"/>
    <w:rsid w:val="00D12AF9"/>
    <w:rsid w:val="00D13397"/>
    <w:rsid w:val="00D13545"/>
    <w:rsid w:val="00D14BD7"/>
    <w:rsid w:val="00D164CF"/>
    <w:rsid w:val="00D16EE3"/>
    <w:rsid w:val="00D17C63"/>
    <w:rsid w:val="00D236C5"/>
    <w:rsid w:val="00D258D6"/>
    <w:rsid w:val="00D259BD"/>
    <w:rsid w:val="00D279E0"/>
    <w:rsid w:val="00D31318"/>
    <w:rsid w:val="00D31E4E"/>
    <w:rsid w:val="00D34482"/>
    <w:rsid w:val="00D34730"/>
    <w:rsid w:val="00D34C22"/>
    <w:rsid w:val="00D357AE"/>
    <w:rsid w:val="00D36B8A"/>
    <w:rsid w:val="00D37DE7"/>
    <w:rsid w:val="00D40208"/>
    <w:rsid w:val="00D41B20"/>
    <w:rsid w:val="00D426FA"/>
    <w:rsid w:val="00D44053"/>
    <w:rsid w:val="00D45DC3"/>
    <w:rsid w:val="00D474E4"/>
    <w:rsid w:val="00D50343"/>
    <w:rsid w:val="00D50D16"/>
    <w:rsid w:val="00D50F8B"/>
    <w:rsid w:val="00D5113C"/>
    <w:rsid w:val="00D51D9B"/>
    <w:rsid w:val="00D51E1F"/>
    <w:rsid w:val="00D54296"/>
    <w:rsid w:val="00D54A77"/>
    <w:rsid w:val="00D55E9B"/>
    <w:rsid w:val="00D60506"/>
    <w:rsid w:val="00D61BE6"/>
    <w:rsid w:val="00D6287B"/>
    <w:rsid w:val="00D634B0"/>
    <w:rsid w:val="00D634ED"/>
    <w:rsid w:val="00D6631C"/>
    <w:rsid w:val="00D6698F"/>
    <w:rsid w:val="00D66E24"/>
    <w:rsid w:val="00D67CF2"/>
    <w:rsid w:val="00D67DC6"/>
    <w:rsid w:val="00D701AC"/>
    <w:rsid w:val="00D70F5E"/>
    <w:rsid w:val="00D712F1"/>
    <w:rsid w:val="00D7390B"/>
    <w:rsid w:val="00D76A2C"/>
    <w:rsid w:val="00D77A20"/>
    <w:rsid w:val="00D8193D"/>
    <w:rsid w:val="00D81DD6"/>
    <w:rsid w:val="00D82AAE"/>
    <w:rsid w:val="00D83AF1"/>
    <w:rsid w:val="00D83CE4"/>
    <w:rsid w:val="00D85CB3"/>
    <w:rsid w:val="00D879F3"/>
    <w:rsid w:val="00D90675"/>
    <w:rsid w:val="00D90F49"/>
    <w:rsid w:val="00D91368"/>
    <w:rsid w:val="00D91F48"/>
    <w:rsid w:val="00D92B29"/>
    <w:rsid w:val="00D93BD6"/>
    <w:rsid w:val="00D97570"/>
    <w:rsid w:val="00D977FD"/>
    <w:rsid w:val="00D97B97"/>
    <w:rsid w:val="00D97F64"/>
    <w:rsid w:val="00DA00BD"/>
    <w:rsid w:val="00DA2C83"/>
    <w:rsid w:val="00DA3CEF"/>
    <w:rsid w:val="00DA55EB"/>
    <w:rsid w:val="00DA72A7"/>
    <w:rsid w:val="00DA74E4"/>
    <w:rsid w:val="00DA7D4B"/>
    <w:rsid w:val="00DB2222"/>
    <w:rsid w:val="00DB2CE0"/>
    <w:rsid w:val="00DB4B25"/>
    <w:rsid w:val="00DB58E7"/>
    <w:rsid w:val="00DB6236"/>
    <w:rsid w:val="00DB652F"/>
    <w:rsid w:val="00DC1AC5"/>
    <w:rsid w:val="00DC1FE7"/>
    <w:rsid w:val="00DC3ECA"/>
    <w:rsid w:val="00DC4BCA"/>
    <w:rsid w:val="00DC6E90"/>
    <w:rsid w:val="00DC70CB"/>
    <w:rsid w:val="00DC767B"/>
    <w:rsid w:val="00DD09A8"/>
    <w:rsid w:val="00DD0CC9"/>
    <w:rsid w:val="00DD14DD"/>
    <w:rsid w:val="00DD207F"/>
    <w:rsid w:val="00DD3036"/>
    <w:rsid w:val="00DD3F37"/>
    <w:rsid w:val="00DD4643"/>
    <w:rsid w:val="00DD51DE"/>
    <w:rsid w:val="00DE1149"/>
    <w:rsid w:val="00DE2ABC"/>
    <w:rsid w:val="00DE3CFE"/>
    <w:rsid w:val="00DE412B"/>
    <w:rsid w:val="00DE4741"/>
    <w:rsid w:val="00DE537D"/>
    <w:rsid w:val="00DE705F"/>
    <w:rsid w:val="00DE7E67"/>
    <w:rsid w:val="00DF01FA"/>
    <w:rsid w:val="00DF1137"/>
    <w:rsid w:val="00DF13B1"/>
    <w:rsid w:val="00DF2EFB"/>
    <w:rsid w:val="00DF2F53"/>
    <w:rsid w:val="00DF3C06"/>
    <w:rsid w:val="00DF4F15"/>
    <w:rsid w:val="00DF5BF3"/>
    <w:rsid w:val="00DF7F03"/>
    <w:rsid w:val="00E00045"/>
    <w:rsid w:val="00E00D05"/>
    <w:rsid w:val="00E02CCA"/>
    <w:rsid w:val="00E04FE9"/>
    <w:rsid w:val="00E059D5"/>
    <w:rsid w:val="00E063F8"/>
    <w:rsid w:val="00E06A8C"/>
    <w:rsid w:val="00E07547"/>
    <w:rsid w:val="00E10893"/>
    <w:rsid w:val="00E131CE"/>
    <w:rsid w:val="00E16251"/>
    <w:rsid w:val="00E16E84"/>
    <w:rsid w:val="00E170DE"/>
    <w:rsid w:val="00E170E1"/>
    <w:rsid w:val="00E17B90"/>
    <w:rsid w:val="00E17D38"/>
    <w:rsid w:val="00E17DCA"/>
    <w:rsid w:val="00E22DD3"/>
    <w:rsid w:val="00E23316"/>
    <w:rsid w:val="00E23C6E"/>
    <w:rsid w:val="00E23FD1"/>
    <w:rsid w:val="00E241B0"/>
    <w:rsid w:val="00E24405"/>
    <w:rsid w:val="00E24C9E"/>
    <w:rsid w:val="00E2695D"/>
    <w:rsid w:val="00E26E01"/>
    <w:rsid w:val="00E27710"/>
    <w:rsid w:val="00E27D72"/>
    <w:rsid w:val="00E27FB4"/>
    <w:rsid w:val="00E3048F"/>
    <w:rsid w:val="00E30D81"/>
    <w:rsid w:val="00E30F1B"/>
    <w:rsid w:val="00E316A7"/>
    <w:rsid w:val="00E33380"/>
    <w:rsid w:val="00E338D2"/>
    <w:rsid w:val="00E35BAA"/>
    <w:rsid w:val="00E366D8"/>
    <w:rsid w:val="00E3673A"/>
    <w:rsid w:val="00E413E9"/>
    <w:rsid w:val="00E4224F"/>
    <w:rsid w:val="00E4454A"/>
    <w:rsid w:val="00E449F7"/>
    <w:rsid w:val="00E46547"/>
    <w:rsid w:val="00E46B09"/>
    <w:rsid w:val="00E47DC4"/>
    <w:rsid w:val="00E51D6F"/>
    <w:rsid w:val="00E53418"/>
    <w:rsid w:val="00E54988"/>
    <w:rsid w:val="00E54A3E"/>
    <w:rsid w:val="00E56EC4"/>
    <w:rsid w:val="00E608F3"/>
    <w:rsid w:val="00E612CB"/>
    <w:rsid w:val="00E61B17"/>
    <w:rsid w:val="00E62B37"/>
    <w:rsid w:val="00E64B72"/>
    <w:rsid w:val="00E64CA1"/>
    <w:rsid w:val="00E660D3"/>
    <w:rsid w:val="00E67338"/>
    <w:rsid w:val="00E714C5"/>
    <w:rsid w:val="00E72802"/>
    <w:rsid w:val="00E72DED"/>
    <w:rsid w:val="00E74A33"/>
    <w:rsid w:val="00E74D73"/>
    <w:rsid w:val="00E75859"/>
    <w:rsid w:val="00E759B2"/>
    <w:rsid w:val="00E7607E"/>
    <w:rsid w:val="00E769CE"/>
    <w:rsid w:val="00E76EB8"/>
    <w:rsid w:val="00E7717C"/>
    <w:rsid w:val="00E77AAD"/>
    <w:rsid w:val="00E8048A"/>
    <w:rsid w:val="00E81DB7"/>
    <w:rsid w:val="00E81F64"/>
    <w:rsid w:val="00E81FC7"/>
    <w:rsid w:val="00E8240B"/>
    <w:rsid w:val="00E835B4"/>
    <w:rsid w:val="00E83727"/>
    <w:rsid w:val="00E84F21"/>
    <w:rsid w:val="00E858DC"/>
    <w:rsid w:val="00E85C73"/>
    <w:rsid w:val="00E861B9"/>
    <w:rsid w:val="00E86432"/>
    <w:rsid w:val="00E871EF"/>
    <w:rsid w:val="00E87307"/>
    <w:rsid w:val="00E90015"/>
    <w:rsid w:val="00E911A5"/>
    <w:rsid w:val="00E921C9"/>
    <w:rsid w:val="00E924B1"/>
    <w:rsid w:val="00E943FA"/>
    <w:rsid w:val="00E962A3"/>
    <w:rsid w:val="00E972DE"/>
    <w:rsid w:val="00EA1BBB"/>
    <w:rsid w:val="00EA2FD5"/>
    <w:rsid w:val="00EA3435"/>
    <w:rsid w:val="00EA392C"/>
    <w:rsid w:val="00EA4C71"/>
    <w:rsid w:val="00EA657C"/>
    <w:rsid w:val="00EA6A3A"/>
    <w:rsid w:val="00EA7E35"/>
    <w:rsid w:val="00EB1843"/>
    <w:rsid w:val="00EB378D"/>
    <w:rsid w:val="00EB3952"/>
    <w:rsid w:val="00EB43AB"/>
    <w:rsid w:val="00EB5C0A"/>
    <w:rsid w:val="00EB5F9A"/>
    <w:rsid w:val="00EC0737"/>
    <w:rsid w:val="00EC19C0"/>
    <w:rsid w:val="00EC378B"/>
    <w:rsid w:val="00ED2468"/>
    <w:rsid w:val="00ED31A8"/>
    <w:rsid w:val="00ED35F4"/>
    <w:rsid w:val="00ED3A02"/>
    <w:rsid w:val="00ED5299"/>
    <w:rsid w:val="00ED6E25"/>
    <w:rsid w:val="00ED70B7"/>
    <w:rsid w:val="00ED77F0"/>
    <w:rsid w:val="00ED7CE6"/>
    <w:rsid w:val="00ED7DA0"/>
    <w:rsid w:val="00EE03E5"/>
    <w:rsid w:val="00EE1D08"/>
    <w:rsid w:val="00EE33BA"/>
    <w:rsid w:val="00EE4478"/>
    <w:rsid w:val="00EE4CF8"/>
    <w:rsid w:val="00EE6607"/>
    <w:rsid w:val="00EE70B1"/>
    <w:rsid w:val="00EE7286"/>
    <w:rsid w:val="00EE7F5E"/>
    <w:rsid w:val="00EF1911"/>
    <w:rsid w:val="00EF1FE2"/>
    <w:rsid w:val="00EF2A85"/>
    <w:rsid w:val="00EF2E72"/>
    <w:rsid w:val="00EF52C2"/>
    <w:rsid w:val="00EF7AAA"/>
    <w:rsid w:val="00F00717"/>
    <w:rsid w:val="00F01C29"/>
    <w:rsid w:val="00F02F1F"/>
    <w:rsid w:val="00F03880"/>
    <w:rsid w:val="00F05F4F"/>
    <w:rsid w:val="00F05FF9"/>
    <w:rsid w:val="00F0605E"/>
    <w:rsid w:val="00F0621E"/>
    <w:rsid w:val="00F06EC2"/>
    <w:rsid w:val="00F072A2"/>
    <w:rsid w:val="00F0756D"/>
    <w:rsid w:val="00F105FC"/>
    <w:rsid w:val="00F1186F"/>
    <w:rsid w:val="00F13192"/>
    <w:rsid w:val="00F13EA4"/>
    <w:rsid w:val="00F147B2"/>
    <w:rsid w:val="00F153D5"/>
    <w:rsid w:val="00F16F73"/>
    <w:rsid w:val="00F17B9F"/>
    <w:rsid w:val="00F22066"/>
    <w:rsid w:val="00F22169"/>
    <w:rsid w:val="00F23D65"/>
    <w:rsid w:val="00F24B44"/>
    <w:rsid w:val="00F271A7"/>
    <w:rsid w:val="00F31833"/>
    <w:rsid w:val="00F3196D"/>
    <w:rsid w:val="00F32028"/>
    <w:rsid w:val="00F32981"/>
    <w:rsid w:val="00F32AF5"/>
    <w:rsid w:val="00F33201"/>
    <w:rsid w:val="00F3332E"/>
    <w:rsid w:val="00F33713"/>
    <w:rsid w:val="00F337EF"/>
    <w:rsid w:val="00F33C7B"/>
    <w:rsid w:val="00F35B24"/>
    <w:rsid w:val="00F37047"/>
    <w:rsid w:val="00F4074A"/>
    <w:rsid w:val="00F4086E"/>
    <w:rsid w:val="00F4158D"/>
    <w:rsid w:val="00F42EE7"/>
    <w:rsid w:val="00F43200"/>
    <w:rsid w:val="00F4468E"/>
    <w:rsid w:val="00F459B1"/>
    <w:rsid w:val="00F46CA6"/>
    <w:rsid w:val="00F47B34"/>
    <w:rsid w:val="00F500FA"/>
    <w:rsid w:val="00F50B4A"/>
    <w:rsid w:val="00F519A2"/>
    <w:rsid w:val="00F53EBB"/>
    <w:rsid w:val="00F5514E"/>
    <w:rsid w:val="00F5576E"/>
    <w:rsid w:val="00F575D6"/>
    <w:rsid w:val="00F61CD6"/>
    <w:rsid w:val="00F6455A"/>
    <w:rsid w:val="00F65087"/>
    <w:rsid w:val="00F65B21"/>
    <w:rsid w:val="00F65F35"/>
    <w:rsid w:val="00F663D6"/>
    <w:rsid w:val="00F679B2"/>
    <w:rsid w:val="00F70A19"/>
    <w:rsid w:val="00F720D7"/>
    <w:rsid w:val="00F722A6"/>
    <w:rsid w:val="00F72733"/>
    <w:rsid w:val="00F72F75"/>
    <w:rsid w:val="00F7317A"/>
    <w:rsid w:val="00F738D2"/>
    <w:rsid w:val="00F801D0"/>
    <w:rsid w:val="00F815B2"/>
    <w:rsid w:val="00F86C98"/>
    <w:rsid w:val="00F90FEE"/>
    <w:rsid w:val="00F91E6D"/>
    <w:rsid w:val="00F92463"/>
    <w:rsid w:val="00F9289D"/>
    <w:rsid w:val="00F935D1"/>
    <w:rsid w:val="00F973A9"/>
    <w:rsid w:val="00FA01FA"/>
    <w:rsid w:val="00FA1300"/>
    <w:rsid w:val="00FA1470"/>
    <w:rsid w:val="00FA2303"/>
    <w:rsid w:val="00FA6FCF"/>
    <w:rsid w:val="00FB2321"/>
    <w:rsid w:val="00FB2A2F"/>
    <w:rsid w:val="00FB2ADB"/>
    <w:rsid w:val="00FB2D02"/>
    <w:rsid w:val="00FB32B8"/>
    <w:rsid w:val="00FB353F"/>
    <w:rsid w:val="00FB5041"/>
    <w:rsid w:val="00FB5404"/>
    <w:rsid w:val="00FB5915"/>
    <w:rsid w:val="00FB61E2"/>
    <w:rsid w:val="00FC03B8"/>
    <w:rsid w:val="00FC6340"/>
    <w:rsid w:val="00FC6372"/>
    <w:rsid w:val="00FC6F80"/>
    <w:rsid w:val="00FD143D"/>
    <w:rsid w:val="00FD1E3F"/>
    <w:rsid w:val="00FD3368"/>
    <w:rsid w:val="00FD3B1E"/>
    <w:rsid w:val="00FD5234"/>
    <w:rsid w:val="00FD6946"/>
    <w:rsid w:val="00FD6A73"/>
    <w:rsid w:val="00FD7E76"/>
    <w:rsid w:val="00FE0131"/>
    <w:rsid w:val="00FE257A"/>
    <w:rsid w:val="00FE2F0B"/>
    <w:rsid w:val="00FE536F"/>
    <w:rsid w:val="00FE53C6"/>
    <w:rsid w:val="00FE5687"/>
    <w:rsid w:val="00FE794D"/>
    <w:rsid w:val="00FF0DA5"/>
    <w:rsid w:val="00FF1D11"/>
    <w:rsid w:val="00FF2173"/>
    <w:rsid w:val="00FF4153"/>
    <w:rsid w:val="00FF45E0"/>
    <w:rsid w:val="00FF47D5"/>
    <w:rsid w:val="00FF6E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A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9F"/>
  </w:style>
  <w:style w:type="paragraph" w:styleId="Heading1">
    <w:name w:val="heading 1"/>
    <w:basedOn w:val="Normal"/>
    <w:next w:val="Normal"/>
    <w:link w:val="Heading1Char"/>
    <w:uiPriority w:val="9"/>
    <w:qFormat/>
    <w:rsid w:val="000C2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72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DD0C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D9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0C2D91"/>
    <w:pPr>
      <w:ind w:left="720"/>
      <w:contextualSpacing/>
    </w:pPr>
  </w:style>
  <w:style w:type="character" w:customStyle="1" w:styleId="ListParagraphChar">
    <w:name w:val="List Paragraph Char"/>
    <w:basedOn w:val="DefaultParagraphFont"/>
    <w:link w:val="ListParagraph"/>
    <w:uiPriority w:val="34"/>
    <w:rsid w:val="000C2D91"/>
  </w:style>
  <w:style w:type="character" w:styleId="Hyperlink">
    <w:name w:val="Hyperlink"/>
    <w:basedOn w:val="DefaultParagraphFont"/>
    <w:uiPriority w:val="99"/>
    <w:unhideWhenUsed/>
    <w:rsid w:val="000C2D91"/>
    <w:rPr>
      <w:color w:val="0563C1" w:themeColor="hyperlink"/>
      <w:u w:val="single"/>
    </w:rPr>
  </w:style>
  <w:style w:type="character" w:styleId="CommentReference">
    <w:name w:val="annotation reference"/>
    <w:basedOn w:val="DefaultParagraphFont"/>
    <w:uiPriority w:val="99"/>
    <w:unhideWhenUsed/>
    <w:rsid w:val="005B3A08"/>
    <w:rPr>
      <w:sz w:val="16"/>
      <w:szCs w:val="16"/>
    </w:rPr>
  </w:style>
  <w:style w:type="paragraph" w:styleId="CommentText">
    <w:name w:val="annotation text"/>
    <w:aliases w:val=" Char7,Char7"/>
    <w:basedOn w:val="Normal"/>
    <w:link w:val="CommentTextChar"/>
    <w:uiPriority w:val="99"/>
    <w:unhideWhenUsed/>
    <w:rsid w:val="005B3A08"/>
    <w:pPr>
      <w:spacing w:line="240" w:lineRule="auto"/>
    </w:pPr>
    <w:rPr>
      <w:sz w:val="20"/>
      <w:szCs w:val="20"/>
    </w:rPr>
  </w:style>
  <w:style w:type="character" w:customStyle="1" w:styleId="CommentTextChar">
    <w:name w:val="Comment Text Char"/>
    <w:aliases w:val=" Char7 Char,Char7 Char"/>
    <w:basedOn w:val="DefaultParagraphFont"/>
    <w:link w:val="CommentText"/>
    <w:uiPriority w:val="99"/>
    <w:rsid w:val="005B3A08"/>
    <w:rPr>
      <w:sz w:val="20"/>
      <w:szCs w:val="20"/>
    </w:rPr>
  </w:style>
  <w:style w:type="paragraph" w:styleId="CommentSubject">
    <w:name w:val="annotation subject"/>
    <w:basedOn w:val="CommentText"/>
    <w:next w:val="CommentText"/>
    <w:link w:val="CommentSubjectChar"/>
    <w:uiPriority w:val="99"/>
    <w:semiHidden/>
    <w:unhideWhenUsed/>
    <w:rsid w:val="005B3A08"/>
    <w:rPr>
      <w:b/>
      <w:bCs/>
    </w:rPr>
  </w:style>
  <w:style w:type="character" w:customStyle="1" w:styleId="CommentSubjectChar">
    <w:name w:val="Comment Subject Char"/>
    <w:basedOn w:val="CommentTextChar"/>
    <w:link w:val="CommentSubject"/>
    <w:uiPriority w:val="99"/>
    <w:semiHidden/>
    <w:rsid w:val="005B3A08"/>
    <w:rPr>
      <w:b/>
      <w:bCs/>
      <w:sz w:val="20"/>
      <w:szCs w:val="20"/>
    </w:rPr>
  </w:style>
  <w:style w:type="paragraph" w:styleId="BalloonText">
    <w:name w:val="Balloon Text"/>
    <w:basedOn w:val="Normal"/>
    <w:link w:val="BalloonTextChar"/>
    <w:uiPriority w:val="99"/>
    <w:semiHidden/>
    <w:unhideWhenUsed/>
    <w:rsid w:val="005B3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A08"/>
    <w:rPr>
      <w:rFonts w:ascii="Segoe UI" w:hAnsi="Segoe UI" w:cs="Segoe UI"/>
      <w:sz w:val="18"/>
      <w:szCs w:val="18"/>
    </w:rPr>
  </w:style>
  <w:style w:type="character" w:styleId="FollowedHyperlink">
    <w:name w:val="FollowedHyperlink"/>
    <w:basedOn w:val="DefaultParagraphFont"/>
    <w:uiPriority w:val="99"/>
    <w:semiHidden/>
    <w:unhideWhenUsed/>
    <w:rsid w:val="00190186"/>
    <w:rPr>
      <w:color w:val="954F72" w:themeColor="followedHyperlink"/>
      <w:u w:val="single"/>
    </w:rPr>
  </w:style>
  <w:style w:type="table" w:styleId="TableGrid">
    <w:name w:val="Table Grid"/>
    <w:basedOn w:val="TableNormal"/>
    <w:uiPriority w:val="39"/>
    <w:rsid w:val="0081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68EE"/>
    <w:rPr>
      <w:color w:val="808080"/>
      <w:shd w:val="clear" w:color="auto" w:fill="E6E6E6"/>
    </w:rPr>
  </w:style>
  <w:style w:type="paragraph" w:styleId="Header">
    <w:name w:val="header"/>
    <w:basedOn w:val="Normal"/>
    <w:link w:val="HeaderChar"/>
    <w:uiPriority w:val="99"/>
    <w:unhideWhenUsed/>
    <w:rsid w:val="00BB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02E"/>
  </w:style>
  <w:style w:type="paragraph" w:styleId="Footer">
    <w:name w:val="footer"/>
    <w:basedOn w:val="Normal"/>
    <w:link w:val="FooterChar"/>
    <w:uiPriority w:val="99"/>
    <w:unhideWhenUsed/>
    <w:rsid w:val="00BB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2E"/>
  </w:style>
  <w:style w:type="table" w:customStyle="1" w:styleId="TableGrid3">
    <w:name w:val="Table Grid3"/>
    <w:basedOn w:val="TableNormal"/>
    <w:next w:val="TableGrid"/>
    <w:uiPriority w:val="39"/>
    <w:rsid w:val="005D66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A5AAF"/>
    <w:pPr>
      <w:spacing w:after="0" w:line="240" w:lineRule="auto"/>
      <w:contextualSpacing/>
      <w:jc w:val="both"/>
    </w:pPr>
    <w:rPr>
      <w:rFonts w:ascii="Arial" w:eastAsia="Times New Roman" w:hAnsi="Arial" w:cs="Arial"/>
      <w:noProof/>
      <w:sz w:val="20"/>
      <w:szCs w:val="24"/>
    </w:rPr>
  </w:style>
  <w:style w:type="character" w:customStyle="1" w:styleId="EndNoteBibliographyChar">
    <w:name w:val="EndNote Bibliography Char"/>
    <w:basedOn w:val="DefaultParagraphFont"/>
    <w:link w:val="EndNoteBibliography"/>
    <w:rsid w:val="002A5AAF"/>
    <w:rPr>
      <w:rFonts w:ascii="Arial" w:eastAsia="Times New Roman" w:hAnsi="Arial" w:cs="Arial"/>
      <w:noProof/>
      <w:sz w:val="20"/>
      <w:szCs w:val="24"/>
    </w:rPr>
  </w:style>
  <w:style w:type="paragraph" w:styleId="Revision">
    <w:name w:val="Revision"/>
    <w:hidden/>
    <w:uiPriority w:val="99"/>
    <w:semiHidden/>
    <w:rsid w:val="00012898"/>
    <w:pPr>
      <w:spacing w:after="0" w:line="240" w:lineRule="auto"/>
    </w:pPr>
  </w:style>
  <w:style w:type="character" w:styleId="PlaceholderText">
    <w:name w:val="Placeholder Text"/>
    <w:basedOn w:val="DefaultParagraphFont"/>
    <w:uiPriority w:val="99"/>
    <w:semiHidden/>
    <w:rsid w:val="009D55AB"/>
    <w:rPr>
      <w:color w:val="808080"/>
    </w:rPr>
  </w:style>
  <w:style w:type="paragraph" w:styleId="EndnoteText">
    <w:name w:val="endnote text"/>
    <w:basedOn w:val="Normal"/>
    <w:link w:val="EndnoteTextChar"/>
    <w:uiPriority w:val="99"/>
    <w:semiHidden/>
    <w:unhideWhenUsed/>
    <w:rsid w:val="008E5D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5D60"/>
    <w:rPr>
      <w:sz w:val="20"/>
      <w:szCs w:val="20"/>
    </w:rPr>
  </w:style>
  <w:style w:type="character" w:styleId="EndnoteReference">
    <w:name w:val="endnote reference"/>
    <w:basedOn w:val="DefaultParagraphFont"/>
    <w:uiPriority w:val="99"/>
    <w:semiHidden/>
    <w:unhideWhenUsed/>
    <w:rsid w:val="008E5D60"/>
    <w:rPr>
      <w:vertAlign w:val="superscript"/>
    </w:rPr>
  </w:style>
  <w:style w:type="paragraph" w:styleId="NoSpacing">
    <w:name w:val="No Spacing"/>
    <w:uiPriority w:val="1"/>
    <w:qFormat/>
    <w:rsid w:val="00576DDA"/>
    <w:pPr>
      <w:spacing w:after="0" w:line="240" w:lineRule="auto"/>
    </w:pPr>
  </w:style>
  <w:style w:type="character" w:customStyle="1" w:styleId="UnresolvedMention2">
    <w:name w:val="Unresolved Mention2"/>
    <w:basedOn w:val="DefaultParagraphFont"/>
    <w:uiPriority w:val="99"/>
    <w:semiHidden/>
    <w:unhideWhenUsed/>
    <w:rsid w:val="002C2C69"/>
    <w:rPr>
      <w:color w:val="808080"/>
      <w:shd w:val="clear" w:color="auto" w:fill="E6E6E6"/>
    </w:rPr>
  </w:style>
  <w:style w:type="character" w:customStyle="1" w:styleId="Heading2Char">
    <w:name w:val="Heading 2 Char"/>
    <w:basedOn w:val="DefaultParagraphFont"/>
    <w:link w:val="Heading2"/>
    <w:uiPriority w:val="9"/>
    <w:semiHidden/>
    <w:rsid w:val="00197211"/>
    <w:rPr>
      <w:rFonts w:asciiTheme="majorHAnsi" w:eastAsiaTheme="majorEastAsia" w:hAnsiTheme="majorHAnsi" w:cstheme="majorBidi"/>
      <w:color w:val="2F5496" w:themeColor="accent1" w:themeShade="BF"/>
      <w:sz w:val="26"/>
      <w:szCs w:val="26"/>
    </w:rPr>
  </w:style>
  <w:style w:type="paragraph" w:customStyle="1" w:styleId="boldtext">
    <w:name w:val="boldtext"/>
    <w:basedOn w:val="Normal"/>
    <w:rsid w:val="0019721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97211"/>
  </w:style>
  <w:style w:type="paragraph" w:styleId="NormalWeb">
    <w:name w:val="Normal (Web)"/>
    <w:basedOn w:val="Normal"/>
    <w:uiPriority w:val="99"/>
    <w:semiHidden/>
    <w:unhideWhenUsed/>
    <w:rsid w:val="0019721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53F0F"/>
    <w:rPr>
      <w:b/>
      <w:bCs/>
    </w:rPr>
  </w:style>
  <w:style w:type="character" w:styleId="Emphasis">
    <w:name w:val="Emphasis"/>
    <w:basedOn w:val="DefaultParagraphFont"/>
    <w:uiPriority w:val="20"/>
    <w:qFormat/>
    <w:rsid w:val="00153F0F"/>
    <w:rPr>
      <w:i/>
      <w:iCs/>
    </w:rPr>
  </w:style>
  <w:style w:type="character" w:customStyle="1" w:styleId="Heading5Char">
    <w:name w:val="Heading 5 Char"/>
    <w:basedOn w:val="DefaultParagraphFont"/>
    <w:link w:val="Heading5"/>
    <w:uiPriority w:val="9"/>
    <w:rsid w:val="00DD0CC9"/>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E063F8"/>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semiHidden/>
    <w:rsid w:val="00E063F8"/>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13">
      <w:bodyDiv w:val="1"/>
      <w:marLeft w:val="0"/>
      <w:marRight w:val="0"/>
      <w:marTop w:val="0"/>
      <w:marBottom w:val="0"/>
      <w:divBdr>
        <w:top w:val="none" w:sz="0" w:space="0" w:color="auto"/>
        <w:left w:val="none" w:sz="0" w:space="0" w:color="auto"/>
        <w:bottom w:val="none" w:sz="0" w:space="0" w:color="auto"/>
        <w:right w:val="none" w:sz="0" w:space="0" w:color="auto"/>
      </w:divBdr>
    </w:div>
    <w:div w:id="89357523">
      <w:bodyDiv w:val="1"/>
      <w:marLeft w:val="0"/>
      <w:marRight w:val="0"/>
      <w:marTop w:val="0"/>
      <w:marBottom w:val="0"/>
      <w:divBdr>
        <w:top w:val="none" w:sz="0" w:space="0" w:color="auto"/>
        <w:left w:val="none" w:sz="0" w:space="0" w:color="auto"/>
        <w:bottom w:val="none" w:sz="0" w:space="0" w:color="auto"/>
        <w:right w:val="none" w:sz="0" w:space="0" w:color="auto"/>
      </w:divBdr>
    </w:div>
    <w:div w:id="109670501">
      <w:bodyDiv w:val="1"/>
      <w:marLeft w:val="0"/>
      <w:marRight w:val="0"/>
      <w:marTop w:val="0"/>
      <w:marBottom w:val="0"/>
      <w:divBdr>
        <w:top w:val="none" w:sz="0" w:space="0" w:color="auto"/>
        <w:left w:val="none" w:sz="0" w:space="0" w:color="auto"/>
        <w:bottom w:val="none" w:sz="0" w:space="0" w:color="auto"/>
        <w:right w:val="none" w:sz="0" w:space="0" w:color="auto"/>
      </w:divBdr>
    </w:div>
    <w:div w:id="137040934">
      <w:bodyDiv w:val="1"/>
      <w:marLeft w:val="0"/>
      <w:marRight w:val="0"/>
      <w:marTop w:val="0"/>
      <w:marBottom w:val="0"/>
      <w:divBdr>
        <w:top w:val="none" w:sz="0" w:space="0" w:color="auto"/>
        <w:left w:val="none" w:sz="0" w:space="0" w:color="auto"/>
        <w:bottom w:val="none" w:sz="0" w:space="0" w:color="auto"/>
        <w:right w:val="none" w:sz="0" w:space="0" w:color="auto"/>
      </w:divBdr>
    </w:div>
    <w:div w:id="163858284">
      <w:bodyDiv w:val="1"/>
      <w:marLeft w:val="0"/>
      <w:marRight w:val="0"/>
      <w:marTop w:val="0"/>
      <w:marBottom w:val="0"/>
      <w:divBdr>
        <w:top w:val="none" w:sz="0" w:space="0" w:color="auto"/>
        <w:left w:val="none" w:sz="0" w:space="0" w:color="auto"/>
        <w:bottom w:val="none" w:sz="0" w:space="0" w:color="auto"/>
        <w:right w:val="none" w:sz="0" w:space="0" w:color="auto"/>
      </w:divBdr>
    </w:div>
    <w:div w:id="233899261">
      <w:bodyDiv w:val="1"/>
      <w:marLeft w:val="0"/>
      <w:marRight w:val="0"/>
      <w:marTop w:val="0"/>
      <w:marBottom w:val="0"/>
      <w:divBdr>
        <w:top w:val="none" w:sz="0" w:space="0" w:color="auto"/>
        <w:left w:val="none" w:sz="0" w:space="0" w:color="auto"/>
        <w:bottom w:val="none" w:sz="0" w:space="0" w:color="auto"/>
        <w:right w:val="none" w:sz="0" w:space="0" w:color="auto"/>
      </w:divBdr>
    </w:div>
    <w:div w:id="295794623">
      <w:bodyDiv w:val="1"/>
      <w:marLeft w:val="0"/>
      <w:marRight w:val="0"/>
      <w:marTop w:val="0"/>
      <w:marBottom w:val="0"/>
      <w:divBdr>
        <w:top w:val="none" w:sz="0" w:space="0" w:color="auto"/>
        <w:left w:val="none" w:sz="0" w:space="0" w:color="auto"/>
        <w:bottom w:val="none" w:sz="0" w:space="0" w:color="auto"/>
        <w:right w:val="none" w:sz="0" w:space="0" w:color="auto"/>
      </w:divBdr>
    </w:div>
    <w:div w:id="339160644">
      <w:bodyDiv w:val="1"/>
      <w:marLeft w:val="0"/>
      <w:marRight w:val="0"/>
      <w:marTop w:val="0"/>
      <w:marBottom w:val="0"/>
      <w:divBdr>
        <w:top w:val="none" w:sz="0" w:space="0" w:color="auto"/>
        <w:left w:val="none" w:sz="0" w:space="0" w:color="auto"/>
        <w:bottom w:val="none" w:sz="0" w:space="0" w:color="auto"/>
        <w:right w:val="none" w:sz="0" w:space="0" w:color="auto"/>
      </w:divBdr>
    </w:div>
    <w:div w:id="352535837">
      <w:bodyDiv w:val="1"/>
      <w:marLeft w:val="0"/>
      <w:marRight w:val="0"/>
      <w:marTop w:val="0"/>
      <w:marBottom w:val="0"/>
      <w:divBdr>
        <w:top w:val="none" w:sz="0" w:space="0" w:color="auto"/>
        <w:left w:val="none" w:sz="0" w:space="0" w:color="auto"/>
        <w:bottom w:val="none" w:sz="0" w:space="0" w:color="auto"/>
        <w:right w:val="none" w:sz="0" w:space="0" w:color="auto"/>
      </w:divBdr>
    </w:div>
    <w:div w:id="369230362">
      <w:bodyDiv w:val="1"/>
      <w:marLeft w:val="0"/>
      <w:marRight w:val="0"/>
      <w:marTop w:val="0"/>
      <w:marBottom w:val="0"/>
      <w:divBdr>
        <w:top w:val="none" w:sz="0" w:space="0" w:color="auto"/>
        <w:left w:val="none" w:sz="0" w:space="0" w:color="auto"/>
        <w:bottom w:val="none" w:sz="0" w:space="0" w:color="auto"/>
        <w:right w:val="none" w:sz="0" w:space="0" w:color="auto"/>
      </w:divBdr>
    </w:div>
    <w:div w:id="507257613">
      <w:bodyDiv w:val="1"/>
      <w:marLeft w:val="0"/>
      <w:marRight w:val="0"/>
      <w:marTop w:val="0"/>
      <w:marBottom w:val="0"/>
      <w:divBdr>
        <w:top w:val="none" w:sz="0" w:space="0" w:color="auto"/>
        <w:left w:val="none" w:sz="0" w:space="0" w:color="auto"/>
        <w:bottom w:val="none" w:sz="0" w:space="0" w:color="auto"/>
        <w:right w:val="none" w:sz="0" w:space="0" w:color="auto"/>
      </w:divBdr>
    </w:div>
    <w:div w:id="544485606">
      <w:bodyDiv w:val="1"/>
      <w:marLeft w:val="0"/>
      <w:marRight w:val="0"/>
      <w:marTop w:val="0"/>
      <w:marBottom w:val="0"/>
      <w:divBdr>
        <w:top w:val="none" w:sz="0" w:space="0" w:color="auto"/>
        <w:left w:val="none" w:sz="0" w:space="0" w:color="auto"/>
        <w:bottom w:val="none" w:sz="0" w:space="0" w:color="auto"/>
        <w:right w:val="none" w:sz="0" w:space="0" w:color="auto"/>
      </w:divBdr>
    </w:div>
    <w:div w:id="584077132">
      <w:bodyDiv w:val="1"/>
      <w:marLeft w:val="0"/>
      <w:marRight w:val="0"/>
      <w:marTop w:val="0"/>
      <w:marBottom w:val="0"/>
      <w:divBdr>
        <w:top w:val="none" w:sz="0" w:space="0" w:color="auto"/>
        <w:left w:val="none" w:sz="0" w:space="0" w:color="auto"/>
        <w:bottom w:val="none" w:sz="0" w:space="0" w:color="auto"/>
        <w:right w:val="none" w:sz="0" w:space="0" w:color="auto"/>
      </w:divBdr>
    </w:div>
    <w:div w:id="653337476">
      <w:bodyDiv w:val="1"/>
      <w:marLeft w:val="0"/>
      <w:marRight w:val="0"/>
      <w:marTop w:val="0"/>
      <w:marBottom w:val="0"/>
      <w:divBdr>
        <w:top w:val="none" w:sz="0" w:space="0" w:color="auto"/>
        <w:left w:val="none" w:sz="0" w:space="0" w:color="auto"/>
        <w:bottom w:val="none" w:sz="0" w:space="0" w:color="auto"/>
        <w:right w:val="none" w:sz="0" w:space="0" w:color="auto"/>
      </w:divBdr>
    </w:div>
    <w:div w:id="667900591">
      <w:bodyDiv w:val="1"/>
      <w:marLeft w:val="0"/>
      <w:marRight w:val="0"/>
      <w:marTop w:val="0"/>
      <w:marBottom w:val="0"/>
      <w:divBdr>
        <w:top w:val="none" w:sz="0" w:space="0" w:color="auto"/>
        <w:left w:val="none" w:sz="0" w:space="0" w:color="auto"/>
        <w:bottom w:val="none" w:sz="0" w:space="0" w:color="auto"/>
        <w:right w:val="none" w:sz="0" w:space="0" w:color="auto"/>
      </w:divBdr>
    </w:div>
    <w:div w:id="686057400">
      <w:bodyDiv w:val="1"/>
      <w:marLeft w:val="0"/>
      <w:marRight w:val="0"/>
      <w:marTop w:val="0"/>
      <w:marBottom w:val="0"/>
      <w:divBdr>
        <w:top w:val="none" w:sz="0" w:space="0" w:color="auto"/>
        <w:left w:val="none" w:sz="0" w:space="0" w:color="auto"/>
        <w:bottom w:val="none" w:sz="0" w:space="0" w:color="auto"/>
        <w:right w:val="none" w:sz="0" w:space="0" w:color="auto"/>
      </w:divBdr>
    </w:div>
    <w:div w:id="694230304">
      <w:bodyDiv w:val="1"/>
      <w:marLeft w:val="0"/>
      <w:marRight w:val="0"/>
      <w:marTop w:val="0"/>
      <w:marBottom w:val="0"/>
      <w:divBdr>
        <w:top w:val="none" w:sz="0" w:space="0" w:color="auto"/>
        <w:left w:val="none" w:sz="0" w:space="0" w:color="auto"/>
        <w:bottom w:val="none" w:sz="0" w:space="0" w:color="auto"/>
        <w:right w:val="none" w:sz="0" w:space="0" w:color="auto"/>
      </w:divBdr>
    </w:div>
    <w:div w:id="707461264">
      <w:bodyDiv w:val="1"/>
      <w:marLeft w:val="0"/>
      <w:marRight w:val="0"/>
      <w:marTop w:val="0"/>
      <w:marBottom w:val="0"/>
      <w:divBdr>
        <w:top w:val="none" w:sz="0" w:space="0" w:color="auto"/>
        <w:left w:val="none" w:sz="0" w:space="0" w:color="auto"/>
        <w:bottom w:val="none" w:sz="0" w:space="0" w:color="auto"/>
        <w:right w:val="none" w:sz="0" w:space="0" w:color="auto"/>
      </w:divBdr>
    </w:div>
    <w:div w:id="723142829">
      <w:bodyDiv w:val="1"/>
      <w:marLeft w:val="0"/>
      <w:marRight w:val="0"/>
      <w:marTop w:val="0"/>
      <w:marBottom w:val="0"/>
      <w:divBdr>
        <w:top w:val="none" w:sz="0" w:space="0" w:color="auto"/>
        <w:left w:val="none" w:sz="0" w:space="0" w:color="auto"/>
        <w:bottom w:val="none" w:sz="0" w:space="0" w:color="auto"/>
        <w:right w:val="none" w:sz="0" w:space="0" w:color="auto"/>
      </w:divBdr>
    </w:div>
    <w:div w:id="763380227">
      <w:bodyDiv w:val="1"/>
      <w:marLeft w:val="0"/>
      <w:marRight w:val="0"/>
      <w:marTop w:val="0"/>
      <w:marBottom w:val="0"/>
      <w:divBdr>
        <w:top w:val="none" w:sz="0" w:space="0" w:color="auto"/>
        <w:left w:val="none" w:sz="0" w:space="0" w:color="auto"/>
        <w:bottom w:val="none" w:sz="0" w:space="0" w:color="auto"/>
        <w:right w:val="none" w:sz="0" w:space="0" w:color="auto"/>
      </w:divBdr>
    </w:div>
    <w:div w:id="783813535">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905410841">
      <w:bodyDiv w:val="1"/>
      <w:marLeft w:val="0"/>
      <w:marRight w:val="0"/>
      <w:marTop w:val="0"/>
      <w:marBottom w:val="0"/>
      <w:divBdr>
        <w:top w:val="none" w:sz="0" w:space="0" w:color="auto"/>
        <w:left w:val="none" w:sz="0" w:space="0" w:color="auto"/>
        <w:bottom w:val="none" w:sz="0" w:space="0" w:color="auto"/>
        <w:right w:val="none" w:sz="0" w:space="0" w:color="auto"/>
      </w:divBdr>
    </w:div>
    <w:div w:id="911307781">
      <w:bodyDiv w:val="1"/>
      <w:marLeft w:val="0"/>
      <w:marRight w:val="0"/>
      <w:marTop w:val="0"/>
      <w:marBottom w:val="0"/>
      <w:divBdr>
        <w:top w:val="none" w:sz="0" w:space="0" w:color="auto"/>
        <w:left w:val="none" w:sz="0" w:space="0" w:color="auto"/>
        <w:bottom w:val="none" w:sz="0" w:space="0" w:color="auto"/>
        <w:right w:val="none" w:sz="0" w:space="0" w:color="auto"/>
      </w:divBdr>
      <w:divsChild>
        <w:div w:id="668750778">
          <w:marLeft w:val="0"/>
          <w:marRight w:val="0"/>
          <w:marTop w:val="124"/>
          <w:marBottom w:val="248"/>
          <w:divBdr>
            <w:top w:val="none" w:sz="0" w:space="0" w:color="auto"/>
            <w:left w:val="none" w:sz="0" w:space="0" w:color="auto"/>
            <w:bottom w:val="none" w:sz="0" w:space="0" w:color="auto"/>
            <w:right w:val="none" w:sz="0" w:space="0" w:color="auto"/>
          </w:divBdr>
          <w:divsChild>
            <w:div w:id="1587376187">
              <w:marLeft w:val="124"/>
              <w:marRight w:val="0"/>
              <w:marTop w:val="0"/>
              <w:marBottom w:val="0"/>
              <w:divBdr>
                <w:top w:val="none" w:sz="0" w:space="0" w:color="auto"/>
                <w:left w:val="none" w:sz="0" w:space="0" w:color="auto"/>
                <w:bottom w:val="none" w:sz="0" w:space="0" w:color="auto"/>
                <w:right w:val="none" w:sz="0" w:space="0" w:color="auto"/>
              </w:divBdr>
            </w:div>
          </w:divsChild>
        </w:div>
      </w:divsChild>
    </w:div>
    <w:div w:id="961350920">
      <w:bodyDiv w:val="1"/>
      <w:marLeft w:val="0"/>
      <w:marRight w:val="0"/>
      <w:marTop w:val="0"/>
      <w:marBottom w:val="0"/>
      <w:divBdr>
        <w:top w:val="none" w:sz="0" w:space="0" w:color="auto"/>
        <w:left w:val="none" w:sz="0" w:space="0" w:color="auto"/>
        <w:bottom w:val="none" w:sz="0" w:space="0" w:color="auto"/>
        <w:right w:val="none" w:sz="0" w:space="0" w:color="auto"/>
      </w:divBdr>
    </w:div>
    <w:div w:id="976757876">
      <w:bodyDiv w:val="1"/>
      <w:marLeft w:val="0"/>
      <w:marRight w:val="0"/>
      <w:marTop w:val="0"/>
      <w:marBottom w:val="0"/>
      <w:divBdr>
        <w:top w:val="none" w:sz="0" w:space="0" w:color="auto"/>
        <w:left w:val="none" w:sz="0" w:space="0" w:color="auto"/>
        <w:bottom w:val="none" w:sz="0" w:space="0" w:color="auto"/>
        <w:right w:val="none" w:sz="0" w:space="0" w:color="auto"/>
      </w:divBdr>
    </w:div>
    <w:div w:id="1002588886">
      <w:bodyDiv w:val="1"/>
      <w:marLeft w:val="0"/>
      <w:marRight w:val="0"/>
      <w:marTop w:val="0"/>
      <w:marBottom w:val="0"/>
      <w:divBdr>
        <w:top w:val="none" w:sz="0" w:space="0" w:color="auto"/>
        <w:left w:val="none" w:sz="0" w:space="0" w:color="auto"/>
        <w:bottom w:val="none" w:sz="0" w:space="0" w:color="auto"/>
        <w:right w:val="none" w:sz="0" w:space="0" w:color="auto"/>
      </w:divBdr>
    </w:div>
    <w:div w:id="1016033231">
      <w:bodyDiv w:val="1"/>
      <w:marLeft w:val="0"/>
      <w:marRight w:val="0"/>
      <w:marTop w:val="0"/>
      <w:marBottom w:val="0"/>
      <w:divBdr>
        <w:top w:val="none" w:sz="0" w:space="0" w:color="auto"/>
        <w:left w:val="none" w:sz="0" w:space="0" w:color="auto"/>
        <w:bottom w:val="none" w:sz="0" w:space="0" w:color="auto"/>
        <w:right w:val="none" w:sz="0" w:space="0" w:color="auto"/>
      </w:divBdr>
    </w:div>
    <w:div w:id="1063724574">
      <w:bodyDiv w:val="1"/>
      <w:marLeft w:val="0"/>
      <w:marRight w:val="0"/>
      <w:marTop w:val="0"/>
      <w:marBottom w:val="0"/>
      <w:divBdr>
        <w:top w:val="none" w:sz="0" w:space="0" w:color="auto"/>
        <w:left w:val="none" w:sz="0" w:space="0" w:color="auto"/>
        <w:bottom w:val="none" w:sz="0" w:space="0" w:color="auto"/>
        <w:right w:val="none" w:sz="0" w:space="0" w:color="auto"/>
      </w:divBdr>
    </w:div>
    <w:div w:id="1068650622">
      <w:bodyDiv w:val="1"/>
      <w:marLeft w:val="0"/>
      <w:marRight w:val="0"/>
      <w:marTop w:val="0"/>
      <w:marBottom w:val="0"/>
      <w:divBdr>
        <w:top w:val="none" w:sz="0" w:space="0" w:color="auto"/>
        <w:left w:val="none" w:sz="0" w:space="0" w:color="auto"/>
        <w:bottom w:val="none" w:sz="0" w:space="0" w:color="auto"/>
        <w:right w:val="none" w:sz="0" w:space="0" w:color="auto"/>
      </w:divBdr>
    </w:div>
    <w:div w:id="1095056972">
      <w:bodyDiv w:val="1"/>
      <w:marLeft w:val="0"/>
      <w:marRight w:val="0"/>
      <w:marTop w:val="0"/>
      <w:marBottom w:val="0"/>
      <w:divBdr>
        <w:top w:val="none" w:sz="0" w:space="0" w:color="auto"/>
        <w:left w:val="none" w:sz="0" w:space="0" w:color="auto"/>
        <w:bottom w:val="none" w:sz="0" w:space="0" w:color="auto"/>
        <w:right w:val="none" w:sz="0" w:space="0" w:color="auto"/>
      </w:divBdr>
    </w:div>
    <w:div w:id="1110201746">
      <w:bodyDiv w:val="1"/>
      <w:marLeft w:val="0"/>
      <w:marRight w:val="0"/>
      <w:marTop w:val="0"/>
      <w:marBottom w:val="0"/>
      <w:divBdr>
        <w:top w:val="none" w:sz="0" w:space="0" w:color="auto"/>
        <w:left w:val="none" w:sz="0" w:space="0" w:color="auto"/>
        <w:bottom w:val="none" w:sz="0" w:space="0" w:color="auto"/>
        <w:right w:val="none" w:sz="0" w:space="0" w:color="auto"/>
      </w:divBdr>
    </w:div>
    <w:div w:id="1121148636">
      <w:bodyDiv w:val="1"/>
      <w:marLeft w:val="0"/>
      <w:marRight w:val="0"/>
      <w:marTop w:val="0"/>
      <w:marBottom w:val="0"/>
      <w:divBdr>
        <w:top w:val="none" w:sz="0" w:space="0" w:color="auto"/>
        <w:left w:val="none" w:sz="0" w:space="0" w:color="auto"/>
        <w:bottom w:val="none" w:sz="0" w:space="0" w:color="auto"/>
        <w:right w:val="none" w:sz="0" w:space="0" w:color="auto"/>
      </w:divBdr>
    </w:div>
    <w:div w:id="1140419597">
      <w:bodyDiv w:val="1"/>
      <w:marLeft w:val="0"/>
      <w:marRight w:val="0"/>
      <w:marTop w:val="0"/>
      <w:marBottom w:val="0"/>
      <w:divBdr>
        <w:top w:val="none" w:sz="0" w:space="0" w:color="auto"/>
        <w:left w:val="none" w:sz="0" w:space="0" w:color="auto"/>
        <w:bottom w:val="none" w:sz="0" w:space="0" w:color="auto"/>
        <w:right w:val="none" w:sz="0" w:space="0" w:color="auto"/>
      </w:divBdr>
    </w:div>
    <w:div w:id="1144859062">
      <w:bodyDiv w:val="1"/>
      <w:marLeft w:val="0"/>
      <w:marRight w:val="0"/>
      <w:marTop w:val="0"/>
      <w:marBottom w:val="0"/>
      <w:divBdr>
        <w:top w:val="none" w:sz="0" w:space="0" w:color="auto"/>
        <w:left w:val="none" w:sz="0" w:space="0" w:color="auto"/>
        <w:bottom w:val="none" w:sz="0" w:space="0" w:color="auto"/>
        <w:right w:val="none" w:sz="0" w:space="0" w:color="auto"/>
      </w:divBdr>
    </w:div>
    <w:div w:id="1154300847">
      <w:bodyDiv w:val="1"/>
      <w:marLeft w:val="0"/>
      <w:marRight w:val="0"/>
      <w:marTop w:val="0"/>
      <w:marBottom w:val="0"/>
      <w:divBdr>
        <w:top w:val="none" w:sz="0" w:space="0" w:color="auto"/>
        <w:left w:val="none" w:sz="0" w:space="0" w:color="auto"/>
        <w:bottom w:val="none" w:sz="0" w:space="0" w:color="auto"/>
        <w:right w:val="none" w:sz="0" w:space="0" w:color="auto"/>
      </w:divBdr>
    </w:div>
    <w:div w:id="1171410258">
      <w:bodyDiv w:val="1"/>
      <w:marLeft w:val="0"/>
      <w:marRight w:val="0"/>
      <w:marTop w:val="0"/>
      <w:marBottom w:val="0"/>
      <w:divBdr>
        <w:top w:val="none" w:sz="0" w:space="0" w:color="auto"/>
        <w:left w:val="none" w:sz="0" w:space="0" w:color="auto"/>
        <w:bottom w:val="none" w:sz="0" w:space="0" w:color="auto"/>
        <w:right w:val="none" w:sz="0" w:space="0" w:color="auto"/>
      </w:divBdr>
    </w:div>
    <w:div w:id="1179386322">
      <w:bodyDiv w:val="1"/>
      <w:marLeft w:val="0"/>
      <w:marRight w:val="0"/>
      <w:marTop w:val="0"/>
      <w:marBottom w:val="0"/>
      <w:divBdr>
        <w:top w:val="none" w:sz="0" w:space="0" w:color="auto"/>
        <w:left w:val="none" w:sz="0" w:space="0" w:color="auto"/>
        <w:bottom w:val="none" w:sz="0" w:space="0" w:color="auto"/>
        <w:right w:val="none" w:sz="0" w:space="0" w:color="auto"/>
      </w:divBdr>
    </w:div>
    <w:div w:id="1191799515">
      <w:bodyDiv w:val="1"/>
      <w:marLeft w:val="0"/>
      <w:marRight w:val="0"/>
      <w:marTop w:val="0"/>
      <w:marBottom w:val="0"/>
      <w:divBdr>
        <w:top w:val="none" w:sz="0" w:space="0" w:color="auto"/>
        <w:left w:val="none" w:sz="0" w:space="0" w:color="auto"/>
        <w:bottom w:val="none" w:sz="0" w:space="0" w:color="auto"/>
        <w:right w:val="none" w:sz="0" w:space="0" w:color="auto"/>
      </w:divBdr>
    </w:div>
    <w:div w:id="1245186479">
      <w:bodyDiv w:val="1"/>
      <w:marLeft w:val="0"/>
      <w:marRight w:val="0"/>
      <w:marTop w:val="0"/>
      <w:marBottom w:val="0"/>
      <w:divBdr>
        <w:top w:val="none" w:sz="0" w:space="0" w:color="auto"/>
        <w:left w:val="none" w:sz="0" w:space="0" w:color="auto"/>
        <w:bottom w:val="none" w:sz="0" w:space="0" w:color="auto"/>
        <w:right w:val="none" w:sz="0" w:space="0" w:color="auto"/>
      </w:divBdr>
    </w:div>
    <w:div w:id="1325401960">
      <w:bodyDiv w:val="1"/>
      <w:marLeft w:val="0"/>
      <w:marRight w:val="0"/>
      <w:marTop w:val="0"/>
      <w:marBottom w:val="0"/>
      <w:divBdr>
        <w:top w:val="none" w:sz="0" w:space="0" w:color="auto"/>
        <w:left w:val="none" w:sz="0" w:space="0" w:color="auto"/>
        <w:bottom w:val="none" w:sz="0" w:space="0" w:color="auto"/>
        <w:right w:val="none" w:sz="0" w:space="0" w:color="auto"/>
      </w:divBdr>
    </w:div>
    <w:div w:id="1332903723">
      <w:bodyDiv w:val="1"/>
      <w:marLeft w:val="0"/>
      <w:marRight w:val="0"/>
      <w:marTop w:val="0"/>
      <w:marBottom w:val="0"/>
      <w:divBdr>
        <w:top w:val="none" w:sz="0" w:space="0" w:color="auto"/>
        <w:left w:val="none" w:sz="0" w:space="0" w:color="auto"/>
        <w:bottom w:val="none" w:sz="0" w:space="0" w:color="auto"/>
        <w:right w:val="none" w:sz="0" w:space="0" w:color="auto"/>
      </w:divBdr>
    </w:div>
    <w:div w:id="1380938368">
      <w:bodyDiv w:val="1"/>
      <w:marLeft w:val="0"/>
      <w:marRight w:val="0"/>
      <w:marTop w:val="0"/>
      <w:marBottom w:val="0"/>
      <w:divBdr>
        <w:top w:val="none" w:sz="0" w:space="0" w:color="auto"/>
        <w:left w:val="none" w:sz="0" w:space="0" w:color="auto"/>
        <w:bottom w:val="none" w:sz="0" w:space="0" w:color="auto"/>
        <w:right w:val="none" w:sz="0" w:space="0" w:color="auto"/>
      </w:divBdr>
    </w:div>
    <w:div w:id="1447240183">
      <w:bodyDiv w:val="1"/>
      <w:marLeft w:val="0"/>
      <w:marRight w:val="0"/>
      <w:marTop w:val="0"/>
      <w:marBottom w:val="0"/>
      <w:divBdr>
        <w:top w:val="none" w:sz="0" w:space="0" w:color="auto"/>
        <w:left w:val="none" w:sz="0" w:space="0" w:color="auto"/>
        <w:bottom w:val="none" w:sz="0" w:space="0" w:color="auto"/>
        <w:right w:val="none" w:sz="0" w:space="0" w:color="auto"/>
      </w:divBdr>
    </w:div>
    <w:div w:id="1569606717">
      <w:bodyDiv w:val="1"/>
      <w:marLeft w:val="0"/>
      <w:marRight w:val="0"/>
      <w:marTop w:val="0"/>
      <w:marBottom w:val="0"/>
      <w:divBdr>
        <w:top w:val="none" w:sz="0" w:space="0" w:color="auto"/>
        <w:left w:val="none" w:sz="0" w:space="0" w:color="auto"/>
        <w:bottom w:val="none" w:sz="0" w:space="0" w:color="auto"/>
        <w:right w:val="none" w:sz="0" w:space="0" w:color="auto"/>
      </w:divBdr>
    </w:div>
    <w:div w:id="1609392967">
      <w:bodyDiv w:val="1"/>
      <w:marLeft w:val="0"/>
      <w:marRight w:val="0"/>
      <w:marTop w:val="0"/>
      <w:marBottom w:val="0"/>
      <w:divBdr>
        <w:top w:val="none" w:sz="0" w:space="0" w:color="auto"/>
        <w:left w:val="none" w:sz="0" w:space="0" w:color="auto"/>
        <w:bottom w:val="none" w:sz="0" w:space="0" w:color="auto"/>
        <w:right w:val="none" w:sz="0" w:space="0" w:color="auto"/>
      </w:divBdr>
    </w:div>
    <w:div w:id="1692796748">
      <w:bodyDiv w:val="1"/>
      <w:marLeft w:val="0"/>
      <w:marRight w:val="0"/>
      <w:marTop w:val="0"/>
      <w:marBottom w:val="0"/>
      <w:divBdr>
        <w:top w:val="none" w:sz="0" w:space="0" w:color="auto"/>
        <w:left w:val="none" w:sz="0" w:space="0" w:color="auto"/>
        <w:bottom w:val="none" w:sz="0" w:space="0" w:color="auto"/>
        <w:right w:val="none" w:sz="0" w:space="0" w:color="auto"/>
      </w:divBdr>
    </w:div>
    <w:div w:id="1736707138">
      <w:bodyDiv w:val="1"/>
      <w:marLeft w:val="0"/>
      <w:marRight w:val="0"/>
      <w:marTop w:val="0"/>
      <w:marBottom w:val="0"/>
      <w:divBdr>
        <w:top w:val="none" w:sz="0" w:space="0" w:color="auto"/>
        <w:left w:val="none" w:sz="0" w:space="0" w:color="auto"/>
        <w:bottom w:val="none" w:sz="0" w:space="0" w:color="auto"/>
        <w:right w:val="none" w:sz="0" w:space="0" w:color="auto"/>
      </w:divBdr>
    </w:div>
    <w:div w:id="1774589005">
      <w:bodyDiv w:val="1"/>
      <w:marLeft w:val="0"/>
      <w:marRight w:val="0"/>
      <w:marTop w:val="0"/>
      <w:marBottom w:val="0"/>
      <w:divBdr>
        <w:top w:val="none" w:sz="0" w:space="0" w:color="auto"/>
        <w:left w:val="none" w:sz="0" w:space="0" w:color="auto"/>
        <w:bottom w:val="none" w:sz="0" w:space="0" w:color="auto"/>
        <w:right w:val="none" w:sz="0" w:space="0" w:color="auto"/>
      </w:divBdr>
    </w:div>
    <w:div w:id="1777628976">
      <w:bodyDiv w:val="1"/>
      <w:marLeft w:val="0"/>
      <w:marRight w:val="0"/>
      <w:marTop w:val="0"/>
      <w:marBottom w:val="0"/>
      <w:divBdr>
        <w:top w:val="none" w:sz="0" w:space="0" w:color="auto"/>
        <w:left w:val="none" w:sz="0" w:space="0" w:color="auto"/>
        <w:bottom w:val="none" w:sz="0" w:space="0" w:color="auto"/>
        <w:right w:val="none" w:sz="0" w:space="0" w:color="auto"/>
      </w:divBdr>
    </w:div>
    <w:div w:id="1810318931">
      <w:bodyDiv w:val="1"/>
      <w:marLeft w:val="0"/>
      <w:marRight w:val="0"/>
      <w:marTop w:val="0"/>
      <w:marBottom w:val="0"/>
      <w:divBdr>
        <w:top w:val="none" w:sz="0" w:space="0" w:color="auto"/>
        <w:left w:val="none" w:sz="0" w:space="0" w:color="auto"/>
        <w:bottom w:val="none" w:sz="0" w:space="0" w:color="auto"/>
        <w:right w:val="none" w:sz="0" w:space="0" w:color="auto"/>
      </w:divBdr>
    </w:div>
    <w:div w:id="1824392351">
      <w:bodyDiv w:val="1"/>
      <w:marLeft w:val="0"/>
      <w:marRight w:val="0"/>
      <w:marTop w:val="0"/>
      <w:marBottom w:val="0"/>
      <w:divBdr>
        <w:top w:val="none" w:sz="0" w:space="0" w:color="auto"/>
        <w:left w:val="none" w:sz="0" w:space="0" w:color="auto"/>
        <w:bottom w:val="none" w:sz="0" w:space="0" w:color="auto"/>
        <w:right w:val="none" w:sz="0" w:space="0" w:color="auto"/>
      </w:divBdr>
    </w:div>
    <w:div w:id="1861817945">
      <w:bodyDiv w:val="1"/>
      <w:marLeft w:val="0"/>
      <w:marRight w:val="0"/>
      <w:marTop w:val="0"/>
      <w:marBottom w:val="0"/>
      <w:divBdr>
        <w:top w:val="none" w:sz="0" w:space="0" w:color="auto"/>
        <w:left w:val="none" w:sz="0" w:space="0" w:color="auto"/>
        <w:bottom w:val="none" w:sz="0" w:space="0" w:color="auto"/>
        <w:right w:val="none" w:sz="0" w:space="0" w:color="auto"/>
      </w:divBdr>
    </w:div>
    <w:div w:id="1911696587">
      <w:bodyDiv w:val="1"/>
      <w:marLeft w:val="0"/>
      <w:marRight w:val="0"/>
      <w:marTop w:val="0"/>
      <w:marBottom w:val="0"/>
      <w:divBdr>
        <w:top w:val="none" w:sz="0" w:space="0" w:color="auto"/>
        <w:left w:val="none" w:sz="0" w:space="0" w:color="auto"/>
        <w:bottom w:val="none" w:sz="0" w:space="0" w:color="auto"/>
        <w:right w:val="none" w:sz="0" w:space="0" w:color="auto"/>
      </w:divBdr>
    </w:div>
    <w:div w:id="1993479421">
      <w:bodyDiv w:val="1"/>
      <w:marLeft w:val="0"/>
      <w:marRight w:val="0"/>
      <w:marTop w:val="0"/>
      <w:marBottom w:val="0"/>
      <w:divBdr>
        <w:top w:val="none" w:sz="0" w:space="0" w:color="auto"/>
        <w:left w:val="none" w:sz="0" w:space="0" w:color="auto"/>
        <w:bottom w:val="none" w:sz="0" w:space="0" w:color="auto"/>
        <w:right w:val="none" w:sz="0" w:space="0" w:color="auto"/>
      </w:divBdr>
    </w:div>
    <w:div w:id="2045863024">
      <w:bodyDiv w:val="1"/>
      <w:marLeft w:val="0"/>
      <w:marRight w:val="0"/>
      <w:marTop w:val="0"/>
      <w:marBottom w:val="0"/>
      <w:divBdr>
        <w:top w:val="none" w:sz="0" w:space="0" w:color="auto"/>
        <w:left w:val="none" w:sz="0" w:space="0" w:color="auto"/>
        <w:bottom w:val="none" w:sz="0" w:space="0" w:color="auto"/>
        <w:right w:val="none" w:sz="0" w:space="0" w:color="auto"/>
      </w:divBdr>
    </w:div>
    <w:div w:id="2053531354">
      <w:bodyDiv w:val="1"/>
      <w:marLeft w:val="0"/>
      <w:marRight w:val="0"/>
      <w:marTop w:val="0"/>
      <w:marBottom w:val="0"/>
      <w:divBdr>
        <w:top w:val="none" w:sz="0" w:space="0" w:color="auto"/>
        <w:left w:val="none" w:sz="0" w:space="0" w:color="auto"/>
        <w:bottom w:val="none" w:sz="0" w:space="0" w:color="auto"/>
        <w:right w:val="none" w:sz="0" w:space="0" w:color="auto"/>
      </w:divBdr>
    </w:div>
    <w:div w:id="2091581781">
      <w:bodyDiv w:val="1"/>
      <w:marLeft w:val="0"/>
      <w:marRight w:val="0"/>
      <w:marTop w:val="0"/>
      <w:marBottom w:val="0"/>
      <w:divBdr>
        <w:top w:val="none" w:sz="0" w:space="0" w:color="auto"/>
        <w:left w:val="none" w:sz="0" w:space="0" w:color="auto"/>
        <w:bottom w:val="none" w:sz="0" w:space="0" w:color="auto"/>
        <w:right w:val="none" w:sz="0" w:space="0" w:color="auto"/>
      </w:divBdr>
    </w:div>
    <w:div w:id="2110159733">
      <w:bodyDiv w:val="1"/>
      <w:marLeft w:val="0"/>
      <w:marRight w:val="0"/>
      <w:marTop w:val="0"/>
      <w:marBottom w:val="0"/>
      <w:divBdr>
        <w:top w:val="none" w:sz="0" w:space="0" w:color="auto"/>
        <w:left w:val="none" w:sz="0" w:space="0" w:color="auto"/>
        <w:bottom w:val="none" w:sz="0" w:space="0" w:color="auto"/>
        <w:right w:val="none" w:sz="0" w:space="0" w:color="auto"/>
      </w:divBdr>
    </w:div>
    <w:div w:id="2130927718">
      <w:bodyDiv w:val="1"/>
      <w:marLeft w:val="0"/>
      <w:marRight w:val="0"/>
      <w:marTop w:val="0"/>
      <w:marBottom w:val="0"/>
      <w:divBdr>
        <w:top w:val="none" w:sz="0" w:space="0" w:color="auto"/>
        <w:left w:val="none" w:sz="0" w:space="0" w:color="auto"/>
        <w:bottom w:val="none" w:sz="0" w:space="0" w:color="auto"/>
        <w:right w:val="none" w:sz="0" w:space="0" w:color="auto"/>
      </w:divBdr>
      <w:divsChild>
        <w:div w:id="151222309">
          <w:marLeft w:val="0"/>
          <w:marRight w:val="0"/>
          <w:marTop w:val="0"/>
          <w:marBottom w:val="0"/>
          <w:divBdr>
            <w:top w:val="none" w:sz="0" w:space="0" w:color="auto"/>
            <w:left w:val="none" w:sz="0" w:space="0" w:color="auto"/>
            <w:bottom w:val="none" w:sz="0" w:space="0" w:color="auto"/>
            <w:right w:val="none" w:sz="0" w:space="0" w:color="auto"/>
          </w:divBdr>
          <w:divsChild>
            <w:div w:id="1785151773">
              <w:marLeft w:val="0"/>
              <w:marRight w:val="0"/>
              <w:marTop w:val="0"/>
              <w:marBottom w:val="0"/>
              <w:divBdr>
                <w:top w:val="none" w:sz="0" w:space="0" w:color="auto"/>
                <w:left w:val="none" w:sz="0" w:space="0" w:color="auto"/>
                <w:bottom w:val="none" w:sz="0" w:space="0" w:color="auto"/>
                <w:right w:val="none" w:sz="0" w:space="0" w:color="auto"/>
              </w:divBdr>
            </w:div>
          </w:divsChild>
        </w:div>
        <w:div w:id="308243413">
          <w:marLeft w:val="0"/>
          <w:marRight w:val="0"/>
          <w:marTop w:val="0"/>
          <w:marBottom w:val="0"/>
          <w:divBdr>
            <w:top w:val="none" w:sz="0" w:space="0" w:color="auto"/>
            <w:left w:val="none" w:sz="0" w:space="0" w:color="auto"/>
            <w:bottom w:val="none" w:sz="0" w:space="0" w:color="auto"/>
            <w:right w:val="none" w:sz="0" w:space="0" w:color="auto"/>
          </w:divBdr>
          <w:divsChild>
            <w:div w:id="228005807">
              <w:marLeft w:val="0"/>
              <w:marRight w:val="0"/>
              <w:marTop w:val="0"/>
              <w:marBottom w:val="0"/>
              <w:divBdr>
                <w:top w:val="none" w:sz="0" w:space="0" w:color="auto"/>
                <w:left w:val="none" w:sz="0" w:space="0" w:color="auto"/>
                <w:bottom w:val="none" w:sz="0" w:space="0" w:color="auto"/>
                <w:right w:val="none" w:sz="0" w:space="0" w:color="auto"/>
              </w:divBdr>
            </w:div>
          </w:divsChild>
        </w:div>
        <w:div w:id="504325541">
          <w:marLeft w:val="0"/>
          <w:marRight w:val="0"/>
          <w:marTop w:val="0"/>
          <w:marBottom w:val="0"/>
          <w:divBdr>
            <w:top w:val="none" w:sz="0" w:space="0" w:color="auto"/>
            <w:left w:val="none" w:sz="0" w:space="0" w:color="auto"/>
            <w:bottom w:val="none" w:sz="0" w:space="0" w:color="auto"/>
            <w:right w:val="none" w:sz="0" w:space="0" w:color="auto"/>
          </w:divBdr>
          <w:divsChild>
            <w:div w:id="1978682634">
              <w:marLeft w:val="0"/>
              <w:marRight w:val="0"/>
              <w:marTop w:val="0"/>
              <w:marBottom w:val="0"/>
              <w:divBdr>
                <w:top w:val="none" w:sz="0" w:space="0" w:color="auto"/>
                <w:left w:val="none" w:sz="0" w:space="0" w:color="auto"/>
                <w:bottom w:val="none" w:sz="0" w:space="0" w:color="auto"/>
                <w:right w:val="none" w:sz="0" w:space="0" w:color="auto"/>
              </w:divBdr>
            </w:div>
          </w:divsChild>
        </w:div>
        <w:div w:id="648872194">
          <w:marLeft w:val="0"/>
          <w:marRight w:val="0"/>
          <w:marTop w:val="0"/>
          <w:marBottom w:val="0"/>
          <w:divBdr>
            <w:top w:val="none" w:sz="0" w:space="0" w:color="auto"/>
            <w:left w:val="none" w:sz="0" w:space="0" w:color="auto"/>
            <w:bottom w:val="none" w:sz="0" w:space="0" w:color="auto"/>
            <w:right w:val="none" w:sz="0" w:space="0" w:color="auto"/>
          </w:divBdr>
          <w:divsChild>
            <w:div w:id="1081373041">
              <w:marLeft w:val="0"/>
              <w:marRight w:val="0"/>
              <w:marTop w:val="0"/>
              <w:marBottom w:val="0"/>
              <w:divBdr>
                <w:top w:val="none" w:sz="0" w:space="0" w:color="auto"/>
                <w:left w:val="none" w:sz="0" w:space="0" w:color="auto"/>
                <w:bottom w:val="none" w:sz="0" w:space="0" w:color="auto"/>
                <w:right w:val="none" w:sz="0" w:space="0" w:color="auto"/>
              </w:divBdr>
            </w:div>
          </w:divsChild>
        </w:div>
        <w:div w:id="1062219132">
          <w:marLeft w:val="0"/>
          <w:marRight w:val="0"/>
          <w:marTop w:val="0"/>
          <w:marBottom w:val="0"/>
          <w:divBdr>
            <w:top w:val="none" w:sz="0" w:space="0" w:color="auto"/>
            <w:left w:val="none" w:sz="0" w:space="0" w:color="auto"/>
            <w:bottom w:val="none" w:sz="0" w:space="0" w:color="auto"/>
            <w:right w:val="none" w:sz="0" w:space="0" w:color="auto"/>
          </w:divBdr>
          <w:divsChild>
            <w:div w:id="755060256">
              <w:marLeft w:val="0"/>
              <w:marRight w:val="0"/>
              <w:marTop w:val="0"/>
              <w:marBottom w:val="0"/>
              <w:divBdr>
                <w:top w:val="none" w:sz="0" w:space="0" w:color="auto"/>
                <w:left w:val="none" w:sz="0" w:space="0" w:color="auto"/>
                <w:bottom w:val="none" w:sz="0" w:space="0" w:color="auto"/>
                <w:right w:val="none" w:sz="0" w:space="0" w:color="auto"/>
              </w:divBdr>
            </w:div>
          </w:divsChild>
        </w:div>
        <w:div w:id="2029914214">
          <w:marLeft w:val="0"/>
          <w:marRight w:val="0"/>
          <w:marTop w:val="0"/>
          <w:marBottom w:val="0"/>
          <w:divBdr>
            <w:top w:val="none" w:sz="0" w:space="0" w:color="auto"/>
            <w:left w:val="none" w:sz="0" w:space="0" w:color="auto"/>
            <w:bottom w:val="none" w:sz="0" w:space="0" w:color="auto"/>
            <w:right w:val="none" w:sz="0" w:space="0" w:color="auto"/>
          </w:divBdr>
          <w:divsChild>
            <w:div w:id="1388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EDB5-BE57-4135-A920-FC79ECAF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46406</Characters>
  <Application>Microsoft Office Word</Application>
  <DocSecurity>0</DocSecurity>
  <Lines>386</Lines>
  <Paragraphs>93</Paragraphs>
  <ScaleCrop>false</ScaleCrop>
  <Company/>
  <LinksUpToDate>false</LinksUpToDate>
  <CharactersWithSpaces>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2019-07-11T19:50:00Z</dcterms:created>
  <dcterms:modified xsi:type="dcterms:W3CDTF">2019-07-11T19:51:00Z</dcterms:modified>
</cp:coreProperties>
</file>