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C01EA" w14:textId="58188089" w:rsidR="00443081" w:rsidRPr="00153A43" w:rsidRDefault="00B11CD1" w:rsidP="00646E7F">
      <w:pPr>
        <w:pStyle w:val="Caption"/>
        <w:rPr>
          <w:rFonts w:ascii="Times New Roman" w:hAnsi="Times New Roman" w:cs="Times New Roman"/>
          <w:color w:val="auto"/>
          <w:sz w:val="24"/>
          <w:szCs w:val="24"/>
        </w:rPr>
      </w:pPr>
      <w:r w:rsidRPr="00153A43">
        <w:rPr>
          <w:rFonts w:ascii="Times New Roman" w:hAnsi="Times New Roman" w:cs="Times New Roman"/>
          <w:color w:val="auto"/>
          <w:sz w:val="24"/>
          <w:szCs w:val="24"/>
        </w:rPr>
        <w:t xml:space="preserve">Supplementary Table </w:t>
      </w:r>
      <w:r w:rsidRPr="00153A43">
        <w:rPr>
          <w:rFonts w:ascii="Times New Roman" w:hAnsi="Times New Roman" w:cs="Times New Roman"/>
          <w:color w:val="auto"/>
          <w:sz w:val="24"/>
          <w:szCs w:val="24"/>
        </w:rPr>
        <w:fldChar w:fldCharType="begin"/>
      </w:r>
      <w:r w:rsidRPr="00153A43">
        <w:rPr>
          <w:rFonts w:ascii="Times New Roman" w:hAnsi="Times New Roman" w:cs="Times New Roman"/>
          <w:color w:val="auto"/>
          <w:sz w:val="24"/>
          <w:szCs w:val="24"/>
        </w:rPr>
        <w:instrText xml:space="preserve"> SEQ Supplementary_Table \* ARABIC </w:instrText>
      </w:r>
      <w:r w:rsidRPr="00153A43">
        <w:rPr>
          <w:rFonts w:ascii="Times New Roman" w:hAnsi="Times New Roman" w:cs="Times New Roman"/>
          <w:color w:val="auto"/>
          <w:sz w:val="24"/>
          <w:szCs w:val="24"/>
        </w:rPr>
        <w:fldChar w:fldCharType="separate"/>
      </w:r>
      <w:r w:rsidRPr="00153A43">
        <w:rPr>
          <w:rFonts w:ascii="Times New Roman" w:hAnsi="Times New Roman" w:cs="Times New Roman"/>
          <w:noProof/>
          <w:color w:val="auto"/>
          <w:sz w:val="24"/>
          <w:szCs w:val="24"/>
        </w:rPr>
        <w:t>1</w:t>
      </w:r>
      <w:r w:rsidRPr="00153A43">
        <w:rPr>
          <w:rFonts w:ascii="Times New Roman" w:hAnsi="Times New Roman" w:cs="Times New Roman"/>
          <w:color w:val="auto"/>
          <w:sz w:val="24"/>
          <w:szCs w:val="24"/>
        </w:rPr>
        <w:fldChar w:fldCharType="end"/>
      </w:r>
      <w:r w:rsidRPr="00153A43">
        <w:rPr>
          <w:rFonts w:ascii="Times New Roman" w:hAnsi="Times New Roman" w:cs="Times New Roman"/>
          <w:color w:val="auto"/>
          <w:sz w:val="24"/>
          <w:szCs w:val="24"/>
        </w:rPr>
        <w:t>– Products granted conditional marketing authorisation or authorisation under exceptional circumstances by the European Medicines Agency and evaluated by the NICE in a Technology Appraisal or Highly Specialised Technologies Evaluation</w:t>
      </w:r>
    </w:p>
    <w:tbl>
      <w:tblPr>
        <w:tblStyle w:val="TableGrid"/>
        <w:tblW w:w="0" w:type="auto"/>
        <w:tblLook w:val="04A0" w:firstRow="1" w:lastRow="0" w:firstColumn="1" w:lastColumn="0" w:noHBand="0" w:noVBand="1"/>
      </w:tblPr>
      <w:tblGrid>
        <w:gridCol w:w="2264"/>
        <w:gridCol w:w="1418"/>
        <w:gridCol w:w="2861"/>
        <w:gridCol w:w="1132"/>
        <w:gridCol w:w="1276"/>
        <w:gridCol w:w="3274"/>
        <w:gridCol w:w="1723"/>
      </w:tblGrid>
      <w:tr w:rsidR="00C92413" w:rsidRPr="00153A43" w14:paraId="41CEF09B" w14:textId="4FB67AF7" w:rsidTr="00BE61C7">
        <w:trPr>
          <w:trHeight w:val="416"/>
        </w:trPr>
        <w:tc>
          <w:tcPr>
            <w:tcW w:w="2264" w:type="dxa"/>
            <w:hideMark/>
          </w:tcPr>
          <w:p w14:paraId="2EBCD472" w14:textId="77777777" w:rsidR="00B559FE" w:rsidRPr="00153A43" w:rsidRDefault="00B559FE" w:rsidP="00646E7F">
            <w:pPr>
              <w:rPr>
                <w:rFonts w:ascii="Times New Roman" w:hAnsi="Times New Roman" w:cs="Times New Roman"/>
                <w:b/>
                <w:bCs/>
                <w:sz w:val="16"/>
                <w:szCs w:val="16"/>
              </w:rPr>
            </w:pPr>
            <w:r w:rsidRPr="00153A43">
              <w:rPr>
                <w:rFonts w:ascii="Times New Roman" w:hAnsi="Times New Roman" w:cs="Times New Roman"/>
                <w:b/>
                <w:bCs/>
                <w:sz w:val="16"/>
                <w:szCs w:val="16"/>
              </w:rPr>
              <w:t>Technology name</w:t>
            </w:r>
          </w:p>
        </w:tc>
        <w:tc>
          <w:tcPr>
            <w:tcW w:w="1418" w:type="dxa"/>
            <w:hideMark/>
          </w:tcPr>
          <w:p w14:paraId="1D2EE59E" w14:textId="61BB373A" w:rsidR="00B559FE" w:rsidRPr="00153A43" w:rsidRDefault="00B559FE" w:rsidP="00646E7F">
            <w:pPr>
              <w:rPr>
                <w:rFonts w:ascii="Times New Roman" w:hAnsi="Times New Roman" w:cs="Times New Roman"/>
                <w:b/>
                <w:bCs/>
                <w:sz w:val="16"/>
                <w:szCs w:val="16"/>
              </w:rPr>
            </w:pPr>
            <w:r w:rsidRPr="00153A43">
              <w:rPr>
                <w:rFonts w:ascii="Times New Roman" w:hAnsi="Times New Roman" w:cs="Times New Roman"/>
                <w:b/>
                <w:bCs/>
                <w:sz w:val="16"/>
                <w:szCs w:val="16"/>
              </w:rPr>
              <w:t>Type of original marketing author</w:t>
            </w:r>
            <w:r>
              <w:rPr>
                <w:rFonts w:ascii="Times New Roman" w:hAnsi="Times New Roman" w:cs="Times New Roman"/>
                <w:b/>
                <w:bCs/>
                <w:sz w:val="16"/>
                <w:szCs w:val="16"/>
              </w:rPr>
              <w:t>i</w:t>
            </w:r>
            <w:r w:rsidRPr="00153A43">
              <w:rPr>
                <w:rFonts w:ascii="Times New Roman" w:hAnsi="Times New Roman" w:cs="Times New Roman"/>
                <w:b/>
                <w:bCs/>
                <w:sz w:val="16"/>
                <w:szCs w:val="16"/>
              </w:rPr>
              <w:t>sation</w:t>
            </w:r>
          </w:p>
        </w:tc>
        <w:tc>
          <w:tcPr>
            <w:tcW w:w="2861" w:type="dxa"/>
            <w:hideMark/>
          </w:tcPr>
          <w:p w14:paraId="2B2BADD3" w14:textId="77777777" w:rsidR="00B559FE" w:rsidRPr="00153A43" w:rsidRDefault="00B559FE" w:rsidP="00646E7F">
            <w:pPr>
              <w:rPr>
                <w:rFonts w:ascii="Times New Roman" w:hAnsi="Times New Roman" w:cs="Times New Roman"/>
                <w:b/>
                <w:bCs/>
                <w:sz w:val="16"/>
                <w:szCs w:val="16"/>
              </w:rPr>
            </w:pPr>
            <w:r w:rsidRPr="00153A43">
              <w:rPr>
                <w:rFonts w:ascii="Times New Roman" w:hAnsi="Times New Roman" w:cs="Times New Roman"/>
                <w:b/>
                <w:bCs/>
                <w:sz w:val="16"/>
                <w:szCs w:val="16"/>
              </w:rPr>
              <w:t>Original Marketing Authorisation wording</w:t>
            </w:r>
          </w:p>
        </w:tc>
        <w:tc>
          <w:tcPr>
            <w:tcW w:w="1132" w:type="dxa"/>
          </w:tcPr>
          <w:p w14:paraId="5C592E4C" w14:textId="08EEA726" w:rsidR="00B559FE" w:rsidRPr="00153A43" w:rsidRDefault="00B559FE" w:rsidP="00646E7F">
            <w:pPr>
              <w:rPr>
                <w:rFonts w:ascii="Times New Roman" w:hAnsi="Times New Roman" w:cs="Times New Roman"/>
                <w:b/>
                <w:bCs/>
                <w:sz w:val="16"/>
                <w:szCs w:val="16"/>
              </w:rPr>
            </w:pPr>
            <w:r>
              <w:rPr>
                <w:rFonts w:ascii="Times New Roman" w:hAnsi="Times New Roman" w:cs="Times New Roman"/>
                <w:b/>
                <w:bCs/>
                <w:sz w:val="16"/>
                <w:szCs w:val="16"/>
              </w:rPr>
              <w:t>Marketing authorisation status by August 2019</w:t>
            </w:r>
          </w:p>
        </w:tc>
        <w:tc>
          <w:tcPr>
            <w:tcW w:w="1276" w:type="dxa"/>
            <w:hideMark/>
          </w:tcPr>
          <w:p w14:paraId="45B83FCF" w14:textId="02AA5A5C" w:rsidR="00B559FE" w:rsidRPr="00153A43" w:rsidRDefault="00B559FE" w:rsidP="00646E7F">
            <w:pPr>
              <w:rPr>
                <w:rFonts w:ascii="Times New Roman" w:hAnsi="Times New Roman" w:cs="Times New Roman"/>
                <w:b/>
                <w:bCs/>
                <w:sz w:val="16"/>
                <w:szCs w:val="16"/>
              </w:rPr>
            </w:pPr>
            <w:r w:rsidRPr="00153A43">
              <w:rPr>
                <w:rFonts w:ascii="Times New Roman" w:hAnsi="Times New Roman" w:cs="Times New Roman"/>
                <w:b/>
                <w:bCs/>
                <w:sz w:val="16"/>
                <w:szCs w:val="16"/>
              </w:rPr>
              <w:t>TA/HST number</w:t>
            </w:r>
          </w:p>
        </w:tc>
        <w:tc>
          <w:tcPr>
            <w:tcW w:w="3274" w:type="dxa"/>
            <w:hideMark/>
          </w:tcPr>
          <w:p w14:paraId="4874BEF7" w14:textId="77777777" w:rsidR="00B559FE" w:rsidRPr="00153A43" w:rsidRDefault="00B559FE" w:rsidP="00646E7F">
            <w:pPr>
              <w:rPr>
                <w:rFonts w:ascii="Times New Roman" w:hAnsi="Times New Roman" w:cs="Times New Roman"/>
                <w:b/>
                <w:bCs/>
                <w:sz w:val="16"/>
                <w:szCs w:val="16"/>
              </w:rPr>
            </w:pPr>
            <w:r w:rsidRPr="00153A43">
              <w:rPr>
                <w:rFonts w:ascii="Times New Roman" w:hAnsi="Times New Roman" w:cs="Times New Roman"/>
                <w:b/>
                <w:bCs/>
                <w:sz w:val="16"/>
                <w:szCs w:val="16"/>
              </w:rPr>
              <w:t>TA/HST title</w:t>
            </w:r>
          </w:p>
        </w:tc>
        <w:tc>
          <w:tcPr>
            <w:tcW w:w="1723" w:type="dxa"/>
          </w:tcPr>
          <w:p w14:paraId="26984021" w14:textId="7DC29C09" w:rsidR="00B559FE" w:rsidRPr="00153A43" w:rsidRDefault="00BE61C7" w:rsidP="00646E7F">
            <w:pPr>
              <w:rPr>
                <w:rFonts w:ascii="Times New Roman" w:hAnsi="Times New Roman" w:cs="Times New Roman"/>
                <w:b/>
                <w:bCs/>
                <w:sz w:val="16"/>
                <w:szCs w:val="16"/>
              </w:rPr>
            </w:pPr>
            <w:r>
              <w:rPr>
                <w:rFonts w:ascii="Times New Roman" w:hAnsi="Times New Roman" w:cs="Times New Roman"/>
                <w:b/>
                <w:bCs/>
                <w:sz w:val="16"/>
                <w:szCs w:val="16"/>
              </w:rPr>
              <w:t>TA/HST recommendation by August 2019</w:t>
            </w:r>
          </w:p>
        </w:tc>
      </w:tr>
      <w:tr w:rsidR="00C92413" w:rsidRPr="00153A43" w14:paraId="6CE27C60" w14:textId="39E10921" w:rsidTr="00BE61C7">
        <w:trPr>
          <w:trHeight w:val="266"/>
        </w:trPr>
        <w:tc>
          <w:tcPr>
            <w:tcW w:w="2264" w:type="dxa"/>
            <w:shd w:val="clear" w:color="auto" w:fill="auto"/>
            <w:noWrap/>
            <w:hideMark/>
          </w:tcPr>
          <w:p w14:paraId="3AF15335"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drotrecogin</w:t>
            </w:r>
            <w:proofErr w:type="spellEnd"/>
            <w:r w:rsidRPr="00153A43">
              <w:rPr>
                <w:rFonts w:ascii="Times New Roman" w:hAnsi="Times New Roman" w:cs="Times New Roman"/>
                <w:sz w:val="16"/>
                <w:szCs w:val="16"/>
              </w:rPr>
              <w:t xml:space="preserve"> alfa (activated)</w:t>
            </w:r>
          </w:p>
        </w:tc>
        <w:tc>
          <w:tcPr>
            <w:tcW w:w="1418" w:type="dxa"/>
            <w:shd w:val="clear" w:color="auto" w:fill="auto"/>
            <w:noWrap/>
            <w:hideMark/>
          </w:tcPr>
          <w:p w14:paraId="5711FD7B"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exceptional</w:t>
            </w:r>
          </w:p>
        </w:tc>
        <w:tc>
          <w:tcPr>
            <w:tcW w:w="2861" w:type="dxa"/>
            <w:shd w:val="clear" w:color="auto" w:fill="auto"/>
            <w:hideMark/>
          </w:tcPr>
          <w:p w14:paraId="683640BB"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adult patients with severe sepsis with multiple organ failure when added to best standard care</w:t>
            </w:r>
          </w:p>
        </w:tc>
        <w:tc>
          <w:tcPr>
            <w:tcW w:w="1132" w:type="dxa"/>
          </w:tcPr>
          <w:p w14:paraId="38E0F557" w14:textId="62DA4E91" w:rsidR="00B559FE" w:rsidRPr="00153A43" w:rsidRDefault="00F51C53" w:rsidP="00646E7F">
            <w:pPr>
              <w:rPr>
                <w:rFonts w:ascii="Times New Roman" w:hAnsi="Times New Roman" w:cs="Times New Roman"/>
                <w:sz w:val="16"/>
                <w:szCs w:val="16"/>
              </w:rPr>
            </w:pPr>
            <w:r w:rsidRPr="00F51C53">
              <w:rPr>
                <w:rFonts w:ascii="Times New Roman" w:hAnsi="Times New Roman" w:cs="Times New Roman"/>
                <w:sz w:val="16"/>
                <w:szCs w:val="16"/>
              </w:rPr>
              <w:t>Withdrawn</w:t>
            </w:r>
          </w:p>
        </w:tc>
        <w:tc>
          <w:tcPr>
            <w:tcW w:w="1276" w:type="dxa"/>
            <w:shd w:val="clear" w:color="auto" w:fill="auto"/>
            <w:noWrap/>
            <w:hideMark/>
          </w:tcPr>
          <w:p w14:paraId="045E391A" w14:textId="64520043"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TA84</w:t>
            </w:r>
          </w:p>
        </w:tc>
        <w:tc>
          <w:tcPr>
            <w:tcW w:w="3274" w:type="dxa"/>
            <w:shd w:val="clear" w:color="auto" w:fill="auto"/>
            <w:hideMark/>
          </w:tcPr>
          <w:p w14:paraId="2DC154E4"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Drotrecogin</w:t>
            </w:r>
            <w:proofErr w:type="spellEnd"/>
            <w:r w:rsidRPr="00153A43">
              <w:rPr>
                <w:rFonts w:ascii="Times New Roman" w:hAnsi="Times New Roman" w:cs="Times New Roman"/>
                <w:sz w:val="16"/>
                <w:szCs w:val="16"/>
              </w:rPr>
              <w:t xml:space="preserve"> alfa (activated) for severe sepsis</w:t>
            </w:r>
          </w:p>
        </w:tc>
        <w:tc>
          <w:tcPr>
            <w:tcW w:w="1723" w:type="dxa"/>
            <w:shd w:val="clear" w:color="auto" w:fill="auto"/>
          </w:tcPr>
          <w:p w14:paraId="09281A59" w14:textId="70E76150" w:rsidR="00B559FE" w:rsidRPr="00153A43" w:rsidRDefault="00B559FE" w:rsidP="00646E7F">
            <w:pPr>
              <w:rPr>
                <w:rFonts w:ascii="Times New Roman" w:hAnsi="Times New Roman" w:cs="Times New Roman"/>
                <w:sz w:val="16"/>
                <w:szCs w:val="16"/>
              </w:rPr>
            </w:pPr>
            <w:r>
              <w:rPr>
                <w:rFonts w:ascii="Times New Roman" w:hAnsi="Times New Roman" w:cs="Times New Roman"/>
                <w:sz w:val="16"/>
                <w:szCs w:val="16"/>
              </w:rPr>
              <w:t>Discontinued</w:t>
            </w:r>
          </w:p>
        </w:tc>
      </w:tr>
      <w:tr w:rsidR="00C92413" w:rsidRPr="00153A43" w14:paraId="55CDC639" w14:textId="62877643" w:rsidTr="00BE61C7">
        <w:trPr>
          <w:trHeight w:val="1178"/>
        </w:trPr>
        <w:tc>
          <w:tcPr>
            <w:tcW w:w="2264" w:type="dxa"/>
            <w:noWrap/>
            <w:hideMark/>
          </w:tcPr>
          <w:p w14:paraId="47CA6F01"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sunitinib</w:t>
            </w:r>
          </w:p>
        </w:tc>
        <w:tc>
          <w:tcPr>
            <w:tcW w:w="1418" w:type="dxa"/>
            <w:noWrap/>
            <w:hideMark/>
          </w:tcPr>
          <w:p w14:paraId="3C114438"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7D72DD6D"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advanced and/or metastatic renal cell carcinoma (MRCC) after failure of interferon alfa or interleukin-2 therapy.</w:t>
            </w:r>
          </w:p>
        </w:tc>
        <w:tc>
          <w:tcPr>
            <w:tcW w:w="1132" w:type="dxa"/>
          </w:tcPr>
          <w:p w14:paraId="502C63F4" w14:textId="1CDED704"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Full</w:t>
            </w:r>
          </w:p>
        </w:tc>
        <w:tc>
          <w:tcPr>
            <w:tcW w:w="1276" w:type="dxa"/>
            <w:noWrap/>
            <w:hideMark/>
          </w:tcPr>
          <w:p w14:paraId="3AA58A92" w14:textId="2930CCC5"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TA178</w:t>
            </w:r>
          </w:p>
        </w:tc>
        <w:tc>
          <w:tcPr>
            <w:tcW w:w="3274" w:type="dxa"/>
            <w:hideMark/>
          </w:tcPr>
          <w:p w14:paraId="7BC1D32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Bevacizumab (</w:t>
            </w:r>
            <w:proofErr w:type="gramStart"/>
            <w:r w:rsidRPr="00153A43">
              <w:rPr>
                <w:rFonts w:ascii="Times New Roman" w:hAnsi="Times New Roman" w:cs="Times New Roman"/>
                <w:sz w:val="16"/>
                <w:szCs w:val="16"/>
              </w:rPr>
              <w:t>first-line</w:t>
            </w:r>
            <w:proofErr w:type="gramEnd"/>
            <w:r w:rsidRPr="00153A43">
              <w:rPr>
                <w:rFonts w:ascii="Times New Roman" w:hAnsi="Times New Roman" w:cs="Times New Roman"/>
                <w:sz w:val="16"/>
                <w:szCs w:val="16"/>
              </w:rPr>
              <w:t xml:space="preserve">), sorafenib (first- and second-line), sunitinib (second-line) and </w:t>
            </w:r>
            <w:proofErr w:type="spellStart"/>
            <w:r w:rsidRPr="00153A43">
              <w:rPr>
                <w:rFonts w:ascii="Times New Roman" w:hAnsi="Times New Roman" w:cs="Times New Roman"/>
                <w:sz w:val="16"/>
                <w:szCs w:val="16"/>
              </w:rPr>
              <w:t>temsirolimus</w:t>
            </w:r>
            <w:proofErr w:type="spellEnd"/>
            <w:r w:rsidRPr="00153A43">
              <w:rPr>
                <w:rFonts w:ascii="Times New Roman" w:hAnsi="Times New Roman" w:cs="Times New Roman"/>
                <w:sz w:val="16"/>
                <w:szCs w:val="16"/>
              </w:rPr>
              <w:t xml:space="preserve"> (first-line) for the treatment of advanced and/or metastatic renal cell carcinoma</w:t>
            </w:r>
          </w:p>
        </w:tc>
        <w:tc>
          <w:tcPr>
            <w:tcW w:w="1723" w:type="dxa"/>
          </w:tcPr>
          <w:p w14:paraId="01D0CF72" w14:textId="14F37179" w:rsidR="00B559FE"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Not recommended</w:t>
            </w:r>
          </w:p>
        </w:tc>
      </w:tr>
      <w:tr w:rsidR="00C92413" w:rsidRPr="00153A43" w14:paraId="2F8AEADC" w14:textId="42B2F97E" w:rsidTr="00BE61C7">
        <w:trPr>
          <w:trHeight w:val="473"/>
        </w:trPr>
        <w:tc>
          <w:tcPr>
            <w:tcW w:w="2264" w:type="dxa"/>
            <w:shd w:val="clear" w:color="auto" w:fill="auto"/>
            <w:noWrap/>
            <w:hideMark/>
          </w:tcPr>
          <w:p w14:paraId="523A50BF"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nelarabine</w:t>
            </w:r>
          </w:p>
        </w:tc>
        <w:tc>
          <w:tcPr>
            <w:tcW w:w="1418" w:type="dxa"/>
            <w:shd w:val="clear" w:color="auto" w:fill="auto"/>
            <w:noWrap/>
            <w:hideMark/>
          </w:tcPr>
          <w:p w14:paraId="223899A3"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exceptional</w:t>
            </w:r>
          </w:p>
        </w:tc>
        <w:tc>
          <w:tcPr>
            <w:tcW w:w="2861" w:type="dxa"/>
            <w:shd w:val="clear" w:color="auto" w:fill="auto"/>
            <w:hideMark/>
          </w:tcPr>
          <w:p w14:paraId="706ACB6B"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patients with T-cell acute lymphoblastic leukaemia (T- ALL) and T-cell lymphoblastic lymphoma (T-LBL) whose disease has not responded to or has relapsed following treatment with at least two chemotherapy regimens</w:t>
            </w:r>
          </w:p>
        </w:tc>
        <w:tc>
          <w:tcPr>
            <w:tcW w:w="1132" w:type="dxa"/>
          </w:tcPr>
          <w:p w14:paraId="665DC1C0" w14:textId="378319B8"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Exceptional</w:t>
            </w:r>
          </w:p>
        </w:tc>
        <w:tc>
          <w:tcPr>
            <w:tcW w:w="1276" w:type="dxa"/>
            <w:shd w:val="clear" w:color="auto" w:fill="auto"/>
            <w:noWrap/>
            <w:hideMark/>
          </w:tcPr>
          <w:p w14:paraId="4C0AB378" w14:textId="52035EEE"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ID1044 </w:t>
            </w:r>
          </w:p>
        </w:tc>
        <w:tc>
          <w:tcPr>
            <w:tcW w:w="3274" w:type="dxa"/>
            <w:shd w:val="clear" w:color="auto" w:fill="auto"/>
            <w:hideMark/>
          </w:tcPr>
          <w:p w14:paraId="5193D623"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Nelarabine for treating refractory T-cell lymphoblastic non-Hodgkin’s lymphoma</w:t>
            </w:r>
          </w:p>
        </w:tc>
        <w:tc>
          <w:tcPr>
            <w:tcW w:w="1723" w:type="dxa"/>
            <w:shd w:val="clear" w:color="auto" w:fill="auto"/>
          </w:tcPr>
          <w:p w14:paraId="671A2FA4" w14:textId="778D3E9C" w:rsidR="00B559FE" w:rsidRPr="00153A43" w:rsidRDefault="00B559FE" w:rsidP="00646E7F">
            <w:pPr>
              <w:rPr>
                <w:rFonts w:ascii="Times New Roman" w:hAnsi="Times New Roman" w:cs="Times New Roman"/>
                <w:sz w:val="16"/>
                <w:szCs w:val="16"/>
              </w:rPr>
            </w:pPr>
            <w:r>
              <w:rPr>
                <w:rFonts w:ascii="Times New Roman" w:hAnsi="Times New Roman" w:cs="Times New Roman"/>
                <w:sz w:val="16"/>
                <w:szCs w:val="16"/>
              </w:rPr>
              <w:t>Discontinued</w:t>
            </w:r>
          </w:p>
        </w:tc>
      </w:tr>
      <w:tr w:rsidR="00C92413" w:rsidRPr="00153A43" w14:paraId="0972C5F9" w14:textId="72A28163" w:rsidTr="00BE61C7">
        <w:trPr>
          <w:trHeight w:val="495"/>
        </w:trPr>
        <w:tc>
          <w:tcPr>
            <w:tcW w:w="2264" w:type="dxa"/>
            <w:shd w:val="clear" w:color="auto" w:fill="auto"/>
            <w:noWrap/>
            <w:hideMark/>
          </w:tcPr>
          <w:p w14:paraId="7F60D435"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nelarabine</w:t>
            </w:r>
          </w:p>
        </w:tc>
        <w:tc>
          <w:tcPr>
            <w:tcW w:w="1418" w:type="dxa"/>
            <w:shd w:val="clear" w:color="auto" w:fill="auto"/>
            <w:noWrap/>
            <w:hideMark/>
          </w:tcPr>
          <w:p w14:paraId="40B9F0BC"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exceptional</w:t>
            </w:r>
          </w:p>
        </w:tc>
        <w:tc>
          <w:tcPr>
            <w:tcW w:w="2861" w:type="dxa"/>
            <w:shd w:val="clear" w:color="auto" w:fill="auto"/>
            <w:hideMark/>
          </w:tcPr>
          <w:p w14:paraId="38554353"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patients with T-cell acute lymphoblastic leukaemia (T- ALL) and T-cell lymphoblastic lymphoma (T-LBL) whose disease has not responded to or has relapsed following treatment with at least two chemotherapy regimens</w:t>
            </w:r>
          </w:p>
        </w:tc>
        <w:tc>
          <w:tcPr>
            <w:tcW w:w="1132" w:type="dxa"/>
          </w:tcPr>
          <w:p w14:paraId="40A4941C" w14:textId="79402F3A"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Exceptional</w:t>
            </w:r>
          </w:p>
        </w:tc>
        <w:tc>
          <w:tcPr>
            <w:tcW w:w="1276" w:type="dxa"/>
            <w:shd w:val="clear" w:color="auto" w:fill="auto"/>
            <w:noWrap/>
            <w:hideMark/>
          </w:tcPr>
          <w:p w14:paraId="3A0497A0" w14:textId="35DED52B"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ID1034</w:t>
            </w:r>
          </w:p>
        </w:tc>
        <w:tc>
          <w:tcPr>
            <w:tcW w:w="3274" w:type="dxa"/>
            <w:shd w:val="clear" w:color="auto" w:fill="auto"/>
            <w:hideMark/>
          </w:tcPr>
          <w:p w14:paraId="5D39B21C"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Nelarabine for treating acute lymphoblastic leukaemia after two therapies </w:t>
            </w:r>
          </w:p>
        </w:tc>
        <w:tc>
          <w:tcPr>
            <w:tcW w:w="1723" w:type="dxa"/>
            <w:shd w:val="clear" w:color="auto" w:fill="auto"/>
          </w:tcPr>
          <w:p w14:paraId="5F4AB8DC" w14:textId="4668C4F2" w:rsidR="00B559FE"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Discontinued</w:t>
            </w:r>
          </w:p>
        </w:tc>
      </w:tr>
      <w:tr w:rsidR="00C92413" w:rsidRPr="00153A43" w14:paraId="27BC1F71" w14:textId="50A2C08A" w:rsidTr="00BE61C7">
        <w:trPr>
          <w:trHeight w:val="1191"/>
        </w:trPr>
        <w:tc>
          <w:tcPr>
            <w:tcW w:w="2264" w:type="dxa"/>
            <w:noWrap/>
            <w:hideMark/>
          </w:tcPr>
          <w:p w14:paraId="1321A738"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panitumumab</w:t>
            </w:r>
          </w:p>
        </w:tc>
        <w:tc>
          <w:tcPr>
            <w:tcW w:w="1418" w:type="dxa"/>
            <w:noWrap/>
            <w:hideMark/>
          </w:tcPr>
          <w:p w14:paraId="0D18C6F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0A94DCDA"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monotherapy for the treatment of patients with EGFR expressing metastatic colorectal carcinoma with non-mutated (wild-type) KRAS after failure of fluoropyrimidine-, oxaliplatin-, and irinotecan-containing chemotherapy regimens</w:t>
            </w:r>
          </w:p>
        </w:tc>
        <w:tc>
          <w:tcPr>
            <w:tcW w:w="1132" w:type="dxa"/>
          </w:tcPr>
          <w:p w14:paraId="2518A50F" w14:textId="0067B1D2"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 xml:space="preserve">Full </w:t>
            </w:r>
          </w:p>
        </w:tc>
        <w:tc>
          <w:tcPr>
            <w:tcW w:w="1276" w:type="dxa"/>
            <w:noWrap/>
            <w:hideMark/>
          </w:tcPr>
          <w:p w14:paraId="0BE94DBF" w14:textId="04D2C693"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TA242</w:t>
            </w:r>
          </w:p>
        </w:tc>
        <w:tc>
          <w:tcPr>
            <w:tcW w:w="3274" w:type="dxa"/>
            <w:hideMark/>
          </w:tcPr>
          <w:p w14:paraId="105854DB"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Cetuximab, bevacizumab and panitumumab for the treatment of metastatic colorectal cancer after first-line chemotherapy: Cetuximab (monotherapy or combination chemotherapy), bevacizumab (in combination with non-oxaliplatin chemotherapy) and panitumumab (monotherapy) for the treatment of metastatic colorectal cancer after first-line chemotherapy</w:t>
            </w:r>
          </w:p>
        </w:tc>
        <w:tc>
          <w:tcPr>
            <w:tcW w:w="1723" w:type="dxa"/>
          </w:tcPr>
          <w:p w14:paraId="0EC14833" w14:textId="69DD6469" w:rsidR="00B559FE"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Not recommended</w:t>
            </w:r>
          </w:p>
        </w:tc>
      </w:tr>
      <w:tr w:rsidR="00C92413" w:rsidRPr="00153A43" w14:paraId="7370A861" w14:textId="27FB8CBE" w:rsidTr="00BE61C7">
        <w:trPr>
          <w:trHeight w:val="367"/>
        </w:trPr>
        <w:tc>
          <w:tcPr>
            <w:tcW w:w="2264" w:type="dxa"/>
            <w:noWrap/>
            <w:hideMark/>
          </w:tcPr>
          <w:p w14:paraId="770EE945"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trabectedin</w:t>
            </w:r>
          </w:p>
        </w:tc>
        <w:tc>
          <w:tcPr>
            <w:tcW w:w="1418" w:type="dxa"/>
            <w:noWrap/>
            <w:hideMark/>
          </w:tcPr>
          <w:p w14:paraId="1217F740"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exceptional</w:t>
            </w:r>
          </w:p>
        </w:tc>
        <w:tc>
          <w:tcPr>
            <w:tcW w:w="2861" w:type="dxa"/>
            <w:hideMark/>
          </w:tcPr>
          <w:p w14:paraId="3C751D67"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treatment of adult patients with advanced soft tissue sarcoma, after failure of anthracyclines and </w:t>
            </w:r>
            <w:proofErr w:type="spellStart"/>
            <w:r w:rsidRPr="00153A43">
              <w:rPr>
                <w:rFonts w:ascii="Times New Roman" w:hAnsi="Times New Roman" w:cs="Times New Roman"/>
                <w:sz w:val="16"/>
                <w:szCs w:val="16"/>
              </w:rPr>
              <w:t>ifosfamide</w:t>
            </w:r>
            <w:proofErr w:type="spellEnd"/>
            <w:r w:rsidRPr="00153A43">
              <w:rPr>
                <w:rFonts w:ascii="Times New Roman" w:hAnsi="Times New Roman" w:cs="Times New Roman"/>
                <w:sz w:val="16"/>
                <w:szCs w:val="16"/>
              </w:rPr>
              <w:t>, or who are unsuited to receive these agents.</w:t>
            </w:r>
          </w:p>
        </w:tc>
        <w:tc>
          <w:tcPr>
            <w:tcW w:w="1132" w:type="dxa"/>
          </w:tcPr>
          <w:p w14:paraId="17B72A1D" w14:textId="7FD63D59"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Full</w:t>
            </w:r>
          </w:p>
        </w:tc>
        <w:tc>
          <w:tcPr>
            <w:tcW w:w="1276" w:type="dxa"/>
            <w:noWrap/>
            <w:hideMark/>
          </w:tcPr>
          <w:p w14:paraId="73F5D95F" w14:textId="3D80F802"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TA185</w:t>
            </w:r>
          </w:p>
        </w:tc>
        <w:tc>
          <w:tcPr>
            <w:tcW w:w="3274" w:type="dxa"/>
            <w:hideMark/>
          </w:tcPr>
          <w:p w14:paraId="39A1135D"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advanced soft tissue sarcoma</w:t>
            </w:r>
          </w:p>
        </w:tc>
        <w:tc>
          <w:tcPr>
            <w:tcW w:w="1723" w:type="dxa"/>
          </w:tcPr>
          <w:p w14:paraId="7853220C" w14:textId="676118DB" w:rsidR="00B559FE"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Recommended</w:t>
            </w:r>
            <w:r w:rsidR="00FD3C65">
              <w:rPr>
                <w:rFonts w:ascii="Times New Roman" w:hAnsi="Times New Roman" w:cs="Times New Roman"/>
                <w:sz w:val="16"/>
                <w:szCs w:val="16"/>
              </w:rPr>
              <w:t xml:space="preserve"> with </w:t>
            </w:r>
            <w:r w:rsidR="005A68F6">
              <w:rPr>
                <w:rFonts w:ascii="Times New Roman" w:hAnsi="Times New Roman" w:cs="Times New Roman"/>
                <w:sz w:val="16"/>
                <w:szCs w:val="16"/>
              </w:rPr>
              <w:t>patient access scheme</w:t>
            </w:r>
          </w:p>
        </w:tc>
      </w:tr>
      <w:tr w:rsidR="00C92413" w:rsidRPr="00153A43" w14:paraId="618BB6E1" w14:textId="284E1C13" w:rsidTr="00BE61C7">
        <w:trPr>
          <w:trHeight w:val="1125"/>
        </w:trPr>
        <w:tc>
          <w:tcPr>
            <w:tcW w:w="2264" w:type="dxa"/>
            <w:shd w:val="clear" w:color="auto" w:fill="auto"/>
            <w:noWrap/>
            <w:hideMark/>
          </w:tcPr>
          <w:p w14:paraId="43F88A06"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lapatinib</w:t>
            </w:r>
          </w:p>
        </w:tc>
        <w:tc>
          <w:tcPr>
            <w:tcW w:w="1418" w:type="dxa"/>
            <w:shd w:val="clear" w:color="auto" w:fill="auto"/>
            <w:noWrap/>
            <w:hideMark/>
          </w:tcPr>
          <w:p w14:paraId="30D3DA87"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shd w:val="clear" w:color="auto" w:fill="auto"/>
            <w:hideMark/>
          </w:tcPr>
          <w:p w14:paraId="4A73386C"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in combination with capecitabine, is indicated for the treatment of patients with advanced or metastatic breast cancer whose tumours overexpress ErbB2 (HER2). Patients should have progressive disease following prior therapy which must include </w:t>
            </w:r>
            <w:r w:rsidRPr="00153A43">
              <w:rPr>
                <w:rFonts w:ascii="Times New Roman" w:hAnsi="Times New Roman" w:cs="Times New Roman"/>
                <w:sz w:val="16"/>
                <w:szCs w:val="16"/>
              </w:rPr>
              <w:lastRenderedPageBreak/>
              <w:t xml:space="preserve">anthracyclines and </w:t>
            </w:r>
            <w:proofErr w:type="spellStart"/>
            <w:r w:rsidRPr="00153A43">
              <w:rPr>
                <w:rFonts w:ascii="Times New Roman" w:hAnsi="Times New Roman" w:cs="Times New Roman"/>
                <w:sz w:val="16"/>
                <w:szCs w:val="16"/>
              </w:rPr>
              <w:t>taxanes</w:t>
            </w:r>
            <w:proofErr w:type="spellEnd"/>
            <w:r w:rsidRPr="00153A43">
              <w:rPr>
                <w:rFonts w:ascii="Times New Roman" w:hAnsi="Times New Roman" w:cs="Times New Roman"/>
                <w:sz w:val="16"/>
                <w:szCs w:val="16"/>
              </w:rPr>
              <w:t xml:space="preserve"> and therapy with trastuzumab in the metastatic setting</w:t>
            </w:r>
          </w:p>
        </w:tc>
        <w:tc>
          <w:tcPr>
            <w:tcW w:w="1132" w:type="dxa"/>
          </w:tcPr>
          <w:p w14:paraId="27FDCD92" w14:textId="74F47190"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lastRenderedPageBreak/>
              <w:t xml:space="preserve">Full </w:t>
            </w:r>
          </w:p>
        </w:tc>
        <w:tc>
          <w:tcPr>
            <w:tcW w:w="1276" w:type="dxa"/>
            <w:shd w:val="clear" w:color="auto" w:fill="auto"/>
            <w:noWrap/>
            <w:hideMark/>
          </w:tcPr>
          <w:p w14:paraId="414856BC" w14:textId="68D755A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ID20</w:t>
            </w:r>
          </w:p>
        </w:tc>
        <w:tc>
          <w:tcPr>
            <w:tcW w:w="3274" w:type="dxa"/>
            <w:shd w:val="clear" w:color="auto" w:fill="auto"/>
            <w:hideMark/>
          </w:tcPr>
          <w:p w14:paraId="0F34396D"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Lapatinib for breast cancer (for use in women with previously treated advanced or metastatic breast cancer) </w:t>
            </w:r>
          </w:p>
        </w:tc>
        <w:tc>
          <w:tcPr>
            <w:tcW w:w="1723" w:type="dxa"/>
            <w:shd w:val="clear" w:color="auto" w:fill="auto"/>
          </w:tcPr>
          <w:p w14:paraId="5797C62A" w14:textId="56169DF1" w:rsidR="00B559FE" w:rsidRPr="00153A43" w:rsidRDefault="00B559FE" w:rsidP="00646E7F">
            <w:pPr>
              <w:rPr>
                <w:rFonts w:ascii="Times New Roman" w:hAnsi="Times New Roman" w:cs="Times New Roman"/>
                <w:sz w:val="16"/>
                <w:szCs w:val="16"/>
              </w:rPr>
            </w:pPr>
            <w:r>
              <w:rPr>
                <w:rFonts w:ascii="Times New Roman" w:hAnsi="Times New Roman" w:cs="Times New Roman"/>
                <w:sz w:val="16"/>
                <w:szCs w:val="16"/>
              </w:rPr>
              <w:t>Suspended</w:t>
            </w:r>
          </w:p>
        </w:tc>
      </w:tr>
      <w:tr w:rsidR="00C92413" w:rsidRPr="00153A43" w14:paraId="78FEF945" w14:textId="749A1B1C" w:rsidTr="00BE61C7">
        <w:trPr>
          <w:trHeight w:val="3251"/>
        </w:trPr>
        <w:tc>
          <w:tcPr>
            <w:tcW w:w="2264" w:type="dxa"/>
            <w:shd w:val="clear" w:color="auto" w:fill="auto"/>
            <w:noWrap/>
            <w:hideMark/>
          </w:tcPr>
          <w:p w14:paraId="47F3BCFD"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canakinumab</w:t>
            </w:r>
          </w:p>
        </w:tc>
        <w:tc>
          <w:tcPr>
            <w:tcW w:w="1418" w:type="dxa"/>
            <w:shd w:val="clear" w:color="auto" w:fill="auto"/>
            <w:noWrap/>
            <w:hideMark/>
          </w:tcPr>
          <w:p w14:paraId="6CA61B49"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exceptional</w:t>
            </w:r>
          </w:p>
        </w:tc>
        <w:tc>
          <w:tcPr>
            <w:tcW w:w="2861" w:type="dxa"/>
            <w:shd w:val="clear" w:color="auto" w:fill="auto"/>
            <w:hideMark/>
          </w:tcPr>
          <w:p w14:paraId="3B71B68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Cryopyrin-Associated Periodic Syndromes (CAPS) in adults, adolescents and children aged 4 years and older with body weight above 15 kg, including:</w:t>
            </w:r>
            <w:r w:rsidRPr="00153A43">
              <w:rPr>
                <w:rFonts w:ascii="Times New Roman" w:hAnsi="Times New Roman" w:cs="Times New Roman"/>
                <w:sz w:val="16"/>
                <w:szCs w:val="16"/>
              </w:rPr>
              <w:br/>
              <w:t>− Muckle-Wells Syndrome (MWS),</w:t>
            </w:r>
            <w:r w:rsidRPr="00153A43">
              <w:rPr>
                <w:rFonts w:ascii="Times New Roman" w:hAnsi="Times New Roman" w:cs="Times New Roman"/>
                <w:sz w:val="16"/>
                <w:szCs w:val="16"/>
              </w:rPr>
              <w:br/>
              <w:t>- Neonatal-Onset Multisystem Inflammatory Disease (NOMID) / Chronic Infantile Neurological, Cutaneous, Articular Syndrome (CINCA),</w:t>
            </w:r>
            <w:r w:rsidRPr="00153A43">
              <w:rPr>
                <w:rFonts w:ascii="Times New Roman" w:hAnsi="Times New Roman" w:cs="Times New Roman"/>
                <w:sz w:val="16"/>
                <w:szCs w:val="16"/>
              </w:rPr>
              <w:br/>
              <w:t>−Severe forms of Familial Cold Autoinflammatory Syndrome (FCAS) / Familial Cold Urticaria (FCU) presenting with signs and symptoms beyond cold-induced urticarial skin rash</w:t>
            </w:r>
            <w:r w:rsidRPr="00153A43">
              <w:rPr>
                <w:rFonts w:ascii="Times New Roman" w:hAnsi="Times New Roman" w:cs="Times New Roman"/>
                <w:sz w:val="16"/>
                <w:szCs w:val="16"/>
              </w:rPr>
              <w:br/>
              <w:t>• Symptomatic treatment of adults patients with frequent gouty arthritis attacks (at least 3 attacks in the previous 12 months) in whom non-steroidal anti-inflammatory drugs (NSAIDs) and colchicine are contraindicated, are not tolerated, or do not provide an adequate response, and in whom repeated courses of corticosteroids are not appropriate</w:t>
            </w:r>
            <w:r w:rsidRPr="00153A43">
              <w:rPr>
                <w:rFonts w:ascii="Times New Roman" w:hAnsi="Times New Roman" w:cs="Times New Roman"/>
                <w:sz w:val="16"/>
                <w:szCs w:val="16"/>
              </w:rPr>
              <w:br/>
              <w:t xml:space="preserve">• Treatment of active Systemic Juvenile Idiopathic Arthritis (SJIA) in patients aged 2 years and older who have responded inadequately to previous therapy with non-steroidal anti-inflammatory drugs (NSAIDs) and systemic corticosteroids. </w:t>
            </w:r>
            <w:proofErr w:type="spellStart"/>
            <w:r w:rsidRPr="00153A43">
              <w:rPr>
                <w:rFonts w:ascii="Times New Roman" w:hAnsi="Times New Roman" w:cs="Times New Roman"/>
                <w:sz w:val="16"/>
                <w:szCs w:val="16"/>
              </w:rPr>
              <w:t>Ilaris</w:t>
            </w:r>
            <w:proofErr w:type="spellEnd"/>
            <w:r w:rsidRPr="00153A43">
              <w:rPr>
                <w:rFonts w:ascii="Times New Roman" w:hAnsi="Times New Roman" w:cs="Times New Roman"/>
                <w:sz w:val="16"/>
                <w:szCs w:val="16"/>
              </w:rPr>
              <w:t xml:space="preserve"> can be given as monotherapy or in combination with methotrexate</w:t>
            </w:r>
          </w:p>
        </w:tc>
        <w:tc>
          <w:tcPr>
            <w:tcW w:w="1132" w:type="dxa"/>
          </w:tcPr>
          <w:p w14:paraId="58350E57" w14:textId="0ED36835"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Full</w:t>
            </w:r>
          </w:p>
        </w:tc>
        <w:tc>
          <w:tcPr>
            <w:tcW w:w="1276" w:type="dxa"/>
            <w:shd w:val="clear" w:color="auto" w:fill="auto"/>
            <w:noWrap/>
            <w:hideMark/>
          </w:tcPr>
          <w:p w14:paraId="14735DCA" w14:textId="4EC43514"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TA281  </w:t>
            </w:r>
          </w:p>
        </w:tc>
        <w:tc>
          <w:tcPr>
            <w:tcW w:w="3274" w:type="dxa"/>
            <w:shd w:val="clear" w:color="auto" w:fill="auto"/>
            <w:hideMark/>
          </w:tcPr>
          <w:p w14:paraId="28E1C994"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Canakinumab for treating gouty arthritis attacks and reducing the frequency of subsequent attacks</w:t>
            </w:r>
          </w:p>
        </w:tc>
        <w:tc>
          <w:tcPr>
            <w:tcW w:w="1723" w:type="dxa"/>
            <w:shd w:val="clear" w:color="auto" w:fill="auto"/>
          </w:tcPr>
          <w:p w14:paraId="570F09EA" w14:textId="2C5F57D5" w:rsidR="00B559FE" w:rsidRPr="00153A43" w:rsidRDefault="00B559FE" w:rsidP="00646E7F">
            <w:pPr>
              <w:rPr>
                <w:rFonts w:ascii="Times New Roman" w:hAnsi="Times New Roman" w:cs="Times New Roman"/>
                <w:sz w:val="16"/>
                <w:szCs w:val="16"/>
              </w:rPr>
            </w:pPr>
            <w:r>
              <w:rPr>
                <w:rFonts w:ascii="Times New Roman" w:hAnsi="Times New Roman" w:cs="Times New Roman"/>
                <w:sz w:val="16"/>
                <w:szCs w:val="16"/>
              </w:rPr>
              <w:t>Terminated</w:t>
            </w:r>
          </w:p>
        </w:tc>
      </w:tr>
      <w:tr w:rsidR="00C92413" w:rsidRPr="00153A43" w14:paraId="19235F51" w14:textId="76FC42E0" w:rsidTr="00BE61C7">
        <w:trPr>
          <w:trHeight w:val="3251"/>
        </w:trPr>
        <w:tc>
          <w:tcPr>
            <w:tcW w:w="2264" w:type="dxa"/>
            <w:shd w:val="clear" w:color="auto" w:fill="auto"/>
            <w:noWrap/>
            <w:hideMark/>
          </w:tcPr>
          <w:p w14:paraId="68ADC958"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lastRenderedPageBreak/>
              <w:t>canakinumab</w:t>
            </w:r>
          </w:p>
        </w:tc>
        <w:tc>
          <w:tcPr>
            <w:tcW w:w="1418" w:type="dxa"/>
            <w:shd w:val="clear" w:color="auto" w:fill="auto"/>
            <w:noWrap/>
            <w:hideMark/>
          </w:tcPr>
          <w:p w14:paraId="6E1229C8"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exceptional</w:t>
            </w:r>
          </w:p>
        </w:tc>
        <w:tc>
          <w:tcPr>
            <w:tcW w:w="2861" w:type="dxa"/>
            <w:shd w:val="clear" w:color="auto" w:fill="auto"/>
            <w:hideMark/>
          </w:tcPr>
          <w:p w14:paraId="49D9BE50"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Cryopyrin-Associated Periodic Syndromes (CAPS) in adults, adolescents and children aged 4 years and older with body weight above 15 kg, including:</w:t>
            </w:r>
            <w:r w:rsidRPr="00153A43">
              <w:rPr>
                <w:rFonts w:ascii="Times New Roman" w:hAnsi="Times New Roman" w:cs="Times New Roman"/>
                <w:sz w:val="16"/>
                <w:szCs w:val="16"/>
              </w:rPr>
              <w:br/>
              <w:t>− Muckle-Wells Syndrome (MWS),</w:t>
            </w:r>
            <w:r w:rsidRPr="00153A43">
              <w:rPr>
                <w:rFonts w:ascii="Times New Roman" w:hAnsi="Times New Roman" w:cs="Times New Roman"/>
                <w:sz w:val="16"/>
                <w:szCs w:val="16"/>
              </w:rPr>
              <w:br/>
              <w:t>- Neonatal-Onset Multisystem Inflammatory Disease (NOMID) / Chronic Infantile Neurological, Cutaneous, Articular Syndrome (CINCA),</w:t>
            </w:r>
            <w:r w:rsidRPr="00153A43">
              <w:rPr>
                <w:rFonts w:ascii="Times New Roman" w:hAnsi="Times New Roman" w:cs="Times New Roman"/>
                <w:sz w:val="16"/>
                <w:szCs w:val="16"/>
              </w:rPr>
              <w:br/>
              <w:t>−Severe forms of Familial Cold Autoinflammatory Syndrome (FCAS) / Familial Cold Urticaria (FCU) presenting with signs and symptoms beyond cold-induced urticarial skin rash</w:t>
            </w:r>
            <w:r w:rsidRPr="00153A43">
              <w:rPr>
                <w:rFonts w:ascii="Times New Roman" w:hAnsi="Times New Roman" w:cs="Times New Roman"/>
                <w:sz w:val="16"/>
                <w:szCs w:val="16"/>
              </w:rPr>
              <w:br/>
              <w:t>• Symptomatic treatment of adults patients with frequent gouty arthritis attacks (at least 3 attacks in the previous 12 months) in whom non-steroidal anti-inflammatory drugs (NSAIDs) and colchicine are contraindicated, are not tolerated, or do not provide an adequate response, and in whom repeated courses of corticosteroids are not appropriate</w:t>
            </w:r>
            <w:r w:rsidRPr="00153A43">
              <w:rPr>
                <w:rFonts w:ascii="Times New Roman" w:hAnsi="Times New Roman" w:cs="Times New Roman"/>
                <w:sz w:val="16"/>
                <w:szCs w:val="16"/>
              </w:rPr>
              <w:br/>
              <w:t xml:space="preserve">• Treatment of active Systemic Juvenile Idiopathic Arthritis (SJIA) in patients aged 2 years and older who have responded inadequately to previous therapy with non-steroidal anti-inflammatory drugs (NSAIDs) and systemic corticosteroids. </w:t>
            </w:r>
            <w:proofErr w:type="spellStart"/>
            <w:r w:rsidRPr="00153A43">
              <w:rPr>
                <w:rFonts w:ascii="Times New Roman" w:hAnsi="Times New Roman" w:cs="Times New Roman"/>
                <w:sz w:val="16"/>
                <w:szCs w:val="16"/>
              </w:rPr>
              <w:t>Ilaris</w:t>
            </w:r>
            <w:proofErr w:type="spellEnd"/>
            <w:r w:rsidRPr="00153A43">
              <w:rPr>
                <w:rFonts w:ascii="Times New Roman" w:hAnsi="Times New Roman" w:cs="Times New Roman"/>
                <w:sz w:val="16"/>
                <w:szCs w:val="16"/>
              </w:rPr>
              <w:t xml:space="preserve"> can be given as monotherapy or in combination with methotrexate</w:t>
            </w:r>
          </w:p>
        </w:tc>
        <w:tc>
          <w:tcPr>
            <w:tcW w:w="1132" w:type="dxa"/>
          </w:tcPr>
          <w:p w14:paraId="2BC20A3E" w14:textId="2D4AB33C"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Full</w:t>
            </w:r>
          </w:p>
        </w:tc>
        <w:tc>
          <w:tcPr>
            <w:tcW w:w="1276" w:type="dxa"/>
            <w:shd w:val="clear" w:color="auto" w:fill="auto"/>
            <w:noWrap/>
            <w:hideMark/>
          </w:tcPr>
          <w:p w14:paraId="4166E931" w14:textId="067403CA"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TA302</w:t>
            </w:r>
          </w:p>
        </w:tc>
        <w:tc>
          <w:tcPr>
            <w:tcW w:w="3274" w:type="dxa"/>
            <w:shd w:val="clear" w:color="auto" w:fill="auto"/>
            <w:hideMark/>
          </w:tcPr>
          <w:p w14:paraId="240CC66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Canakinumab for treating systemic juvenile idiopathic arthritis </w:t>
            </w:r>
          </w:p>
        </w:tc>
        <w:tc>
          <w:tcPr>
            <w:tcW w:w="1723" w:type="dxa"/>
            <w:shd w:val="clear" w:color="auto" w:fill="auto"/>
          </w:tcPr>
          <w:p w14:paraId="469E88A8" w14:textId="60B93FB3" w:rsidR="00B559FE" w:rsidRPr="00153A43" w:rsidRDefault="00B559FE" w:rsidP="00646E7F">
            <w:pPr>
              <w:rPr>
                <w:rFonts w:ascii="Times New Roman" w:hAnsi="Times New Roman" w:cs="Times New Roman"/>
                <w:sz w:val="16"/>
                <w:szCs w:val="16"/>
              </w:rPr>
            </w:pPr>
            <w:r>
              <w:rPr>
                <w:rFonts w:ascii="Times New Roman" w:hAnsi="Times New Roman" w:cs="Times New Roman"/>
                <w:sz w:val="16"/>
                <w:szCs w:val="16"/>
              </w:rPr>
              <w:t>Terminated</w:t>
            </w:r>
          </w:p>
        </w:tc>
      </w:tr>
      <w:tr w:rsidR="00C92413" w:rsidRPr="00153A43" w14:paraId="3E3D20C0" w14:textId="4AED637B" w:rsidTr="00BE61C7">
        <w:trPr>
          <w:trHeight w:val="550"/>
        </w:trPr>
        <w:tc>
          <w:tcPr>
            <w:tcW w:w="2264" w:type="dxa"/>
            <w:noWrap/>
            <w:hideMark/>
          </w:tcPr>
          <w:p w14:paraId="7D0C655D"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ofatumumab</w:t>
            </w:r>
          </w:p>
        </w:tc>
        <w:tc>
          <w:tcPr>
            <w:tcW w:w="1418" w:type="dxa"/>
            <w:noWrap/>
            <w:hideMark/>
          </w:tcPr>
          <w:p w14:paraId="5F9990CD"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2154F798"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treatment of chronic lymphocytic leukaemia (CLL) in </w:t>
            </w:r>
            <w:proofErr w:type="gramStart"/>
            <w:r w:rsidRPr="00153A43">
              <w:rPr>
                <w:rFonts w:ascii="Times New Roman" w:hAnsi="Times New Roman" w:cs="Times New Roman"/>
                <w:sz w:val="16"/>
                <w:szCs w:val="16"/>
              </w:rPr>
              <w:t>patients</w:t>
            </w:r>
            <w:proofErr w:type="gramEnd"/>
            <w:r w:rsidRPr="00153A43">
              <w:rPr>
                <w:rFonts w:ascii="Times New Roman" w:hAnsi="Times New Roman" w:cs="Times New Roman"/>
                <w:sz w:val="16"/>
                <w:szCs w:val="16"/>
              </w:rPr>
              <w:t xml:space="preserve"> refractory to fludarabine and alemtuzumab</w:t>
            </w:r>
          </w:p>
        </w:tc>
        <w:tc>
          <w:tcPr>
            <w:tcW w:w="1132" w:type="dxa"/>
          </w:tcPr>
          <w:p w14:paraId="496B66CF" w14:textId="176E539C"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Withdrawn</w:t>
            </w:r>
          </w:p>
        </w:tc>
        <w:tc>
          <w:tcPr>
            <w:tcW w:w="1276" w:type="dxa"/>
            <w:noWrap/>
            <w:hideMark/>
          </w:tcPr>
          <w:p w14:paraId="53AB4401" w14:textId="4E0FA64B"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TA202</w:t>
            </w:r>
          </w:p>
        </w:tc>
        <w:tc>
          <w:tcPr>
            <w:tcW w:w="3274" w:type="dxa"/>
            <w:shd w:val="clear" w:color="auto" w:fill="auto"/>
            <w:hideMark/>
          </w:tcPr>
          <w:p w14:paraId="6C5CC6A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Ofatumumab for the treatment of chronic lymphocytic leukaemia refractory to fludarabine and alemtuzumab</w:t>
            </w:r>
          </w:p>
        </w:tc>
        <w:tc>
          <w:tcPr>
            <w:tcW w:w="1723" w:type="dxa"/>
            <w:shd w:val="clear" w:color="auto" w:fill="auto"/>
          </w:tcPr>
          <w:p w14:paraId="100E4658" w14:textId="7BDDA02F" w:rsidR="00B559FE"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Withdrawn</w:t>
            </w:r>
          </w:p>
        </w:tc>
      </w:tr>
      <w:tr w:rsidR="00C92413" w:rsidRPr="00153A43" w14:paraId="6BA9A50D" w14:textId="0EAD5D96" w:rsidTr="00BE61C7">
        <w:trPr>
          <w:trHeight w:val="600"/>
        </w:trPr>
        <w:tc>
          <w:tcPr>
            <w:tcW w:w="2264" w:type="dxa"/>
            <w:noWrap/>
            <w:hideMark/>
          </w:tcPr>
          <w:p w14:paraId="4A1E2ECE"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pazopanib</w:t>
            </w:r>
          </w:p>
        </w:tc>
        <w:tc>
          <w:tcPr>
            <w:tcW w:w="1418" w:type="dxa"/>
            <w:noWrap/>
            <w:hideMark/>
          </w:tcPr>
          <w:p w14:paraId="02F67280"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43934DED"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first line treatment of advanced Renal Cell Carcinoma (RCC) and for patients who have received prior cytokine therapy for advanced disease</w:t>
            </w:r>
          </w:p>
        </w:tc>
        <w:tc>
          <w:tcPr>
            <w:tcW w:w="1132" w:type="dxa"/>
          </w:tcPr>
          <w:p w14:paraId="0685ACA3" w14:textId="574B9AF0"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Full</w:t>
            </w:r>
          </w:p>
        </w:tc>
        <w:tc>
          <w:tcPr>
            <w:tcW w:w="1276" w:type="dxa"/>
            <w:noWrap/>
            <w:hideMark/>
          </w:tcPr>
          <w:p w14:paraId="05214423" w14:textId="3853EBB1"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TA215</w:t>
            </w:r>
          </w:p>
        </w:tc>
        <w:tc>
          <w:tcPr>
            <w:tcW w:w="3274" w:type="dxa"/>
            <w:shd w:val="clear" w:color="auto" w:fill="auto"/>
            <w:hideMark/>
          </w:tcPr>
          <w:p w14:paraId="683F9E5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Pazopanib for the first-line treatment of advanced renal cell carcinoma</w:t>
            </w:r>
          </w:p>
        </w:tc>
        <w:tc>
          <w:tcPr>
            <w:tcW w:w="1723" w:type="dxa"/>
            <w:shd w:val="clear" w:color="auto" w:fill="auto"/>
          </w:tcPr>
          <w:p w14:paraId="2BEBFF23" w14:textId="09E58E39" w:rsidR="00B559FE"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Recommended</w:t>
            </w:r>
            <w:r w:rsidR="00FD3C65">
              <w:rPr>
                <w:rFonts w:ascii="Times New Roman" w:hAnsi="Times New Roman" w:cs="Times New Roman"/>
                <w:sz w:val="16"/>
                <w:szCs w:val="16"/>
              </w:rPr>
              <w:t xml:space="preserve"> with </w:t>
            </w:r>
            <w:r w:rsidR="005A68F6">
              <w:rPr>
                <w:rFonts w:ascii="Times New Roman" w:hAnsi="Times New Roman" w:cs="Times New Roman"/>
                <w:sz w:val="16"/>
                <w:szCs w:val="16"/>
              </w:rPr>
              <w:t>patient access scheme</w:t>
            </w:r>
          </w:p>
        </w:tc>
      </w:tr>
      <w:tr w:rsidR="00C92413" w:rsidRPr="00153A43" w14:paraId="33840180" w14:textId="17A7ABAC" w:rsidTr="00BE61C7">
        <w:trPr>
          <w:trHeight w:val="900"/>
        </w:trPr>
        <w:tc>
          <w:tcPr>
            <w:tcW w:w="2264" w:type="dxa"/>
            <w:noWrap/>
            <w:hideMark/>
          </w:tcPr>
          <w:p w14:paraId="662DC7D3"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vandetanib</w:t>
            </w:r>
            <w:proofErr w:type="spellEnd"/>
          </w:p>
        </w:tc>
        <w:tc>
          <w:tcPr>
            <w:tcW w:w="1418" w:type="dxa"/>
            <w:noWrap/>
            <w:hideMark/>
          </w:tcPr>
          <w:p w14:paraId="0557DD45"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16D05DF6"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aggressive and symptomatic medullary thyroid cancer (MTC) in patients with unresectable locally advanced or metastatic disease.</w:t>
            </w:r>
          </w:p>
        </w:tc>
        <w:tc>
          <w:tcPr>
            <w:tcW w:w="1132" w:type="dxa"/>
          </w:tcPr>
          <w:p w14:paraId="1CE10926" w14:textId="1364648C"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 xml:space="preserve">Conditional </w:t>
            </w:r>
          </w:p>
        </w:tc>
        <w:tc>
          <w:tcPr>
            <w:tcW w:w="1276" w:type="dxa"/>
            <w:noWrap/>
            <w:hideMark/>
          </w:tcPr>
          <w:p w14:paraId="52B15B31" w14:textId="75D996AB" w:rsidR="00B559FE"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TA550</w:t>
            </w:r>
          </w:p>
        </w:tc>
        <w:tc>
          <w:tcPr>
            <w:tcW w:w="3274" w:type="dxa"/>
            <w:shd w:val="clear" w:color="auto" w:fill="auto"/>
            <w:hideMark/>
          </w:tcPr>
          <w:p w14:paraId="790442CF"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Cabozantinib</w:t>
            </w:r>
            <w:proofErr w:type="spellEnd"/>
            <w:r w:rsidRPr="00153A43">
              <w:rPr>
                <w:rFonts w:ascii="Times New Roman" w:hAnsi="Times New Roman" w:cs="Times New Roman"/>
                <w:sz w:val="16"/>
                <w:szCs w:val="16"/>
              </w:rPr>
              <w:t xml:space="preserve"> and </w:t>
            </w:r>
            <w:proofErr w:type="spellStart"/>
            <w:r w:rsidRPr="00153A43">
              <w:rPr>
                <w:rFonts w:ascii="Times New Roman" w:hAnsi="Times New Roman" w:cs="Times New Roman"/>
                <w:sz w:val="16"/>
                <w:szCs w:val="16"/>
              </w:rPr>
              <w:t>vandetanib</w:t>
            </w:r>
            <w:proofErr w:type="spellEnd"/>
            <w:r w:rsidRPr="00153A43">
              <w:rPr>
                <w:rFonts w:ascii="Times New Roman" w:hAnsi="Times New Roman" w:cs="Times New Roman"/>
                <w:sz w:val="16"/>
                <w:szCs w:val="16"/>
              </w:rPr>
              <w:t xml:space="preserve"> for treating unresectable locally advanced or metastatic medullary thyroid cancer </w:t>
            </w:r>
          </w:p>
        </w:tc>
        <w:tc>
          <w:tcPr>
            <w:tcW w:w="1723" w:type="dxa"/>
            <w:shd w:val="clear" w:color="auto" w:fill="auto"/>
          </w:tcPr>
          <w:p w14:paraId="1671A3AD" w14:textId="55065769" w:rsidR="00B559FE"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Not recommended</w:t>
            </w:r>
          </w:p>
        </w:tc>
      </w:tr>
      <w:tr w:rsidR="00C92413" w:rsidRPr="00153A43" w14:paraId="7668F088" w14:textId="20A0F48C" w:rsidTr="00BE61C7">
        <w:trPr>
          <w:trHeight w:val="699"/>
        </w:trPr>
        <w:tc>
          <w:tcPr>
            <w:tcW w:w="2264" w:type="dxa"/>
            <w:noWrap/>
            <w:hideMark/>
          </w:tcPr>
          <w:p w14:paraId="6A3A608B"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lastRenderedPageBreak/>
              <w:t xml:space="preserve">pixantrone </w:t>
            </w:r>
            <w:proofErr w:type="spellStart"/>
            <w:r w:rsidRPr="00153A43">
              <w:rPr>
                <w:rFonts w:ascii="Times New Roman" w:hAnsi="Times New Roman" w:cs="Times New Roman"/>
                <w:sz w:val="16"/>
                <w:szCs w:val="16"/>
              </w:rPr>
              <w:t>dimaleate</w:t>
            </w:r>
            <w:proofErr w:type="spellEnd"/>
          </w:p>
        </w:tc>
        <w:tc>
          <w:tcPr>
            <w:tcW w:w="1418" w:type="dxa"/>
            <w:noWrap/>
            <w:hideMark/>
          </w:tcPr>
          <w:p w14:paraId="5C96948E"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17CDE02F"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monotherapy for the treatment of adult patients with multiply relapsed or refractory aggressive </w:t>
            </w:r>
            <w:proofErr w:type="gramStart"/>
            <w:r w:rsidRPr="00153A43">
              <w:rPr>
                <w:rFonts w:ascii="Times New Roman" w:hAnsi="Times New Roman" w:cs="Times New Roman"/>
                <w:sz w:val="16"/>
                <w:szCs w:val="16"/>
              </w:rPr>
              <w:t>Non Hodgkin</w:t>
            </w:r>
            <w:proofErr w:type="gramEnd"/>
            <w:r w:rsidRPr="00153A43">
              <w:rPr>
                <w:rFonts w:ascii="Times New Roman" w:hAnsi="Times New Roman" w:cs="Times New Roman"/>
                <w:sz w:val="16"/>
                <w:szCs w:val="16"/>
              </w:rPr>
              <w:t xml:space="preserve"> B cell Lymphomas (NHL). </w:t>
            </w:r>
          </w:p>
        </w:tc>
        <w:tc>
          <w:tcPr>
            <w:tcW w:w="1132" w:type="dxa"/>
          </w:tcPr>
          <w:p w14:paraId="34BD0AF3" w14:textId="0A4E4ACD"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 xml:space="preserve">Conditional </w:t>
            </w:r>
          </w:p>
        </w:tc>
        <w:tc>
          <w:tcPr>
            <w:tcW w:w="1276" w:type="dxa"/>
            <w:noWrap/>
            <w:hideMark/>
          </w:tcPr>
          <w:p w14:paraId="501E2152" w14:textId="0028B539"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TA306</w:t>
            </w:r>
          </w:p>
        </w:tc>
        <w:tc>
          <w:tcPr>
            <w:tcW w:w="3274" w:type="dxa"/>
            <w:shd w:val="clear" w:color="auto" w:fill="auto"/>
            <w:hideMark/>
          </w:tcPr>
          <w:p w14:paraId="2EF1341C"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Pixantrone monotherapy for treating multiply relapsed or refractory aggressive non-Hodgkin's B</w:t>
            </w:r>
            <w:r w:rsidRPr="00153A43">
              <w:rPr>
                <w:rFonts w:ascii="Times New Roman" w:hAnsi="Times New Roman" w:cs="Times New Roman"/>
                <w:sz w:val="16"/>
                <w:szCs w:val="16"/>
              </w:rPr>
              <w:noBreakHyphen/>
              <w:t>cell lymphoma</w:t>
            </w:r>
          </w:p>
        </w:tc>
        <w:tc>
          <w:tcPr>
            <w:tcW w:w="1723" w:type="dxa"/>
            <w:shd w:val="clear" w:color="auto" w:fill="auto"/>
          </w:tcPr>
          <w:p w14:paraId="59D26A63" w14:textId="49936670" w:rsidR="00B559FE"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Recommended</w:t>
            </w:r>
            <w:r w:rsidR="00FD3C65">
              <w:rPr>
                <w:rFonts w:ascii="Times New Roman" w:hAnsi="Times New Roman" w:cs="Times New Roman"/>
                <w:sz w:val="16"/>
                <w:szCs w:val="16"/>
              </w:rPr>
              <w:t xml:space="preserve"> with </w:t>
            </w:r>
            <w:r w:rsidR="005A68F6">
              <w:rPr>
                <w:rFonts w:ascii="Times New Roman" w:hAnsi="Times New Roman" w:cs="Times New Roman"/>
                <w:sz w:val="16"/>
                <w:szCs w:val="16"/>
              </w:rPr>
              <w:t>patient access scheme</w:t>
            </w:r>
          </w:p>
        </w:tc>
      </w:tr>
      <w:tr w:rsidR="00C92413" w:rsidRPr="00153A43" w14:paraId="78D60123" w14:textId="78483566" w:rsidTr="00BE61C7">
        <w:trPr>
          <w:trHeight w:val="681"/>
        </w:trPr>
        <w:tc>
          <w:tcPr>
            <w:tcW w:w="2264" w:type="dxa"/>
            <w:noWrap/>
            <w:hideMark/>
          </w:tcPr>
          <w:p w14:paraId="32E093DC"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crizotinib</w:t>
            </w:r>
          </w:p>
        </w:tc>
        <w:tc>
          <w:tcPr>
            <w:tcW w:w="1418" w:type="dxa"/>
            <w:noWrap/>
            <w:hideMark/>
          </w:tcPr>
          <w:p w14:paraId="6C951B89"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2F4E54F3"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adults with previously treated anaplastic lymphoma kinase (ALK)-positive advanced non-small cell lung cancer (NSCLC).</w:t>
            </w:r>
          </w:p>
        </w:tc>
        <w:tc>
          <w:tcPr>
            <w:tcW w:w="1132" w:type="dxa"/>
          </w:tcPr>
          <w:p w14:paraId="36DE9AFF" w14:textId="4178403E"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Full</w:t>
            </w:r>
          </w:p>
        </w:tc>
        <w:tc>
          <w:tcPr>
            <w:tcW w:w="1276" w:type="dxa"/>
            <w:noWrap/>
            <w:hideMark/>
          </w:tcPr>
          <w:p w14:paraId="6B1DC39E" w14:textId="28D38EA0"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TA296 </w:t>
            </w:r>
            <w:r w:rsidR="00BE61C7">
              <w:rPr>
                <w:rFonts w:ascii="Times New Roman" w:hAnsi="Times New Roman" w:cs="Times New Roman"/>
                <w:sz w:val="16"/>
                <w:szCs w:val="16"/>
              </w:rPr>
              <w:t>&amp; TA422</w:t>
            </w:r>
            <w:r w:rsidRPr="00153A43">
              <w:rPr>
                <w:rFonts w:ascii="Times New Roman" w:hAnsi="Times New Roman" w:cs="Times New Roman"/>
                <w:sz w:val="16"/>
                <w:szCs w:val="16"/>
              </w:rPr>
              <w:t xml:space="preserve"> </w:t>
            </w:r>
          </w:p>
        </w:tc>
        <w:tc>
          <w:tcPr>
            <w:tcW w:w="3274" w:type="dxa"/>
            <w:shd w:val="clear" w:color="auto" w:fill="auto"/>
            <w:hideMark/>
          </w:tcPr>
          <w:p w14:paraId="6FE68054"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Crizotinib for previously treated non-small-cell lung cancer associated with an anaplastic lymphoma kinase fusion gene</w:t>
            </w:r>
          </w:p>
        </w:tc>
        <w:tc>
          <w:tcPr>
            <w:tcW w:w="1723" w:type="dxa"/>
            <w:shd w:val="clear" w:color="auto" w:fill="auto"/>
          </w:tcPr>
          <w:p w14:paraId="34010FAB" w14:textId="77777777" w:rsidR="00B559FE" w:rsidRDefault="00BE61C7" w:rsidP="00646E7F">
            <w:pPr>
              <w:rPr>
                <w:rFonts w:ascii="Times New Roman" w:hAnsi="Times New Roman" w:cs="Times New Roman"/>
                <w:sz w:val="16"/>
                <w:szCs w:val="16"/>
              </w:rPr>
            </w:pPr>
            <w:r>
              <w:rPr>
                <w:rFonts w:ascii="Times New Roman" w:hAnsi="Times New Roman" w:cs="Times New Roman"/>
                <w:sz w:val="16"/>
                <w:szCs w:val="16"/>
              </w:rPr>
              <w:t>Not recommended (TA296)</w:t>
            </w:r>
          </w:p>
          <w:p w14:paraId="0535774E" w14:textId="0A564F9A" w:rsidR="00BE61C7"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 xml:space="preserve">Recommended </w:t>
            </w:r>
            <w:r w:rsidR="00FD3C65">
              <w:rPr>
                <w:rFonts w:ascii="Times New Roman" w:hAnsi="Times New Roman" w:cs="Times New Roman"/>
                <w:sz w:val="16"/>
                <w:szCs w:val="16"/>
              </w:rPr>
              <w:t xml:space="preserve">with </w:t>
            </w:r>
            <w:r w:rsidR="005A68F6">
              <w:rPr>
                <w:rFonts w:ascii="Times New Roman" w:hAnsi="Times New Roman" w:cs="Times New Roman"/>
                <w:sz w:val="16"/>
                <w:szCs w:val="16"/>
              </w:rPr>
              <w:t>patient access scheme</w:t>
            </w:r>
            <w:r w:rsidR="00FD3C65">
              <w:rPr>
                <w:rFonts w:ascii="Times New Roman" w:hAnsi="Times New Roman" w:cs="Times New Roman"/>
                <w:sz w:val="16"/>
                <w:szCs w:val="16"/>
              </w:rPr>
              <w:t xml:space="preserve"> </w:t>
            </w:r>
            <w:r>
              <w:rPr>
                <w:rFonts w:ascii="Times New Roman" w:hAnsi="Times New Roman" w:cs="Times New Roman"/>
                <w:sz w:val="16"/>
                <w:szCs w:val="16"/>
              </w:rPr>
              <w:t>(TA422)</w:t>
            </w:r>
          </w:p>
        </w:tc>
      </w:tr>
      <w:tr w:rsidR="00C92413" w:rsidRPr="00153A43" w14:paraId="58E4A57F" w14:textId="6AC40F85" w:rsidTr="00BE61C7">
        <w:trPr>
          <w:trHeight w:val="1198"/>
        </w:trPr>
        <w:tc>
          <w:tcPr>
            <w:tcW w:w="2264" w:type="dxa"/>
            <w:noWrap/>
            <w:hideMark/>
          </w:tcPr>
          <w:p w14:paraId="7A5B4BB4"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brentuximab vedotin</w:t>
            </w:r>
          </w:p>
        </w:tc>
        <w:tc>
          <w:tcPr>
            <w:tcW w:w="1418" w:type="dxa"/>
            <w:noWrap/>
            <w:hideMark/>
          </w:tcPr>
          <w:p w14:paraId="1B743573"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54333665"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adult patients with relapsed or refractory CD30+ Hodgkin lymphoma (HL):</w:t>
            </w:r>
            <w:r w:rsidRPr="00153A43">
              <w:rPr>
                <w:rFonts w:ascii="Times New Roman" w:hAnsi="Times New Roman" w:cs="Times New Roman"/>
                <w:sz w:val="16"/>
                <w:szCs w:val="16"/>
              </w:rPr>
              <w:br/>
              <w:t>1. following autologous stem cell transplant (ASCT) or</w:t>
            </w:r>
            <w:r w:rsidRPr="00153A43">
              <w:rPr>
                <w:rFonts w:ascii="Times New Roman" w:hAnsi="Times New Roman" w:cs="Times New Roman"/>
                <w:sz w:val="16"/>
                <w:szCs w:val="16"/>
              </w:rPr>
              <w:br/>
              <w:t xml:space="preserve">2. following at least two prior therapies when ASCT or multi-agent </w:t>
            </w:r>
            <w:proofErr w:type="spellStart"/>
            <w:r w:rsidRPr="00153A43">
              <w:rPr>
                <w:rFonts w:ascii="Times New Roman" w:hAnsi="Times New Roman" w:cs="Times New Roman"/>
                <w:sz w:val="16"/>
                <w:szCs w:val="16"/>
              </w:rPr>
              <w:t>chemotherpay</w:t>
            </w:r>
            <w:proofErr w:type="spellEnd"/>
            <w:r w:rsidRPr="00153A43">
              <w:rPr>
                <w:rFonts w:ascii="Times New Roman" w:hAnsi="Times New Roman" w:cs="Times New Roman"/>
                <w:sz w:val="16"/>
                <w:szCs w:val="16"/>
              </w:rPr>
              <w:t xml:space="preserve"> are not a treatment option</w:t>
            </w:r>
            <w:r w:rsidRPr="00153A43">
              <w:rPr>
                <w:rFonts w:ascii="Times New Roman" w:hAnsi="Times New Roman" w:cs="Times New Roman"/>
                <w:sz w:val="16"/>
                <w:szCs w:val="16"/>
              </w:rPr>
              <w:br/>
              <w:t>ADCETRIS is indicated for the treatment of adult patients with relapsed or refractory systemic anaplastic large cell lymphoma (</w:t>
            </w:r>
            <w:proofErr w:type="spellStart"/>
            <w:r w:rsidRPr="00153A43">
              <w:rPr>
                <w:rFonts w:ascii="Times New Roman" w:hAnsi="Times New Roman" w:cs="Times New Roman"/>
                <w:sz w:val="16"/>
                <w:szCs w:val="16"/>
              </w:rPr>
              <w:t>sALCL</w:t>
            </w:r>
            <w:proofErr w:type="spellEnd"/>
            <w:r w:rsidRPr="00153A43">
              <w:rPr>
                <w:rFonts w:ascii="Times New Roman" w:hAnsi="Times New Roman" w:cs="Times New Roman"/>
                <w:sz w:val="16"/>
                <w:szCs w:val="16"/>
              </w:rPr>
              <w:t>).</w:t>
            </w:r>
          </w:p>
        </w:tc>
        <w:tc>
          <w:tcPr>
            <w:tcW w:w="1132" w:type="dxa"/>
          </w:tcPr>
          <w:p w14:paraId="5D6482EE" w14:textId="3625BD29"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Conditional</w:t>
            </w:r>
          </w:p>
        </w:tc>
        <w:tc>
          <w:tcPr>
            <w:tcW w:w="1276" w:type="dxa"/>
            <w:noWrap/>
            <w:hideMark/>
          </w:tcPr>
          <w:p w14:paraId="4BBAB4AE" w14:textId="71C24912" w:rsidR="00B559FE"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TA446 &amp; TA524</w:t>
            </w:r>
          </w:p>
        </w:tc>
        <w:tc>
          <w:tcPr>
            <w:tcW w:w="3274" w:type="dxa"/>
            <w:shd w:val="clear" w:color="auto" w:fill="auto"/>
            <w:hideMark/>
          </w:tcPr>
          <w:p w14:paraId="54B257F1" w14:textId="7AA2B286" w:rsidR="00B559FE" w:rsidRPr="00153A43" w:rsidRDefault="00BE61C7" w:rsidP="00646E7F">
            <w:pPr>
              <w:rPr>
                <w:rFonts w:ascii="Times New Roman" w:hAnsi="Times New Roman" w:cs="Times New Roman"/>
                <w:sz w:val="16"/>
                <w:szCs w:val="16"/>
              </w:rPr>
            </w:pPr>
            <w:r w:rsidRPr="00153A43">
              <w:rPr>
                <w:rFonts w:ascii="Times New Roman" w:hAnsi="Times New Roman" w:cs="Times New Roman"/>
                <w:sz w:val="16"/>
                <w:szCs w:val="16"/>
              </w:rPr>
              <w:t xml:space="preserve">Brentuximab vedotin for treating CD30-positive Hodgkin lymphoma </w:t>
            </w:r>
          </w:p>
        </w:tc>
        <w:tc>
          <w:tcPr>
            <w:tcW w:w="1723" w:type="dxa"/>
            <w:shd w:val="clear" w:color="auto" w:fill="auto"/>
          </w:tcPr>
          <w:p w14:paraId="450070FD" w14:textId="42C46BA9" w:rsidR="00B559FE" w:rsidRDefault="00BE61C7" w:rsidP="00646E7F">
            <w:pPr>
              <w:rPr>
                <w:rFonts w:ascii="Times New Roman" w:hAnsi="Times New Roman" w:cs="Times New Roman"/>
                <w:sz w:val="16"/>
                <w:szCs w:val="16"/>
              </w:rPr>
            </w:pPr>
            <w:r>
              <w:rPr>
                <w:rFonts w:ascii="Times New Roman" w:hAnsi="Times New Roman" w:cs="Times New Roman"/>
                <w:sz w:val="16"/>
                <w:szCs w:val="16"/>
              </w:rPr>
              <w:t xml:space="preserve">Recommended within the </w:t>
            </w:r>
            <w:r w:rsidR="005A68F6">
              <w:rPr>
                <w:rFonts w:ascii="Times New Roman" w:hAnsi="Times New Roman" w:cs="Times New Roman"/>
                <w:sz w:val="16"/>
                <w:szCs w:val="16"/>
              </w:rPr>
              <w:t>Cancer Drugs Fund</w:t>
            </w:r>
            <w:r>
              <w:rPr>
                <w:rFonts w:ascii="Times New Roman" w:hAnsi="Times New Roman" w:cs="Times New Roman"/>
                <w:sz w:val="16"/>
                <w:szCs w:val="16"/>
              </w:rPr>
              <w:t xml:space="preserve"> (TA446)</w:t>
            </w:r>
          </w:p>
          <w:p w14:paraId="7E94445E" w14:textId="18819EA7" w:rsidR="00BE61C7"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 xml:space="preserve">Recommended </w:t>
            </w:r>
            <w:r w:rsidR="00FD3C65">
              <w:rPr>
                <w:rFonts w:ascii="Times New Roman" w:hAnsi="Times New Roman" w:cs="Times New Roman"/>
                <w:sz w:val="16"/>
                <w:szCs w:val="16"/>
              </w:rPr>
              <w:t xml:space="preserve">with </w:t>
            </w:r>
            <w:r w:rsidR="005A68F6">
              <w:rPr>
                <w:rFonts w:ascii="Times New Roman" w:hAnsi="Times New Roman" w:cs="Times New Roman"/>
                <w:sz w:val="16"/>
                <w:szCs w:val="16"/>
              </w:rPr>
              <w:t>Commercial access arrangement</w:t>
            </w:r>
            <w:r w:rsidR="00FD3C65">
              <w:rPr>
                <w:rFonts w:ascii="Times New Roman" w:hAnsi="Times New Roman" w:cs="Times New Roman"/>
                <w:sz w:val="16"/>
                <w:szCs w:val="16"/>
              </w:rPr>
              <w:t xml:space="preserve"> </w:t>
            </w:r>
            <w:r>
              <w:rPr>
                <w:rFonts w:ascii="Times New Roman" w:hAnsi="Times New Roman" w:cs="Times New Roman"/>
                <w:sz w:val="16"/>
                <w:szCs w:val="16"/>
              </w:rPr>
              <w:t>(TA524)</w:t>
            </w:r>
          </w:p>
        </w:tc>
      </w:tr>
      <w:tr w:rsidR="00C92413" w:rsidRPr="00153A43" w14:paraId="68B5FB65" w14:textId="190FCF4C" w:rsidTr="00BE61C7">
        <w:trPr>
          <w:trHeight w:val="1201"/>
        </w:trPr>
        <w:tc>
          <w:tcPr>
            <w:tcW w:w="2264" w:type="dxa"/>
            <w:noWrap/>
            <w:hideMark/>
          </w:tcPr>
          <w:p w14:paraId="56ADD705"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brentuximab vedotin</w:t>
            </w:r>
          </w:p>
        </w:tc>
        <w:tc>
          <w:tcPr>
            <w:tcW w:w="1418" w:type="dxa"/>
            <w:noWrap/>
            <w:hideMark/>
          </w:tcPr>
          <w:p w14:paraId="661ECB8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46721B4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adult patients with relapsed or refractory CD30+ Hodgkin lymphoma (HL):</w:t>
            </w:r>
            <w:r w:rsidRPr="00153A43">
              <w:rPr>
                <w:rFonts w:ascii="Times New Roman" w:hAnsi="Times New Roman" w:cs="Times New Roman"/>
                <w:sz w:val="16"/>
                <w:szCs w:val="16"/>
              </w:rPr>
              <w:br/>
              <w:t>1. following autologous stem cell transplant (ASCT) or</w:t>
            </w:r>
            <w:r w:rsidRPr="00153A43">
              <w:rPr>
                <w:rFonts w:ascii="Times New Roman" w:hAnsi="Times New Roman" w:cs="Times New Roman"/>
                <w:sz w:val="16"/>
                <w:szCs w:val="16"/>
              </w:rPr>
              <w:br/>
              <w:t xml:space="preserve">2. following at least two prior therapies when ASCT or multi-agent </w:t>
            </w:r>
            <w:proofErr w:type="spellStart"/>
            <w:r w:rsidRPr="00153A43">
              <w:rPr>
                <w:rFonts w:ascii="Times New Roman" w:hAnsi="Times New Roman" w:cs="Times New Roman"/>
                <w:sz w:val="16"/>
                <w:szCs w:val="16"/>
              </w:rPr>
              <w:t>chemotherpay</w:t>
            </w:r>
            <w:proofErr w:type="spellEnd"/>
            <w:r w:rsidRPr="00153A43">
              <w:rPr>
                <w:rFonts w:ascii="Times New Roman" w:hAnsi="Times New Roman" w:cs="Times New Roman"/>
                <w:sz w:val="16"/>
                <w:szCs w:val="16"/>
              </w:rPr>
              <w:t xml:space="preserve"> are not a treatment option</w:t>
            </w:r>
            <w:r w:rsidRPr="00153A43">
              <w:rPr>
                <w:rFonts w:ascii="Times New Roman" w:hAnsi="Times New Roman" w:cs="Times New Roman"/>
                <w:sz w:val="16"/>
                <w:szCs w:val="16"/>
              </w:rPr>
              <w:br/>
              <w:t>ADCETRIS is indicated for the treatment of adult patients with relapsed or refractory systemic anaplastic large cell lymphoma (</w:t>
            </w:r>
            <w:proofErr w:type="spellStart"/>
            <w:r w:rsidRPr="00153A43">
              <w:rPr>
                <w:rFonts w:ascii="Times New Roman" w:hAnsi="Times New Roman" w:cs="Times New Roman"/>
                <w:sz w:val="16"/>
                <w:szCs w:val="16"/>
              </w:rPr>
              <w:t>sALCL</w:t>
            </w:r>
            <w:proofErr w:type="spellEnd"/>
            <w:r w:rsidRPr="00153A43">
              <w:rPr>
                <w:rFonts w:ascii="Times New Roman" w:hAnsi="Times New Roman" w:cs="Times New Roman"/>
                <w:sz w:val="16"/>
                <w:szCs w:val="16"/>
              </w:rPr>
              <w:t>).</w:t>
            </w:r>
          </w:p>
        </w:tc>
        <w:tc>
          <w:tcPr>
            <w:tcW w:w="1132" w:type="dxa"/>
          </w:tcPr>
          <w:p w14:paraId="3916F4E6" w14:textId="136D1FF2"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Conditional</w:t>
            </w:r>
          </w:p>
        </w:tc>
        <w:tc>
          <w:tcPr>
            <w:tcW w:w="1276" w:type="dxa"/>
            <w:noWrap/>
            <w:hideMark/>
          </w:tcPr>
          <w:p w14:paraId="228C956F" w14:textId="01F64315"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TA4</w:t>
            </w:r>
            <w:r w:rsidR="00BE61C7">
              <w:rPr>
                <w:rFonts w:ascii="Times New Roman" w:hAnsi="Times New Roman" w:cs="Times New Roman"/>
                <w:sz w:val="16"/>
                <w:szCs w:val="16"/>
              </w:rPr>
              <w:t>78</w:t>
            </w:r>
          </w:p>
        </w:tc>
        <w:tc>
          <w:tcPr>
            <w:tcW w:w="3274" w:type="dxa"/>
            <w:shd w:val="clear" w:color="auto" w:fill="auto"/>
            <w:hideMark/>
          </w:tcPr>
          <w:p w14:paraId="064D90BB" w14:textId="4EA7C0D4" w:rsidR="00B559FE" w:rsidRPr="00153A43" w:rsidRDefault="00BE61C7" w:rsidP="00646E7F">
            <w:pPr>
              <w:rPr>
                <w:rFonts w:ascii="Times New Roman" w:hAnsi="Times New Roman" w:cs="Times New Roman"/>
                <w:sz w:val="16"/>
                <w:szCs w:val="16"/>
              </w:rPr>
            </w:pPr>
            <w:r w:rsidRPr="00153A43">
              <w:rPr>
                <w:rFonts w:ascii="Times New Roman" w:hAnsi="Times New Roman" w:cs="Times New Roman"/>
                <w:sz w:val="16"/>
                <w:szCs w:val="16"/>
              </w:rPr>
              <w:t>Brentuximab vedotin for treating relapsed or refractory systemic anaplastic large cell lymphoma</w:t>
            </w:r>
          </w:p>
        </w:tc>
        <w:tc>
          <w:tcPr>
            <w:tcW w:w="1723" w:type="dxa"/>
            <w:shd w:val="clear" w:color="auto" w:fill="auto"/>
          </w:tcPr>
          <w:p w14:paraId="0E9067E9" w14:textId="6280609A" w:rsidR="00B559FE" w:rsidRPr="00153A43" w:rsidRDefault="00BE61C7" w:rsidP="00646E7F">
            <w:pPr>
              <w:rPr>
                <w:rFonts w:ascii="Times New Roman" w:hAnsi="Times New Roman" w:cs="Times New Roman"/>
                <w:sz w:val="16"/>
                <w:szCs w:val="16"/>
              </w:rPr>
            </w:pPr>
            <w:r>
              <w:rPr>
                <w:rFonts w:ascii="Times New Roman" w:hAnsi="Times New Roman" w:cs="Times New Roman"/>
                <w:sz w:val="16"/>
                <w:szCs w:val="16"/>
              </w:rPr>
              <w:t>Recommended</w:t>
            </w:r>
            <w:r w:rsidR="00FD3C65">
              <w:rPr>
                <w:rFonts w:ascii="Times New Roman" w:hAnsi="Times New Roman" w:cs="Times New Roman"/>
                <w:sz w:val="16"/>
                <w:szCs w:val="16"/>
              </w:rPr>
              <w:t xml:space="preserve"> with </w:t>
            </w:r>
            <w:r w:rsidR="005A68F6">
              <w:rPr>
                <w:rFonts w:ascii="Times New Roman" w:hAnsi="Times New Roman" w:cs="Times New Roman"/>
                <w:sz w:val="16"/>
                <w:szCs w:val="16"/>
              </w:rPr>
              <w:t>Commercial access arrangement</w:t>
            </w:r>
          </w:p>
        </w:tc>
      </w:tr>
      <w:tr w:rsidR="00C92413" w:rsidRPr="00153A43" w14:paraId="62EA5081" w14:textId="54EF0C31" w:rsidTr="00BE61C7">
        <w:trPr>
          <w:trHeight w:val="936"/>
        </w:trPr>
        <w:tc>
          <w:tcPr>
            <w:tcW w:w="2264" w:type="dxa"/>
            <w:noWrap/>
            <w:hideMark/>
          </w:tcPr>
          <w:p w14:paraId="287A4B01"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bosutinib</w:t>
            </w:r>
          </w:p>
        </w:tc>
        <w:tc>
          <w:tcPr>
            <w:tcW w:w="1418" w:type="dxa"/>
            <w:noWrap/>
            <w:hideMark/>
          </w:tcPr>
          <w:p w14:paraId="769C1BC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5DE1DCBB"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treatment of adult patients with chronic phase (CP), accelerated phase (AP), and blast phase (BP) Philadelphia chromosome positive chronic myelogenous leukaemia (Ph+ CML) previously treated with one or more tyrosine kinase inhibitor(s) and for whom imatinib, nilotinib and </w:t>
            </w:r>
            <w:proofErr w:type="spellStart"/>
            <w:r w:rsidRPr="00153A43">
              <w:rPr>
                <w:rFonts w:ascii="Times New Roman" w:hAnsi="Times New Roman" w:cs="Times New Roman"/>
                <w:sz w:val="16"/>
                <w:szCs w:val="16"/>
              </w:rPr>
              <w:t>dasatinib</w:t>
            </w:r>
            <w:proofErr w:type="spellEnd"/>
            <w:r w:rsidRPr="00153A43">
              <w:rPr>
                <w:rFonts w:ascii="Times New Roman" w:hAnsi="Times New Roman" w:cs="Times New Roman"/>
                <w:sz w:val="16"/>
                <w:szCs w:val="16"/>
              </w:rPr>
              <w:t xml:space="preserve"> are not considered appropriate treatment options</w:t>
            </w:r>
          </w:p>
        </w:tc>
        <w:tc>
          <w:tcPr>
            <w:tcW w:w="1132" w:type="dxa"/>
          </w:tcPr>
          <w:p w14:paraId="51738143" w14:textId="6491BB8A"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Conditional</w:t>
            </w:r>
          </w:p>
        </w:tc>
        <w:tc>
          <w:tcPr>
            <w:tcW w:w="1276" w:type="dxa"/>
            <w:noWrap/>
            <w:hideMark/>
          </w:tcPr>
          <w:p w14:paraId="3CDDEA7E" w14:textId="6FF75DD3"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TA299 </w:t>
            </w:r>
            <w:r w:rsidR="00C92413">
              <w:rPr>
                <w:rFonts w:ascii="Times New Roman" w:hAnsi="Times New Roman" w:cs="Times New Roman"/>
                <w:sz w:val="16"/>
                <w:szCs w:val="16"/>
              </w:rPr>
              <w:t>&amp; TA401</w:t>
            </w:r>
          </w:p>
        </w:tc>
        <w:tc>
          <w:tcPr>
            <w:tcW w:w="3274" w:type="dxa"/>
            <w:shd w:val="clear" w:color="auto" w:fill="auto"/>
            <w:hideMark/>
          </w:tcPr>
          <w:p w14:paraId="2879C794"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Bosutinib for previously treated chronic myeloid leukaemia</w:t>
            </w:r>
          </w:p>
        </w:tc>
        <w:tc>
          <w:tcPr>
            <w:tcW w:w="1723" w:type="dxa"/>
            <w:shd w:val="clear" w:color="auto" w:fill="auto"/>
          </w:tcPr>
          <w:p w14:paraId="0F7AAACE" w14:textId="77777777" w:rsidR="00C92413" w:rsidRDefault="00C92413" w:rsidP="00646E7F">
            <w:pPr>
              <w:rPr>
                <w:rFonts w:ascii="Times New Roman" w:hAnsi="Times New Roman" w:cs="Times New Roman"/>
                <w:sz w:val="16"/>
                <w:szCs w:val="16"/>
              </w:rPr>
            </w:pPr>
            <w:r>
              <w:rPr>
                <w:rFonts w:ascii="Times New Roman" w:hAnsi="Times New Roman" w:cs="Times New Roman"/>
                <w:sz w:val="16"/>
                <w:szCs w:val="16"/>
              </w:rPr>
              <w:t>Not recommended (T299)</w:t>
            </w:r>
          </w:p>
          <w:p w14:paraId="71B396A1" w14:textId="0BDA68A3" w:rsidR="00B559FE" w:rsidRPr="00153A43" w:rsidRDefault="001E2127" w:rsidP="00646E7F">
            <w:pPr>
              <w:rPr>
                <w:rFonts w:ascii="Times New Roman" w:hAnsi="Times New Roman" w:cs="Times New Roman"/>
                <w:sz w:val="16"/>
                <w:szCs w:val="16"/>
              </w:rPr>
            </w:pPr>
            <w:r>
              <w:rPr>
                <w:rFonts w:ascii="Times New Roman" w:hAnsi="Times New Roman" w:cs="Times New Roman"/>
                <w:sz w:val="16"/>
                <w:szCs w:val="16"/>
              </w:rPr>
              <w:t>Recommended</w:t>
            </w:r>
            <w:r w:rsidR="00C92413">
              <w:rPr>
                <w:rFonts w:ascii="Times New Roman" w:hAnsi="Times New Roman" w:cs="Times New Roman"/>
                <w:sz w:val="16"/>
                <w:szCs w:val="16"/>
              </w:rPr>
              <w:t xml:space="preserve"> </w:t>
            </w:r>
            <w:r w:rsidR="00FD3C65">
              <w:rPr>
                <w:rFonts w:ascii="Times New Roman" w:hAnsi="Times New Roman" w:cs="Times New Roman"/>
                <w:sz w:val="16"/>
                <w:szCs w:val="16"/>
              </w:rPr>
              <w:t xml:space="preserve">with </w:t>
            </w:r>
            <w:r w:rsidR="005A68F6">
              <w:rPr>
                <w:rFonts w:ascii="Times New Roman" w:hAnsi="Times New Roman" w:cs="Times New Roman"/>
                <w:sz w:val="16"/>
                <w:szCs w:val="16"/>
              </w:rPr>
              <w:t>patient access scheme</w:t>
            </w:r>
            <w:r w:rsidR="00FD3C65">
              <w:rPr>
                <w:rFonts w:ascii="Times New Roman" w:hAnsi="Times New Roman" w:cs="Times New Roman"/>
                <w:sz w:val="16"/>
                <w:szCs w:val="16"/>
              </w:rPr>
              <w:t xml:space="preserve"> </w:t>
            </w:r>
            <w:r w:rsidR="00C92413">
              <w:rPr>
                <w:rFonts w:ascii="Times New Roman" w:hAnsi="Times New Roman" w:cs="Times New Roman"/>
                <w:sz w:val="16"/>
                <w:szCs w:val="16"/>
              </w:rPr>
              <w:t>(TA401)</w:t>
            </w:r>
            <w:r w:rsidR="00FD3C65">
              <w:rPr>
                <w:rFonts w:ascii="Times New Roman" w:hAnsi="Times New Roman" w:cs="Times New Roman"/>
                <w:sz w:val="16"/>
                <w:szCs w:val="16"/>
              </w:rPr>
              <w:t xml:space="preserve"> </w:t>
            </w:r>
          </w:p>
        </w:tc>
      </w:tr>
      <w:tr w:rsidR="00C92413" w:rsidRPr="00153A43" w14:paraId="4799C844" w14:textId="4F4E77E0" w:rsidTr="00BE61C7">
        <w:trPr>
          <w:trHeight w:val="778"/>
        </w:trPr>
        <w:tc>
          <w:tcPr>
            <w:tcW w:w="2264" w:type="dxa"/>
            <w:noWrap/>
            <w:hideMark/>
          </w:tcPr>
          <w:p w14:paraId="316FDF46"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vismodegib</w:t>
            </w:r>
            <w:proofErr w:type="spellEnd"/>
          </w:p>
        </w:tc>
        <w:tc>
          <w:tcPr>
            <w:tcW w:w="1418" w:type="dxa"/>
            <w:noWrap/>
            <w:hideMark/>
          </w:tcPr>
          <w:p w14:paraId="2BD55D91"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3373550D"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adult patients with:</w:t>
            </w:r>
            <w:r w:rsidRPr="00153A43">
              <w:rPr>
                <w:rFonts w:ascii="Times New Roman" w:hAnsi="Times New Roman" w:cs="Times New Roman"/>
                <w:sz w:val="16"/>
                <w:szCs w:val="16"/>
              </w:rPr>
              <w:br/>
              <w:t>- Symptomatic metastatic basal cell carcinoma</w:t>
            </w:r>
            <w:r w:rsidRPr="00153A43">
              <w:rPr>
                <w:rFonts w:ascii="Times New Roman" w:hAnsi="Times New Roman" w:cs="Times New Roman"/>
                <w:sz w:val="16"/>
                <w:szCs w:val="16"/>
              </w:rPr>
              <w:br/>
              <w:t>- Locally advanced basal cell carcinoma inappropriate for surgery or radiotherapy</w:t>
            </w:r>
          </w:p>
        </w:tc>
        <w:tc>
          <w:tcPr>
            <w:tcW w:w="1132" w:type="dxa"/>
          </w:tcPr>
          <w:p w14:paraId="3854441E" w14:textId="68119594"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Full</w:t>
            </w:r>
          </w:p>
        </w:tc>
        <w:tc>
          <w:tcPr>
            <w:tcW w:w="1276" w:type="dxa"/>
            <w:noWrap/>
            <w:hideMark/>
          </w:tcPr>
          <w:p w14:paraId="6A92913D" w14:textId="3643BF52"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TA489</w:t>
            </w:r>
          </w:p>
        </w:tc>
        <w:tc>
          <w:tcPr>
            <w:tcW w:w="3274" w:type="dxa"/>
            <w:shd w:val="clear" w:color="auto" w:fill="auto"/>
            <w:hideMark/>
          </w:tcPr>
          <w:p w14:paraId="13DAAFDF"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Vismodegib</w:t>
            </w:r>
            <w:proofErr w:type="spellEnd"/>
            <w:r w:rsidRPr="00153A43">
              <w:rPr>
                <w:rFonts w:ascii="Times New Roman" w:hAnsi="Times New Roman" w:cs="Times New Roman"/>
                <w:sz w:val="16"/>
                <w:szCs w:val="16"/>
              </w:rPr>
              <w:t xml:space="preserve"> for treating basal cell carcinoma</w:t>
            </w:r>
          </w:p>
        </w:tc>
        <w:tc>
          <w:tcPr>
            <w:tcW w:w="1723" w:type="dxa"/>
            <w:shd w:val="clear" w:color="auto" w:fill="auto"/>
          </w:tcPr>
          <w:p w14:paraId="1059B5A7" w14:textId="5AD7D3A5"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Not recommended</w:t>
            </w:r>
          </w:p>
        </w:tc>
      </w:tr>
      <w:tr w:rsidR="00C92413" w:rsidRPr="00153A43" w14:paraId="07EC6CB0" w14:textId="5C9A8302" w:rsidTr="00BE61C7">
        <w:trPr>
          <w:trHeight w:val="704"/>
        </w:trPr>
        <w:tc>
          <w:tcPr>
            <w:tcW w:w="2264" w:type="dxa"/>
            <w:noWrap/>
            <w:hideMark/>
          </w:tcPr>
          <w:p w14:paraId="71A4B2C4"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lastRenderedPageBreak/>
              <w:t>cabozantinib</w:t>
            </w:r>
            <w:proofErr w:type="spellEnd"/>
          </w:p>
        </w:tc>
        <w:tc>
          <w:tcPr>
            <w:tcW w:w="1418" w:type="dxa"/>
            <w:noWrap/>
            <w:hideMark/>
          </w:tcPr>
          <w:p w14:paraId="566AEFC7"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5F7D98C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adult patients with progressive, unresectable locally advanced or metastatic medullary thyroid carcinoma.</w:t>
            </w:r>
          </w:p>
        </w:tc>
        <w:tc>
          <w:tcPr>
            <w:tcW w:w="1132" w:type="dxa"/>
          </w:tcPr>
          <w:p w14:paraId="2E1D54C4" w14:textId="3EE6B4B6"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 xml:space="preserve">Conditional </w:t>
            </w:r>
          </w:p>
        </w:tc>
        <w:tc>
          <w:tcPr>
            <w:tcW w:w="1276" w:type="dxa"/>
            <w:noWrap/>
            <w:hideMark/>
          </w:tcPr>
          <w:p w14:paraId="705A20CB" w14:textId="75E77F10"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TA516</w:t>
            </w:r>
          </w:p>
        </w:tc>
        <w:tc>
          <w:tcPr>
            <w:tcW w:w="3274" w:type="dxa"/>
            <w:shd w:val="clear" w:color="auto" w:fill="auto"/>
            <w:hideMark/>
          </w:tcPr>
          <w:p w14:paraId="4CA8EF2D"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Cabozantinib</w:t>
            </w:r>
            <w:proofErr w:type="spellEnd"/>
            <w:r w:rsidRPr="00153A43">
              <w:rPr>
                <w:rFonts w:ascii="Times New Roman" w:hAnsi="Times New Roman" w:cs="Times New Roman"/>
                <w:sz w:val="16"/>
                <w:szCs w:val="16"/>
              </w:rPr>
              <w:t xml:space="preserve"> and </w:t>
            </w:r>
            <w:proofErr w:type="spellStart"/>
            <w:r w:rsidRPr="00153A43">
              <w:rPr>
                <w:rFonts w:ascii="Times New Roman" w:hAnsi="Times New Roman" w:cs="Times New Roman"/>
                <w:sz w:val="16"/>
                <w:szCs w:val="16"/>
              </w:rPr>
              <w:t>vandetanib</w:t>
            </w:r>
            <w:proofErr w:type="spellEnd"/>
            <w:r w:rsidRPr="00153A43">
              <w:rPr>
                <w:rFonts w:ascii="Times New Roman" w:hAnsi="Times New Roman" w:cs="Times New Roman"/>
                <w:sz w:val="16"/>
                <w:szCs w:val="16"/>
              </w:rPr>
              <w:t xml:space="preserve"> for treating unresectable locally advanced or metastatic medullary thyroid cancer </w:t>
            </w:r>
          </w:p>
        </w:tc>
        <w:tc>
          <w:tcPr>
            <w:tcW w:w="1723" w:type="dxa"/>
            <w:shd w:val="clear" w:color="auto" w:fill="auto"/>
          </w:tcPr>
          <w:p w14:paraId="2EA0DE89" w14:textId="1FDB5DA6"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Recommended</w:t>
            </w:r>
            <w:r w:rsidR="00FD3C65">
              <w:rPr>
                <w:rFonts w:ascii="Times New Roman" w:hAnsi="Times New Roman" w:cs="Times New Roman"/>
                <w:sz w:val="16"/>
                <w:szCs w:val="16"/>
              </w:rPr>
              <w:t xml:space="preserve"> with </w:t>
            </w:r>
            <w:r w:rsidR="005A68F6">
              <w:rPr>
                <w:rFonts w:ascii="Times New Roman" w:hAnsi="Times New Roman" w:cs="Times New Roman"/>
                <w:sz w:val="16"/>
                <w:szCs w:val="16"/>
              </w:rPr>
              <w:t>patient access scheme</w:t>
            </w:r>
          </w:p>
        </w:tc>
      </w:tr>
      <w:tr w:rsidR="00C92413" w:rsidRPr="00153A43" w14:paraId="168F8306" w14:textId="6C85FC71" w:rsidTr="00BE61C7">
        <w:trPr>
          <w:trHeight w:val="699"/>
        </w:trPr>
        <w:tc>
          <w:tcPr>
            <w:tcW w:w="2264" w:type="dxa"/>
            <w:noWrap/>
            <w:hideMark/>
          </w:tcPr>
          <w:p w14:paraId="14125F87"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ataluren</w:t>
            </w:r>
          </w:p>
        </w:tc>
        <w:tc>
          <w:tcPr>
            <w:tcW w:w="1418" w:type="dxa"/>
            <w:noWrap/>
            <w:hideMark/>
          </w:tcPr>
          <w:p w14:paraId="1FE76B60"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0C0F1799"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Duchenne muscular dystrophy resulting from a nonsense mutation in the dystrophin gene, in ambulatory patients aged 5 years and older. Efficacy has not been demonstrated in non-ambulatory patients.</w:t>
            </w:r>
          </w:p>
        </w:tc>
        <w:tc>
          <w:tcPr>
            <w:tcW w:w="1132" w:type="dxa"/>
          </w:tcPr>
          <w:p w14:paraId="45ACA341" w14:textId="2C0E9986" w:rsidR="00B559FE" w:rsidRPr="00153A43" w:rsidRDefault="00F51C53" w:rsidP="00646E7F">
            <w:pPr>
              <w:rPr>
                <w:rFonts w:ascii="Times New Roman" w:hAnsi="Times New Roman" w:cs="Times New Roman"/>
                <w:sz w:val="16"/>
                <w:szCs w:val="16"/>
              </w:rPr>
            </w:pPr>
            <w:r>
              <w:rPr>
                <w:rFonts w:ascii="Times New Roman" w:hAnsi="Times New Roman" w:cs="Times New Roman"/>
                <w:sz w:val="16"/>
                <w:szCs w:val="16"/>
              </w:rPr>
              <w:t>Conditional</w:t>
            </w:r>
          </w:p>
        </w:tc>
        <w:tc>
          <w:tcPr>
            <w:tcW w:w="1276" w:type="dxa"/>
            <w:noWrap/>
            <w:hideMark/>
          </w:tcPr>
          <w:p w14:paraId="3A08F444" w14:textId="3649BB8B"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HST3</w:t>
            </w:r>
          </w:p>
        </w:tc>
        <w:tc>
          <w:tcPr>
            <w:tcW w:w="3274" w:type="dxa"/>
            <w:shd w:val="clear" w:color="auto" w:fill="auto"/>
            <w:hideMark/>
          </w:tcPr>
          <w:p w14:paraId="048FAA93"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Ataluren for treating Duchenne muscular dystrophy with a nonsense mutation in the dystrophin gene</w:t>
            </w:r>
          </w:p>
        </w:tc>
        <w:tc>
          <w:tcPr>
            <w:tcW w:w="1723" w:type="dxa"/>
            <w:shd w:val="clear" w:color="auto" w:fill="auto"/>
          </w:tcPr>
          <w:p w14:paraId="6B32709C" w14:textId="0F2D4EDA"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Recommended</w:t>
            </w:r>
            <w:r w:rsidR="00FD3C65">
              <w:rPr>
                <w:rFonts w:ascii="Times New Roman" w:hAnsi="Times New Roman" w:cs="Times New Roman"/>
                <w:sz w:val="16"/>
                <w:szCs w:val="16"/>
              </w:rPr>
              <w:t xml:space="preserve"> with </w:t>
            </w:r>
            <w:r w:rsidR="005A68F6">
              <w:rPr>
                <w:rFonts w:ascii="Times New Roman" w:hAnsi="Times New Roman" w:cs="Times New Roman"/>
                <w:sz w:val="16"/>
                <w:szCs w:val="16"/>
              </w:rPr>
              <w:t>Managed Access Agreement</w:t>
            </w:r>
          </w:p>
        </w:tc>
      </w:tr>
      <w:tr w:rsidR="00C92413" w:rsidRPr="00153A43" w14:paraId="0ED796E3" w14:textId="091710BA" w:rsidTr="00BE61C7">
        <w:trPr>
          <w:trHeight w:val="416"/>
        </w:trPr>
        <w:tc>
          <w:tcPr>
            <w:tcW w:w="2264" w:type="dxa"/>
            <w:noWrap/>
            <w:hideMark/>
          </w:tcPr>
          <w:p w14:paraId="1AA24ACF"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afamelanotide</w:t>
            </w:r>
            <w:proofErr w:type="spellEnd"/>
          </w:p>
        </w:tc>
        <w:tc>
          <w:tcPr>
            <w:tcW w:w="1418" w:type="dxa"/>
            <w:noWrap/>
            <w:hideMark/>
          </w:tcPr>
          <w:p w14:paraId="5F1CA191"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exceptional</w:t>
            </w:r>
          </w:p>
        </w:tc>
        <w:tc>
          <w:tcPr>
            <w:tcW w:w="2861" w:type="dxa"/>
            <w:hideMark/>
          </w:tcPr>
          <w:p w14:paraId="686F249F"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prevention of phototoxicity in adult patients with erythropoietic protoporphyria (EPP)</w:t>
            </w:r>
          </w:p>
        </w:tc>
        <w:tc>
          <w:tcPr>
            <w:tcW w:w="1132" w:type="dxa"/>
          </w:tcPr>
          <w:p w14:paraId="136940C3" w14:textId="42E5CEAF" w:rsidR="00B559FE" w:rsidRPr="00153A43" w:rsidRDefault="0007785D" w:rsidP="00646E7F">
            <w:pPr>
              <w:rPr>
                <w:rFonts w:ascii="Times New Roman" w:hAnsi="Times New Roman" w:cs="Times New Roman"/>
                <w:sz w:val="16"/>
                <w:szCs w:val="16"/>
              </w:rPr>
            </w:pPr>
            <w:r>
              <w:rPr>
                <w:rFonts w:ascii="Times New Roman" w:hAnsi="Times New Roman" w:cs="Times New Roman"/>
                <w:sz w:val="16"/>
                <w:szCs w:val="16"/>
              </w:rPr>
              <w:t>Exceptional</w:t>
            </w:r>
          </w:p>
        </w:tc>
        <w:tc>
          <w:tcPr>
            <w:tcW w:w="1276" w:type="dxa"/>
            <w:noWrap/>
            <w:hideMark/>
          </w:tcPr>
          <w:p w14:paraId="0ADCC5A7" w14:textId="0AFFD3B3"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ID927</w:t>
            </w:r>
          </w:p>
        </w:tc>
        <w:tc>
          <w:tcPr>
            <w:tcW w:w="3274" w:type="dxa"/>
            <w:shd w:val="clear" w:color="auto" w:fill="auto"/>
            <w:hideMark/>
          </w:tcPr>
          <w:p w14:paraId="52973BA2"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Afamelanotide</w:t>
            </w:r>
            <w:proofErr w:type="spellEnd"/>
            <w:r w:rsidRPr="00153A43">
              <w:rPr>
                <w:rFonts w:ascii="Times New Roman" w:hAnsi="Times New Roman" w:cs="Times New Roman"/>
                <w:sz w:val="16"/>
                <w:szCs w:val="16"/>
              </w:rPr>
              <w:t xml:space="preserve"> for treating erythropoietic protoporphyria </w:t>
            </w:r>
          </w:p>
        </w:tc>
        <w:tc>
          <w:tcPr>
            <w:tcW w:w="1723" w:type="dxa"/>
            <w:shd w:val="clear" w:color="auto" w:fill="auto"/>
          </w:tcPr>
          <w:p w14:paraId="54E97361" w14:textId="69540007"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Ongoing</w:t>
            </w:r>
          </w:p>
        </w:tc>
      </w:tr>
      <w:tr w:rsidR="00C92413" w:rsidRPr="00153A43" w14:paraId="21A94DF3" w14:textId="1AFC38D7" w:rsidTr="00BE61C7">
        <w:trPr>
          <w:trHeight w:val="691"/>
        </w:trPr>
        <w:tc>
          <w:tcPr>
            <w:tcW w:w="2264" w:type="dxa"/>
            <w:hideMark/>
          </w:tcPr>
          <w:p w14:paraId="7FC43E8E"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ex vivo expanded autologous human corneal epithelial cells containing stem cells</w:t>
            </w:r>
          </w:p>
        </w:tc>
        <w:tc>
          <w:tcPr>
            <w:tcW w:w="1418" w:type="dxa"/>
            <w:noWrap/>
            <w:hideMark/>
          </w:tcPr>
          <w:p w14:paraId="26A0C15A"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0026659A"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Treatment of adult patients with moderate to severe limbal stem cell deficiency (defined by the presence of superficial corneal neovascularisation in at least two corneal quadrants, with central corneal involvement, and severely impaired visual acuity), unilateral or bilateral, due to physical or chemical ocular burns. </w:t>
            </w:r>
          </w:p>
        </w:tc>
        <w:tc>
          <w:tcPr>
            <w:tcW w:w="1132" w:type="dxa"/>
          </w:tcPr>
          <w:p w14:paraId="66F0D20F" w14:textId="40EB0F3F" w:rsidR="00B559FE" w:rsidRPr="00153A43" w:rsidRDefault="0007785D" w:rsidP="00646E7F">
            <w:pPr>
              <w:rPr>
                <w:rFonts w:ascii="Times New Roman" w:hAnsi="Times New Roman" w:cs="Times New Roman"/>
                <w:sz w:val="16"/>
                <w:szCs w:val="16"/>
              </w:rPr>
            </w:pPr>
            <w:r>
              <w:rPr>
                <w:rFonts w:ascii="Times New Roman" w:hAnsi="Times New Roman" w:cs="Times New Roman"/>
                <w:sz w:val="16"/>
                <w:szCs w:val="16"/>
              </w:rPr>
              <w:t>Conditional</w:t>
            </w:r>
          </w:p>
        </w:tc>
        <w:tc>
          <w:tcPr>
            <w:tcW w:w="1276" w:type="dxa"/>
            <w:noWrap/>
            <w:hideMark/>
          </w:tcPr>
          <w:p w14:paraId="5C14787F" w14:textId="47E63E4C"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TA467</w:t>
            </w:r>
          </w:p>
        </w:tc>
        <w:tc>
          <w:tcPr>
            <w:tcW w:w="3274" w:type="dxa"/>
            <w:shd w:val="clear" w:color="auto" w:fill="auto"/>
            <w:hideMark/>
          </w:tcPr>
          <w:p w14:paraId="185F78C8"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Holoclar</w:t>
            </w:r>
            <w:proofErr w:type="spellEnd"/>
            <w:r w:rsidRPr="00153A43">
              <w:rPr>
                <w:rFonts w:ascii="Times New Roman" w:hAnsi="Times New Roman" w:cs="Times New Roman"/>
                <w:sz w:val="16"/>
                <w:szCs w:val="16"/>
              </w:rPr>
              <w:t xml:space="preserve"> for treating limbal stem cell deficiency after eye burns</w:t>
            </w:r>
          </w:p>
        </w:tc>
        <w:tc>
          <w:tcPr>
            <w:tcW w:w="1723" w:type="dxa"/>
            <w:shd w:val="clear" w:color="auto" w:fill="auto"/>
          </w:tcPr>
          <w:p w14:paraId="591D5976" w14:textId="65D8B2B4"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Recommended</w:t>
            </w:r>
            <w:r w:rsidR="00FD3C65">
              <w:rPr>
                <w:rFonts w:ascii="Times New Roman" w:hAnsi="Times New Roman" w:cs="Times New Roman"/>
                <w:sz w:val="16"/>
                <w:szCs w:val="16"/>
              </w:rPr>
              <w:t xml:space="preserve"> with </w:t>
            </w:r>
            <w:r w:rsidR="005A68F6">
              <w:rPr>
                <w:rFonts w:ascii="Times New Roman" w:hAnsi="Times New Roman" w:cs="Times New Roman"/>
                <w:sz w:val="16"/>
                <w:szCs w:val="16"/>
              </w:rPr>
              <w:t>patient access scheme</w:t>
            </w:r>
          </w:p>
        </w:tc>
      </w:tr>
      <w:tr w:rsidR="00C92413" w:rsidRPr="00153A43" w14:paraId="75FEA3CC" w14:textId="55FDD709" w:rsidTr="00BE61C7">
        <w:trPr>
          <w:trHeight w:val="673"/>
        </w:trPr>
        <w:tc>
          <w:tcPr>
            <w:tcW w:w="2264" w:type="dxa"/>
            <w:noWrap/>
            <w:hideMark/>
          </w:tcPr>
          <w:p w14:paraId="77202D14"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ceritinib</w:t>
            </w:r>
            <w:proofErr w:type="spellEnd"/>
          </w:p>
        </w:tc>
        <w:tc>
          <w:tcPr>
            <w:tcW w:w="1418" w:type="dxa"/>
            <w:noWrap/>
            <w:hideMark/>
          </w:tcPr>
          <w:p w14:paraId="286E553F"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2BC92AD4"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adult patients with anaplastic lymphoma kinase (ALK) positive advanced non-small cell lung cancer (NSCLC) previously treated with crizotinib.</w:t>
            </w:r>
          </w:p>
        </w:tc>
        <w:tc>
          <w:tcPr>
            <w:tcW w:w="1132" w:type="dxa"/>
          </w:tcPr>
          <w:p w14:paraId="7A9991D8" w14:textId="13AC31AD" w:rsidR="00B559FE" w:rsidRPr="00153A43" w:rsidRDefault="0007785D" w:rsidP="00646E7F">
            <w:pPr>
              <w:rPr>
                <w:rFonts w:ascii="Times New Roman" w:hAnsi="Times New Roman" w:cs="Times New Roman"/>
                <w:sz w:val="16"/>
                <w:szCs w:val="16"/>
              </w:rPr>
            </w:pPr>
            <w:r>
              <w:rPr>
                <w:rFonts w:ascii="Times New Roman" w:hAnsi="Times New Roman" w:cs="Times New Roman"/>
                <w:sz w:val="16"/>
                <w:szCs w:val="16"/>
              </w:rPr>
              <w:t>Full</w:t>
            </w:r>
          </w:p>
        </w:tc>
        <w:tc>
          <w:tcPr>
            <w:tcW w:w="1276" w:type="dxa"/>
            <w:noWrap/>
            <w:hideMark/>
          </w:tcPr>
          <w:p w14:paraId="5F7CD1CB" w14:textId="3FB76B3B"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TA395</w:t>
            </w:r>
          </w:p>
        </w:tc>
        <w:tc>
          <w:tcPr>
            <w:tcW w:w="3274" w:type="dxa"/>
            <w:shd w:val="clear" w:color="auto" w:fill="auto"/>
            <w:hideMark/>
          </w:tcPr>
          <w:p w14:paraId="52893D39"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Ceritinib</w:t>
            </w:r>
            <w:proofErr w:type="spellEnd"/>
            <w:r w:rsidRPr="00153A43">
              <w:rPr>
                <w:rFonts w:ascii="Times New Roman" w:hAnsi="Times New Roman" w:cs="Times New Roman"/>
                <w:sz w:val="16"/>
                <w:szCs w:val="16"/>
              </w:rPr>
              <w:t xml:space="preserve"> for previously treated anaplastic lymphoma kinase positive non-small-cell lung cancer</w:t>
            </w:r>
          </w:p>
        </w:tc>
        <w:tc>
          <w:tcPr>
            <w:tcW w:w="1723" w:type="dxa"/>
            <w:shd w:val="clear" w:color="auto" w:fill="auto"/>
          </w:tcPr>
          <w:p w14:paraId="062F65F1" w14:textId="28101130"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Recommended</w:t>
            </w:r>
            <w:r w:rsidR="00FD3C65">
              <w:rPr>
                <w:rFonts w:ascii="Times New Roman" w:hAnsi="Times New Roman" w:cs="Times New Roman"/>
                <w:sz w:val="16"/>
                <w:szCs w:val="16"/>
              </w:rPr>
              <w:t xml:space="preserve"> with </w:t>
            </w:r>
            <w:r w:rsidR="005A68F6">
              <w:rPr>
                <w:rFonts w:ascii="Times New Roman" w:hAnsi="Times New Roman" w:cs="Times New Roman"/>
                <w:sz w:val="16"/>
                <w:szCs w:val="16"/>
              </w:rPr>
              <w:t>patient access scheme</w:t>
            </w:r>
          </w:p>
        </w:tc>
      </w:tr>
      <w:tr w:rsidR="00C92413" w:rsidRPr="00153A43" w14:paraId="70206028" w14:textId="636670B7" w:rsidTr="00BE61C7">
        <w:trPr>
          <w:trHeight w:val="600"/>
        </w:trPr>
        <w:tc>
          <w:tcPr>
            <w:tcW w:w="2264" w:type="dxa"/>
            <w:noWrap/>
            <w:hideMark/>
          </w:tcPr>
          <w:p w14:paraId="44DEBF1F"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asfotase</w:t>
            </w:r>
            <w:proofErr w:type="spellEnd"/>
            <w:r w:rsidRPr="00153A43">
              <w:rPr>
                <w:rFonts w:ascii="Times New Roman" w:hAnsi="Times New Roman" w:cs="Times New Roman"/>
                <w:sz w:val="16"/>
                <w:szCs w:val="16"/>
              </w:rPr>
              <w:t xml:space="preserve"> alfa</w:t>
            </w:r>
          </w:p>
        </w:tc>
        <w:tc>
          <w:tcPr>
            <w:tcW w:w="1418" w:type="dxa"/>
            <w:noWrap/>
            <w:hideMark/>
          </w:tcPr>
          <w:p w14:paraId="3056E566"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exceptional</w:t>
            </w:r>
          </w:p>
        </w:tc>
        <w:tc>
          <w:tcPr>
            <w:tcW w:w="2861" w:type="dxa"/>
            <w:hideMark/>
          </w:tcPr>
          <w:p w14:paraId="10AB4B6E"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long-term enzyme replacement therapy in patients with </w:t>
            </w:r>
            <w:proofErr w:type="gramStart"/>
            <w:r w:rsidRPr="00153A43">
              <w:rPr>
                <w:rFonts w:ascii="Times New Roman" w:hAnsi="Times New Roman" w:cs="Times New Roman"/>
                <w:sz w:val="16"/>
                <w:szCs w:val="16"/>
              </w:rPr>
              <w:t>paediatric-onset</w:t>
            </w:r>
            <w:proofErr w:type="gramEnd"/>
            <w:r w:rsidRPr="00153A43">
              <w:rPr>
                <w:rFonts w:ascii="Times New Roman" w:hAnsi="Times New Roman" w:cs="Times New Roman"/>
                <w:sz w:val="16"/>
                <w:szCs w:val="16"/>
              </w:rPr>
              <w:t xml:space="preserve"> hypophosphatasia to treat the bone manifestations of the disease</w:t>
            </w:r>
          </w:p>
        </w:tc>
        <w:tc>
          <w:tcPr>
            <w:tcW w:w="1132" w:type="dxa"/>
          </w:tcPr>
          <w:p w14:paraId="05EB319E" w14:textId="73FC0DA6" w:rsidR="00B559FE" w:rsidRPr="00153A43" w:rsidRDefault="0007785D" w:rsidP="00646E7F">
            <w:pPr>
              <w:rPr>
                <w:rFonts w:ascii="Times New Roman" w:hAnsi="Times New Roman" w:cs="Times New Roman"/>
                <w:sz w:val="16"/>
                <w:szCs w:val="16"/>
              </w:rPr>
            </w:pPr>
            <w:r>
              <w:rPr>
                <w:rFonts w:ascii="Times New Roman" w:hAnsi="Times New Roman" w:cs="Times New Roman"/>
                <w:sz w:val="16"/>
                <w:szCs w:val="16"/>
              </w:rPr>
              <w:t>Exceptional</w:t>
            </w:r>
          </w:p>
        </w:tc>
        <w:tc>
          <w:tcPr>
            <w:tcW w:w="1276" w:type="dxa"/>
            <w:noWrap/>
            <w:hideMark/>
          </w:tcPr>
          <w:p w14:paraId="1679787B" w14:textId="707CFC62"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HST6</w:t>
            </w:r>
          </w:p>
        </w:tc>
        <w:tc>
          <w:tcPr>
            <w:tcW w:w="3274" w:type="dxa"/>
            <w:shd w:val="clear" w:color="auto" w:fill="auto"/>
            <w:hideMark/>
          </w:tcPr>
          <w:p w14:paraId="4D0FBF07"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Asfotase</w:t>
            </w:r>
            <w:proofErr w:type="spellEnd"/>
            <w:r w:rsidRPr="00153A43">
              <w:rPr>
                <w:rFonts w:ascii="Times New Roman" w:hAnsi="Times New Roman" w:cs="Times New Roman"/>
                <w:sz w:val="16"/>
                <w:szCs w:val="16"/>
              </w:rPr>
              <w:t xml:space="preserve"> alfa for treating </w:t>
            </w:r>
            <w:proofErr w:type="gramStart"/>
            <w:r w:rsidRPr="00153A43">
              <w:rPr>
                <w:rFonts w:ascii="Times New Roman" w:hAnsi="Times New Roman" w:cs="Times New Roman"/>
                <w:sz w:val="16"/>
                <w:szCs w:val="16"/>
              </w:rPr>
              <w:t>paediatric-onset</w:t>
            </w:r>
            <w:proofErr w:type="gramEnd"/>
            <w:r w:rsidRPr="00153A43">
              <w:rPr>
                <w:rFonts w:ascii="Times New Roman" w:hAnsi="Times New Roman" w:cs="Times New Roman"/>
                <w:sz w:val="16"/>
                <w:szCs w:val="16"/>
              </w:rPr>
              <w:t xml:space="preserve"> hypophosphatasia</w:t>
            </w:r>
          </w:p>
        </w:tc>
        <w:tc>
          <w:tcPr>
            <w:tcW w:w="1723" w:type="dxa"/>
            <w:shd w:val="clear" w:color="auto" w:fill="auto"/>
          </w:tcPr>
          <w:p w14:paraId="6BFF1616" w14:textId="4664B4A8"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Recommended</w:t>
            </w:r>
            <w:r w:rsidR="00FD3C65">
              <w:rPr>
                <w:rFonts w:ascii="Times New Roman" w:hAnsi="Times New Roman" w:cs="Times New Roman"/>
                <w:sz w:val="16"/>
                <w:szCs w:val="16"/>
              </w:rPr>
              <w:t xml:space="preserve"> with </w:t>
            </w:r>
            <w:r w:rsidR="005A68F6">
              <w:rPr>
                <w:rFonts w:ascii="Times New Roman" w:hAnsi="Times New Roman" w:cs="Times New Roman"/>
                <w:sz w:val="16"/>
                <w:szCs w:val="16"/>
              </w:rPr>
              <w:t>Managed Access Agreement</w:t>
            </w:r>
          </w:p>
        </w:tc>
      </w:tr>
      <w:tr w:rsidR="00C92413" w:rsidRPr="00153A43" w14:paraId="4869B082" w14:textId="33FF42A1" w:rsidTr="00BE61C7">
        <w:trPr>
          <w:trHeight w:val="762"/>
        </w:trPr>
        <w:tc>
          <w:tcPr>
            <w:tcW w:w="2264" w:type="dxa"/>
            <w:noWrap/>
            <w:hideMark/>
          </w:tcPr>
          <w:p w14:paraId="2515DEF6"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blinatumomab</w:t>
            </w:r>
          </w:p>
        </w:tc>
        <w:tc>
          <w:tcPr>
            <w:tcW w:w="1418" w:type="dxa"/>
            <w:noWrap/>
            <w:hideMark/>
          </w:tcPr>
          <w:p w14:paraId="531743BB"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3E8E37E6"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adults with Philadelphia chromosome negative relapsed or refractory B-precursor acute lymphoblastic leukaemia (ALL)</w:t>
            </w:r>
          </w:p>
        </w:tc>
        <w:tc>
          <w:tcPr>
            <w:tcW w:w="1132" w:type="dxa"/>
          </w:tcPr>
          <w:p w14:paraId="35FA365C" w14:textId="192A72C0" w:rsidR="00B559FE" w:rsidRPr="00153A43" w:rsidRDefault="0007785D" w:rsidP="00646E7F">
            <w:pPr>
              <w:rPr>
                <w:rFonts w:ascii="Times New Roman" w:hAnsi="Times New Roman" w:cs="Times New Roman"/>
                <w:sz w:val="16"/>
                <w:szCs w:val="16"/>
              </w:rPr>
            </w:pPr>
            <w:r>
              <w:rPr>
                <w:rFonts w:ascii="Times New Roman" w:hAnsi="Times New Roman" w:cs="Times New Roman"/>
                <w:sz w:val="16"/>
                <w:szCs w:val="16"/>
              </w:rPr>
              <w:t>Full</w:t>
            </w:r>
          </w:p>
        </w:tc>
        <w:tc>
          <w:tcPr>
            <w:tcW w:w="1276" w:type="dxa"/>
            <w:noWrap/>
            <w:hideMark/>
          </w:tcPr>
          <w:p w14:paraId="710339A9" w14:textId="2ADB312C"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ID1008</w:t>
            </w:r>
          </w:p>
        </w:tc>
        <w:tc>
          <w:tcPr>
            <w:tcW w:w="3274" w:type="dxa"/>
            <w:shd w:val="clear" w:color="auto" w:fill="auto"/>
            <w:hideMark/>
          </w:tcPr>
          <w:p w14:paraId="23C7F0B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Blinatumomab for treating Philadelphia-chromosome-positive relapsed or refractory acute lymphoblastic leukaemia</w:t>
            </w:r>
          </w:p>
        </w:tc>
        <w:tc>
          <w:tcPr>
            <w:tcW w:w="1723" w:type="dxa"/>
            <w:shd w:val="clear" w:color="auto" w:fill="auto"/>
          </w:tcPr>
          <w:p w14:paraId="62ABDF0C" w14:textId="65C80B8A"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Recommended</w:t>
            </w:r>
            <w:r w:rsidR="00552A30">
              <w:rPr>
                <w:rFonts w:ascii="Times New Roman" w:hAnsi="Times New Roman" w:cs="Times New Roman"/>
                <w:sz w:val="16"/>
                <w:szCs w:val="16"/>
              </w:rPr>
              <w:t xml:space="preserve"> with </w:t>
            </w:r>
            <w:r w:rsidR="005A68F6">
              <w:rPr>
                <w:rFonts w:ascii="Times New Roman" w:hAnsi="Times New Roman" w:cs="Times New Roman"/>
                <w:sz w:val="16"/>
                <w:szCs w:val="16"/>
              </w:rPr>
              <w:t>patient access scheme</w:t>
            </w:r>
          </w:p>
        </w:tc>
      </w:tr>
      <w:tr w:rsidR="00C92413" w:rsidRPr="00153A43" w14:paraId="48F79E7D" w14:textId="7698B0EA" w:rsidTr="00BE61C7">
        <w:trPr>
          <w:trHeight w:val="689"/>
        </w:trPr>
        <w:tc>
          <w:tcPr>
            <w:tcW w:w="2264" w:type="dxa"/>
            <w:noWrap/>
            <w:hideMark/>
          </w:tcPr>
          <w:p w14:paraId="19A54EE2"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osimertinib</w:t>
            </w:r>
            <w:proofErr w:type="spellEnd"/>
            <w:r w:rsidRPr="00153A43">
              <w:rPr>
                <w:rFonts w:ascii="Times New Roman" w:hAnsi="Times New Roman" w:cs="Times New Roman"/>
                <w:sz w:val="16"/>
                <w:szCs w:val="16"/>
              </w:rPr>
              <w:t xml:space="preserve"> mesylate</w:t>
            </w:r>
          </w:p>
        </w:tc>
        <w:tc>
          <w:tcPr>
            <w:tcW w:w="1418" w:type="dxa"/>
            <w:noWrap/>
            <w:hideMark/>
          </w:tcPr>
          <w:p w14:paraId="75CFFDE7"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474C83E6"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adult patients with locally advanced or metastatic epidermal growth factor receptor (EGFR) T790M mutation-positive non-small-cell lung cancer (NSCLC)</w:t>
            </w:r>
          </w:p>
        </w:tc>
        <w:tc>
          <w:tcPr>
            <w:tcW w:w="1132" w:type="dxa"/>
          </w:tcPr>
          <w:p w14:paraId="4909E9E6" w14:textId="7C6A36E2" w:rsidR="00B559FE" w:rsidRPr="00153A43" w:rsidRDefault="0007785D" w:rsidP="00646E7F">
            <w:pPr>
              <w:rPr>
                <w:rFonts w:ascii="Times New Roman" w:hAnsi="Times New Roman" w:cs="Times New Roman"/>
                <w:sz w:val="16"/>
                <w:szCs w:val="16"/>
              </w:rPr>
            </w:pPr>
            <w:r>
              <w:rPr>
                <w:rFonts w:ascii="Times New Roman" w:hAnsi="Times New Roman" w:cs="Times New Roman"/>
                <w:sz w:val="16"/>
                <w:szCs w:val="16"/>
              </w:rPr>
              <w:t>Full</w:t>
            </w:r>
          </w:p>
        </w:tc>
        <w:tc>
          <w:tcPr>
            <w:tcW w:w="1276" w:type="dxa"/>
            <w:noWrap/>
            <w:hideMark/>
          </w:tcPr>
          <w:p w14:paraId="5D6CE77E" w14:textId="5B0424F0"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TA416</w:t>
            </w:r>
          </w:p>
        </w:tc>
        <w:tc>
          <w:tcPr>
            <w:tcW w:w="3274" w:type="dxa"/>
            <w:shd w:val="clear" w:color="auto" w:fill="auto"/>
            <w:hideMark/>
          </w:tcPr>
          <w:p w14:paraId="35F9BDEB" w14:textId="77777777" w:rsidR="00B559FE" w:rsidRPr="00153A43" w:rsidRDefault="00B559FE" w:rsidP="00646E7F">
            <w:pPr>
              <w:rPr>
                <w:rFonts w:ascii="Times New Roman" w:hAnsi="Times New Roman" w:cs="Times New Roman"/>
                <w:sz w:val="16"/>
                <w:szCs w:val="16"/>
              </w:rPr>
            </w:pPr>
            <w:proofErr w:type="spellStart"/>
            <w:r w:rsidRPr="00153A43">
              <w:rPr>
                <w:rFonts w:ascii="Times New Roman" w:hAnsi="Times New Roman" w:cs="Times New Roman"/>
                <w:sz w:val="16"/>
                <w:szCs w:val="16"/>
              </w:rPr>
              <w:t>Osimertinib</w:t>
            </w:r>
            <w:proofErr w:type="spellEnd"/>
            <w:r w:rsidRPr="00153A43">
              <w:rPr>
                <w:rFonts w:ascii="Times New Roman" w:hAnsi="Times New Roman" w:cs="Times New Roman"/>
                <w:sz w:val="16"/>
                <w:szCs w:val="16"/>
              </w:rPr>
              <w:t xml:space="preserve"> for treating locally advanced or metastatic EGFR T790M mutation-positive non-small-cell lung cancer</w:t>
            </w:r>
          </w:p>
        </w:tc>
        <w:tc>
          <w:tcPr>
            <w:tcW w:w="1723" w:type="dxa"/>
            <w:shd w:val="clear" w:color="auto" w:fill="auto"/>
          </w:tcPr>
          <w:p w14:paraId="5AC7EDE1" w14:textId="6518BFA4"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 xml:space="preserve">Recommended within the </w:t>
            </w:r>
            <w:r w:rsidR="005A68F6">
              <w:rPr>
                <w:rFonts w:ascii="Times New Roman" w:hAnsi="Times New Roman" w:cs="Times New Roman"/>
                <w:sz w:val="16"/>
                <w:szCs w:val="16"/>
              </w:rPr>
              <w:t>Cancer Drugs Fund</w:t>
            </w:r>
          </w:p>
        </w:tc>
      </w:tr>
      <w:tr w:rsidR="00C92413" w:rsidRPr="00153A43" w14:paraId="75605E5E" w14:textId="42FDA7BB" w:rsidTr="00BE61C7">
        <w:trPr>
          <w:trHeight w:val="670"/>
        </w:trPr>
        <w:tc>
          <w:tcPr>
            <w:tcW w:w="2264" w:type="dxa"/>
            <w:noWrap/>
            <w:hideMark/>
          </w:tcPr>
          <w:p w14:paraId="5E87EB23"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daratumumab</w:t>
            </w:r>
          </w:p>
        </w:tc>
        <w:tc>
          <w:tcPr>
            <w:tcW w:w="1418" w:type="dxa"/>
            <w:noWrap/>
            <w:hideMark/>
          </w:tcPr>
          <w:p w14:paraId="1F5493BB"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conditional</w:t>
            </w:r>
          </w:p>
        </w:tc>
        <w:tc>
          <w:tcPr>
            <w:tcW w:w="2861" w:type="dxa"/>
            <w:hideMark/>
          </w:tcPr>
          <w:p w14:paraId="0AB423A3"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monotherapy for the treatment of adult patients with relapsed and refractory multiple myeloma, whose prior therapy included a proteasome inhibitor and an immunomodulatory agent and who have demonstrated disease progression on the last therapy</w:t>
            </w:r>
          </w:p>
        </w:tc>
        <w:tc>
          <w:tcPr>
            <w:tcW w:w="1132" w:type="dxa"/>
          </w:tcPr>
          <w:p w14:paraId="7FC96D42" w14:textId="0A8CB1B8" w:rsidR="00B559FE" w:rsidRPr="00153A43" w:rsidRDefault="0007785D" w:rsidP="00646E7F">
            <w:pPr>
              <w:rPr>
                <w:rFonts w:ascii="Times New Roman" w:hAnsi="Times New Roman" w:cs="Times New Roman"/>
                <w:sz w:val="16"/>
                <w:szCs w:val="16"/>
              </w:rPr>
            </w:pPr>
            <w:r>
              <w:rPr>
                <w:rFonts w:ascii="Times New Roman" w:hAnsi="Times New Roman" w:cs="Times New Roman"/>
                <w:sz w:val="16"/>
                <w:szCs w:val="16"/>
              </w:rPr>
              <w:t>Full</w:t>
            </w:r>
          </w:p>
        </w:tc>
        <w:tc>
          <w:tcPr>
            <w:tcW w:w="1276" w:type="dxa"/>
            <w:noWrap/>
            <w:hideMark/>
          </w:tcPr>
          <w:p w14:paraId="3BC7C842" w14:textId="786F8F81"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TA510</w:t>
            </w:r>
          </w:p>
        </w:tc>
        <w:tc>
          <w:tcPr>
            <w:tcW w:w="3274" w:type="dxa"/>
            <w:shd w:val="clear" w:color="auto" w:fill="auto"/>
            <w:hideMark/>
          </w:tcPr>
          <w:p w14:paraId="7A5A4D9C"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Daratumumab for multiple myeloma</w:t>
            </w:r>
          </w:p>
        </w:tc>
        <w:tc>
          <w:tcPr>
            <w:tcW w:w="1723" w:type="dxa"/>
            <w:shd w:val="clear" w:color="auto" w:fill="auto"/>
          </w:tcPr>
          <w:p w14:paraId="1818865B" w14:textId="309E7924" w:rsidR="00B559FE" w:rsidRPr="00153A43" w:rsidRDefault="00C92413" w:rsidP="00646E7F">
            <w:pPr>
              <w:rPr>
                <w:rFonts w:ascii="Times New Roman" w:hAnsi="Times New Roman" w:cs="Times New Roman"/>
                <w:sz w:val="16"/>
                <w:szCs w:val="16"/>
              </w:rPr>
            </w:pPr>
            <w:r>
              <w:rPr>
                <w:rFonts w:ascii="Times New Roman" w:hAnsi="Times New Roman" w:cs="Times New Roman"/>
                <w:sz w:val="16"/>
                <w:szCs w:val="16"/>
              </w:rPr>
              <w:t xml:space="preserve">Recommended within the </w:t>
            </w:r>
            <w:r w:rsidR="005A68F6">
              <w:rPr>
                <w:rFonts w:ascii="Times New Roman" w:hAnsi="Times New Roman" w:cs="Times New Roman"/>
                <w:sz w:val="16"/>
                <w:szCs w:val="16"/>
              </w:rPr>
              <w:t>Cancer Drugs Fund</w:t>
            </w:r>
          </w:p>
        </w:tc>
      </w:tr>
      <w:tr w:rsidR="00C92413" w:rsidRPr="00153A43" w14:paraId="4485F2AA" w14:textId="7FE7073A" w:rsidTr="00BE61C7">
        <w:trPr>
          <w:trHeight w:val="794"/>
        </w:trPr>
        <w:tc>
          <w:tcPr>
            <w:tcW w:w="2264" w:type="dxa"/>
            <w:shd w:val="clear" w:color="auto" w:fill="auto"/>
            <w:noWrap/>
            <w:hideMark/>
          </w:tcPr>
          <w:p w14:paraId="0D11305E"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lastRenderedPageBreak/>
              <w:t>Clofarabine</w:t>
            </w:r>
          </w:p>
        </w:tc>
        <w:tc>
          <w:tcPr>
            <w:tcW w:w="1418" w:type="dxa"/>
            <w:shd w:val="clear" w:color="auto" w:fill="auto"/>
            <w:noWrap/>
            <w:hideMark/>
          </w:tcPr>
          <w:p w14:paraId="67792F22"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exceptional</w:t>
            </w:r>
          </w:p>
        </w:tc>
        <w:tc>
          <w:tcPr>
            <w:tcW w:w="2861" w:type="dxa"/>
            <w:shd w:val="clear" w:color="auto" w:fill="auto"/>
            <w:hideMark/>
          </w:tcPr>
          <w:p w14:paraId="2F1212E7"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Treatment of acute lymphoblastic leukaemia (ALL) in paediatric patients who have relapsed or are refractory after receiving at least two prior regimens and where there is no other treatment option anticipated to result in a durable response</w:t>
            </w:r>
          </w:p>
        </w:tc>
        <w:tc>
          <w:tcPr>
            <w:tcW w:w="1132" w:type="dxa"/>
          </w:tcPr>
          <w:p w14:paraId="37C4C979" w14:textId="6C100F1D" w:rsidR="00B559FE" w:rsidRPr="00153A43" w:rsidRDefault="0007785D" w:rsidP="00646E7F">
            <w:pPr>
              <w:rPr>
                <w:rFonts w:ascii="Times New Roman" w:hAnsi="Times New Roman" w:cs="Times New Roman"/>
                <w:sz w:val="16"/>
                <w:szCs w:val="16"/>
              </w:rPr>
            </w:pPr>
            <w:r>
              <w:rPr>
                <w:rFonts w:ascii="Times New Roman" w:hAnsi="Times New Roman" w:cs="Times New Roman"/>
                <w:sz w:val="16"/>
                <w:szCs w:val="16"/>
              </w:rPr>
              <w:t>Exceptional</w:t>
            </w:r>
          </w:p>
        </w:tc>
        <w:tc>
          <w:tcPr>
            <w:tcW w:w="1276" w:type="dxa"/>
            <w:shd w:val="clear" w:color="auto" w:fill="auto"/>
            <w:noWrap/>
            <w:hideMark/>
          </w:tcPr>
          <w:p w14:paraId="636C02CE" w14:textId="6D7189EA"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ID1033</w:t>
            </w:r>
          </w:p>
        </w:tc>
        <w:tc>
          <w:tcPr>
            <w:tcW w:w="3274" w:type="dxa"/>
            <w:shd w:val="clear" w:color="auto" w:fill="auto"/>
            <w:hideMark/>
          </w:tcPr>
          <w:p w14:paraId="41B47F57" w14:textId="77777777" w:rsidR="00B559FE" w:rsidRPr="00153A43" w:rsidRDefault="00B559FE" w:rsidP="00646E7F">
            <w:pPr>
              <w:rPr>
                <w:rFonts w:ascii="Times New Roman" w:hAnsi="Times New Roman" w:cs="Times New Roman"/>
                <w:sz w:val="16"/>
                <w:szCs w:val="16"/>
              </w:rPr>
            </w:pPr>
            <w:r w:rsidRPr="00153A43">
              <w:rPr>
                <w:rFonts w:ascii="Times New Roman" w:hAnsi="Times New Roman" w:cs="Times New Roman"/>
                <w:sz w:val="16"/>
                <w:szCs w:val="16"/>
              </w:rPr>
              <w:t xml:space="preserve">Clofarabine for treating acute lymphoblastic leukaemia in children after 2 therapies </w:t>
            </w:r>
          </w:p>
        </w:tc>
        <w:tc>
          <w:tcPr>
            <w:tcW w:w="1723" w:type="dxa"/>
            <w:shd w:val="clear" w:color="auto" w:fill="auto"/>
          </w:tcPr>
          <w:p w14:paraId="5D0D48C9" w14:textId="3DCD8E25" w:rsidR="00B559FE" w:rsidRPr="00153A43" w:rsidRDefault="00B559FE" w:rsidP="00646E7F">
            <w:pPr>
              <w:rPr>
                <w:rFonts w:ascii="Times New Roman" w:hAnsi="Times New Roman" w:cs="Times New Roman"/>
                <w:sz w:val="16"/>
                <w:szCs w:val="16"/>
              </w:rPr>
            </w:pPr>
            <w:r>
              <w:rPr>
                <w:rFonts w:ascii="Times New Roman" w:hAnsi="Times New Roman" w:cs="Times New Roman"/>
                <w:sz w:val="16"/>
                <w:szCs w:val="16"/>
              </w:rPr>
              <w:t>Discontinued</w:t>
            </w:r>
          </w:p>
        </w:tc>
      </w:tr>
    </w:tbl>
    <w:p w14:paraId="3F07F132" w14:textId="77777777" w:rsidR="00153A43" w:rsidRPr="00153A43" w:rsidRDefault="00153A43" w:rsidP="00646E7F">
      <w:pPr>
        <w:rPr>
          <w:rFonts w:ascii="Times New Roman" w:hAnsi="Times New Roman" w:cs="Times New Roman"/>
        </w:rPr>
      </w:pPr>
      <w:bookmarkStart w:id="0" w:name="_GoBack"/>
      <w:bookmarkEnd w:id="0"/>
    </w:p>
    <w:sectPr w:rsidR="00153A43" w:rsidRPr="00153A43" w:rsidSect="00B11CD1">
      <w:footerReference w:type="default" r:id="rId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4457F" w14:textId="77777777" w:rsidR="00FA67C0" w:rsidRDefault="00FA67C0" w:rsidP="00446BEE">
      <w:r>
        <w:separator/>
      </w:r>
    </w:p>
  </w:endnote>
  <w:endnote w:type="continuationSeparator" w:id="0">
    <w:p w14:paraId="291C5197" w14:textId="77777777" w:rsidR="00FA67C0" w:rsidRDefault="00FA67C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7BDDB" w14:textId="77777777" w:rsidR="00446BEE" w:rsidRDefault="00446BEE">
    <w:pPr>
      <w:pStyle w:val="Footer"/>
    </w:pPr>
    <w:r>
      <w:t>[</w:t>
    </w:r>
    <w:r w:rsidR="00FA2C5A">
      <w:t>I</w:t>
    </w:r>
    <w:r>
      <w:t>nsert footer here]</w:t>
    </w:r>
    <w:r>
      <w:tab/>
    </w:r>
    <w:r>
      <w:tab/>
    </w:r>
    <w:r>
      <w:fldChar w:fldCharType="begin"/>
    </w:r>
    <w:r>
      <w:instrText xml:space="preserve"> PAGE </w:instrText>
    </w:r>
    <w:r>
      <w:fldChar w:fldCharType="separate"/>
    </w:r>
    <w:r w:rsidR="00646E7F">
      <w:rPr>
        <w:noProof/>
      </w:rPr>
      <w:t>2</w:t>
    </w:r>
    <w:r>
      <w:fldChar w:fldCharType="end"/>
    </w:r>
    <w:r>
      <w:t xml:space="preserve"> of </w:t>
    </w:r>
    <w:r w:rsidR="00B11CD1">
      <w:rPr>
        <w:noProof/>
      </w:rPr>
      <w:fldChar w:fldCharType="begin"/>
    </w:r>
    <w:r w:rsidR="00B11CD1">
      <w:rPr>
        <w:noProof/>
      </w:rPr>
      <w:instrText xml:space="preserve"> NUMPAGES  </w:instrText>
    </w:r>
    <w:r w:rsidR="00B11CD1">
      <w:rPr>
        <w:noProof/>
      </w:rPr>
      <w:fldChar w:fldCharType="separate"/>
    </w:r>
    <w:r w:rsidR="00646E7F">
      <w:rPr>
        <w:noProof/>
      </w:rPr>
      <w:t>5</w:t>
    </w:r>
    <w:r w:rsidR="00B11C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A077F" w14:textId="77777777" w:rsidR="00FA67C0" w:rsidRDefault="00FA67C0" w:rsidP="00446BEE">
      <w:r>
        <w:separator/>
      </w:r>
    </w:p>
  </w:footnote>
  <w:footnote w:type="continuationSeparator" w:id="0">
    <w:p w14:paraId="14765BFA" w14:textId="77777777" w:rsidR="00FA67C0" w:rsidRDefault="00FA67C0"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CD1"/>
    <w:rsid w:val="000053F8"/>
    <w:rsid w:val="00024D0A"/>
    <w:rsid w:val="000472DC"/>
    <w:rsid w:val="00070065"/>
    <w:rsid w:val="0007785D"/>
    <w:rsid w:val="000A4FEE"/>
    <w:rsid w:val="000B5939"/>
    <w:rsid w:val="00111CCE"/>
    <w:rsid w:val="001134E7"/>
    <w:rsid w:val="00153A43"/>
    <w:rsid w:val="0017149E"/>
    <w:rsid w:val="0017169E"/>
    <w:rsid w:val="00181A4A"/>
    <w:rsid w:val="001B0EE9"/>
    <w:rsid w:val="001B65B3"/>
    <w:rsid w:val="001E2127"/>
    <w:rsid w:val="002029A6"/>
    <w:rsid w:val="002408EA"/>
    <w:rsid w:val="002819D7"/>
    <w:rsid w:val="002C1A7E"/>
    <w:rsid w:val="002D3376"/>
    <w:rsid w:val="00311ED0"/>
    <w:rsid w:val="003648C5"/>
    <w:rsid w:val="003722FA"/>
    <w:rsid w:val="003C7AAF"/>
    <w:rsid w:val="004075B6"/>
    <w:rsid w:val="00420952"/>
    <w:rsid w:val="00433EFF"/>
    <w:rsid w:val="00443081"/>
    <w:rsid w:val="00446BEE"/>
    <w:rsid w:val="005025A1"/>
    <w:rsid w:val="00552A30"/>
    <w:rsid w:val="005A68F6"/>
    <w:rsid w:val="00633EB1"/>
    <w:rsid w:val="00646E7F"/>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F108A"/>
    <w:rsid w:val="00B02E55"/>
    <w:rsid w:val="00B036C1"/>
    <w:rsid w:val="00B11CD1"/>
    <w:rsid w:val="00B5431F"/>
    <w:rsid w:val="00B559FE"/>
    <w:rsid w:val="00BE61C7"/>
    <w:rsid w:val="00BF7FE0"/>
    <w:rsid w:val="00C81104"/>
    <w:rsid w:val="00C92413"/>
    <w:rsid w:val="00C96411"/>
    <w:rsid w:val="00CB5671"/>
    <w:rsid w:val="00CF58B7"/>
    <w:rsid w:val="00D351C1"/>
    <w:rsid w:val="00D35EFB"/>
    <w:rsid w:val="00D504B3"/>
    <w:rsid w:val="00D86BF0"/>
    <w:rsid w:val="00E51920"/>
    <w:rsid w:val="00E64120"/>
    <w:rsid w:val="00E660A1"/>
    <w:rsid w:val="00EA3CCF"/>
    <w:rsid w:val="00F055F1"/>
    <w:rsid w:val="00F51C53"/>
    <w:rsid w:val="00F610AF"/>
    <w:rsid w:val="00FA2C5A"/>
    <w:rsid w:val="00FA67C0"/>
    <w:rsid w:val="00FC2D11"/>
    <w:rsid w:val="00FC6230"/>
    <w:rsid w:val="00FD3C65"/>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F8A46"/>
  <w15:chartTrackingRefBased/>
  <w15:docId w15:val="{CD72C2ED-F626-4640-90D8-0E4CDDB4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11CD1"/>
    <w:rPr>
      <w:rFonts w:asciiTheme="minorHAnsi" w:eastAsiaTheme="minorHAnsi" w:hAnsiTheme="minorHAnsi" w:cstheme="minorBidi"/>
      <w:sz w:val="24"/>
      <w:szCs w:val="24"/>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uiPriority w:val="39"/>
    <w:rsid w:val="00B11CD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11CD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55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3BCE-225F-4DCC-BA83-3D7A4DD4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E23C500F</Template>
  <TotalTime>4</TotalTime>
  <Pages>6</Pages>
  <Words>1619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Pinilla-Dominguez</dc:creator>
  <cp:keywords/>
  <dc:description/>
  <cp:lastModifiedBy>Pilar Pinilla-Dominguez</cp:lastModifiedBy>
  <cp:revision>3</cp:revision>
  <dcterms:created xsi:type="dcterms:W3CDTF">2019-10-13T20:15:00Z</dcterms:created>
  <dcterms:modified xsi:type="dcterms:W3CDTF">2019-10-17T20:39:00Z</dcterms:modified>
</cp:coreProperties>
</file>