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6067" w14:textId="110DE65A" w:rsidR="003B311D" w:rsidRPr="003B311D" w:rsidRDefault="006C2CD5" w:rsidP="003B311D">
      <w:pPr>
        <w:spacing w:line="48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Supplementary Table</w:t>
      </w:r>
      <w:bookmarkStart w:id="0" w:name="_GoBack"/>
      <w:bookmarkEnd w:id="0"/>
      <w:r w:rsidR="003B311D" w:rsidRPr="003B311D">
        <w:rPr>
          <w:rFonts w:ascii="Times New Roman" w:hAnsi="Times New Roman"/>
          <w:b/>
          <w:bCs/>
          <w:sz w:val="20"/>
          <w:szCs w:val="20"/>
        </w:rPr>
        <w:t xml:space="preserve"> I – Details of Includes STAs</w:t>
      </w:r>
    </w:p>
    <w:p w14:paraId="2A231BD9" w14:textId="77777777" w:rsidR="003B311D" w:rsidRDefault="003B311D" w:rsidP="003B311D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858"/>
        <w:gridCol w:w="7352"/>
      </w:tblGrid>
      <w:tr w:rsidR="003B311D" w:rsidRPr="00084072" w14:paraId="036BF489" w14:textId="77777777" w:rsidTr="00E66B74">
        <w:tc>
          <w:tcPr>
            <w:tcW w:w="827" w:type="dxa"/>
          </w:tcPr>
          <w:p w14:paraId="1FF011C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  <w:bCs/>
              </w:rPr>
              <w:t>STA #</w:t>
            </w:r>
          </w:p>
        </w:tc>
        <w:tc>
          <w:tcPr>
            <w:tcW w:w="865" w:type="dxa"/>
            <w:shd w:val="clear" w:color="auto" w:fill="auto"/>
          </w:tcPr>
          <w:p w14:paraId="57E7A14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  <w:bCs/>
              </w:rPr>
              <w:t>Code</w:t>
            </w:r>
          </w:p>
        </w:tc>
        <w:tc>
          <w:tcPr>
            <w:tcW w:w="7884" w:type="dxa"/>
          </w:tcPr>
          <w:p w14:paraId="6C22859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  <w:bCs/>
              </w:rPr>
              <w:t>Title</w:t>
            </w:r>
          </w:p>
        </w:tc>
      </w:tr>
      <w:tr w:rsidR="003B311D" w:rsidRPr="00084072" w14:paraId="65F4B91E" w14:textId="77777777" w:rsidTr="00E66B74">
        <w:tc>
          <w:tcPr>
            <w:tcW w:w="827" w:type="dxa"/>
          </w:tcPr>
          <w:p w14:paraId="5F90D6D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</w:t>
            </w:r>
          </w:p>
        </w:tc>
        <w:tc>
          <w:tcPr>
            <w:tcW w:w="865" w:type="dxa"/>
          </w:tcPr>
          <w:p w14:paraId="528F540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TA492</w:t>
            </w:r>
          </w:p>
        </w:tc>
        <w:tc>
          <w:tcPr>
            <w:tcW w:w="7884" w:type="dxa"/>
          </w:tcPr>
          <w:p w14:paraId="5F98049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Atezolizumab for untreated locally advanced or metastatic urothelial cancer when cisplatin is unsuitable</w:t>
            </w:r>
          </w:p>
        </w:tc>
      </w:tr>
      <w:tr w:rsidR="003B311D" w:rsidRPr="00084072" w14:paraId="456106ED" w14:textId="77777777" w:rsidTr="00E66B74">
        <w:tc>
          <w:tcPr>
            <w:tcW w:w="827" w:type="dxa"/>
          </w:tcPr>
          <w:p w14:paraId="786EB0C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</w:tcPr>
          <w:p w14:paraId="4981A0C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TA493</w:t>
            </w:r>
          </w:p>
        </w:tc>
        <w:tc>
          <w:tcPr>
            <w:tcW w:w="7884" w:type="dxa"/>
          </w:tcPr>
          <w:p w14:paraId="0D02F441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Cladribine tablets for treating relapsing–remitting multiple sclerosis</w:t>
            </w:r>
          </w:p>
        </w:tc>
      </w:tr>
      <w:tr w:rsidR="003B311D" w:rsidRPr="00084072" w14:paraId="45B3C6BC" w14:textId="77777777" w:rsidTr="00E66B74">
        <w:tc>
          <w:tcPr>
            <w:tcW w:w="827" w:type="dxa"/>
          </w:tcPr>
          <w:p w14:paraId="36539D79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</w:t>
            </w:r>
          </w:p>
        </w:tc>
        <w:tc>
          <w:tcPr>
            <w:tcW w:w="865" w:type="dxa"/>
          </w:tcPr>
          <w:p w14:paraId="40CCE999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TA494</w:t>
            </w:r>
          </w:p>
        </w:tc>
        <w:tc>
          <w:tcPr>
            <w:tcW w:w="7884" w:type="dxa"/>
          </w:tcPr>
          <w:p w14:paraId="102A66B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Naltrexone–bupropion for managing overweight and obesity</w:t>
            </w:r>
          </w:p>
        </w:tc>
      </w:tr>
      <w:tr w:rsidR="003B311D" w:rsidRPr="00084072" w14:paraId="1B4DC81A" w14:textId="77777777" w:rsidTr="00E66B74">
        <w:tc>
          <w:tcPr>
            <w:tcW w:w="827" w:type="dxa"/>
          </w:tcPr>
          <w:p w14:paraId="1CDBF9FC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14:paraId="3E11EA4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TA495</w:t>
            </w:r>
          </w:p>
        </w:tc>
        <w:tc>
          <w:tcPr>
            <w:tcW w:w="7884" w:type="dxa"/>
          </w:tcPr>
          <w:p w14:paraId="505656D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Palbociclib with an aromatase inhibitor for previously untreated, hormone receptor-positive, HER2-negative, locally advanced or metastatic breast cancer</w:t>
            </w:r>
          </w:p>
        </w:tc>
      </w:tr>
      <w:tr w:rsidR="003B311D" w:rsidRPr="00084072" w14:paraId="2398B15B" w14:textId="77777777" w:rsidTr="00E66B74">
        <w:tc>
          <w:tcPr>
            <w:tcW w:w="827" w:type="dxa"/>
          </w:tcPr>
          <w:p w14:paraId="1202530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5</w:t>
            </w:r>
          </w:p>
        </w:tc>
        <w:tc>
          <w:tcPr>
            <w:tcW w:w="865" w:type="dxa"/>
          </w:tcPr>
          <w:p w14:paraId="7E39101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TA496</w:t>
            </w:r>
          </w:p>
        </w:tc>
        <w:tc>
          <w:tcPr>
            <w:tcW w:w="7884" w:type="dxa"/>
          </w:tcPr>
          <w:p w14:paraId="6E2BDBB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Ribociclib with an aromatase inhibitor for previously untreated, hormone receptor-positive, HER2-negative, locally advanced or metastatic breast cancer</w:t>
            </w:r>
          </w:p>
        </w:tc>
      </w:tr>
      <w:tr w:rsidR="003B311D" w:rsidRPr="00084072" w14:paraId="46E6F3BA" w14:textId="77777777" w:rsidTr="00E66B74">
        <w:tc>
          <w:tcPr>
            <w:tcW w:w="827" w:type="dxa"/>
          </w:tcPr>
          <w:p w14:paraId="33D8BA9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6</w:t>
            </w:r>
          </w:p>
        </w:tc>
        <w:tc>
          <w:tcPr>
            <w:tcW w:w="865" w:type="dxa"/>
          </w:tcPr>
          <w:p w14:paraId="1C7BE89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TA483</w:t>
            </w:r>
          </w:p>
        </w:tc>
        <w:tc>
          <w:tcPr>
            <w:tcW w:w="7884" w:type="dxa"/>
          </w:tcPr>
          <w:p w14:paraId="58977EC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Nivolumab for previously treated squamous non-small-cell lung cancer</w:t>
            </w:r>
          </w:p>
        </w:tc>
      </w:tr>
      <w:tr w:rsidR="003B311D" w:rsidRPr="00084072" w14:paraId="7988EAF5" w14:textId="77777777" w:rsidTr="00E66B74">
        <w:tc>
          <w:tcPr>
            <w:tcW w:w="827" w:type="dxa"/>
          </w:tcPr>
          <w:p w14:paraId="25210E3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7</w:t>
            </w:r>
          </w:p>
        </w:tc>
        <w:tc>
          <w:tcPr>
            <w:tcW w:w="865" w:type="dxa"/>
          </w:tcPr>
          <w:p w14:paraId="002A760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TA484</w:t>
            </w:r>
          </w:p>
        </w:tc>
        <w:tc>
          <w:tcPr>
            <w:tcW w:w="7884" w:type="dxa"/>
          </w:tcPr>
          <w:p w14:paraId="77FE803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Nivolumab for previously treated non-squamous non-small-cell lung cancer</w:t>
            </w:r>
          </w:p>
        </w:tc>
      </w:tr>
      <w:tr w:rsidR="003B311D" w:rsidRPr="00084072" w14:paraId="750C77D7" w14:textId="77777777" w:rsidTr="00E66B74">
        <w:tc>
          <w:tcPr>
            <w:tcW w:w="827" w:type="dxa"/>
          </w:tcPr>
          <w:p w14:paraId="14AABDB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8</w:t>
            </w:r>
          </w:p>
        </w:tc>
        <w:tc>
          <w:tcPr>
            <w:tcW w:w="865" w:type="dxa"/>
          </w:tcPr>
          <w:p w14:paraId="753C703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TA485</w:t>
            </w:r>
          </w:p>
        </w:tc>
        <w:tc>
          <w:tcPr>
            <w:tcW w:w="7884" w:type="dxa"/>
          </w:tcPr>
          <w:p w14:paraId="2AAAC9C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Sarilumab for moderate to severe rheumatoid arthritis</w:t>
            </w:r>
          </w:p>
        </w:tc>
      </w:tr>
      <w:tr w:rsidR="003B311D" w:rsidRPr="00084072" w14:paraId="4F2B63AF" w14:textId="77777777" w:rsidTr="00E66B74">
        <w:tc>
          <w:tcPr>
            <w:tcW w:w="827" w:type="dxa"/>
          </w:tcPr>
          <w:p w14:paraId="7A5E600C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9</w:t>
            </w:r>
          </w:p>
        </w:tc>
        <w:tc>
          <w:tcPr>
            <w:tcW w:w="865" w:type="dxa"/>
          </w:tcPr>
          <w:p w14:paraId="1197B0C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TA487</w:t>
            </w:r>
          </w:p>
        </w:tc>
        <w:tc>
          <w:tcPr>
            <w:tcW w:w="7884" w:type="dxa"/>
          </w:tcPr>
          <w:p w14:paraId="0364DAD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Venetoclax for treating chronic lymphocytic leukaemia</w:t>
            </w:r>
          </w:p>
        </w:tc>
      </w:tr>
      <w:tr w:rsidR="003B311D" w:rsidRPr="00084072" w14:paraId="3B982DDD" w14:textId="77777777" w:rsidTr="00E66B74">
        <w:tc>
          <w:tcPr>
            <w:tcW w:w="827" w:type="dxa"/>
          </w:tcPr>
          <w:p w14:paraId="4E9C0FA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10</w:t>
            </w:r>
          </w:p>
        </w:tc>
        <w:tc>
          <w:tcPr>
            <w:tcW w:w="865" w:type="dxa"/>
          </w:tcPr>
          <w:p w14:paraId="54118D2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TA488</w:t>
            </w:r>
          </w:p>
        </w:tc>
        <w:tc>
          <w:tcPr>
            <w:tcW w:w="7884" w:type="dxa"/>
          </w:tcPr>
          <w:p w14:paraId="405FF07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Regorafenib for previously treated unresectable or metastatic gastrointestinal stromal tumours</w:t>
            </w:r>
          </w:p>
        </w:tc>
      </w:tr>
      <w:tr w:rsidR="003B311D" w:rsidRPr="00084072" w14:paraId="293D06B8" w14:textId="77777777" w:rsidTr="00E66B74">
        <w:tc>
          <w:tcPr>
            <w:tcW w:w="827" w:type="dxa"/>
          </w:tcPr>
          <w:p w14:paraId="58245911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11</w:t>
            </w:r>
          </w:p>
        </w:tc>
        <w:tc>
          <w:tcPr>
            <w:tcW w:w="865" w:type="dxa"/>
          </w:tcPr>
          <w:p w14:paraId="0579BC9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TA489</w:t>
            </w:r>
          </w:p>
        </w:tc>
        <w:tc>
          <w:tcPr>
            <w:tcW w:w="7884" w:type="dxa"/>
          </w:tcPr>
          <w:p w14:paraId="2A44B769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Vismodegib for treating basal cell carcinoma</w:t>
            </w:r>
          </w:p>
        </w:tc>
      </w:tr>
      <w:tr w:rsidR="003B311D" w:rsidRPr="00084072" w14:paraId="0E714EE2" w14:textId="77777777" w:rsidTr="00E66B74">
        <w:tc>
          <w:tcPr>
            <w:tcW w:w="827" w:type="dxa"/>
          </w:tcPr>
          <w:p w14:paraId="253796F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12</w:t>
            </w:r>
          </w:p>
        </w:tc>
        <w:tc>
          <w:tcPr>
            <w:tcW w:w="865" w:type="dxa"/>
          </w:tcPr>
          <w:p w14:paraId="60A643B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TA490</w:t>
            </w:r>
          </w:p>
        </w:tc>
        <w:tc>
          <w:tcPr>
            <w:tcW w:w="7884" w:type="dxa"/>
          </w:tcPr>
          <w:p w14:paraId="658084BE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Nivolumab for treating squamous cell carcinoma of the head and neck after platinum-based chemotherapy</w:t>
            </w:r>
          </w:p>
        </w:tc>
      </w:tr>
      <w:tr w:rsidR="003B311D" w:rsidRPr="00084072" w14:paraId="45AC189B" w14:textId="77777777" w:rsidTr="00E66B74">
        <w:tc>
          <w:tcPr>
            <w:tcW w:w="827" w:type="dxa"/>
          </w:tcPr>
          <w:p w14:paraId="2BEBF01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13</w:t>
            </w:r>
          </w:p>
        </w:tc>
        <w:tc>
          <w:tcPr>
            <w:tcW w:w="865" w:type="dxa"/>
          </w:tcPr>
          <w:p w14:paraId="15679BB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TA491</w:t>
            </w:r>
          </w:p>
        </w:tc>
        <w:tc>
          <w:tcPr>
            <w:tcW w:w="7884" w:type="dxa"/>
          </w:tcPr>
          <w:p w14:paraId="42CCCB9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Ibrutinib for treating Waldenstrom’s macroglobulinaemia</w:t>
            </w:r>
          </w:p>
        </w:tc>
      </w:tr>
      <w:tr w:rsidR="003B311D" w:rsidRPr="00084072" w14:paraId="2BBBD9DB" w14:textId="77777777" w:rsidTr="00E66B74">
        <w:tc>
          <w:tcPr>
            <w:tcW w:w="827" w:type="dxa"/>
          </w:tcPr>
          <w:p w14:paraId="7638D29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14</w:t>
            </w:r>
          </w:p>
        </w:tc>
        <w:tc>
          <w:tcPr>
            <w:tcW w:w="865" w:type="dxa"/>
          </w:tcPr>
          <w:p w14:paraId="7CF3D45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TA478</w:t>
            </w:r>
          </w:p>
        </w:tc>
        <w:tc>
          <w:tcPr>
            <w:tcW w:w="7884" w:type="dxa"/>
          </w:tcPr>
          <w:p w14:paraId="3126774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Brentuximab vedotin for treating relapsed or refractory systemic anaplastic large cell lymphoma</w:t>
            </w:r>
          </w:p>
        </w:tc>
      </w:tr>
      <w:tr w:rsidR="003B311D" w:rsidRPr="00084072" w14:paraId="7A7D9547" w14:textId="77777777" w:rsidTr="00E66B74">
        <w:tc>
          <w:tcPr>
            <w:tcW w:w="827" w:type="dxa"/>
          </w:tcPr>
          <w:p w14:paraId="60A17D5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15</w:t>
            </w:r>
          </w:p>
        </w:tc>
        <w:tc>
          <w:tcPr>
            <w:tcW w:w="865" w:type="dxa"/>
          </w:tcPr>
          <w:p w14:paraId="2E51C00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TA479</w:t>
            </w:r>
          </w:p>
        </w:tc>
        <w:tc>
          <w:tcPr>
            <w:tcW w:w="7884" w:type="dxa"/>
          </w:tcPr>
          <w:p w14:paraId="1140B57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Reslizumab for treating severe eosinophilic asthma</w:t>
            </w:r>
          </w:p>
        </w:tc>
      </w:tr>
      <w:tr w:rsidR="003B311D" w:rsidRPr="00084072" w14:paraId="7DD951B5" w14:textId="77777777" w:rsidTr="00E66B74">
        <w:tc>
          <w:tcPr>
            <w:tcW w:w="827" w:type="dxa"/>
          </w:tcPr>
          <w:p w14:paraId="3ED4ADD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16</w:t>
            </w:r>
          </w:p>
        </w:tc>
        <w:tc>
          <w:tcPr>
            <w:tcW w:w="865" w:type="dxa"/>
          </w:tcPr>
          <w:p w14:paraId="001E046D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TA480</w:t>
            </w:r>
          </w:p>
        </w:tc>
        <w:tc>
          <w:tcPr>
            <w:tcW w:w="7884" w:type="dxa"/>
          </w:tcPr>
          <w:p w14:paraId="1A9C6B9E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Tofacitinib for moderate to severe rheumatoid arthritis</w:t>
            </w:r>
          </w:p>
        </w:tc>
      </w:tr>
      <w:tr w:rsidR="003B311D" w:rsidRPr="00084072" w14:paraId="3F2DE5A3" w14:textId="77777777" w:rsidTr="00E66B74">
        <w:tc>
          <w:tcPr>
            <w:tcW w:w="827" w:type="dxa"/>
          </w:tcPr>
          <w:p w14:paraId="152075A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17</w:t>
            </w:r>
          </w:p>
        </w:tc>
        <w:tc>
          <w:tcPr>
            <w:tcW w:w="865" w:type="dxa"/>
          </w:tcPr>
          <w:p w14:paraId="194DB50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TA475</w:t>
            </w:r>
          </w:p>
        </w:tc>
        <w:tc>
          <w:tcPr>
            <w:tcW w:w="7884" w:type="dxa"/>
          </w:tcPr>
          <w:p w14:paraId="5526739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Dimethyl fumarate for treating moderate to severe plaque psoriasis</w:t>
            </w:r>
          </w:p>
        </w:tc>
      </w:tr>
      <w:tr w:rsidR="003B311D" w:rsidRPr="00084072" w14:paraId="4FA64A61" w14:textId="77777777" w:rsidTr="00E66B74">
        <w:tc>
          <w:tcPr>
            <w:tcW w:w="827" w:type="dxa"/>
          </w:tcPr>
          <w:p w14:paraId="5ECF805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18</w:t>
            </w:r>
          </w:p>
        </w:tc>
        <w:tc>
          <w:tcPr>
            <w:tcW w:w="865" w:type="dxa"/>
          </w:tcPr>
          <w:p w14:paraId="597C946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TA476</w:t>
            </w:r>
          </w:p>
        </w:tc>
        <w:tc>
          <w:tcPr>
            <w:tcW w:w="7884" w:type="dxa"/>
          </w:tcPr>
          <w:p w14:paraId="1B560FB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Paclitaxel as albumin-bound nanoparticles with gemcitabine for untreated metastatic pancreatic cancer</w:t>
            </w:r>
          </w:p>
        </w:tc>
      </w:tr>
      <w:tr w:rsidR="003B311D" w:rsidRPr="00084072" w14:paraId="77CD5304" w14:textId="77777777" w:rsidTr="00E66B74">
        <w:tc>
          <w:tcPr>
            <w:tcW w:w="827" w:type="dxa"/>
          </w:tcPr>
          <w:p w14:paraId="3980561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19</w:t>
            </w:r>
          </w:p>
        </w:tc>
        <w:tc>
          <w:tcPr>
            <w:tcW w:w="865" w:type="dxa"/>
          </w:tcPr>
          <w:p w14:paraId="0B73649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TA463</w:t>
            </w:r>
          </w:p>
        </w:tc>
        <w:tc>
          <w:tcPr>
            <w:tcW w:w="7884" w:type="dxa"/>
          </w:tcPr>
          <w:p w14:paraId="64E672C1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Cabozantinib for previously treated advanced renal cell carcinoma</w:t>
            </w:r>
          </w:p>
        </w:tc>
      </w:tr>
      <w:tr w:rsidR="003B311D" w:rsidRPr="00084072" w14:paraId="503A2D5F" w14:textId="77777777" w:rsidTr="00E66B74">
        <w:tc>
          <w:tcPr>
            <w:tcW w:w="827" w:type="dxa"/>
          </w:tcPr>
          <w:p w14:paraId="1AF6B8C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65" w:type="dxa"/>
          </w:tcPr>
          <w:p w14:paraId="061BEC7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TA465</w:t>
            </w:r>
          </w:p>
        </w:tc>
        <w:tc>
          <w:tcPr>
            <w:tcW w:w="7884" w:type="dxa"/>
          </w:tcPr>
          <w:p w14:paraId="784A2A0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Olaratumab in combination with doxorubicin for treating advanced soft tissue sarcoma</w:t>
            </w:r>
          </w:p>
        </w:tc>
      </w:tr>
      <w:tr w:rsidR="003B311D" w:rsidRPr="00084072" w14:paraId="21A9B6DA" w14:textId="77777777" w:rsidTr="00E66B74">
        <w:tc>
          <w:tcPr>
            <w:tcW w:w="827" w:type="dxa"/>
          </w:tcPr>
          <w:p w14:paraId="62EB7A9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21</w:t>
            </w:r>
          </w:p>
        </w:tc>
        <w:tc>
          <w:tcPr>
            <w:tcW w:w="865" w:type="dxa"/>
          </w:tcPr>
          <w:p w14:paraId="7ECACDF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TA466</w:t>
            </w:r>
          </w:p>
        </w:tc>
        <w:tc>
          <w:tcPr>
            <w:tcW w:w="7884" w:type="dxa"/>
          </w:tcPr>
          <w:p w14:paraId="454C782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Baricitinib for moderate to severe rheumatoid arthritis</w:t>
            </w:r>
          </w:p>
        </w:tc>
      </w:tr>
      <w:tr w:rsidR="003B311D" w:rsidRPr="00084072" w14:paraId="376D3FA0" w14:textId="77777777" w:rsidTr="00E66B74">
        <w:tc>
          <w:tcPr>
            <w:tcW w:w="827" w:type="dxa"/>
          </w:tcPr>
          <w:p w14:paraId="06D87E6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22</w:t>
            </w:r>
          </w:p>
        </w:tc>
        <w:tc>
          <w:tcPr>
            <w:tcW w:w="865" w:type="dxa"/>
          </w:tcPr>
          <w:p w14:paraId="3A75C12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TA467</w:t>
            </w:r>
          </w:p>
        </w:tc>
        <w:tc>
          <w:tcPr>
            <w:tcW w:w="7884" w:type="dxa"/>
          </w:tcPr>
          <w:p w14:paraId="5280EF6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Holoclar for treating limbal stem cell deficiency after eye burns</w:t>
            </w:r>
          </w:p>
        </w:tc>
      </w:tr>
      <w:tr w:rsidR="003B311D" w:rsidRPr="00084072" w14:paraId="5896E49E" w14:textId="77777777" w:rsidTr="00E66B74">
        <w:tc>
          <w:tcPr>
            <w:tcW w:w="827" w:type="dxa"/>
          </w:tcPr>
          <w:p w14:paraId="752EA49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23</w:t>
            </w:r>
          </w:p>
        </w:tc>
        <w:tc>
          <w:tcPr>
            <w:tcW w:w="865" w:type="dxa"/>
          </w:tcPr>
          <w:p w14:paraId="196DB31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TA471</w:t>
            </w:r>
          </w:p>
        </w:tc>
        <w:tc>
          <w:tcPr>
            <w:tcW w:w="7884" w:type="dxa"/>
          </w:tcPr>
          <w:p w14:paraId="207C38AC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Eluxadoline for treating irritable bowel syndrome with diarrhoea</w:t>
            </w:r>
          </w:p>
        </w:tc>
      </w:tr>
      <w:tr w:rsidR="003B311D" w:rsidRPr="00084072" w14:paraId="5E212D7D" w14:textId="77777777" w:rsidTr="00E66B74">
        <w:tc>
          <w:tcPr>
            <w:tcW w:w="827" w:type="dxa"/>
          </w:tcPr>
          <w:p w14:paraId="2FCD5BD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24</w:t>
            </w:r>
          </w:p>
        </w:tc>
        <w:tc>
          <w:tcPr>
            <w:tcW w:w="865" w:type="dxa"/>
          </w:tcPr>
          <w:p w14:paraId="744903C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TA472</w:t>
            </w:r>
          </w:p>
        </w:tc>
        <w:tc>
          <w:tcPr>
            <w:tcW w:w="7884" w:type="dxa"/>
          </w:tcPr>
          <w:p w14:paraId="302387E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Obinutuzumab with bendamustine for treating follicular lymphoma refractory to rituximab</w:t>
            </w:r>
          </w:p>
        </w:tc>
      </w:tr>
      <w:tr w:rsidR="003B311D" w:rsidRPr="00084072" w14:paraId="678EBB29" w14:textId="77777777" w:rsidTr="00E66B74">
        <w:tc>
          <w:tcPr>
            <w:tcW w:w="827" w:type="dxa"/>
          </w:tcPr>
          <w:p w14:paraId="39DAF152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25</w:t>
            </w:r>
          </w:p>
        </w:tc>
        <w:tc>
          <w:tcPr>
            <w:tcW w:w="865" w:type="dxa"/>
          </w:tcPr>
          <w:p w14:paraId="1F68B99F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TA456</w:t>
            </w:r>
          </w:p>
        </w:tc>
        <w:tc>
          <w:tcPr>
            <w:tcW w:w="7884" w:type="dxa"/>
          </w:tcPr>
          <w:p w14:paraId="0FA5D2A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Ustekinumab for moderately to severely active Crohn’s disease after previous treatment</w:t>
            </w:r>
          </w:p>
        </w:tc>
      </w:tr>
      <w:tr w:rsidR="003B311D" w:rsidRPr="00084072" w14:paraId="0DEE2AA8" w14:textId="77777777" w:rsidTr="00E66B74">
        <w:tc>
          <w:tcPr>
            <w:tcW w:w="827" w:type="dxa"/>
          </w:tcPr>
          <w:p w14:paraId="69AF0F1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26</w:t>
            </w:r>
          </w:p>
        </w:tc>
        <w:tc>
          <w:tcPr>
            <w:tcW w:w="865" w:type="dxa"/>
          </w:tcPr>
          <w:p w14:paraId="7BE23D6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TA457</w:t>
            </w:r>
          </w:p>
        </w:tc>
        <w:tc>
          <w:tcPr>
            <w:tcW w:w="7884" w:type="dxa"/>
          </w:tcPr>
          <w:p w14:paraId="315B12D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Carfilzomib for previously treated multiple myeloma</w:t>
            </w:r>
          </w:p>
        </w:tc>
      </w:tr>
      <w:tr w:rsidR="003B311D" w:rsidRPr="00084072" w14:paraId="0227F75A" w14:textId="77777777" w:rsidTr="00E66B74">
        <w:tc>
          <w:tcPr>
            <w:tcW w:w="827" w:type="dxa"/>
          </w:tcPr>
          <w:p w14:paraId="04E72821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27</w:t>
            </w:r>
          </w:p>
        </w:tc>
        <w:tc>
          <w:tcPr>
            <w:tcW w:w="865" w:type="dxa"/>
          </w:tcPr>
          <w:p w14:paraId="32FB3D3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TA461</w:t>
            </w:r>
          </w:p>
        </w:tc>
        <w:tc>
          <w:tcPr>
            <w:tcW w:w="7884" w:type="dxa"/>
          </w:tcPr>
          <w:p w14:paraId="6B67A4BE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Roflumilast for treating chronic obstructive pulmonary disease</w:t>
            </w:r>
          </w:p>
        </w:tc>
      </w:tr>
      <w:tr w:rsidR="003B311D" w:rsidRPr="00084072" w14:paraId="2BE291CE" w14:textId="77777777" w:rsidTr="00E66B74">
        <w:tc>
          <w:tcPr>
            <w:tcW w:w="827" w:type="dxa"/>
          </w:tcPr>
          <w:p w14:paraId="5248E19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28</w:t>
            </w:r>
          </w:p>
        </w:tc>
        <w:tc>
          <w:tcPr>
            <w:tcW w:w="865" w:type="dxa"/>
          </w:tcPr>
          <w:p w14:paraId="5102D93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TA462</w:t>
            </w:r>
          </w:p>
        </w:tc>
        <w:tc>
          <w:tcPr>
            <w:tcW w:w="7884" w:type="dxa"/>
          </w:tcPr>
          <w:p w14:paraId="7553D36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Nivolumab for treating relapsed or refractory classical Hodgkin lymphoma</w:t>
            </w:r>
          </w:p>
        </w:tc>
      </w:tr>
      <w:tr w:rsidR="003B311D" w:rsidRPr="00084072" w14:paraId="0A962257" w14:textId="77777777" w:rsidTr="00E66B74">
        <w:tc>
          <w:tcPr>
            <w:tcW w:w="827" w:type="dxa"/>
          </w:tcPr>
          <w:p w14:paraId="2E004EE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29</w:t>
            </w:r>
          </w:p>
        </w:tc>
        <w:tc>
          <w:tcPr>
            <w:tcW w:w="865" w:type="dxa"/>
          </w:tcPr>
          <w:p w14:paraId="5CDF96D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TA446</w:t>
            </w:r>
          </w:p>
        </w:tc>
        <w:tc>
          <w:tcPr>
            <w:tcW w:w="7884" w:type="dxa"/>
          </w:tcPr>
          <w:p w14:paraId="08AA5BF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Brentuximab vedotin for treating CD30-positive Hodgkin lymphoma</w:t>
            </w:r>
          </w:p>
        </w:tc>
      </w:tr>
      <w:tr w:rsidR="003B311D" w:rsidRPr="00084072" w14:paraId="283B8EFA" w14:textId="77777777" w:rsidTr="00E66B74">
        <w:tc>
          <w:tcPr>
            <w:tcW w:w="827" w:type="dxa"/>
          </w:tcPr>
          <w:p w14:paraId="3CB02BC3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30</w:t>
            </w:r>
          </w:p>
        </w:tc>
        <w:tc>
          <w:tcPr>
            <w:tcW w:w="865" w:type="dxa"/>
          </w:tcPr>
          <w:p w14:paraId="4D8BAE9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TA447</w:t>
            </w:r>
          </w:p>
        </w:tc>
        <w:tc>
          <w:tcPr>
            <w:tcW w:w="7884" w:type="dxa"/>
          </w:tcPr>
          <w:p w14:paraId="02B6573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Pembrolizumab for untreated PD-L1-positive metastatic non-small-cell lung cancer</w:t>
            </w:r>
          </w:p>
        </w:tc>
      </w:tr>
      <w:tr w:rsidR="003B311D" w:rsidRPr="00084072" w14:paraId="3E58F857" w14:textId="77777777" w:rsidTr="00E66B74">
        <w:tc>
          <w:tcPr>
            <w:tcW w:w="827" w:type="dxa"/>
          </w:tcPr>
          <w:p w14:paraId="0FE8CBB1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31</w:t>
            </w:r>
          </w:p>
        </w:tc>
        <w:tc>
          <w:tcPr>
            <w:tcW w:w="865" w:type="dxa"/>
          </w:tcPr>
          <w:p w14:paraId="70DAF8A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TA448</w:t>
            </w:r>
          </w:p>
        </w:tc>
        <w:tc>
          <w:tcPr>
            <w:tcW w:w="7884" w:type="dxa"/>
          </w:tcPr>
          <w:p w14:paraId="1B80FC3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Etelcalcetide for treating secondary hyperparathyroidism</w:t>
            </w:r>
          </w:p>
        </w:tc>
      </w:tr>
      <w:tr w:rsidR="003B311D" w:rsidRPr="00084072" w14:paraId="78936350" w14:textId="77777777" w:rsidTr="00E66B74">
        <w:tc>
          <w:tcPr>
            <w:tcW w:w="827" w:type="dxa"/>
          </w:tcPr>
          <w:p w14:paraId="763BEF1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32</w:t>
            </w:r>
          </w:p>
        </w:tc>
        <w:tc>
          <w:tcPr>
            <w:tcW w:w="865" w:type="dxa"/>
          </w:tcPr>
          <w:p w14:paraId="744FCB6C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TA450</w:t>
            </w:r>
          </w:p>
        </w:tc>
        <w:tc>
          <w:tcPr>
            <w:tcW w:w="7884" w:type="dxa"/>
          </w:tcPr>
          <w:p w14:paraId="343BE38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Blinatumomab for previously treated Philadelphia-chromosome-negative acute lymphoblastic leukaemia</w:t>
            </w:r>
          </w:p>
        </w:tc>
      </w:tr>
      <w:tr w:rsidR="003B311D" w:rsidRPr="00084072" w14:paraId="7860A1B8" w14:textId="77777777" w:rsidTr="00E66B74">
        <w:tc>
          <w:tcPr>
            <w:tcW w:w="827" w:type="dxa"/>
          </w:tcPr>
          <w:p w14:paraId="4955EEA5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33</w:t>
            </w:r>
          </w:p>
        </w:tc>
        <w:tc>
          <w:tcPr>
            <w:tcW w:w="865" w:type="dxa"/>
          </w:tcPr>
          <w:p w14:paraId="00B1101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TA451</w:t>
            </w:r>
          </w:p>
        </w:tc>
        <w:tc>
          <w:tcPr>
            <w:tcW w:w="7884" w:type="dxa"/>
          </w:tcPr>
          <w:p w14:paraId="23C28477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Ponatinib for treating chronic myeloid leukaemia and acute lymphoblastic leukaemia</w:t>
            </w:r>
          </w:p>
        </w:tc>
      </w:tr>
      <w:tr w:rsidR="003B311D" w:rsidRPr="00084072" w14:paraId="5E2BD5F8" w14:textId="77777777" w:rsidTr="00E66B74">
        <w:tc>
          <w:tcPr>
            <w:tcW w:w="827" w:type="dxa"/>
          </w:tcPr>
          <w:p w14:paraId="2E29090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34</w:t>
            </w:r>
          </w:p>
        </w:tc>
        <w:tc>
          <w:tcPr>
            <w:tcW w:w="865" w:type="dxa"/>
          </w:tcPr>
          <w:p w14:paraId="774CAA2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TA440</w:t>
            </w:r>
          </w:p>
        </w:tc>
        <w:tc>
          <w:tcPr>
            <w:tcW w:w="7884" w:type="dxa"/>
          </w:tcPr>
          <w:p w14:paraId="5328C57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Pegylated liposomal irinotecan for treating pancreatic cancer after gemcitabine</w:t>
            </w:r>
          </w:p>
        </w:tc>
      </w:tr>
      <w:tr w:rsidR="003B311D" w:rsidRPr="00084072" w14:paraId="61D498E5" w14:textId="77777777" w:rsidTr="00E66B74">
        <w:tc>
          <w:tcPr>
            <w:tcW w:w="827" w:type="dxa"/>
          </w:tcPr>
          <w:p w14:paraId="52BC7B5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35</w:t>
            </w:r>
          </w:p>
        </w:tc>
        <w:tc>
          <w:tcPr>
            <w:tcW w:w="865" w:type="dxa"/>
          </w:tcPr>
          <w:p w14:paraId="23D46FD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TA442</w:t>
            </w:r>
          </w:p>
        </w:tc>
        <w:tc>
          <w:tcPr>
            <w:tcW w:w="7884" w:type="dxa"/>
          </w:tcPr>
          <w:p w14:paraId="27D2ECD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Ixekizumab for treating moderate to severe plaque psoriasis</w:t>
            </w:r>
          </w:p>
        </w:tc>
      </w:tr>
      <w:tr w:rsidR="003B311D" w:rsidRPr="00084072" w14:paraId="30592E05" w14:textId="77777777" w:rsidTr="00E66B74">
        <w:tc>
          <w:tcPr>
            <w:tcW w:w="827" w:type="dxa"/>
          </w:tcPr>
          <w:p w14:paraId="33FA6A2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36</w:t>
            </w:r>
          </w:p>
        </w:tc>
        <w:tc>
          <w:tcPr>
            <w:tcW w:w="865" w:type="dxa"/>
          </w:tcPr>
          <w:p w14:paraId="28C70F4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TA443</w:t>
            </w:r>
          </w:p>
        </w:tc>
        <w:tc>
          <w:tcPr>
            <w:tcW w:w="7884" w:type="dxa"/>
          </w:tcPr>
          <w:p w14:paraId="77A281C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Obeticholic acid for treating primary biliary cholangitis</w:t>
            </w:r>
          </w:p>
        </w:tc>
      </w:tr>
      <w:tr w:rsidR="003B311D" w:rsidRPr="00084072" w14:paraId="0C2740F7" w14:textId="77777777" w:rsidTr="00E66B74">
        <w:tc>
          <w:tcPr>
            <w:tcW w:w="827" w:type="dxa"/>
          </w:tcPr>
          <w:p w14:paraId="68474C5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37</w:t>
            </w:r>
          </w:p>
        </w:tc>
        <w:tc>
          <w:tcPr>
            <w:tcW w:w="865" w:type="dxa"/>
          </w:tcPr>
          <w:p w14:paraId="12493766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TA427</w:t>
            </w:r>
          </w:p>
        </w:tc>
        <w:tc>
          <w:tcPr>
            <w:tcW w:w="7884" w:type="dxa"/>
          </w:tcPr>
          <w:p w14:paraId="1DDEEC9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Pomalidomide for multiple myeloma previously treated with lenalidomide and bortezomib</w:t>
            </w:r>
          </w:p>
        </w:tc>
      </w:tr>
      <w:tr w:rsidR="003B311D" w:rsidRPr="00084072" w14:paraId="3EACD592" w14:textId="77777777" w:rsidTr="00E66B74">
        <w:tc>
          <w:tcPr>
            <w:tcW w:w="827" w:type="dxa"/>
          </w:tcPr>
          <w:p w14:paraId="58F3EA9E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38</w:t>
            </w:r>
          </w:p>
        </w:tc>
        <w:tc>
          <w:tcPr>
            <w:tcW w:w="865" w:type="dxa"/>
          </w:tcPr>
          <w:p w14:paraId="207C93A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TA428</w:t>
            </w:r>
          </w:p>
        </w:tc>
        <w:tc>
          <w:tcPr>
            <w:tcW w:w="7884" w:type="dxa"/>
          </w:tcPr>
          <w:p w14:paraId="663948D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Pembrolizumab for treating PD-L1-positive non-small-cell lung cancer after chemotherapy</w:t>
            </w:r>
          </w:p>
        </w:tc>
      </w:tr>
      <w:tr w:rsidR="003B311D" w:rsidRPr="00084072" w14:paraId="447354AC" w14:textId="77777777" w:rsidTr="00E66B74">
        <w:tc>
          <w:tcPr>
            <w:tcW w:w="827" w:type="dxa"/>
          </w:tcPr>
          <w:p w14:paraId="078A1DF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39</w:t>
            </w:r>
          </w:p>
        </w:tc>
        <w:tc>
          <w:tcPr>
            <w:tcW w:w="865" w:type="dxa"/>
          </w:tcPr>
          <w:p w14:paraId="58ACD4CA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TA429</w:t>
            </w:r>
          </w:p>
        </w:tc>
        <w:tc>
          <w:tcPr>
            <w:tcW w:w="7884" w:type="dxa"/>
          </w:tcPr>
          <w:p w14:paraId="796C2278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Ibrutinib for previously treated chronic lymphocytic leukaemia and untreated chronic lymphocytic leukaemia with 17p deletion or TP53 mutation</w:t>
            </w:r>
          </w:p>
        </w:tc>
      </w:tr>
      <w:tr w:rsidR="003B311D" w:rsidRPr="00084072" w14:paraId="4615CFB6" w14:textId="77777777" w:rsidTr="00E66B74">
        <w:tc>
          <w:tcPr>
            <w:tcW w:w="827" w:type="dxa"/>
          </w:tcPr>
          <w:p w14:paraId="178426B9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40</w:t>
            </w:r>
          </w:p>
        </w:tc>
        <w:tc>
          <w:tcPr>
            <w:tcW w:w="865" w:type="dxa"/>
          </w:tcPr>
          <w:p w14:paraId="43CE51B0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TA430</w:t>
            </w:r>
          </w:p>
        </w:tc>
        <w:tc>
          <w:tcPr>
            <w:tcW w:w="7884" w:type="dxa"/>
          </w:tcPr>
          <w:p w14:paraId="5D20958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Sofosbuvir–velpatasvir for treating chronic hepatitis C</w:t>
            </w:r>
          </w:p>
        </w:tc>
      </w:tr>
      <w:tr w:rsidR="003B311D" w:rsidRPr="00084072" w14:paraId="657262D4" w14:textId="77777777" w:rsidTr="00E66B74">
        <w:tc>
          <w:tcPr>
            <w:tcW w:w="827" w:type="dxa"/>
          </w:tcPr>
          <w:p w14:paraId="4DCE4744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41</w:t>
            </w:r>
          </w:p>
        </w:tc>
        <w:tc>
          <w:tcPr>
            <w:tcW w:w="865" w:type="dxa"/>
          </w:tcPr>
          <w:p w14:paraId="7D90E6D9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TA431</w:t>
            </w:r>
          </w:p>
        </w:tc>
        <w:tc>
          <w:tcPr>
            <w:tcW w:w="7884" w:type="dxa"/>
          </w:tcPr>
          <w:p w14:paraId="3AF5094B" w14:textId="77777777" w:rsidR="003B311D" w:rsidRPr="00560EB9" w:rsidRDefault="003B311D" w:rsidP="00E66B74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560EB9">
              <w:rPr>
                <w:rFonts w:ascii="Times New Roman" w:hAnsi="Times New Roman"/>
              </w:rPr>
              <w:t>Mepolizumab for treating severe refractory eosinophilic asthma</w:t>
            </w:r>
          </w:p>
        </w:tc>
      </w:tr>
    </w:tbl>
    <w:p w14:paraId="70463E06" w14:textId="77777777" w:rsidR="003B311D" w:rsidRDefault="003B311D" w:rsidP="003B311D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</w:p>
    <w:p w14:paraId="51C6524E" w14:textId="77777777" w:rsidR="00B37338" w:rsidRDefault="00B37338"/>
    <w:sectPr w:rsidR="00B3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1D"/>
    <w:rsid w:val="003B311D"/>
    <w:rsid w:val="006C2CD5"/>
    <w:rsid w:val="00863560"/>
    <w:rsid w:val="00B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EDBD"/>
  <w15:chartTrackingRefBased/>
  <w15:docId w15:val="{D5044EAF-83A1-46DF-975D-DA1E0186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1D"/>
    <w:pPr>
      <w:jc w:val="left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11D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Hopkin</dc:creator>
  <cp:keywords/>
  <dc:description/>
  <cp:lastModifiedBy>Gareth Hopkin</cp:lastModifiedBy>
  <cp:revision>3</cp:revision>
  <dcterms:created xsi:type="dcterms:W3CDTF">2020-01-31T22:03:00Z</dcterms:created>
  <dcterms:modified xsi:type="dcterms:W3CDTF">2020-02-29T00:10:00Z</dcterms:modified>
</cp:coreProperties>
</file>