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CDA3" w14:textId="77777777" w:rsidR="00B83354" w:rsidRPr="00B142C3" w:rsidRDefault="00B83354" w:rsidP="00B83354">
      <w:pPr>
        <w:pStyle w:val="Heading2"/>
      </w:pPr>
      <w:bookmarkStart w:id="0" w:name="_Toc46847651"/>
      <w:r w:rsidRPr="00B142C3">
        <w:t>Appendix 1 – Country profiles</w:t>
      </w:r>
      <w:bookmarkEnd w:id="0"/>
    </w:p>
    <w:p w14:paraId="6FF0BEED" w14:textId="77777777" w:rsidR="00B83354" w:rsidRPr="00B142C3" w:rsidRDefault="00B83354" w:rsidP="00B83354">
      <w:pPr>
        <w:pStyle w:val="Heading3"/>
      </w:pPr>
      <w:r w:rsidRPr="00B142C3">
        <w:t xml:space="preserve">I. </w:t>
      </w:r>
      <w:proofErr w:type="spellStart"/>
      <w:r w:rsidRPr="00B142C3">
        <w:t>IQWiG</w:t>
      </w:r>
      <w:proofErr w:type="spellEnd"/>
    </w:p>
    <w:tbl>
      <w:tblPr>
        <w:tblStyle w:val="TableGrid"/>
        <w:tblW w:w="0" w:type="auto"/>
        <w:tblLook w:val="04A0" w:firstRow="1" w:lastRow="0" w:firstColumn="1" w:lastColumn="0" w:noHBand="0" w:noVBand="1"/>
      </w:tblPr>
      <w:tblGrid>
        <w:gridCol w:w="9016"/>
      </w:tblGrid>
      <w:tr w:rsidR="00B83354" w:rsidRPr="00B142C3" w14:paraId="6DE2ECB2" w14:textId="77777777" w:rsidTr="00BD2DE2">
        <w:tc>
          <w:tcPr>
            <w:tcW w:w="9016" w:type="dxa"/>
          </w:tcPr>
          <w:p w14:paraId="01D98CB4" w14:textId="77777777" w:rsidR="00B83354" w:rsidRPr="00B142C3" w:rsidRDefault="00B83354" w:rsidP="00BD2DE2">
            <w:pPr>
              <w:jc w:val="both"/>
              <w:rPr>
                <w:rFonts w:cs="Times New Roman"/>
                <w:b/>
                <w:bCs/>
                <w:iCs/>
              </w:rPr>
            </w:pPr>
            <w:proofErr w:type="spellStart"/>
            <w:r w:rsidRPr="00B142C3">
              <w:rPr>
                <w:rFonts w:cs="Times New Roman"/>
                <w:b/>
                <w:bCs/>
                <w:iCs/>
              </w:rPr>
              <w:t>IQWiG</w:t>
            </w:r>
            <w:proofErr w:type="spellEnd"/>
            <w:r w:rsidRPr="00B142C3">
              <w:rPr>
                <w:rFonts w:cs="Times New Roman"/>
                <w:b/>
                <w:bCs/>
                <w:iCs/>
              </w:rPr>
              <w:t xml:space="preserve"> guidelines included:</w:t>
            </w:r>
          </w:p>
          <w:p w14:paraId="11F77996" w14:textId="77777777" w:rsidR="00B83354" w:rsidRPr="00B142C3" w:rsidRDefault="00B83354" w:rsidP="00BD2DE2">
            <w:pPr>
              <w:numPr>
                <w:ilvl w:val="0"/>
                <w:numId w:val="7"/>
              </w:numPr>
              <w:spacing w:line="240" w:lineRule="auto"/>
              <w:contextualSpacing/>
              <w:jc w:val="both"/>
              <w:rPr>
                <w:rFonts w:cs="Times New Roman"/>
                <w:b/>
                <w:bCs/>
                <w:iCs/>
              </w:rPr>
            </w:pPr>
            <w:r w:rsidRPr="00B142C3">
              <w:rPr>
                <w:rFonts w:eastAsia="Times New Roman" w:cs="Times New Roman"/>
              </w:rPr>
              <w:t>Institute for Quality and Efficiency in Healthcare (</w:t>
            </w:r>
            <w:proofErr w:type="spellStart"/>
            <w:r w:rsidRPr="00B142C3">
              <w:rPr>
                <w:rFonts w:eastAsia="Times New Roman" w:cs="Times New Roman"/>
              </w:rPr>
              <w:t>IQWiG</w:t>
            </w:r>
            <w:proofErr w:type="spellEnd"/>
            <w:r w:rsidRPr="00B142C3">
              <w:rPr>
                <w:rFonts w:eastAsia="Times New Roman" w:cs="Times New Roman"/>
              </w:rPr>
              <w:t>), “General Methods - Version 5.0,” Köln (Germany), 2017. [Online]. Available: https://www.iqwig.de/download/General-Methods_Version-5-0.pdf.</w:t>
            </w:r>
          </w:p>
          <w:p w14:paraId="5E0018B4" w14:textId="77777777" w:rsidR="00B83354" w:rsidRPr="00B142C3" w:rsidRDefault="00B83354" w:rsidP="00BD2DE2">
            <w:pPr>
              <w:jc w:val="both"/>
              <w:rPr>
                <w:rFonts w:cs="Times New Roman"/>
                <w:b/>
                <w:bCs/>
                <w:iCs/>
              </w:rPr>
            </w:pPr>
            <w:proofErr w:type="spellStart"/>
            <w:r w:rsidRPr="00B142C3">
              <w:rPr>
                <w:rFonts w:cs="Times New Roman"/>
                <w:b/>
                <w:bCs/>
                <w:iCs/>
              </w:rPr>
              <w:t>IQWiG</w:t>
            </w:r>
            <w:proofErr w:type="spellEnd"/>
            <w:r w:rsidRPr="00B142C3">
              <w:rPr>
                <w:rFonts w:cs="Times New Roman"/>
                <w:b/>
                <w:bCs/>
                <w:iCs/>
              </w:rPr>
              <w:t xml:space="preserve"> assessments included:</w:t>
            </w:r>
          </w:p>
          <w:p w14:paraId="44C09E7C" w14:textId="77777777" w:rsidR="00B83354" w:rsidRPr="00B142C3" w:rsidRDefault="00B83354" w:rsidP="00BD2DE2">
            <w:pPr>
              <w:jc w:val="both"/>
              <w:rPr>
                <w:rFonts w:cs="Times New Roman"/>
                <w:i/>
              </w:rPr>
            </w:pPr>
            <w:r w:rsidRPr="00B142C3">
              <w:rPr>
                <w:rFonts w:cs="Times New Roman"/>
                <w:i/>
              </w:rPr>
              <w:t>Last 3 assessments of the ‘Benefit assessment according to §35a Social Code Book V’ process with available English extracts at the time of retrieval (11/04/2020), excluding addendums.</w:t>
            </w:r>
          </w:p>
          <w:p w14:paraId="2C8CE6DF" w14:textId="77777777" w:rsidR="00B83354" w:rsidRPr="00B142C3" w:rsidRDefault="00B83354" w:rsidP="00BD2DE2">
            <w:pPr>
              <w:numPr>
                <w:ilvl w:val="0"/>
                <w:numId w:val="11"/>
              </w:numPr>
              <w:spacing w:line="240" w:lineRule="auto"/>
              <w:contextualSpacing/>
              <w:jc w:val="both"/>
              <w:rPr>
                <w:rFonts w:cs="Times New Roman"/>
                <w:iCs/>
              </w:rPr>
            </w:pPr>
            <w:r w:rsidRPr="00B142C3">
              <w:rPr>
                <w:rFonts w:cs="Times New Roman"/>
                <w:iCs/>
              </w:rPr>
              <w:t>Institute for Quality and Efficiency in Healthcare (</w:t>
            </w:r>
            <w:proofErr w:type="spellStart"/>
            <w:r w:rsidRPr="00B142C3">
              <w:rPr>
                <w:rFonts w:cs="Times New Roman"/>
                <w:iCs/>
              </w:rPr>
              <w:t>IQWiG</w:t>
            </w:r>
            <w:proofErr w:type="spellEnd"/>
            <w:r w:rsidRPr="00B142C3">
              <w:rPr>
                <w:rFonts w:cs="Times New Roman"/>
                <w:iCs/>
              </w:rPr>
              <w:t xml:space="preserve">), “Larotrectinib </w:t>
            </w:r>
            <w:proofErr w:type="gramStart"/>
            <w:r w:rsidRPr="00B142C3">
              <w:rPr>
                <w:rFonts w:cs="Times New Roman"/>
                <w:iCs/>
              </w:rPr>
              <w:t>( solid</w:t>
            </w:r>
            <w:proofErr w:type="gramEnd"/>
            <w:r w:rsidRPr="00B142C3">
              <w:rPr>
                <w:rFonts w:cs="Times New Roman"/>
                <w:iCs/>
              </w:rPr>
              <w:t xml:space="preserve"> tumours with neurotrophic tyrosine receptor kinase [NTRK] gene fusion) – Benefit assessment according to § 35a - English Extract,” Köln (Germany), 2020. [Online]. Available: https://iqwig.de/download/A19-90_Larotrectinib_Extract-of-dossier-assessment_V1-0.pdf.</w:t>
            </w:r>
          </w:p>
          <w:p w14:paraId="3481BB19" w14:textId="77777777" w:rsidR="00B83354" w:rsidRPr="00B142C3" w:rsidRDefault="00B83354" w:rsidP="00BD2DE2">
            <w:pPr>
              <w:numPr>
                <w:ilvl w:val="0"/>
                <w:numId w:val="11"/>
              </w:numPr>
              <w:spacing w:line="240" w:lineRule="auto"/>
              <w:contextualSpacing/>
              <w:jc w:val="both"/>
              <w:rPr>
                <w:rFonts w:cs="Times New Roman"/>
                <w:iCs/>
              </w:rPr>
            </w:pPr>
            <w:r w:rsidRPr="00B142C3">
              <w:rPr>
                <w:rFonts w:cs="Times New Roman"/>
                <w:iCs/>
              </w:rPr>
              <w:t>Institute for Quality and Efficiency in Healthcare (</w:t>
            </w:r>
            <w:proofErr w:type="spellStart"/>
            <w:r w:rsidRPr="00B142C3">
              <w:rPr>
                <w:rFonts w:cs="Times New Roman"/>
                <w:iCs/>
              </w:rPr>
              <w:t>IQWiG</w:t>
            </w:r>
            <w:proofErr w:type="spellEnd"/>
            <w:r w:rsidRPr="00B142C3">
              <w:rPr>
                <w:rFonts w:cs="Times New Roman"/>
                <w:iCs/>
              </w:rPr>
              <w:t>), “Ibrutinib (chronic lymphocytic leukaemia) – Benefit assessment according to § 35a - English Extract,” Köln (Germany), 2019. [Online]. Available: https://iqwig.de/download/A19-77_Ibrutinib_Extract-of-dossier-assessment_V2-0.pdf.</w:t>
            </w:r>
          </w:p>
          <w:p w14:paraId="6FF38FDC" w14:textId="77777777" w:rsidR="00B83354" w:rsidRPr="00B142C3" w:rsidRDefault="00B83354" w:rsidP="00BD2DE2">
            <w:pPr>
              <w:numPr>
                <w:ilvl w:val="0"/>
                <w:numId w:val="11"/>
              </w:numPr>
              <w:spacing w:line="240" w:lineRule="auto"/>
              <w:contextualSpacing/>
              <w:jc w:val="both"/>
              <w:rPr>
                <w:rFonts w:cs="Times New Roman"/>
                <w:b/>
                <w:bCs/>
                <w:iCs/>
              </w:rPr>
            </w:pPr>
            <w:r w:rsidRPr="00B142C3">
              <w:rPr>
                <w:rFonts w:cs="Times New Roman"/>
                <w:iCs/>
              </w:rPr>
              <w:t>Institute for Quality and Efficiency in Healthcare (</w:t>
            </w:r>
            <w:proofErr w:type="spellStart"/>
            <w:r w:rsidRPr="00B142C3">
              <w:rPr>
                <w:rFonts w:cs="Times New Roman"/>
                <w:iCs/>
              </w:rPr>
              <w:t>IQWiG</w:t>
            </w:r>
            <w:proofErr w:type="spellEnd"/>
            <w:r w:rsidRPr="00B142C3">
              <w:rPr>
                <w:rFonts w:cs="Times New Roman"/>
                <w:iCs/>
              </w:rPr>
              <w:t>), “Ivacaftor (cystic fibrosis, 12 to &lt; 24 months, with gating mutations) - Benefit assessment according to §35a Social Code Book V - English Extract,” Köln (Germany), 2019. [Online]. Available: https://iqwig.de/download/A19-69_Ivacaftor_Extract-of-dossier-assessment_V1-0.pdf.</w:t>
            </w:r>
          </w:p>
        </w:tc>
      </w:tr>
    </w:tbl>
    <w:p w14:paraId="359F5995" w14:textId="77777777" w:rsidR="00B83354" w:rsidRPr="00B142C3" w:rsidRDefault="00B83354" w:rsidP="00B83354">
      <w:pPr>
        <w:jc w:val="both"/>
        <w:rPr>
          <w:rFonts w:cs="Times New Roman"/>
          <w:b/>
          <w:bCs/>
          <w:iCs/>
        </w:rPr>
      </w:pPr>
    </w:p>
    <w:p w14:paraId="3D3C78C7" w14:textId="77777777" w:rsidR="00B83354" w:rsidRPr="00B142C3" w:rsidRDefault="00B83354" w:rsidP="00B83354">
      <w:pPr>
        <w:ind w:firstLine="720"/>
        <w:jc w:val="both"/>
        <w:rPr>
          <w:rFonts w:cs="Times New Roman"/>
          <w:iCs/>
        </w:rPr>
      </w:pPr>
      <w:proofErr w:type="spellStart"/>
      <w:r w:rsidRPr="00B142C3">
        <w:rPr>
          <w:rFonts w:cs="Times New Roman"/>
          <w:iCs/>
        </w:rPr>
        <w:t>IQWiG</w:t>
      </w:r>
      <w:proofErr w:type="spellEnd"/>
      <w:r w:rsidRPr="00B142C3">
        <w:rPr>
          <w:rFonts w:cs="Times New Roman"/>
          <w:iCs/>
        </w:rPr>
        <w:t xml:space="preserve"> assesses all drugs entering the German market (excluding inpatient) </w:t>
      </w:r>
      <w:sdt>
        <w:sdtPr>
          <w:rPr>
            <w:rFonts w:cs="Times New Roman"/>
            <w:iCs/>
            <w:color w:val="000000"/>
          </w:rPr>
          <w:tag w:val="MENDELEY_CITATION_bd5fb37b-bbd5-4c8f-8374-89a18740b6a1"/>
          <w:id w:val="-4989497"/>
          <w:placeholder>
            <w:docPart w:val="D69E3F54B41547D8A6353695082F624A"/>
          </w:placeholder>
        </w:sdtPr>
        <w:sdtEndPr/>
        <w:sdtContent>
          <w:r w:rsidRPr="00B142C3">
            <w:rPr>
              <w:rFonts w:cs="Times New Roman"/>
              <w:iCs/>
              <w:color w:val="000000"/>
            </w:rPr>
            <w:t>(1)</w:t>
          </w:r>
        </w:sdtContent>
      </w:sdt>
      <w:r w:rsidRPr="00B142C3">
        <w:rPr>
          <w:rFonts w:cs="Times New Roman"/>
          <w:iCs/>
          <w:color w:val="000000"/>
        </w:rPr>
        <w:t xml:space="preserve"> making a recommendation to the Federal Joint Committee (G-BA). The G-BA then issues a directive on the reimbursement of the drug </w:t>
      </w:r>
      <w:sdt>
        <w:sdtPr>
          <w:rPr>
            <w:rFonts w:cs="Times New Roman"/>
            <w:iCs/>
            <w:color w:val="000000"/>
          </w:rPr>
          <w:tag w:val="MENDELEY_CITATION_ec503923-92ee-4c30-b89e-42696d6a895c"/>
          <w:id w:val="641546840"/>
          <w:placeholder>
            <w:docPart w:val="D69E3F54B41547D8A6353695082F624A"/>
          </w:placeholder>
        </w:sdtPr>
        <w:sdtEndPr/>
        <w:sdtContent>
          <w:r w:rsidRPr="00B142C3">
            <w:rPr>
              <w:rFonts w:cs="Times New Roman"/>
              <w:iCs/>
              <w:color w:val="000000"/>
            </w:rPr>
            <w:t>(2)</w:t>
          </w:r>
        </w:sdtContent>
      </w:sdt>
      <w:r w:rsidRPr="00B142C3">
        <w:rPr>
          <w:rFonts w:cs="Times New Roman"/>
          <w:iCs/>
          <w:color w:val="000000"/>
        </w:rPr>
        <w:t>.</w:t>
      </w:r>
    </w:p>
    <w:p w14:paraId="53F2475A" w14:textId="77777777" w:rsidR="00B83354" w:rsidRPr="00B142C3" w:rsidRDefault="00B83354" w:rsidP="00B83354">
      <w:pPr>
        <w:ind w:firstLine="720"/>
        <w:jc w:val="both"/>
        <w:rPr>
          <w:rFonts w:cs="Times New Roman"/>
          <w:iCs/>
        </w:rPr>
      </w:pPr>
      <w:r w:rsidRPr="00B142C3">
        <w:rPr>
          <w:rFonts w:cs="Times New Roman"/>
          <w:iCs/>
        </w:rPr>
        <w:t xml:space="preserve">According to </w:t>
      </w:r>
      <w:proofErr w:type="spellStart"/>
      <w:r w:rsidRPr="00B142C3">
        <w:rPr>
          <w:rFonts w:cs="Times New Roman"/>
          <w:iCs/>
        </w:rPr>
        <w:t>IQWiG’s</w:t>
      </w:r>
      <w:proofErr w:type="spellEnd"/>
      <w:r w:rsidRPr="00B142C3">
        <w:rPr>
          <w:rFonts w:cs="Times New Roman"/>
          <w:iCs/>
        </w:rPr>
        <w:t xml:space="preserve"> latest ‘General Methods’ </w:t>
      </w:r>
      <w:sdt>
        <w:sdtPr>
          <w:rPr>
            <w:rFonts w:cs="Times New Roman"/>
            <w:iCs/>
            <w:color w:val="000000"/>
          </w:rPr>
          <w:tag w:val="MENDELEY_CITATION_0c426449-837d-482a-be19-73ed7c6b6620"/>
          <w:id w:val="-1501346457"/>
          <w:placeholder>
            <w:docPart w:val="D69E3F54B41547D8A6353695082F624A"/>
          </w:placeholder>
        </w:sdtPr>
        <w:sdtEndPr/>
        <w:sdtContent>
          <w:r w:rsidRPr="00B142C3">
            <w:rPr>
              <w:rFonts w:cs="Times New Roman"/>
              <w:iCs/>
              <w:color w:val="000000"/>
            </w:rPr>
            <w:t>(3)</w:t>
          </w:r>
        </w:sdtContent>
      </w:sdt>
      <w:r w:rsidRPr="00B142C3">
        <w:rPr>
          <w:rFonts w:cs="Times New Roman"/>
          <w:iCs/>
        </w:rPr>
        <w:t xml:space="preserve">, evidence-based medicine (EBM) guidelines for the assessment of the relative benefit and its certainty are followed, like for instance those of GRADE. </w:t>
      </w:r>
      <w:proofErr w:type="spellStart"/>
      <w:r w:rsidRPr="00B142C3">
        <w:rPr>
          <w:rFonts w:cs="Times New Roman"/>
          <w:iCs/>
        </w:rPr>
        <w:t>IQWiG</w:t>
      </w:r>
      <w:proofErr w:type="spellEnd"/>
      <w:r w:rsidRPr="00B142C3">
        <w:rPr>
          <w:rFonts w:cs="Times New Roman"/>
          <w:iCs/>
        </w:rPr>
        <w:t xml:space="preserve"> then proceeds with an ‘outcomes related assessment’ and, when possible, a ‘summarizing assessment’. </w:t>
      </w:r>
    </w:p>
    <w:p w14:paraId="10A83877" w14:textId="77777777" w:rsidR="00B83354" w:rsidRPr="00B142C3" w:rsidRDefault="00B83354" w:rsidP="00B83354">
      <w:pPr>
        <w:ind w:firstLine="720"/>
        <w:jc w:val="both"/>
        <w:rPr>
          <w:rFonts w:cs="Times New Roman"/>
          <w:iCs/>
        </w:rPr>
      </w:pPr>
      <w:r w:rsidRPr="00B142C3">
        <w:rPr>
          <w:rFonts w:cs="Times New Roman"/>
          <w:iCs/>
        </w:rPr>
        <w:t>In the outcomes related assessment, it uses ‘certainty of results’ as an umbrella term under which lie the ‘quantitative certainty of results’ (statistical uncertainty; associated to study size) and ‘qualitative certainty of results’ (risk of bias; associated to study design) for the individual study and outcomes level (</w:t>
      </w:r>
      <w:r w:rsidRPr="00B142C3">
        <w:rPr>
          <w:rFonts w:cs="Times New Roman"/>
          <w:b/>
          <w:bCs/>
          <w:iCs/>
        </w:rPr>
        <w:t>IS</w:t>
      </w:r>
      <w:r w:rsidRPr="00B142C3">
        <w:rPr>
          <w:rFonts w:cs="Times New Roman"/>
          <w:iCs/>
        </w:rPr>
        <w:t xml:space="preserve">). It also uses the term ‘certainty of conclusions’ (for the outcomes level - </w:t>
      </w:r>
      <w:r w:rsidRPr="00B142C3">
        <w:rPr>
          <w:rFonts w:cs="Times New Roman"/>
          <w:b/>
          <w:bCs/>
          <w:iCs/>
        </w:rPr>
        <w:t>BE1</w:t>
      </w:r>
      <w:r w:rsidRPr="00B142C3">
        <w:rPr>
          <w:rFonts w:cs="Times New Roman"/>
          <w:iCs/>
        </w:rPr>
        <w:t>).</w:t>
      </w:r>
    </w:p>
    <w:p w14:paraId="208AEEDF" w14:textId="77777777" w:rsidR="00B83354" w:rsidRPr="00B142C3" w:rsidRDefault="00B83354" w:rsidP="00B83354">
      <w:pPr>
        <w:ind w:firstLine="720"/>
        <w:jc w:val="both"/>
        <w:rPr>
          <w:rFonts w:cs="Times New Roman"/>
          <w:iCs/>
        </w:rPr>
      </w:pPr>
      <w:r w:rsidRPr="00B142C3">
        <w:rPr>
          <w:rFonts w:cs="Times New Roman"/>
          <w:iCs/>
        </w:rPr>
        <w:t>Quantitative certainty (</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of results is used as a synonym to statistical uncertainty caused by random errors, being connected to sample size and expressed by statistical means of standard error and confidence intervals. Qualitative certainty of results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xml:space="preserve">) on the other hand is connected to potential bias and study design and is assessed for statistically significant results. </w:t>
      </w:r>
      <w:proofErr w:type="spellStart"/>
      <w:r w:rsidRPr="00B142C3">
        <w:rPr>
          <w:rFonts w:cs="Times New Roman"/>
          <w:iCs/>
        </w:rPr>
        <w:t>IQWiG</w:t>
      </w:r>
      <w:proofErr w:type="spellEnd"/>
      <w:r w:rsidRPr="00B142C3">
        <w:rPr>
          <w:rFonts w:cs="Times New Roman"/>
          <w:iCs/>
        </w:rPr>
        <w:t xml:space="preserve"> judges the qualitative certainty of individual studies and outcomes based on a 3-level scale (low, moderate, high), </w:t>
      </w:r>
      <w:r w:rsidRPr="00B142C3">
        <w:rPr>
          <w:rFonts w:cs="Times New Roman"/>
          <w:iCs/>
        </w:rPr>
        <w:lastRenderedPageBreak/>
        <w:t>assigning the two highest ranks to RCTs, with low or high risk of bias respectively, and the lowest one to non-randomized comparative studies.</w:t>
      </w:r>
    </w:p>
    <w:p w14:paraId="0CFA98FD" w14:textId="07D7D8D4" w:rsidR="00B83354" w:rsidRPr="00B142C3" w:rsidRDefault="00B83354" w:rsidP="00B83354">
      <w:pPr>
        <w:ind w:firstLine="720"/>
        <w:jc w:val="both"/>
        <w:rPr>
          <w:rFonts w:cs="Times New Roman"/>
          <w:iCs/>
        </w:rPr>
      </w:pPr>
      <w:r w:rsidRPr="00B142C3">
        <w:rPr>
          <w:rFonts w:cs="Times New Roman"/>
          <w:iCs/>
        </w:rPr>
        <w:t>The assessment of certainty of conclusions for a specific outcome (</w:t>
      </w:r>
      <w:r w:rsidRPr="00B142C3">
        <w:rPr>
          <w:rFonts w:cs="Times New Roman"/>
          <w:b/>
          <w:bCs/>
          <w:iCs/>
        </w:rPr>
        <w:t>BE1</w:t>
      </w:r>
      <w:r w:rsidRPr="00B142C3">
        <w:rPr>
          <w:rFonts w:cs="Times New Roman"/>
          <w:iCs/>
        </w:rPr>
        <w:t>) is based on a 3-level scale (hint, indication, proof) and is essentially the product of the qualitative certainty of the body of evidence available for a specific outcome (</w:t>
      </w:r>
      <w:bookmarkStart w:id="1" w:name="_Hlk30602276"/>
      <w:r w:rsidRPr="00B142C3">
        <w:rPr>
          <w:rFonts w:cs="Times New Roman"/>
          <w:b/>
          <w:bCs/>
          <w:iCs/>
          <w:color w:val="C00000"/>
        </w:rPr>
        <w:sym w:font="Wingdings" w:char="F0F2"/>
      </w:r>
      <w:bookmarkEnd w:id="1"/>
      <w:proofErr w:type="spellStart"/>
      <w:r w:rsidRPr="00B142C3">
        <w:rPr>
          <w:rFonts w:cs="Times New Roman"/>
          <w:b/>
          <w:bCs/>
          <w:iCs/>
          <w:color w:val="C00000"/>
        </w:rPr>
        <w:t>RoB</w:t>
      </w:r>
      <w:proofErr w:type="spellEnd"/>
      <w:r w:rsidRPr="00B142C3">
        <w:rPr>
          <w:rFonts w:cs="Times New Roman"/>
          <w:iCs/>
        </w:rPr>
        <w:t xml:space="preserve">), the number of studies comprising </w:t>
      </w:r>
      <w:r w:rsidRPr="00B142C3">
        <w:rPr>
          <w:rFonts w:cs="Times New Roman"/>
          <w:iCs/>
          <w:lang w:val="en-US"/>
        </w:rPr>
        <w:t>it</w:t>
      </w:r>
      <w:r w:rsidRPr="00B142C3">
        <w:rPr>
          <w:rFonts w:cs="Times New Roman"/>
          <w:iCs/>
        </w:rPr>
        <w:t xml:space="preserve"> (</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and the direction of results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 xml:space="preserve">). The above that comes out of </w:t>
      </w:r>
      <w:proofErr w:type="spellStart"/>
      <w:r w:rsidRPr="00B142C3">
        <w:rPr>
          <w:rFonts w:cs="Times New Roman"/>
          <w:iCs/>
        </w:rPr>
        <w:t>IQWiG’s</w:t>
      </w:r>
      <w:proofErr w:type="spellEnd"/>
      <w:r w:rsidRPr="00B142C3">
        <w:rPr>
          <w:rFonts w:cs="Times New Roman"/>
          <w:iCs/>
        </w:rPr>
        <w:t xml:space="preserve"> guidelines, is also confirmed with a statement in the three assessments examined </w:t>
      </w:r>
      <w:sdt>
        <w:sdtPr>
          <w:rPr>
            <w:rFonts w:cs="Times New Roman"/>
            <w:iCs/>
            <w:color w:val="000000"/>
          </w:rPr>
          <w:tag w:val="MENDELEY_CITATION_baca23cf-d178-447c-ae04-89ec72762201"/>
          <w:id w:val="-549536139"/>
          <w:placeholder>
            <w:docPart w:val="D69E3F54B41547D8A6353695082F624A"/>
          </w:placeholder>
        </w:sdtPr>
        <w:sdtEndPr/>
        <w:sdtContent>
          <w:r w:rsidRPr="00B142C3">
            <w:rPr>
              <w:rFonts w:cs="Times New Roman"/>
              <w:iCs/>
              <w:color w:val="000000"/>
            </w:rPr>
            <w:t>(4–6)</w:t>
          </w:r>
        </w:sdtContent>
      </w:sdt>
      <w:r w:rsidRPr="00B142C3">
        <w:rPr>
          <w:rFonts w:cs="Times New Roman"/>
          <w:iCs/>
        </w:rPr>
        <w:t xml:space="preserve">. However, the full assessment </w:t>
      </w:r>
      <w:r w:rsidRPr="00B142C3">
        <w:rPr>
          <w:rFonts w:cs="Times New Roman"/>
          <w:iCs/>
          <w:lang w:val="en-US"/>
        </w:rPr>
        <w:t xml:space="preserve">of these domains </w:t>
      </w:r>
      <w:r w:rsidRPr="00B142C3">
        <w:rPr>
          <w:rFonts w:cs="Times New Roman"/>
          <w:iCs/>
        </w:rPr>
        <w:t xml:space="preserve">was not available in the English extract of the assessment reports </w:t>
      </w:r>
      <w:proofErr w:type="gramStart"/>
      <w:r w:rsidRPr="00B142C3">
        <w:rPr>
          <w:rFonts w:cs="Times New Roman"/>
          <w:iCs/>
        </w:rPr>
        <w:t>taken into account</w:t>
      </w:r>
      <w:proofErr w:type="gramEnd"/>
      <w:r w:rsidRPr="00B142C3">
        <w:rPr>
          <w:rFonts w:cs="Times New Roman"/>
          <w:iCs/>
        </w:rPr>
        <w:t>.</w:t>
      </w:r>
      <w:r w:rsidR="00027490">
        <w:rPr>
          <w:rFonts w:cs="Times New Roman"/>
          <w:iCs/>
        </w:rPr>
        <w:t xml:space="preserve"> Furthermore, as stated in the same document, “</w:t>
      </w:r>
      <w:r w:rsidR="00027490" w:rsidRPr="00027490">
        <w:rPr>
          <w:rFonts w:cs="Times New Roman"/>
          <w:iCs/>
        </w:rPr>
        <w:t>a clear direction</w:t>
      </w:r>
      <w:r w:rsidR="00027490">
        <w:rPr>
          <w:rFonts w:cs="Times New Roman"/>
          <w:iCs/>
        </w:rPr>
        <w:t xml:space="preserve"> of risk of bias (…) can justify an increase in certainty”</w:t>
      </w:r>
      <w:r w:rsidR="00585FD6">
        <w:rPr>
          <w:rFonts w:cs="Times New Roman"/>
          <w:iCs/>
        </w:rPr>
        <w:t xml:space="preserve"> (</w:t>
      </w:r>
      <w:r w:rsidR="00585FD6" w:rsidRPr="00585FD6">
        <w:rPr>
          <w:rFonts w:cs="Times New Roman"/>
          <w:b/>
          <w:bCs/>
          <w:iCs/>
        </w:rPr>
        <w:sym w:font="Wingdings" w:char="F0F1"/>
      </w:r>
      <w:proofErr w:type="spellStart"/>
      <w:r w:rsidR="00585FD6" w:rsidRPr="00585FD6">
        <w:rPr>
          <w:rFonts w:cs="Times New Roman"/>
          <w:b/>
          <w:bCs/>
          <w:iCs/>
        </w:rPr>
        <w:t>PlC</w:t>
      </w:r>
      <w:proofErr w:type="spellEnd"/>
      <w:r w:rsidR="00585FD6">
        <w:rPr>
          <w:rFonts w:cs="Times New Roman"/>
          <w:iCs/>
        </w:rPr>
        <w:t>)</w:t>
      </w:r>
      <w:r w:rsidR="00027490">
        <w:rPr>
          <w:rFonts w:cs="Times New Roman"/>
          <w:iCs/>
        </w:rPr>
        <w:t>.</w:t>
      </w:r>
      <w:r w:rsidRPr="00B142C3">
        <w:rPr>
          <w:rFonts w:cs="Times New Roman"/>
          <w:iCs/>
        </w:rPr>
        <w:t xml:space="preserve"> The above-mentioned approach is in-line with the outcome centric logic of GRADE, although it differs in its reporting and the </w:t>
      </w:r>
      <w:r>
        <w:rPr>
          <w:rFonts w:cs="Times New Roman"/>
          <w:iCs/>
        </w:rPr>
        <w:t>wording</w:t>
      </w:r>
      <w:r w:rsidRPr="00B142C3">
        <w:rPr>
          <w:rFonts w:cs="Times New Roman"/>
          <w:iCs/>
        </w:rPr>
        <w:t xml:space="preserve"> used. The assessments examined provide us with a similar picture, where the certainty and magnitude of added benefit is reported on a per outcome basis.</w:t>
      </w:r>
    </w:p>
    <w:p w14:paraId="04CBC954" w14:textId="06842A7F" w:rsidR="00B83354" w:rsidRPr="00B142C3" w:rsidRDefault="00B83354" w:rsidP="00B83354">
      <w:pPr>
        <w:ind w:firstLine="720"/>
        <w:jc w:val="both"/>
        <w:rPr>
          <w:rFonts w:cs="Times New Roman"/>
          <w:iCs/>
        </w:rPr>
      </w:pPr>
      <w:r w:rsidRPr="00B142C3">
        <w:rPr>
          <w:rFonts w:cs="Times New Roman"/>
          <w:iCs/>
        </w:rPr>
        <w:t xml:space="preserve">In the summary assessment </w:t>
      </w:r>
      <w:proofErr w:type="spellStart"/>
      <w:r w:rsidRPr="00B142C3">
        <w:rPr>
          <w:rFonts w:cs="Times New Roman"/>
          <w:iCs/>
        </w:rPr>
        <w:t>IQWiG</w:t>
      </w:r>
      <w:proofErr w:type="spellEnd"/>
      <w:r w:rsidRPr="00B142C3">
        <w:rPr>
          <w:rFonts w:cs="Times New Roman"/>
          <w:iCs/>
        </w:rPr>
        <w:t xml:space="preserve"> weighs the benefits vs. the harms and draws </w:t>
      </w:r>
      <w:proofErr w:type="gramStart"/>
      <w:r w:rsidRPr="00B142C3">
        <w:rPr>
          <w:rFonts w:cs="Times New Roman"/>
          <w:iCs/>
        </w:rPr>
        <w:t>a final conclusion</w:t>
      </w:r>
      <w:proofErr w:type="gramEnd"/>
      <w:r w:rsidRPr="00B142C3">
        <w:rPr>
          <w:rFonts w:cs="Times New Roman"/>
          <w:iCs/>
        </w:rPr>
        <w:t xml:space="preserve"> on the certainty and extent of added benefit across all outcomes (</w:t>
      </w:r>
      <w:r w:rsidRPr="00B142C3">
        <w:rPr>
          <w:rFonts w:cs="Times New Roman"/>
          <w:b/>
          <w:bCs/>
          <w:iCs/>
        </w:rPr>
        <w:t>BEA, AB</w:t>
      </w:r>
      <w:r w:rsidRPr="00B142C3">
        <w:rPr>
          <w:rFonts w:cs="Times New Roman"/>
          <w:iCs/>
        </w:rPr>
        <w:t xml:space="preserve">). The summary is presented in the assessments (English extract) in the ‘Overall conclusion on added benefit’ </w:t>
      </w:r>
      <w:sdt>
        <w:sdtPr>
          <w:rPr>
            <w:rFonts w:cs="Times New Roman"/>
            <w:iCs/>
            <w:color w:val="000000"/>
          </w:rPr>
          <w:tag w:val="MENDELEY_CITATION_7661dcea-57b6-428f-aacd-8230c4a209b4"/>
          <w:id w:val="1528989352"/>
          <w:placeholder>
            <w:docPart w:val="D69E3F54B41547D8A6353695082F624A"/>
          </w:placeholder>
        </w:sdtPr>
        <w:sdtEndPr/>
        <w:sdtContent>
          <w:r w:rsidRPr="00B142C3">
            <w:rPr>
              <w:rFonts w:cs="Times New Roman"/>
              <w:iCs/>
              <w:color w:val="000000"/>
            </w:rPr>
            <w:t>(4–6)</w:t>
          </w:r>
        </w:sdtContent>
      </w:sdt>
      <w:r w:rsidRPr="00B142C3">
        <w:rPr>
          <w:rFonts w:cs="Times New Roman"/>
          <w:iCs/>
        </w:rPr>
        <w:t>.</w:t>
      </w:r>
    </w:p>
    <w:p w14:paraId="18F73D76" w14:textId="77777777" w:rsidR="00B83354" w:rsidRPr="00B142C3" w:rsidRDefault="00B83354" w:rsidP="00B83354">
      <w:pPr>
        <w:ind w:firstLine="720"/>
        <w:jc w:val="both"/>
        <w:rPr>
          <w:rFonts w:cs="Times New Roman"/>
          <w:iCs/>
        </w:rPr>
      </w:pPr>
      <w:r w:rsidRPr="00B142C3">
        <w:rPr>
          <w:rFonts w:cs="Times New Roman"/>
          <w:iCs/>
        </w:rPr>
        <w:t xml:space="preserve">A chapter entitled ‘Special aspects of the benefit assessment’ </w:t>
      </w:r>
      <w:r>
        <w:rPr>
          <w:rFonts w:cs="Times New Roman"/>
          <w:iCs/>
        </w:rPr>
        <w:t xml:space="preserve">of the guidelines </w:t>
      </w:r>
      <w:r w:rsidRPr="00B142C3">
        <w:rPr>
          <w:rFonts w:cs="Times New Roman"/>
          <w:iCs/>
        </w:rPr>
        <w:t>includes provisions regarding two more domains that affect conclusions on added benefit, the first being publication bias (</w:t>
      </w:r>
      <w:r w:rsidRPr="00B142C3">
        <w:rPr>
          <w:rFonts w:cs="Times New Roman"/>
          <w:b/>
          <w:bCs/>
          <w:iCs/>
          <w:color w:val="808080" w:themeColor="background1" w:themeShade="80"/>
        </w:rPr>
        <w:sym w:font="Wingdings" w:char="F0F2"/>
      </w:r>
      <w:proofErr w:type="spellStart"/>
      <w:r w:rsidRPr="00B142C3">
        <w:rPr>
          <w:rFonts w:cs="Times New Roman"/>
          <w:b/>
          <w:bCs/>
          <w:iCs/>
          <w:color w:val="808080" w:themeColor="background1" w:themeShade="80"/>
        </w:rPr>
        <w:t>PuB</w:t>
      </w:r>
      <w:proofErr w:type="spellEnd"/>
      <w:r w:rsidRPr="00B142C3">
        <w:rPr>
          <w:rFonts w:cs="Times New Roman"/>
          <w:iCs/>
        </w:rPr>
        <w:t xml:space="preserve">). There are three possible </w:t>
      </w:r>
      <w:proofErr w:type="spellStart"/>
      <w:r w:rsidRPr="00B142C3">
        <w:rPr>
          <w:rFonts w:cs="Times New Roman"/>
          <w:iCs/>
        </w:rPr>
        <w:t>scenaria</w:t>
      </w:r>
      <w:proofErr w:type="spellEnd"/>
      <w:r w:rsidRPr="00B142C3">
        <w:rPr>
          <w:rFonts w:cs="Times New Roman"/>
          <w:iCs/>
        </w:rPr>
        <w:t xml:space="preserve"> affecting the inference of conclusions on added benefit, depending on the judgment surrounding the presence of publication bias as: (</w:t>
      </w:r>
      <w:proofErr w:type="spellStart"/>
      <w:r w:rsidRPr="00B142C3">
        <w:rPr>
          <w:rFonts w:cs="Times New Roman"/>
          <w:iCs/>
        </w:rPr>
        <w:t>i</w:t>
      </w:r>
      <w:proofErr w:type="spellEnd"/>
      <w:r w:rsidRPr="00B142C3">
        <w:rPr>
          <w:rFonts w:cs="Times New Roman"/>
          <w:iCs/>
        </w:rPr>
        <w:t>) improbable (no limitations to conclusions), (ii) possible (conclusions drawn with restriction) or (iii) probable (no conclusion on the certainty and extent of added benefit can be drawn). The second is the ‘dramatic effect’ (</w:t>
      </w:r>
      <w:r w:rsidRPr="00B142C3">
        <w:rPr>
          <w:rFonts w:cs="Times New Roman"/>
          <w:b/>
          <w:bCs/>
          <w:iCs/>
          <w:color w:val="FFD966" w:themeColor="accent4" w:themeTint="99"/>
        </w:rPr>
        <w:sym w:font="Wingdings" w:char="F0F1"/>
      </w:r>
      <w:proofErr w:type="spellStart"/>
      <w:r w:rsidRPr="00B142C3">
        <w:rPr>
          <w:rFonts w:cs="Times New Roman"/>
          <w:b/>
          <w:bCs/>
          <w:iCs/>
          <w:color w:val="FFD966" w:themeColor="accent4" w:themeTint="99"/>
        </w:rPr>
        <w:t>LaE</w:t>
      </w:r>
      <w:proofErr w:type="spellEnd"/>
      <w:r w:rsidRPr="00B142C3">
        <w:rPr>
          <w:rFonts w:cs="Times New Roman"/>
          <w:iCs/>
        </w:rPr>
        <w:t xml:space="preserve">), whose expected presence in the primary research on a specific question, would allow </w:t>
      </w:r>
      <w:proofErr w:type="spellStart"/>
      <w:r w:rsidRPr="00B142C3">
        <w:rPr>
          <w:rFonts w:cs="Times New Roman"/>
          <w:iCs/>
        </w:rPr>
        <w:t>IQWiG</w:t>
      </w:r>
      <w:proofErr w:type="spellEnd"/>
      <w:r w:rsidRPr="00B142C3">
        <w:rPr>
          <w:rFonts w:cs="Times New Roman"/>
          <w:iCs/>
        </w:rPr>
        <w:t xml:space="preserve"> to include studies of lower qualitative certainty in the evidence base. </w:t>
      </w:r>
      <w:r w:rsidRPr="00B142C3">
        <w:rPr>
          <w:rFonts w:cs="Times New Roman"/>
          <w:iCs/>
          <w:lang w:val="en-US"/>
        </w:rPr>
        <w:t xml:space="preserve">Explicit reference to ‘dramatic effect’, or the lack thereof, is made </w:t>
      </w:r>
      <w:r w:rsidRPr="00B142C3">
        <w:rPr>
          <w:rFonts w:cs="Times New Roman"/>
          <w:iCs/>
        </w:rPr>
        <w:t xml:space="preserve">in two out of three assessments examined </w:t>
      </w:r>
      <w:sdt>
        <w:sdtPr>
          <w:rPr>
            <w:rFonts w:cs="Times New Roman"/>
            <w:iCs/>
            <w:color w:val="000000"/>
          </w:rPr>
          <w:tag w:val="MENDELEY_CITATION_374d5e48-a3cc-414c-b535-568fd40f0531"/>
          <w:id w:val="1451056773"/>
          <w:placeholder>
            <w:docPart w:val="D69E3F54B41547D8A6353695082F624A"/>
          </w:placeholder>
        </w:sdtPr>
        <w:sdtEndPr/>
        <w:sdtContent>
          <w:r w:rsidRPr="00B142C3">
            <w:rPr>
              <w:rFonts w:cs="Times New Roman"/>
              <w:iCs/>
              <w:color w:val="000000"/>
            </w:rPr>
            <w:t>(4,5)</w:t>
          </w:r>
        </w:sdtContent>
      </w:sdt>
      <w:r w:rsidRPr="00B142C3">
        <w:rPr>
          <w:rFonts w:cs="Times New Roman"/>
          <w:iCs/>
        </w:rPr>
        <w:t>. Study duration, patient-reported outcomes and benefits and harms in small populations are domains that are also referred to, there is however no clear link to the quality of evidence ranking.</w:t>
      </w:r>
    </w:p>
    <w:p w14:paraId="5FFD9635" w14:textId="77777777" w:rsidR="00B83354" w:rsidRPr="00B142C3" w:rsidRDefault="00B83354" w:rsidP="00B83354">
      <w:pPr>
        <w:ind w:firstLine="720"/>
        <w:jc w:val="both"/>
        <w:rPr>
          <w:rFonts w:cs="Times New Roman"/>
          <w:iCs/>
        </w:rPr>
      </w:pPr>
      <w:r w:rsidRPr="00B142C3">
        <w:rPr>
          <w:rFonts w:cs="Times New Roman"/>
          <w:iCs/>
        </w:rPr>
        <w:t>Four domains regarding the applicability/transferability/generalizability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xml:space="preserve">) of results have also been identified in the guidelines document. The first two regard the populations’ perspective. The first is the applicability to the German healthcare setting which should be assessed in a way independent to that of study design and qualitative certainty. However, its effect on certainty of conclusions is not explicitly explained. The second is subgroup analysis which is at times ‘a matter of scientific necessity’, and in this sense should not be valued negatively if included in the hypothesis a priori. The third regards indirect comparisons and </w:t>
      </w:r>
      <w:proofErr w:type="spellStart"/>
      <w:r w:rsidRPr="00B142C3">
        <w:rPr>
          <w:rFonts w:cs="Times New Roman"/>
          <w:iCs/>
        </w:rPr>
        <w:t>IQWiG’s</w:t>
      </w:r>
      <w:proofErr w:type="spellEnd"/>
      <w:r w:rsidRPr="00B142C3">
        <w:rPr>
          <w:rFonts w:cs="Times New Roman"/>
          <w:iCs/>
        </w:rPr>
        <w:t xml:space="preserve"> clear preference towards direct comparative studies. As a result, conclusions based on indirect comparisons would result in lower overall certainty. Finally, surrogates </w:t>
      </w:r>
      <w:r w:rsidRPr="00B142C3">
        <w:rPr>
          <w:rFonts w:cs="Times New Roman"/>
          <w:iCs/>
        </w:rPr>
        <w:lastRenderedPageBreak/>
        <w:t xml:space="preserve">are also assessed (usually if validated beforehand), however there is no standard of operation towards them. </w:t>
      </w:r>
    </w:p>
    <w:p w14:paraId="1E784DE4" w14:textId="3F325C54" w:rsidR="00B83354" w:rsidRPr="00B142C3" w:rsidRDefault="00D86534" w:rsidP="00B83354">
      <w:pPr>
        <w:ind w:firstLine="720"/>
        <w:jc w:val="both"/>
        <w:rPr>
          <w:rFonts w:cs="Times New Roman"/>
          <w:iCs/>
        </w:rPr>
      </w:pPr>
      <w:r w:rsidRPr="00B142C3">
        <w:rPr>
          <w:rFonts w:cs="Times New Roman"/>
          <w:iCs/>
          <w:noProof/>
          <w:lang w:val="nl-NL" w:eastAsia="nl-NL"/>
        </w:rPr>
        <mc:AlternateContent>
          <mc:Choice Requires="wpg">
            <w:drawing>
              <wp:anchor distT="0" distB="0" distL="114300" distR="114300" simplePos="0" relativeHeight="251659264" behindDoc="0" locked="0" layoutInCell="1" allowOverlap="1" wp14:anchorId="207DEB8F" wp14:editId="30844055">
                <wp:simplePos x="0" y="0"/>
                <wp:positionH relativeFrom="column">
                  <wp:posOffset>-381635</wp:posOffset>
                </wp:positionH>
                <wp:positionV relativeFrom="paragraph">
                  <wp:posOffset>1023620</wp:posOffset>
                </wp:positionV>
                <wp:extent cx="5437505" cy="3145790"/>
                <wp:effectExtent l="0" t="0" r="10795" b="16510"/>
                <wp:wrapNone/>
                <wp:docPr id="37" name="Group 37"/>
                <wp:cNvGraphicFramePr/>
                <a:graphic xmlns:a="http://schemas.openxmlformats.org/drawingml/2006/main">
                  <a:graphicData uri="http://schemas.microsoft.com/office/word/2010/wordprocessingGroup">
                    <wpg:wgp>
                      <wpg:cNvGrpSpPr/>
                      <wpg:grpSpPr>
                        <a:xfrm>
                          <a:off x="0" y="0"/>
                          <a:ext cx="5437505" cy="3145790"/>
                          <a:chOff x="0" y="0"/>
                          <a:chExt cx="5437909" cy="3145790"/>
                        </a:xfrm>
                      </wpg:grpSpPr>
                      <wps:wsp>
                        <wps:cNvPr id="38" name="Rectangle 38"/>
                        <wps:cNvSpPr/>
                        <wps:spPr>
                          <a:xfrm>
                            <a:off x="381000" y="1168400"/>
                            <a:ext cx="5056909" cy="7518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964B83" w14:textId="5D3A9ADD" w:rsidR="00BD2DE2" w:rsidRDefault="00BD2DE2" w:rsidP="00FD0162">
                              <w:pPr>
                                <w:spacing w:before="120"/>
                                <w:jc w:val="center"/>
                                <w:rPr>
                                  <w:rFonts w:cs="Times New Roman"/>
                                  <w:lang w:val="en-US"/>
                                </w:rPr>
                              </w:pPr>
                              <w:r w:rsidRPr="000937DC">
                                <w:rPr>
                                  <w:rFonts w:cs="Times New Roman"/>
                                  <w:lang w:val="en-US"/>
                                </w:rPr>
                                <w:t>Publication Bias</w:t>
                              </w:r>
                            </w:p>
                            <w:p w14:paraId="2C53EF72" w14:textId="6C097831" w:rsidR="00D86534" w:rsidRPr="000937DC" w:rsidRDefault="00D86534" w:rsidP="00B83354">
                              <w:pPr>
                                <w:jc w:val="center"/>
                                <w:rPr>
                                  <w:rFonts w:cs="Times New Roman"/>
                                  <w:lang w:val="en-US"/>
                                </w:rPr>
                              </w:pPr>
                              <w:r>
                                <w:rPr>
                                  <w:rFonts w:cs="Times New Roman"/>
                                  <w:lang w:val="en-US"/>
                                </w:rPr>
                                <w:t>Plausible Confounding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81000" y="2002790"/>
                            <a:ext cx="5056909"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2158E9" w14:textId="77777777" w:rsidR="00BD2DE2" w:rsidRPr="000937DC" w:rsidRDefault="00BD2DE2" w:rsidP="00B83354">
                              <w:pPr>
                                <w:jc w:val="center"/>
                                <w:rPr>
                                  <w:rFonts w:cs="Times New Roman"/>
                                  <w:lang w:val="en-US"/>
                                </w:rPr>
                              </w:pPr>
                              <w:r w:rsidRPr="000937DC">
                                <w:rPr>
                                  <w:rFonts w:cs="Times New Roman"/>
                                  <w:lang w:val="en-US"/>
                                </w:rPr>
                                <w:t>Applicability in the German Health Setting</w:t>
                              </w:r>
                            </w:p>
                            <w:p w14:paraId="195CA5B5" w14:textId="77777777" w:rsidR="00BD2DE2" w:rsidRPr="000937DC" w:rsidRDefault="00BD2DE2" w:rsidP="00B83354">
                              <w:pPr>
                                <w:jc w:val="center"/>
                                <w:rPr>
                                  <w:rFonts w:cs="Times New Roman"/>
                                  <w:lang w:val="en-US"/>
                                </w:rPr>
                              </w:pPr>
                              <w:r w:rsidRPr="000937DC">
                                <w:rPr>
                                  <w:rFonts w:cs="Times New Roman"/>
                                  <w:lang w:val="en-US"/>
                                </w:rPr>
                                <w:t>Subgroup analysis</w:t>
                              </w:r>
                            </w:p>
                            <w:p w14:paraId="124DDA09" w14:textId="77777777" w:rsidR="00BD2DE2" w:rsidRPr="000937DC" w:rsidRDefault="00BD2DE2" w:rsidP="00B83354">
                              <w:pPr>
                                <w:jc w:val="center"/>
                                <w:rPr>
                                  <w:rFonts w:cs="Times New Roman"/>
                                  <w:lang w:val="en-US"/>
                                </w:rPr>
                              </w:pPr>
                              <w:r w:rsidRPr="000937DC">
                                <w:rPr>
                                  <w:rFonts w:cs="Times New Roman"/>
                                  <w:lang w:val="en-US"/>
                                </w:rPr>
                                <w:t>NMA</w:t>
                              </w:r>
                            </w:p>
                            <w:p w14:paraId="4FB25779" w14:textId="77777777" w:rsidR="00BD2DE2" w:rsidRPr="000937DC" w:rsidRDefault="00BD2DE2" w:rsidP="00B83354">
                              <w:pPr>
                                <w:jc w:val="center"/>
                                <w:rPr>
                                  <w:rFonts w:cs="Times New Roman"/>
                                  <w:lang w:val="en-US"/>
                                </w:rPr>
                              </w:pPr>
                              <w:r w:rsidRPr="000937DC">
                                <w:rPr>
                                  <w:rFonts w:cs="Times New Roman"/>
                                  <w:lang w:val="en-US"/>
                                </w:rPr>
                                <w:t>Surrogate outcomes</w:t>
                              </w:r>
                            </w:p>
                            <w:p w14:paraId="07D28C63" w14:textId="77777777" w:rsidR="00BD2DE2" w:rsidRPr="000937DC" w:rsidRDefault="00BD2DE2" w:rsidP="00B83354">
                              <w:pPr>
                                <w:jc w:val="center"/>
                                <w:rPr>
                                  <w:rFonts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400050" y="393700"/>
                            <a:ext cx="328295" cy="328295"/>
                          </a:xfrm>
                          <a:prstGeom prst="ellipse">
                            <a:avLst/>
                          </a:prstGeom>
                          <a:solidFill>
                            <a:srgbClr val="C00000"/>
                          </a:solidFill>
                          <a:ln w="12700" cap="flat" cmpd="sng" algn="ctr">
                            <a:noFill/>
                            <a:prstDash val="solid"/>
                            <a:miter lim="800000"/>
                          </a:ln>
                          <a:effectLst/>
                        </wps:spPr>
                        <wps:txbx>
                          <w:txbxContent>
                            <w:p w14:paraId="117A103F" w14:textId="77777777" w:rsidR="00BD2DE2" w:rsidRPr="000937DC" w:rsidRDefault="00BD2DE2" w:rsidP="00B83354">
                              <w:pPr>
                                <w:spacing w:after="0"/>
                                <w:jc w:val="center"/>
                                <w:rPr>
                                  <w:rFonts w:cs="Times New Roman"/>
                                  <w:b/>
                                  <w:bCs/>
                                  <w:spacing w:val="6"/>
                                  <w:sz w:val="14"/>
                                  <w:szCs w:val="14"/>
                                  <w:lang w:val="en-US"/>
                                </w:rPr>
                              </w:pPr>
                              <w:r w:rsidRPr="000937DC">
                                <w:rPr>
                                  <w:rFonts w:cs="Times New Roman"/>
                                  <w:b/>
                                  <w:bCs/>
                                  <w:spacing w:val="6"/>
                                  <w:sz w:val="14"/>
                                  <w:szCs w:val="14"/>
                                  <w:lang w:val="en-US"/>
                                </w:rPr>
                                <w:t>RoB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Oval 42"/>
                        <wps:cNvSpPr/>
                        <wps:spPr>
                          <a:xfrm>
                            <a:off x="400050" y="723900"/>
                            <a:ext cx="328295" cy="328295"/>
                          </a:xfrm>
                          <a:prstGeom prst="ellipse">
                            <a:avLst/>
                          </a:prstGeom>
                          <a:solidFill>
                            <a:srgbClr val="007E39"/>
                          </a:solidFill>
                          <a:ln w="12700" cap="flat" cmpd="sng" algn="ctr">
                            <a:noFill/>
                            <a:prstDash val="solid"/>
                            <a:miter lim="800000"/>
                          </a:ln>
                          <a:effectLst/>
                        </wps:spPr>
                        <wps:txbx>
                          <w:txbxContent>
                            <w:p w14:paraId="04188EF5"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ImP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Oval 52"/>
                        <wps:cNvSpPr/>
                        <wps:spPr>
                          <a:xfrm>
                            <a:off x="2419350" y="749300"/>
                            <a:ext cx="328295" cy="328295"/>
                          </a:xfrm>
                          <a:prstGeom prst="ellipse">
                            <a:avLst/>
                          </a:prstGeom>
                          <a:solidFill>
                            <a:srgbClr val="E28100"/>
                          </a:solidFill>
                          <a:ln w="12700" cap="flat" cmpd="sng" algn="ctr">
                            <a:noFill/>
                            <a:prstDash val="solid"/>
                            <a:miter lim="800000"/>
                          </a:ln>
                          <a:effectLst/>
                        </wps:spPr>
                        <wps:txbx>
                          <w:txbxContent>
                            <w:p w14:paraId="1DA12CB3"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InC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ectangle 53"/>
                        <wps:cNvSpPr/>
                        <wps:spPr>
                          <a:xfrm>
                            <a:off x="0" y="565150"/>
                            <a:ext cx="328295" cy="328295"/>
                          </a:xfrm>
                          <a:prstGeom prst="rect">
                            <a:avLst/>
                          </a:prstGeom>
                          <a:solidFill>
                            <a:srgbClr val="FFC000">
                              <a:lumMod val="60000"/>
                              <a:lumOff val="40000"/>
                            </a:srgbClr>
                          </a:solidFill>
                          <a:ln w="12700" cap="flat" cmpd="sng" algn="ctr">
                            <a:noFill/>
                            <a:prstDash val="solid"/>
                            <a:miter lim="800000"/>
                          </a:ln>
                          <a:effectLst/>
                        </wps:spPr>
                        <wps:txbx>
                          <w:txbxContent>
                            <w:p w14:paraId="6F32F4D2"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L</w:t>
                              </w:r>
                              <w:r>
                                <w:rPr>
                                  <w:rFonts w:cs="Times New Roman"/>
                                  <w:b/>
                                  <w:bCs/>
                                  <w:color w:val="FFFFFF" w:themeColor="background1"/>
                                  <w:spacing w:val="6"/>
                                  <w:sz w:val="14"/>
                                  <w:szCs w:val="14"/>
                                  <w:lang w:val="en-US"/>
                                </w:rPr>
                                <w:t>a</w:t>
                              </w:r>
                              <w:r w:rsidRPr="00A41BC2">
                                <w:rPr>
                                  <w:rFonts w:cs="Times New Roman"/>
                                  <w:b/>
                                  <w:bCs/>
                                  <w:color w:val="FFFFFF" w:themeColor="background1"/>
                                  <w:spacing w:val="6"/>
                                  <w:sz w:val="14"/>
                                  <w:szCs w:val="14"/>
                                  <w:lang w:val="en-US"/>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Oval 54"/>
                        <wps:cNvSpPr/>
                        <wps:spPr>
                          <a:xfrm>
                            <a:off x="400050" y="1178560"/>
                            <a:ext cx="328295" cy="328295"/>
                          </a:xfrm>
                          <a:prstGeom prst="ellipse">
                            <a:avLst/>
                          </a:prstGeom>
                          <a:solidFill>
                            <a:sysClr val="windowText" lastClr="000000">
                              <a:lumMod val="50000"/>
                              <a:lumOff val="50000"/>
                            </a:sysClr>
                          </a:solidFill>
                          <a:ln w="12700" cap="flat" cmpd="sng" algn="ctr">
                            <a:noFill/>
                            <a:prstDash val="solid"/>
                            <a:miter lim="800000"/>
                          </a:ln>
                          <a:effectLst/>
                        </wps:spPr>
                        <wps:txbx>
                          <w:txbxContent>
                            <w:p w14:paraId="0B6574BC"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PuB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Oval 55"/>
                        <wps:cNvSpPr/>
                        <wps:spPr>
                          <a:xfrm>
                            <a:off x="412750" y="2377440"/>
                            <a:ext cx="328295" cy="328295"/>
                          </a:xfrm>
                          <a:prstGeom prst="ellipse">
                            <a:avLst/>
                          </a:prstGeom>
                          <a:solidFill>
                            <a:srgbClr val="4472C4"/>
                          </a:solidFill>
                          <a:ln w="12700" cap="flat" cmpd="sng" algn="ctr">
                            <a:noFill/>
                            <a:prstDash val="solid"/>
                            <a:miter lim="800000"/>
                          </a:ln>
                          <a:effectLst/>
                        </wps:spPr>
                        <wps:txbx>
                          <w:txbxContent>
                            <w:p w14:paraId="6E3042B2"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Text Box 56"/>
                        <wps:cNvSpPr txBox="1"/>
                        <wps:spPr>
                          <a:xfrm>
                            <a:off x="1168400" y="0"/>
                            <a:ext cx="373380" cy="190500"/>
                          </a:xfrm>
                          <a:prstGeom prst="rect">
                            <a:avLst/>
                          </a:prstGeom>
                          <a:noFill/>
                          <a:ln w="6350">
                            <a:noFill/>
                          </a:ln>
                        </wps:spPr>
                        <wps:txbx>
                          <w:txbxContent>
                            <w:p w14:paraId="3CFFD85E" w14:textId="77777777" w:rsidR="00BD2DE2" w:rsidRPr="000937DC" w:rsidRDefault="00BD2DE2" w:rsidP="00B83354">
                              <w:pPr>
                                <w:jc w:val="center"/>
                                <w:rPr>
                                  <w:rFonts w:cs="Times New Roman"/>
                                </w:rPr>
                              </w:pPr>
                              <w:r w:rsidRPr="000937DC">
                                <w:rPr>
                                  <w:rFonts w:cs="Times New Roman"/>
                                  <w:b/>
                                  <w:bCs/>
                                  <w:iCs/>
                                  <w:sz w:val="14"/>
                                  <w:szCs w:val="14"/>
                                </w:rPr>
                                <w: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959100" y="25400"/>
                            <a:ext cx="373380" cy="190500"/>
                          </a:xfrm>
                          <a:prstGeom prst="rect">
                            <a:avLst/>
                          </a:prstGeom>
                          <a:noFill/>
                          <a:ln w="6350">
                            <a:noFill/>
                          </a:ln>
                        </wps:spPr>
                        <wps:txbx>
                          <w:txbxContent>
                            <w:p w14:paraId="60BA5E81" w14:textId="77777777" w:rsidR="00BD2DE2" w:rsidRPr="000937DC" w:rsidRDefault="00BD2DE2" w:rsidP="00B83354">
                              <w:pPr>
                                <w:jc w:val="center"/>
                                <w:rPr>
                                  <w:rFonts w:cs="Times New Roman"/>
                                </w:rPr>
                              </w:pPr>
                              <w:r w:rsidRPr="000937DC">
                                <w:rPr>
                                  <w:rFonts w:cs="Times New Roman"/>
                                  <w:b/>
                                  <w:bCs/>
                                  <w:iCs/>
                                  <w:sz w:val="14"/>
                                  <w:szCs w:val="14"/>
                                </w:rPr>
                                <w:t>BE1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502150" y="25400"/>
                            <a:ext cx="601980" cy="213360"/>
                          </a:xfrm>
                          <a:prstGeom prst="rect">
                            <a:avLst/>
                          </a:prstGeom>
                          <a:noFill/>
                          <a:ln w="6350">
                            <a:noFill/>
                          </a:ln>
                        </wps:spPr>
                        <wps:txbx>
                          <w:txbxContent>
                            <w:p w14:paraId="6D59F607" w14:textId="77777777" w:rsidR="00BD2DE2" w:rsidRPr="000937DC" w:rsidRDefault="00BD2DE2" w:rsidP="00B83354">
                              <w:pPr>
                                <w:jc w:val="center"/>
                                <w:rPr>
                                  <w:rFonts w:cs="Times New Roman"/>
                                </w:rPr>
                              </w:pPr>
                              <w:r w:rsidRPr="000937DC">
                                <w:rPr>
                                  <w:rFonts w:cs="Times New Roman"/>
                                  <w:b/>
                                  <w:bCs/>
                                  <w:iCs/>
                                  <w:sz w:val="14"/>
                                  <w:szCs w:val="14"/>
                                </w:rPr>
                                <w:t>BEA/</w:t>
                              </w:r>
                              <w:r>
                                <w:rPr>
                                  <w:rFonts w:cs="Times New Roman"/>
                                  <w:b/>
                                  <w:bCs/>
                                  <w:iCs/>
                                  <w:sz w:val="14"/>
                                  <w:szCs w:val="14"/>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Rectangle 51"/>
                        <wps:cNvSpPr/>
                        <wps:spPr>
                          <a:xfrm>
                            <a:off x="400050" y="1563370"/>
                            <a:ext cx="328295" cy="328295"/>
                          </a:xfrm>
                          <a:prstGeom prst="rect">
                            <a:avLst/>
                          </a:prstGeom>
                          <a:solidFill>
                            <a:schemeClr val="tx1"/>
                          </a:solidFill>
                          <a:ln w="12700" cap="flat" cmpd="sng" algn="ctr">
                            <a:noFill/>
                            <a:prstDash val="solid"/>
                            <a:miter lim="800000"/>
                          </a:ln>
                          <a:effectLst/>
                        </wps:spPr>
                        <wps:txbx>
                          <w:txbxContent>
                            <w:p w14:paraId="2D031954" w14:textId="2440534A" w:rsidR="00D86534" w:rsidRPr="00A41BC2" w:rsidRDefault="00D86534" w:rsidP="00B83354">
                              <w:pPr>
                                <w:spacing w:after="0"/>
                                <w:jc w:val="center"/>
                                <w:rPr>
                                  <w:rFonts w:cs="Times New Roman"/>
                                  <w:b/>
                                  <w:bCs/>
                                  <w:color w:val="FFFFFF" w:themeColor="background1"/>
                                  <w:spacing w:val="6"/>
                                  <w:sz w:val="14"/>
                                  <w:szCs w:val="14"/>
                                  <w:lang w:val="en-US"/>
                                </w:rPr>
                              </w:pPr>
                              <w:r>
                                <w:rPr>
                                  <w:rFonts w:cs="Times New Roman"/>
                                  <w:b/>
                                  <w:bCs/>
                                  <w:color w:val="FFFFFF" w:themeColor="background1"/>
                                  <w:spacing w:val="6"/>
                                  <w:sz w:val="14"/>
                                  <w:szCs w:val="14"/>
                                  <w:lang w:val="en-US"/>
                                </w:rPr>
                                <w:t>PlC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07DEB8F" id="Group 37" o:spid="_x0000_s1026" style="position:absolute;left:0;text-align:left;margin-left:-30.05pt;margin-top:80.6pt;width:428.15pt;height:247.7pt;z-index:251659264;mso-height-relative:margin" coordsize="54379,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">
                <v:rect id="Rectangle 38" o:spid="_x0000_s1027" style="position:absolute;left:3810;top:11684;width:50569;height:7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52964B83" w14:textId="5D3A9ADD" w:rsidR="00BD2DE2" w:rsidRDefault="00BD2DE2" w:rsidP="00FD0162">
                        <w:pPr>
                          <w:spacing w:before="120"/>
                          <w:jc w:val="center"/>
                          <w:rPr>
                            <w:rFonts w:cs="Times New Roman"/>
                            <w:lang w:val="en-US"/>
                          </w:rPr>
                        </w:pPr>
                        <w:r w:rsidRPr="000937DC">
                          <w:rPr>
                            <w:rFonts w:cs="Times New Roman"/>
                            <w:lang w:val="en-US"/>
                          </w:rPr>
                          <w:t>Publication Bias</w:t>
                        </w:r>
                      </w:p>
                      <w:p w14:paraId="2C53EF72" w14:textId="6C097831" w:rsidR="00D86534" w:rsidRPr="000937DC" w:rsidRDefault="00D86534" w:rsidP="00B83354">
                        <w:pPr>
                          <w:jc w:val="center"/>
                          <w:rPr>
                            <w:rFonts w:cs="Times New Roman"/>
                            <w:lang w:val="en-US"/>
                          </w:rPr>
                        </w:pPr>
                        <w:r>
                          <w:rPr>
                            <w:rFonts w:cs="Times New Roman"/>
                            <w:lang w:val="en-US"/>
                          </w:rPr>
                          <w:t>Plausible Confounding</w:t>
                        </w:r>
                      </w:p>
                    </w:txbxContent>
                  </v:textbox>
                </v:rect>
                <v:rect id="Rectangle 40" o:spid="_x0000_s1028" style="position:absolute;left:3810;top:20027;width:50569;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0B2158E9" w14:textId="77777777" w:rsidR="00BD2DE2" w:rsidRPr="000937DC" w:rsidRDefault="00BD2DE2" w:rsidP="00B83354">
                        <w:pPr>
                          <w:jc w:val="center"/>
                          <w:rPr>
                            <w:rFonts w:cs="Times New Roman"/>
                            <w:lang w:val="en-US"/>
                          </w:rPr>
                        </w:pPr>
                        <w:r w:rsidRPr="000937DC">
                          <w:rPr>
                            <w:rFonts w:cs="Times New Roman"/>
                            <w:lang w:val="en-US"/>
                          </w:rPr>
                          <w:t>Applicability in the German Health Setting</w:t>
                        </w:r>
                      </w:p>
                      <w:p w14:paraId="195CA5B5" w14:textId="77777777" w:rsidR="00BD2DE2" w:rsidRPr="000937DC" w:rsidRDefault="00BD2DE2" w:rsidP="00B83354">
                        <w:pPr>
                          <w:jc w:val="center"/>
                          <w:rPr>
                            <w:rFonts w:cs="Times New Roman"/>
                            <w:lang w:val="en-US"/>
                          </w:rPr>
                        </w:pPr>
                        <w:r w:rsidRPr="000937DC">
                          <w:rPr>
                            <w:rFonts w:cs="Times New Roman"/>
                            <w:lang w:val="en-US"/>
                          </w:rPr>
                          <w:t>Subgroup analysis</w:t>
                        </w:r>
                      </w:p>
                      <w:p w14:paraId="124DDA09" w14:textId="77777777" w:rsidR="00BD2DE2" w:rsidRPr="000937DC" w:rsidRDefault="00BD2DE2" w:rsidP="00B83354">
                        <w:pPr>
                          <w:jc w:val="center"/>
                          <w:rPr>
                            <w:rFonts w:cs="Times New Roman"/>
                            <w:lang w:val="en-US"/>
                          </w:rPr>
                        </w:pPr>
                        <w:r w:rsidRPr="000937DC">
                          <w:rPr>
                            <w:rFonts w:cs="Times New Roman"/>
                            <w:lang w:val="en-US"/>
                          </w:rPr>
                          <w:t>NMA</w:t>
                        </w:r>
                      </w:p>
                      <w:p w14:paraId="4FB25779" w14:textId="77777777" w:rsidR="00BD2DE2" w:rsidRPr="000937DC" w:rsidRDefault="00BD2DE2" w:rsidP="00B83354">
                        <w:pPr>
                          <w:jc w:val="center"/>
                          <w:rPr>
                            <w:rFonts w:cs="Times New Roman"/>
                            <w:lang w:val="en-US"/>
                          </w:rPr>
                        </w:pPr>
                        <w:r w:rsidRPr="000937DC">
                          <w:rPr>
                            <w:rFonts w:cs="Times New Roman"/>
                            <w:lang w:val="en-US"/>
                          </w:rPr>
                          <w:t>Surrogate outcomes</w:t>
                        </w:r>
                      </w:p>
                      <w:p w14:paraId="07D28C63" w14:textId="77777777" w:rsidR="00BD2DE2" w:rsidRPr="000937DC" w:rsidRDefault="00BD2DE2" w:rsidP="00B83354">
                        <w:pPr>
                          <w:jc w:val="center"/>
                          <w:rPr>
                            <w:rFonts w:cs="Times New Roman"/>
                            <w:lang w:val="en-US"/>
                          </w:rPr>
                        </w:pPr>
                      </w:p>
                    </w:txbxContent>
                  </v:textbox>
                </v:rect>
                <v:oval id="Oval 41" o:spid="_x0000_s1029" style="position:absolute;left:4000;top:3937;width:3283;height: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" fillcolor="#c00000" stroked="f" strokeweight="1pt">
                  <v:stroke joinstyle="miter"/>
                  <v:textbox inset="0,0,0,0">
                    <w:txbxContent>
                      <w:p w14:paraId="117A103F" w14:textId="77777777" w:rsidR="00BD2DE2" w:rsidRPr="000937DC" w:rsidRDefault="00BD2DE2" w:rsidP="00B83354">
                        <w:pPr>
                          <w:spacing w:after="0"/>
                          <w:jc w:val="center"/>
                          <w:rPr>
                            <w:rFonts w:cs="Times New Roman"/>
                            <w:b/>
                            <w:bCs/>
                            <w:spacing w:val="6"/>
                            <w:sz w:val="14"/>
                            <w:szCs w:val="14"/>
                            <w:lang w:val="en-US"/>
                          </w:rPr>
                        </w:pPr>
                        <w:r w:rsidRPr="000937DC">
                          <w:rPr>
                            <w:rFonts w:cs="Times New Roman"/>
                            <w:b/>
                            <w:bCs/>
                            <w:spacing w:val="6"/>
                            <w:sz w:val="14"/>
                            <w:szCs w:val="14"/>
                            <w:lang w:val="en-US"/>
                          </w:rPr>
                          <w:t>RoB</w:t>
                        </w:r>
                      </w:p>
                    </w:txbxContent>
                  </v:textbox>
                </v:oval>
                <v:oval id="Oval 42" o:spid="_x0000_s1030" style="position:absolute;left:4000;top:7239;width:3283;height: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" fillcolor="#007e39" stroked="f" strokeweight="1pt">
                  <v:stroke joinstyle="miter"/>
                  <v:textbox inset="0,0,0,0">
                    <w:txbxContent>
                      <w:p w14:paraId="04188EF5"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ImP</w:t>
                        </w:r>
                      </w:p>
                    </w:txbxContent>
                  </v:textbox>
                </v:oval>
                <v:oval id="Oval 52" o:spid="_x0000_s1031" style="position:absolute;left:24193;top:7493;width:3283;height: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" fillcolor="#e28100" stroked="f" strokeweight="1pt">
                  <v:stroke joinstyle="miter"/>
                  <v:textbox inset="0,0,0,0">
                    <w:txbxContent>
                      <w:p w14:paraId="1DA12CB3"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InC</w:t>
                        </w:r>
                      </w:p>
                    </w:txbxContent>
                  </v:textbox>
                </v:oval>
                <v:rect id="Rectangle 53" o:spid="_x0000_s1032" style="position:absolute;top:5651;width:3282;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" fillcolor="#ffd966" stroked="f" strokeweight="1pt">
                  <v:textbox inset="0,0,0,0">
                    <w:txbxContent>
                      <w:p w14:paraId="6F32F4D2"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L</w:t>
                        </w:r>
                        <w:r>
                          <w:rPr>
                            <w:rFonts w:cs="Times New Roman"/>
                            <w:b/>
                            <w:bCs/>
                            <w:color w:val="FFFFFF" w:themeColor="background1"/>
                            <w:spacing w:val="6"/>
                            <w:sz w:val="14"/>
                            <w:szCs w:val="14"/>
                            <w:lang w:val="en-US"/>
                          </w:rPr>
                          <w:t>a</w:t>
                        </w:r>
                        <w:r w:rsidRPr="00A41BC2">
                          <w:rPr>
                            <w:rFonts w:cs="Times New Roman"/>
                            <w:b/>
                            <w:bCs/>
                            <w:color w:val="FFFFFF" w:themeColor="background1"/>
                            <w:spacing w:val="6"/>
                            <w:sz w:val="14"/>
                            <w:szCs w:val="14"/>
                            <w:lang w:val="en-US"/>
                          </w:rPr>
                          <w:t>E</w:t>
                        </w:r>
                      </w:p>
                    </w:txbxContent>
                  </v:textbox>
                </v:rect>
                <v:oval id="Oval 54" o:spid="_x0000_s1033" style="position:absolute;left:4000;top:11785;width:3283;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" fillcolor="#7f7f7f" stroked="f" strokeweight="1pt">
                  <v:stroke joinstyle="miter"/>
                  <v:textbox inset="0,0,0,0">
                    <w:txbxContent>
                      <w:p w14:paraId="0B6574BC"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PuB</w:t>
                        </w:r>
                      </w:p>
                    </w:txbxContent>
                  </v:textbox>
                </v:oval>
                <v:oval id="Oval 55" o:spid="_x0000_s1034" style="position:absolute;left:4127;top:23774;width:3283;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" fillcolor="#4472c4" stroked="f" strokeweight="1pt">
                  <v:stroke joinstyle="miter"/>
                  <v:textbox inset="0,0,0,0">
                    <w:txbxContent>
                      <w:p w14:paraId="6E3042B2" w14:textId="77777777" w:rsidR="00BD2DE2" w:rsidRPr="00A41BC2" w:rsidRDefault="00BD2DE2" w:rsidP="00B83354">
                        <w:pPr>
                          <w:spacing w:after="0"/>
                          <w:jc w:val="center"/>
                          <w:rPr>
                            <w:rFonts w:cs="Times New Roman"/>
                            <w:b/>
                            <w:bCs/>
                            <w:color w:val="FFFFFF" w:themeColor="background1"/>
                            <w:spacing w:val="6"/>
                            <w:sz w:val="14"/>
                            <w:szCs w:val="14"/>
                            <w:lang w:val="en-US"/>
                          </w:rPr>
                        </w:pPr>
                        <w:r w:rsidRPr="00A41BC2">
                          <w:rPr>
                            <w:rFonts w:cs="Times New Roman"/>
                            <w:b/>
                            <w:bCs/>
                            <w:color w:val="FFFFFF" w:themeColor="background1"/>
                            <w:spacing w:val="6"/>
                            <w:sz w:val="14"/>
                            <w:szCs w:val="14"/>
                            <w:lang w:val="en-US"/>
                          </w:rPr>
                          <w:t>InD</w:t>
                        </w:r>
                      </w:p>
                    </w:txbxContent>
                  </v:textbox>
                </v:oval>
                <v:shapetype id="_x0000_t202" coordsize="21600,21600" o:spt="202" path="m,l,21600r21600,l21600,xe">
                  <v:stroke joinstyle="miter"/>
                  <v:path gradientshapeok="t" o:connecttype="rect"/>
                </v:shapetype>
                <v:shape id="Text Box 56" o:spid="_x0000_s1035" type="#_x0000_t202" style="position:absolute;left:11684;width:37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CFFD85E" w14:textId="77777777" w:rsidR="00BD2DE2" w:rsidRPr="000937DC" w:rsidRDefault="00BD2DE2" w:rsidP="00B83354">
                        <w:pPr>
                          <w:jc w:val="center"/>
                          <w:rPr>
                            <w:rFonts w:cs="Times New Roman"/>
                          </w:rPr>
                        </w:pPr>
                        <w:r w:rsidRPr="000937DC">
                          <w:rPr>
                            <w:rFonts w:cs="Times New Roman"/>
                            <w:b/>
                            <w:bCs/>
                            <w:iCs/>
                            <w:sz w:val="14"/>
                            <w:szCs w:val="14"/>
                          </w:rPr>
                          <w:t>IE</w:t>
                        </w:r>
                      </w:p>
                    </w:txbxContent>
                  </v:textbox>
                </v:shape>
                <v:shape id="Text Box 57" o:spid="_x0000_s1036" type="#_x0000_t202" style="position:absolute;left:29591;top:254;width:37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0BA5E81" w14:textId="77777777" w:rsidR="00BD2DE2" w:rsidRPr="000937DC" w:rsidRDefault="00BD2DE2" w:rsidP="00B83354">
                        <w:pPr>
                          <w:jc w:val="center"/>
                          <w:rPr>
                            <w:rFonts w:cs="Times New Roman"/>
                          </w:rPr>
                        </w:pPr>
                        <w:r w:rsidRPr="000937DC">
                          <w:rPr>
                            <w:rFonts w:cs="Times New Roman"/>
                            <w:b/>
                            <w:bCs/>
                            <w:iCs/>
                            <w:sz w:val="14"/>
                            <w:szCs w:val="14"/>
                          </w:rPr>
                          <w:t>BE1</w:t>
                        </w:r>
                      </w:p>
                    </w:txbxContent>
                  </v:textbox>
                </v:shape>
                <v:shape id="Text Box 58" o:spid="_x0000_s1037" type="#_x0000_t202" style="position:absolute;left:45021;top:254;width:602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D59F607" w14:textId="77777777" w:rsidR="00BD2DE2" w:rsidRPr="000937DC" w:rsidRDefault="00BD2DE2" w:rsidP="00B83354">
                        <w:pPr>
                          <w:jc w:val="center"/>
                          <w:rPr>
                            <w:rFonts w:cs="Times New Roman"/>
                          </w:rPr>
                        </w:pPr>
                        <w:r w:rsidRPr="000937DC">
                          <w:rPr>
                            <w:rFonts w:cs="Times New Roman"/>
                            <w:b/>
                            <w:bCs/>
                            <w:iCs/>
                            <w:sz w:val="14"/>
                            <w:szCs w:val="14"/>
                          </w:rPr>
                          <w:t>BEA/</w:t>
                        </w:r>
                        <w:r>
                          <w:rPr>
                            <w:rFonts w:cs="Times New Roman"/>
                            <w:b/>
                            <w:bCs/>
                            <w:iCs/>
                            <w:sz w:val="14"/>
                            <w:szCs w:val="14"/>
                          </w:rPr>
                          <w:t>AB</w:t>
                        </w:r>
                      </w:p>
                    </w:txbxContent>
                  </v:textbox>
                </v:shape>
                <v:rect id="Rectangle 51" o:spid="_x0000_s1038" style="position:absolute;left:4000;top:15633;width:3283;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" fillcolor="black [3213]" stroked="f" strokeweight="1pt">
                  <v:textbox inset="0,0,0,0">
                    <w:txbxContent>
                      <w:p w14:paraId="2D031954" w14:textId="2440534A" w:rsidR="00D86534" w:rsidRPr="00A41BC2" w:rsidRDefault="00D86534" w:rsidP="00B83354">
                        <w:pPr>
                          <w:spacing w:after="0"/>
                          <w:jc w:val="center"/>
                          <w:rPr>
                            <w:rFonts w:cs="Times New Roman"/>
                            <w:b/>
                            <w:bCs/>
                            <w:color w:val="FFFFFF" w:themeColor="background1"/>
                            <w:spacing w:val="6"/>
                            <w:sz w:val="14"/>
                            <w:szCs w:val="14"/>
                            <w:lang w:val="en-US"/>
                          </w:rPr>
                        </w:pPr>
                        <w:r>
                          <w:rPr>
                            <w:rFonts w:cs="Times New Roman"/>
                            <w:b/>
                            <w:bCs/>
                            <w:color w:val="FFFFFF" w:themeColor="background1"/>
                            <w:spacing w:val="6"/>
                            <w:sz w:val="14"/>
                            <w:szCs w:val="14"/>
                            <w:lang w:val="en-US"/>
                          </w:rPr>
                          <w:t>PlC</w:t>
                        </w:r>
                      </w:p>
                    </w:txbxContent>
                  </v:textbox>
                </v:rect>
              </v:group>
            </w:pict>
          </mc:Fallback>
        </mc:AlternateContent>
      </w:r>
      <w:r w:rsidR="00B83354" w:rsidRPr="00B142C3">
        <w:rPr>
          <w:rFonts w:cs="Times New Roman"/>
          <w:iCs/>
        </w:rPr>
        <w:t xml:space="preserve">The scale used by </w:t>
      </w:r>
      <w:proofErr w:type="spellStart"/>
      <w:r w:rsidR="00B83354" w:rsidRPr="00B142C3">
        <w:rPr>
          <w:rFonts w:cs="Times New Roman"/>
          <w:iCs/>
        </w:rPr>
        <w:t>IQWiG</w:t>
      </w:r>
      <w:proofErr w:type="spellEnd"/>
      <w:r w:rsidR="00B83354" w:rsidRPr="00B142C3">
        <w:rPr>
          <w:rFonts w:cs="Times New Roman"/>
          <w:iCs/>
        </w:rPr>
        <w:t xml:space="preserve"> to express certainty seems to be </w:t>
      </w:r>
      <w:proofErr w:type="gramStart"/>
      <w:r w:rsidR="00B83354" w:rsidRPr="00B142C3">
        <w:rPr>
          <w:rFonts w:cs="Times New Roman"/>
          <w:iCs/>
        </w:rPr>
        <w:t>similar to</w:t>
      </w:r>
      <w:proofErr w:type="gramEnd"/>
      <w:r w:rsidR="00B83354" w:rsidRPr="00B142C3">
        <w:rPr>
          <w:rFonts w:cs="Times New Roman"/>
          <w:iCs/>
        </w:rPr>
        <w:t xml:space="preserve"> the one used by GRADE with the bottom two ranks (low and very low) being merged into one category (low). This is allowed by GRADE as well, provided that a reasoning is also stated </w:t>
      </w:r>
      <w:sdt>
        <w:sdtPr>
          <w:rPr>
            <w:rFonts w:cs="Times New Roman"/>
            <w:iCs/>
            <w:color w:val="000000"/>
          </w:rPr>
          <w:tag w:val="MENDELEY_CITATION_92782a4c-d617-41ef-8ca3-c30df7a8f759"/>
          <w:id w:val="-1663151084"/>
          <w:placeholder>
            <w:docPart w:val="D69E3F54B41547D8A6353695082F624A"/>
          </w:placeholder>
        </w:sdtPr>
        <w:sdtEndPr/>
        <w:sdtContent>
          <w:r w:rsidR="00B83354" w:rsidRPr="00B142C3">
            <w:rPr>
              <w:rFonts w:cs="Times New Roman"/>
              <w:iCs/>
              <w:color w:val="000000"/>
            </w:rPr>
            <w:t>(7)</w:t>
          </w:r>
        </w:sdtContent>
      </w:sdt>
      <w:r w:rsidR="00B83354" w:rsidRPr="00B142C3">
        <w:rPr>
          <w:rFonts w:cs="Times New Roman"/>
          <w:iCs/>
        </w:rPr>
        <w:t xml:space="preserve">, however a reasoning was not found in </w:t>
      </w:r>
      <w:proofErr w:type="spellStart"/>
      <w:r w:rsidR="00B83354" w:rsidRPr="00B142C3">
        <w:rPr>
          <w:rFonts w:cs="Times New Roman"/>
          <w:iCs/>
        </w:rPr>
        <w:t>IQWiG’s</w:t>
      </w:r>
      <w:proofErr w:type="spellEnd"/>
      <w:r w:rsidR="00B83354" w:rsidRPr="00B142C3">
        <w:rPr>
          <w:rFonts w:cs="Times New Roman"/>
          <w:iCs/>
        </w:rPr>
        <w:t xml:space="preserve"> latest guidelines. </w:t>
      </w:r>
    </w:p>
    <w:p w14:paraId="0850E71E" w14:textId="7EDEAA25" w:rsidR="00B83354" w:rsidRPr="00B142C3" w:rsidRDefault="00B83354" w:rsidP="00B83354">
      <w:pPr>
        <w:jc w:val="both"/>
        <w:rPr>
          <w:rFonts w:cs="Times New Roman"/>
          <w:iCs/>
        </w:rPr>
      </w:pPr>
      <w:r w:rsidRPr="00B142C3">
        <w:rPr>
          <w:rFonts w:cs="Times New Roman"/>
          <w:iCs/>
          <w:noProof/>
          <w:lang w:val="nl-NL" w:eastAsia="nl-NL"/>
        </w:rPr>
        <w:drawing>
          <wp:inline distT="0" distB="0" distL="0" distR="0" wp14:anchorId="590461E5" wp14:editId="182C65DC">
            <wp:extent cx="5486400" cy="1253836"/>
            <wp:effectExtent l="0" t="0" r="38100" b="0"/>
            <wp:docPr id="89" name="Diagram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BF21B9" w14:textId="77777777" w:rsidR="00B83354" w:rsidRPr="00B142C3" w:rsidRDefault="00B83354" w:rsidP="00B83354">
      <w:pPr>
        <w:jc w:val="both"/>
        <w:rPr>
          <w:rFonts w:cs="Times New Roman"/>
          <w:iCs/>
          <w:color w:val="FF0000"/>
        </w:rPr>
      </w:pPr>
    </w:p>
    <w:p w14:paraId="197D760C" w14:textId="77777777" w:rsidR="00B83354" w:rsidRPr="00B142C3" w:rsidRDefault="00B83354" w:rsidP="00B83354">
      <w:pPr>
        <w:jc w:val="both"/>
        <w:rPr>
          <w:rFonts w:cs="Times New Roman"/>
          <w:iCs/>
        </w:rPr>
      </w:pPr>
    </w:p>
    <w:p w14:paraId="7D267AE7" w14:textId="4861D66D" w:rsidR="00B83354" w:rsidRDefault="00B83354" w:rsidP="00B83354">
      <w:pPr>
        <w:jc w:val="both"/>
        <w:rPr>
          <w:rFonts w:cs="Times New Roman"/>
          <w:iCs/>
        </w:rPr>
      </w:pPr>
    </w:p>
    <w:p w14:paraId="6C6C0197" w14:textId="0685F093" w:rsidR="00D86534" w:rsidRDefault="00D86534" w:rsidP="00B83354">
      <w:pPr>
        <w:jc w:val="both"/>
        <w:rPr>
          <w:rFonts w:cs="Times New Roman"/>
          <w:iCs/>
        </w:rPr>
      </w:pPr>
    </w:p>
    <w:p w14:paraId="38BD3A50" w14:textId="77777777" w:rsidR="00D86534" w:rsidRPr="00B142C3" w:rsidRDefault="00D86534" w:rsidP="00B83354">
      <w:pPr>
        <w:jc w:val="both"/>
        <w:rPr>
          <w:rFonts w:cs="Times New Roman"/>
          <w:iCs/>
        </w:rPr>
      </w:pPr>
    </w:p>
    <w:p w14:paraId="4845FA3C" w14:textId="77777777" w:rsidR="00B83354" w:rsidRPr="00B142C3" w:rsidRDefault="00B83354" w:rsidP="00B83354">
      <w:pPr>
        <w:jc w:val="both"/>
        <w:rPr>
          <w:rFonts w:cs="Times New Roman"/>
          <w:iCs/>
        </w:rPr>
      </w:pPr>
      <w:r w:rsidRPr="00B142C3">
        <w:rPr>
          <w:noProof/>
          <w:lang w:val="nl-NL" w:eastAsia="nl-NL"/>
        </w:rPr>
        <mc:AlternateContent>
          <mc:Choice Requires="wps">
            <w:drawing>
              <wp:anchor distT="0" distB="0" distL="114300" distR="114300" simplePos="0" relativeHeight="251660288" behindDoc="0" locked="0" layoutInCell="1" allowOverlap="1" wp14:anchorId="7A4C7053" wp14:editId="617E2453">
                <wp:simplePos x="0" y="0"/>
                <wp:positionH relativeFrom="margin">
                  <wp:align>left</wp:align>
                </wp:positionH>
                <wp:positionV relativeFrom="paragraph">
                  <wp:posOffset>207010</wp:posOffset>
                </wp:positionV>
                <wp:extent cx="5056533" cy="63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056533" cy="635"/>
                        </a:xfrm>
                        <a:prstGeom prst="rect">
                          <a:avLst/>
                        </a:prstGeom>
                        <a:solidFill>
                          <a:prstClr val="white"/>
                        </a:solidFill>
                        <a:ln>
                          <a:noFill/>
                        </a:ln>
                      </wps:spPr>
                      <wps:txbx>
                        <w:txbxContent>
                          <w:p w14:paraId="5315ACAF" w14:textId="77777777" w:rsidR="00BD2DE2" w:rsidRPr="00714DA6" w:rsidRDefault="00BD2DE2" w:rsidP="00B83354">
                            <w:pPr>
                              <w:pStyle w:val="Caption"/>
                              <w:rPr>
                                <w:i w:val="0"/>
                                <w:iCs w:val="0"/>
                                <w:color w:val="auto"/>
                              </w:rPr>
                            </w:pPr>
                            <w:r w:rsidRPr="00714DA6">
                              <w:rPr>
                                <w:b/>
                                <w:bCs/>
                                <w:i w:val="0"/>
                                <w:iCs w:val="0"/>
                                <w:color w:val="auto"/>
                              </w:rPr>
                              <w:t xml:space="preserve">Figure </w:t>
                            </w:r>
                            <w:r w:rsidRPr="00714DA6">
                              <w:rPr>
                                <w:b/>
                                <w:bCs/>
                                <w:i w:val="0"/>
                                <w:iCs w:val="0"/>
                                <w:color w:val="auto"/>
                              </w:rPr>
                              <w:fldChar w:fldCharType="begin"/>
                            </w:r>
                            <w:r w:rsidRPr="00714DA6">
                              <w:rPr>
                                <w:b/>
                                <w:bCs/>
                                <w:i w:val="0"/>
                                <w:iCs w:val="0"/>
                                <w:color w:val="auto"/>
                              </w:rPr>
                              <w:instrText xml:space="preserve"> SEQ Figure \* ARABIC </w:instrText>
                            </w:r>
                            <w:r w:rsidRPr="00714DA6">
                              <w:rPr>
                                <w:b/>
                                <w:bCs/>
                                <w:i w:val="0"/>
                                <w:iCs w:val="0"/>
                                <w:color w:val="auto"/>
                              </w:rPr>
                              <w:fldChar w:fldCharType="separate"/>
                            </w:r>
                            <w:r>
                              <w:rPr>
                                <w:b/>
                                <w:bCs/>
                                <w:i w:val="0"/>
                                <w:iCs w:val="0"/>
                                <w:noProof/>
                                <w:color w:val="auto"/>
                              </w:rPr>
                              <w:t>2</w:t>
                            </w:r>
                            <w:r w:rsidRPr="00714DA6">
                              <w:rPr>
                                <w:b/>
                                <w:bCs/>
                                <w:i w:val="0"/>
                                <w:iCs w:val="0"/>
                                <w:color w:val="auto"/>
                              </w:rPr>
                              <w:fldChar w:fldCharType="end"/>
                            </w:r>
                            <w:r w:rsidRPr="00714DA6">
                              <w:rPr>
                                <w:i w:val="0"/>
                                <w:iCs w:val="0"/>
                                <w:color w:val="auto"/>
                              </w:rPr>
                              <w:t xml:space="preserve"> </w:t>
                            </w:r>
                          </w:p>
                          <w:p w14:paraId="018EA320" w14:textId="77777777" w:rsidR="00BD2DE2" w:rsidRPr="00714DA6" w:rsidRDefault="00BD2DE2" w:rsidP="00B83354">
                            <w:pPr>
                              <w:pStyle w:val="Caption"/>
                              <w:rPr>
                                <w:rFonts w:cs="Times New Roman"/>
                                <w:i w:val="0"/>
                                <w:iCs w:val="0"/>
                                <w:noProof/>
                                <w:color w:val="auto"/>
                              </w:rPr>
                            </w:pPr>
                            <w:r w:rsidRPr="00714DA6">
                              <w:rPr>
                                <w:i w:val="0"/>
                                <w:iCs w:val="0"/>
                                <w:color w:val="auto"/>
                              </w:rPr>
                              <w:t>Visual representation</w:t>
                            </w:r>
                            <w:r w:rsidRPr="00714DA6">
                              <w:rPr>
                                <w:i w:val="0"/>
                                <w:iCs w:val="0"/>
                                <w:noProof/>
                                <w:color w:val="auto"/>
                              </w:rPr>
                              <w:t xml:space="preserve"> of certainty considerations operationalization for the Relative Effectiveness Processes of IQWiG. This should be viewed as a supplement aiding the conceptualization and allocation of the domains in the certainty assessment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4C7053" id="Text Box 59" o:spid="_x0000_s1039" type="#_x0000_t202" style="position:absolute;left:0;text-align:left;margin-left:0;margin-top:16.3pt;width:398.15pt;height:.0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" stroked="f">
                <v:textbox style="mso-fit-shape-to-text:t" inset="0,0,0,0">
                  <w:txbxContent>
                    <w:p w14:paraId="5315ACAF" w14:textId="77777777" w:rsidR="00BD2DE2" w:rsidRPr="00714DA6" w:rsidRDefault="00BD2DE2" w:rsidP="00B83354">
                      <w:pPr>
                        <w:pStyle w:val="Caption"/>
                        <w:rPr>
                          <w:i w:val="0"/>
                          <w:iCs w:val="0"/>
                          <w:color w:val="auto"/>
                        </w:rPr>
                      </w:pPr>
                      <w:r w:rsidRPr="00714DA6">
                        <w:rPr>
                          <w:b/>
                          <w:bCs/>
                          <w:i w:val="0"/>
                          <w:iCs w:val="0"/>
                          <w:color w:val="auto"/>
                        </w:rPr>
                        <w:t xml:space="preserve">Figure </w:t>
                      </w:r>
                      <w:r w:rsidRPr="00714DA6">
                        <w:rPr>
                          <w:b/>
                          <w:bCs/>
                          <w:i w:val="0"/>
                          <w:iCs w:val="0"/>
                          <w:color w:val="auto"/>
                        </w:rPr>
                        <w:fldChar w:fldCharType="begin"/>
                      </w:r>
                      <w:r w:rsidRPr="00714DA6">
                        <w:rPr>
                          <w:b/>
                          <w:bCs/>
                          <w:i w:val="0"/>
                          <w:iCs w:val="0"/>
                          <w:color w:val="auto"/>
                        </w:rPr>
                        <w:instrText xml:space="preserve"> SEQ Figure \* ARABIC </w:instrText>
                      </w:r>
                      <w:r w:rsidRPr="00714DA6">
                        <w:rPr>
                          <w:b/>
                          <w:bCs/>
                          <w:i w:val="0"/>
                          <w:iCs w:val="0"/>
                          <w:color w:val="auto"/>
                        </w:rPr>
                        <w:fldChar w:fldCharType="separate"/>
                      </w:r>
                      <w:r>
                        <w:rPr>
                          <w:b/>
                          <w:bCs/>
                          <w:i w:val="0"/>
                          <w:iCs w:val="0"/>
                          <w:noProof/>
                          <w:color w:val="auto"/>
                        </w:rPr>
                        <w:t>2</w:t>
                      </w:r>
                      <w:r w:rsidRPr="00714DA6">
                        <w:rPr>
                          <w:b/>
                          <w:bCs/>
                          <w:i w:val="0"/>
                          <w:iCs w:val="0"/>
                          <w:color w:val="auto"/>
                        </w:rPr>
                        <w:fldChar w:fldCharType="end"/>
                      </w:r>
                      <w:r w:rsidRPr="00714DA6">
                        <w:rPr>
                          <w:i w:val="0"/>
                          <w:iCs w:val="0"/>
                          <w:color w:val="auto"/>
                        </w:rPr>
                        <w:t xml:space="preserve"> </w:t>
                      </w:r>
                    </w:p>
                    <w:p w14:paraId="018EA320" w14:textId="77777777" w:rsidR="00BD2DE2" w:rsidRPr="00714DA6" w:rsidRDefault="00BD2DE2" w:rsidP="00B83354">
                      <w:pPr>
                        <w:pStyle w:val="Caption"/>
                        <w:rPr>
                          <w:rFonts w:cs="Times New Roman"/>
                          <w:i w:val="0"/>
                          <w:iCs w:val="0"/>
                          <w:noProof/>
                          <w:color w:val="auto"/>
                        </w:rPr>
                      </w:pPr>
                      <w:r w:rsidRPr="00714DA6">
                        <w:rPr>
                          <w:i w:val="0"/>
                          <w:iCs w:val="0"/>
                          <w:color w:val="auto"/>
                        </w:rPr>
                        <w:t>Visual representation</w:t>
                      </w:r>
                      <w:r w:rsidRPr="00714DA6">
                        <w:rPr>
                          <w:i w:val="0"/>
                          <w:iCs w:val="0"/>
                          <w:noProof/>
                          <w:color w:val="auto"/>
                        </w:rPr>
                        <w:t xml:space="preserve"> of certainty considerations operationalization for the Relative Effectiveness Processes of IQWiG. This should be viewed as a supplement aiding the conceptualization and allocation of the domains in the certainty assessment process.</w:t>
                      </w:r>
                    </w:p>
                  </w:txbxContent>
                </v:textbox>
                <w10:wrap anchorx="margin"/>
              </v:shape>
            </w:pict>
          </mc:Fallback>
        </mc:AlternateContent>
      </w:r>
    </w:p>
    <w:p w14:paraId="3F9DB5A0" w14:textId="77777777" w:rsidR="00B83354" w:rsidRPr="00B142C3" w:rsidRDefault="00B83354" w:rsidP="00B83354">
      <w:pPr>
        <w:jc w:val="both"/>
        <w:rPr>
          <w:rFonts w:cs="Times New Roman"/>
          <w:b/>
          <w:bCs/>
          <w:iCs/>
        </w:rPr>
      </w:pPr>
      <w:r w:rsidRPr="00B142C3">
        <w:rPr>
          <w:rFonts w:cs="Times New Roman"/>
          <w:b/>
          <w:bCs/>
          <w:iCs/>
        </w:rPr>
        <w:t>ICER</w:t>
      </w:r>
    </w:p>
    <w:p w14:paraId="204D8F32" w14:textId="77777777" w:rsidR="00B83354" w:rsidRPr="00B142C3" w:rsidRDefault="00B83354" w:rsidP="00B83354">
      <w:pPr>
        <w:jc w:val="both"/>
        <w:rPr>
          <w:rFonts w:cs="Times New Roman"/>
          <w:b/>
          <w:bCs/>
          <w:iCs/>
        </w:rPr>
      </w:pPr>
    </w:p>
    <w:p w14:paraId="451A5E4A" w14:textId="77777777" w:rsidR="000E77E8" w:rsidRDefault="000E77E8">
      <w:pPr>
        <w:spacing w:line="259" w:lineRule="auto"/>
        <w:rPr>
          <w:rFonts w:eastAsiaTheme="majorEastAsia" w:cstheme="majorBidi"/>
          <w:i/>
          <w:color w:val="000000" w:themeColor="text1"/>
          <w:szCs w:val="24"/>
        </w:rPr>
      </w:pPr>
      <w:r>
        <w:br w:type="page"/>
      </w:r>
    </w:p>
    <w:p w14:paraId="5A7B435C" w14:textId="6F55AEA8" w:rsidR="00B83354" w:rsidRPr="00B142C3" w:rsidRDefault="00B83354" w:rsidP="00B83354">
      <w:pPr>
        <w:pStyle w:val="Heading3"/>
      </w:pPr>
      <w:r w:rsidRPr="00B142C3">
        <w:lastRenderedPageBreak/>
        <w:t>II. ICER</w:t>
      </w:r>
    </w:p>
    <w:tbl>
      <w:tblPr>
        <w:tblStyle w:val="TableGrid"/>
        <w:tblW w:w="0" w:type="auto"/>
        <w:tblLook w:val="04A0" w:firstRow="1" w:lastRow="0" w:firstColumn="1" w:lastColumn="0" w:noHBand="0" w:noVBand="1"/>
      </w:tblPr>
      <w:tblGrid>
        <w:gridCol w:w="9016"/>
      </w:tblGrid>
      <w:tr w:rsidR="00B83354" w:rsidRPr="00B142C3" w14:paraId="5907A181" w14:textId="77777777" w:rsidTr="00BD2DE2">
        <w:tc>
          <w:tcPr>
            <w:tcW w:w="9016" w:type="dxa"/>
          </w:tcPr>
          <w:p w14:paraId="45D4043A" w14:textId="77777777" w:rsidR="00B83354" w:rsidRPr="00B142C3" w:rsidRDefault="00B83354" w:rsidP="00BD2DE2">
            <w:pPr>
              <w:jc w:val="both"/>
              <w:rPr>
                <w:rFonts w:cs="Times New Roman"/>
                <w:b/>
                <w:bCs/>
                <w:iCs/>
              </w:rPr>
            </w:pPr>
            <w:r w:rsidRPr="00B142C3">
              <w:rPr>
                <w:rFonts w:cs="Times New Roman"/>
                <w:b/>
                <w:bCs/>
                <w:iCs/>
              </w:rPr>
              <w:t>ICER guidelines included:</w:t>
            </w:r>
          </w:p>
          <w:p w14:paraId="71B2FCCF" w14:textId="77777777" w:rsidR="00B83354" w:rsidRPr="00B142C3" w:rsidRDefault="00B83354" w:rsidP="00BD2DE2">
            <w:pPr>
              <w:numPr>
                <w:ilvl w:val="0"/>
                <w:numId w:val="6"/>
              </w:numPr>
              <w:spacing w:line="240" w:lineRule="auto"/>
              <w:contextualSpacing/>
              <w:rPr>
                <w:rFonts w:cs="Times New Roman"/>
                <w:b/>
                <w:bCs/>
                <w:iCs/>
              </w:rPr>
            </w:pPr>
            <w:r w:rsidRPr="00B142C3">
              <w:rPr>
                <w:rFonts w:eastAsia="Times New Roman" w:cs="Times New Roman"/>
              </w:rPr>
              <w:t xml:space="preserve">D. A. </w:t>
            </w:r>
            <w:proofErr w:type="spellStart"/>
            <w:r w:rsidRPr="00B142C3">
              <w:rPr>
                <w:rFonts w:eastAsia="Times New Roman" w:cs="Times New Roman"/>
              </w:rPr>
              <w:t>Ollendorf</w:t>
            </w:r>
            <w:proofErr w:type="spellEnd"/>
            <w:r w:rsidRPr="00B142C3">
              <w:rPr>
                <w:rFonts w:eastAsia="Times New Roman" w:cs="Times New Roman"/>
              </w:rPr>
              <w:t xml:space="preserve"> and S. D. Pearson, “ICER Evidence Rating Matrix: A User’s Guide,” 2020. [Online]. Available: http://icer-review.org/wp-content/uploads/2020/01/ICER_EBM_Matrix_User_Guide_013120.pdf.</w:t>
            </w:r>
          </w:p>
          <w:p w14:paraId="7A9985EF" w14:textId="77777777" w:rsidR="00B83354" w:rsidRPr="00B142C3" w:rsidRDefault="00B83354" w:rsidP="00BD2DE2">
            <w:pPr>
              <w:rPr>
                <w:rFonts w:cs="Times New Roman"/>
                <w:b/>
                <w:bCs/>
                <w:iCs/>
              </w:rPr>
            </w:pPr>
            <w:r w:rsidRPr="00B142C3">
              <w:rPr>
                <w:rFonts w:cs="Times New Roman"/>
                <w:b/>
                <w:bCs/>
                <w:iCs/>
              </w:rPr>
              <w:t>ICER assessments included:</w:t>
            </w:r>
          </w:p>
          <w:p w14:paraId="6EB42206" w14:textId="77777777" w:rsidR="00B83354" w:rsidRPr="00B142C3" w:rsidRDefault="00B83354" w:rsidP="00BD2DE2">
            <w:pPr>
              <w:rPr>
                <w:rFonts w:cs="Times New Roman"/>
                <w:i/>
              </w:rPr>
            </w:pPr>
            <w:r w:rsidRPr="00B142C3">
              <w:rPr>
                <w:rFonts w:cs="Times New Roman"/>
                <w:i/>
              </w:rPr>
              <w:t>Last three assessments that included a ‘final report’ by the time of retrieval (12/04/2020)</w:t>
            </w:r>
          </w:p>
          <w:p w14:paraId="0F8A384B" w14:textId="77777777" w:rsidR="00B83354" w:rsidRPr="00B142C3" w:rsidRDefault="00B83354" w:rsidP="00BD2DE2">
            <w:pPr>
              <w:numPr>
                <w:ilvl w:val="0"/>
                <w:numId w:val="15"/>
              </w:numPr>
              <w:spacing w:line="240" w:lineRule="auto"/>
              <w:contextualSpacing/>
              <w:rPr>
                <w:rFonts w:cs="Times New Roman"/>
                <w:iCs/>
              </w:rPr>
            </w:pPr>
            <w:r w:rsidRPr="00B142C3">
              <w:rPr>
                <w:rFonts w:cs="Times New Roman"/>
                <w:iCs/>
              </w:rPr>
              <w:t>Institute for Clinical and Economic Review (ICER), “Acute Treatments for Migraine - Final Evidence Report,” 2020. [Online]. Available: https://icer-review.org/wp-content/uploads/2019/06/ICER_Acute-Migraine_Final-Evidence-Report_022520.pdf.</w:t>
            </w:r>
          </w:p>
          <w:p w14:paraId="449E4F51" w14:textId="77777777" w:rsidR="00B83354" w:rsidRPr="00B142C3" w:rsidRDefault="00B83354" w:rsidP="00BD2DE2">
            <w:pPr>
              <w:numPr>
                <w:ilvl w:val="0"/>
                <w:numId w:val="15"/>
              </w:numPr>
              <w:spacing w:line="240" w:lineRule="auto"/>
              <w:contextualSpacing/>
              <w:rPr>
                <w:rFonts w:cs="Times New Roman"/>
                <w:iCs/>
              </w:rPr>
            </w:pPr>
            <w:r w:rsidRPr="00B142C3">
              <w:rPr>
                <w:rFonts w:cs="Times New Roman"/>
                <w:iCs/>
              </w:rPr>
              <w:t>Institute for Clinical and Economic Review (ICER), “Additive Therapies for Cardiovascular Disease: Effectiveness and Value - Final Evidence Report,” 2019. [Online]. Available: https://icer-review.org/wp-content/uploads/2019/02/ICER_CVD_Final_Evidence_Report_101719.pdf.</w:t>
            </w:r>
          </w:p>
          <w:p w14:paraId="0855A780" w14:textId="77777777" w:rsidR="00B83354" w:rsidRPr="00B142C3" w:rsidRDefault="00B83354" w:rsidP="00BD2DE2">
            <w:pPr>
              <w:numPr>
                <w:ilvl w:val="0"/>
                <w:numId w:val="15"/>
              </w:numPr>
              <w:spacing w:line="240" w:lineRule="auto"/>
              <w:contextualSpacing/>
              <w:rPr>
                <w:rFonts w:cs="Times New Roman"/>
                <w:iCs/>
              </w:rPr>
            </w:pPr>
            <w:r w:rsidRPr="00B142C3">
              <w:rPr>
                <w:rFonts w:cs="Times New Roman"/>
                <w:iCs/>
              </w:rPr>
              <w:t xml:space="preserve">Institute for Clinical and Economic Review (ICER), “Duchenne Muscular </w:t>
            </w:r>
            <w:proofErr w:type="gramStart"/>
            <w:r w:rsidRPr="00B142C3">
              <w:rPr>
                <w:rFonts w:cs="Times New Roman"/>
                <w:iCs/>
              </w:rPr>
              <w:t>Dystrophy :</w:t>
            </w:r>
            <w:proofErr w:type="gramEnd"/>
            <w:r w:rsidRPr="00B142C3">
              <w:rPr>
                <w:rFonts w:cs="Times New Roman"/>
                <w:iCs/>
              </w:rPr>
              <w:t xml:space="preserve"> Effectiveness and Value Director of Health Economics - Final Evidence Report,” 2019. [Online]. Available: https://icer-review.org/wp-content/uploads/2018/12/ICER_DMD-Final-Report_081519.pdf.</w:t>
            </w:r>
          </w:p>
        </w:tc>
      </w:tr>
    </w:tbl>
    <w:p w14:paraId="14CBC10F" w14:textId="77777777" w:rsidR="00B83354" w:rsidRPr="00B142C3" w:rsidRDefault="00B83354" w:rsidP="00B83354">
      <w:pPr>
        <w:ind w:firstLine="720"/>
        <w:jc w:val="both"/>
        <w:rPr>
          <w:rFonts w:cs="Times New Roman"/>
          <w:iCs/>
        </w:rPr>
      </w:pPr>
      <w:r w:rsidRPr="00B142C3">
        <w:rPr>
          <w:rFonts w:cs="Times New Roman"/>
          <w:iCs/>
        </w:rPr>
        <w:t>ICER uses the guidelines of three good practices guidelines committees (GRADE, USPSTF and AHRQ) for its evidence to recommendation framework.</w:t>
      </w:r>
    </w:p>
    <w:p w14:paraId="67BA2534" w14:textId="77777777" w:rsidR="00B83354" w:rsidRPr="00B142C3" w:rsidRDefault="00B83354" w:rsidP="00B83354">
      <w:pPr>
        <w:ind w:firstLine="720"/>
        <w:jc w:val="both"/>
        <w:rPr>
          <w:rFonts w:cs="Times New Roman"/>
          <w:iCs/>
        </w:rPr>
      </w:pPr>
      <w:r w:rsidRPr="00B142C3">
        <w:rPr>
          <w:rFonts w:cs="Times New Roman"/>
          <w:iCs/>
        </w:rPr>
        <w:t xml:space="preserve">They do not endorse a specific scale of one of the good practices guidelines </w:t>
      </w:r>
      <w:proofErr w:type="gramStart"/>
      <w:r w:rsidRPr="00B142C3">
        <w:rPr>
          <w:rFonts w:cs="Times New Roman"/>
          <w:iCs/>
        </w:rPr>
        <w:t>in order to</w:t>
      </w:r>
      <w:proofErr w:type="gramEnd"/>
      <w:r w:rsidRPr="00B142C3">
        <w:rPr>
          <w:rFonts w:cs="Times New Roman"/>
          <w:iCs/>
        </w:rPr>
        <w:t xml:space="preserve"> assess the ‘strength of evidence’ </w:t>
      </w:r>
      <w:sdt>
        <w:sdtPr>
          <w:rPr>
            <w:rFonts w:cs="Times New Roman"/>
            <w:iCs/>
            <w:color w:val="000000"/>
          </w:rPr>
          <w:tag w:val="MENDELEY_CITATION_1329f14c-f323-433b-96dd-7ff57b500b77"/>
          <w:id w:val="-2113893378"/>
          <w:placeholder>
            <w:docPart w:val="D69E3F54B41547D8A6353695082F624A"/>
          </w:placeholder>
        </w:sdtPr>
        <w:sdtEndPr/>
        <w:sdtContent>
          <w:r w:rsidRPr="00B142C3">
            <w:rPr>
              <w:rFonts w:cs="Times New Roman"/>
              <w:iCs/>
              <w:color w:val="000000"/>
            </w:rPr>
            <w:t>(8)</w:t>
          </w:r>
        </w:sdtContent>
      </w:sdt>
      <w:r w:rsidRPr="00B142C3">
        <w:rPr>
          <w:rFonts w:cs="Times New Roman"/>
          <w:iCs/>
        </w:rPr>
        <w:t xml:space="preserve">. However, the term ‘strength of evidence’ itself derives from USPSTF guidelines </w:t>
      </w:r>
      <w:sdt>
        <w:sdtPr>
          <w:rPr>
            <w:rFonts w:cs="Times New Roman"/>
            <w:iCs/>
            <w:color w:val="000000"/>
          </w:rPr>
          <w:tag w:val="MENDELEY_CITATION_f929430d-9f9a-4820-b396-b6165f0afc43"/>
          <w:id w:val="1029143378"/>
          <w:placeholder>
            <w:docPart w:val="D69E3F54B41547D8A6353695082F624A"/>
          </w:placeholder>
        </w:sdtPr>
        <w:sdtEndPr/>
        <w:sdtContent>
          <w:r w:rsidRPr="00B142C3">
            <w:rPr>
              <w:rFonts w:cs="Times New Roman"/>
              <w:iCs/>
              <w:color w:val="000000"/>
            </w:rPr>
            <w:t>(9)</w:t>
          </w:r>
        </w:sdtContent>
      </w:sdt>
      <w:r w:rsidRPr="00B142C3">
        <w:rPr>
          <w:rFonts w:cs="Times New Roman"/>
          <w:iCs/>
        </w:rPr>
        <w:t xml:space="preserve"> or AHRQ guidelines (synonym to quality of evidence in initial GRADE and certainty of evidence in later updates of GRADE and USPSTF guidelines </w:t>
      </w:r>
      <w:sdt>
        <w:sdtPr>
          <w:rPr>
            <w:rFonts w:cs="Times New Roman"/>
            <w:iCs/>
            <w:color w:val="000000"/>
          </w:rPr>
          <w:tag w:val="MENDELEY_CITATION_ce661c93-0934-4885-aaa0-5d6902bd5925"/>
          <w:id w:val="-356116417"/>
          <w:placeholder>
            <w:docPart w:val="D69E3F54B41547D8A6353695082F624A"/>
          </w:placeholder>
        </w:sdtPr>
        <w:sdtEndPr/>
        <w:sdtContent>
          <w:r w:rsidRPr="00B142C3">
            <w:rPr>
              <w:rFonts w:cs="Times New Roman"/>
              <w:iCs/>
              <w:color w:val="000000"/>
            </w:rPr>
            <w:t>(10)</w:t>
          </w:r>
        </w:sdtContent>
      </w:sdt>
      <w:r w:rsidRPr="00B142C3">
        <w:rPr>
          <w:rFonts w:cs="Times New Roman"/>
          <w:iCs/>
        </w:rPr>
        <w:t>). From the assessments included in this study</w:t>
      </w:r>
      <w:sdt>
        <w:sdtPr>
          <w:rPr>
            <w:rFonts w:cs="Times New Roman"/>
            <w:iCs/>
            <w:color w:val="000000"/>
          </w:rPr>
          <w:tag w:val="MENDELEY_CITATION_2302b92c-e44f-4ec4-9c0a-7a51d90da292"/>
          <w:id w:val="1651703447"/>
          <w:placeholder>
            <w:docPart w:val="D69E3F54B41547D8A6353695082F624A"/>
          </w:placeholder>
        </w:sdtPr>
        <w:sdtEndPr/>
        <w:sdtContent>
          <w:r w:rsidRPr="00B142C3">
            <w:rPr>
              <w:rFonts w:cs="Times New Roman"/>
              <w:iCs/>
              <w:color w:val="000000"/>
            </w:rPr>
            <w:t>(11–13)</w:t>
          </w:r>
        </w:sdtContent>
      </w:sdt>
      <w:r w:rsidRPr="00B142C3">
        <w:rPr>
          <w:rFonts w:cs="Times New Roman"/>
          <w:iCs/>
        </w:rPr>
        <w:t xml:space="preserve"> there is also indication that they are using the three level (low, </w:t>
      </w:r>
      <w:proofErr w:type="gramStart"/>
      <w:r w:rsidRPr="00B142C3">
        <w:rPr>
          <w:rFonts w:cs="Times New Roman"/>
          <w:iCs/>
        </w:rPr>
        <w:t>fair</w:t>
      </w:r>
      <w:proofErr w:type="gramEnd"/>
      <w:r w:rsidRPr="00B142C3">
        <w:rPr>
          <w:rFonts w:cs="Times New Roman"/>
          <w:iCs/>
        </w:rPr>
        <w:t xml:space="preserve"> or moderate, good) scale of USPSTF in assessments </w:t>
      </w:r>
      <w:r w:rsidRPr="00B142C3">
        <w:rPr>
          <w:rFonts w:cs="Times New Roman"/>
          <w:iCs/>
          <w:color w:val="000000"/>
        </w:rPr>
        <w:t>f</w:t>
      </w:r>
      <w:r w:rsidRPr="00B142C3">
        <w:rPr>
          <w:rFonts w:cs="Times New Roman"/>
          <w:iCs/>
        </w:rPr>
        <w:t>or rating individual studies (</w:t>
      </w:r>
      <w:r w:rsidRPr="00B142C3">
        <w:rPr>
          <w:rFonts w:cs="Times New Roman"/>
          <w:b/>
          <w:bCs/>
          <w:iCs/>
        </w:rPr>
        <w:t>IS</w:t>
      </w:r>
      <w:r w:rsidRPr="00B142C3">
        <w:rPr>
          <w:rFonts w:cs="Times New Roman"/>
          <w:iCs/>
        </w:rPr>
        <w:t>).</w:t>
      </w:r>
      <w:r w:rsidRPr="00B142C3">
        <w:t xml:space="preserve"> </w:t>
      </w:r>
      <w:r w:rsidRPr="00B142C3">
        <w:rPr>
          <w:rFonts w:cs="Times New Roman"/>
          <w:iCs/>
        </w:rPr>
        <w:t xml:space="preserve">The gradings are cited in the available </w:t>
      </w:r>
      <w:r>
        <w:rPr>
          <w:rFonts w:cs="Times New Roman"/>
          <w:iCs/>
        </w:rPr>
        <w:t>a</w:t>
      </w:r>
      <w:r w:rsidRPr="00B142C3">
        <w:rPr>
          <w:rFonts w:cs="Times New Roman"/>
          <w:iCs/>
        </w:rPr>
        <w:t>ppendices</w:t>
      </w:r>
      <w:r>
        <w:rPr>
          <w:rFonts w:cs="Times New Roman"/>
          <w:iCs/>
        </w:rPr>
        <w:t xml:space="preserve"> of the assessment reports</w:t>
      </w:r>
      <w:r w:rsidRPr="00B142C3">
        <w:rPr>
          <w:rFonts w:cs="Times New Roman"/>
          <w:iCs/>
        </w:rPr>
        <w:t>. The gradings of individual studies concern risk of bias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Publication bias is stated to be assessed as part of the ‘quality assessment’ in all three assessments (</w:t>
      </w:r>
      <w:r w:rsidRPr="00B142C3">
        <w:rPr>
          <w:rFonts w:cs="Times New Roman"/>
          <w:b/>
          <w:bCs/>
          <w:iCs/>
          <w:color w:val="7F7F7F" w:themeColor="text1" w:themeTint="80"/>
        </w:rPr>
        <w:sym w:font="Wingdings" w:char="F0F2"/>
      </w:r>
      <w:proofErr w:type="spellStart"/>
      <w:r w:rsidRPr="00B142C3">
        <w:rPr>
          <w:rFonts w:cs="Times New Roman"/>
          <w:b/>
          <w:bCs/>
          <w:iCs/>
          <w:color w:val="7F7F7F" w:themeColor="text1" w:themeTint="80"/>
        </w:rPr>
        <w:t>PuB</w:t>
      </w:r>
      <w:proofErr w:type="spellEnd"/>
      <w:r w:rsidRPr="00B142C3">
        <w:rPr>
          <w:rFonts w:cs="Times New Roman"/>
          <w:iCs/>
        </w:rPr>
        <w:t>).</w:t>
      </w:r>
    </w:p>
    <w:p w14:paraId="6B32240A" w14:textId="08F04A5F" w:rsidR="00B83354" w:rsidRPr="00B142C3" w:rsidRDefault="00B83354" w:rsidP="00B83354">
      <w:pPr>
        <w:ind w:firstLine="720"/>
        <w:jc w:val="both"/>
        <w:rPr>
          <w:rFonts w:cs="Times New Roman"/>
          <w:iCs/>
        </w:rPr>
      </w:pPr>
      <w:r w:rsidRPr="00B142C3">
        <w:rPr>
          <w:rFonts w:cs="Times New Roman"/>
          <w:iCs/>
        </w:rPr>
        <w:t>The focus of ICER guidelines is mostly on the domains (sources) of uncertainty. The domains identified by ICER are a mix of what the three good practices guidelines propose, and these include risk of bias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applicability or generalizability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consistency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 directness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and precision (</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Other domains included are the existence of a dose response relationship (</w:t>
      </w:r>
      <w:r w:rsidRPr="00B142C3">
        <w:rPr>
          <w:rFonts w:cs="Times New Roman"/>
          <w:b/>
          <w:bCs/>
          <w:iCs/>
          <w:color w:val="7030A0"/>
        </w:rPr>
        <w:sym w:font="Wingdings" w:char="F0F1"/>
      </w:r>
      <w:proofErr w:type="spellStart"/>
      <w:r w:rsidRPr="00B142C3">
        <w:rPr>
          <w:rFonts w:cs="Times New Roman"/>
          <w:b/>
          <w:bCs/>
          <w:iCs/>
          <w:color w:val="7030A0"/>
        </w:rPr>
        <w:t>DoR</w:t>
      </w:r>
      <w:proofErr w:type="spellEnd"/>
      <w:r w:rsidRPr="00B142C3">
        <w:rPr>
          <w:rFonts w:cs="Times New Roman"/>
          <w:iCs/>
        </w:rPr>
        <w:t>), biologic plausibility of the treatment effect and publication bias (</w:t>
      </w:r>
      <w:r w:rsidRPr="00B142C3">
        <w:rPr>
          <w:rFonts w:cs="Times New Roman"/>
          <w:b/>
          <w:bCs/>
          <w:iCs/>
          <w:color w:val="7F7F7F" w:themeColor="text1" w:themeTint="80"/>
        </w:rPr>
        <w:sym w:font="Wingdings" w:char="F0F2"/>
      </w:r>
      <w:proofErr w:type="spellStart"/>
      <w:r w:rsidRPr="00B142C3">
        <w:rPr>
          <w:rFonts w:cs="Times New Roman"/>
          <w:b/>
          <w:bCs/>
          <w:iCs/>
          <w:color w:val="7F7F7F" w:themeColor="text1" w:themeTint="80"/>
        </w:rPr>
        <w:t>PuB</w:t>
      </w:r>
      <w:proofErr w:type="spellEnd"/>
      <w:r w:rsidRPr="00B142C3">
        <w:rPr>
          <w:rFonts w:cs="Times New Roman"/>
          <w:iCs/>
        </w:rPr>
        <w:t>).</w:t>
      </w:r>
      <w:r w:rsidR="008229DC">
        <w:rPr>
          <w:rFonts w:cs="Times New Roman"/>
          <w:iCs/>
        </w:rPr>
        <w:t xml:space="preserve"> </w:t>
      </w:r>
    </w:p>
    <w:p w14:paraId="7D9D7FE7" w14:textId="579B26AF" w:rsidR="00B83354" w:rsidRPr="00B142C3" w:rsidRDefault="00B83354" w:rsidP="00B83354">
      <w:pPr>
        <w:ind w:firstLine="720"/>
        <w:jc w:val="both"/>
        <w:rPr>
          <w:rFonts w:cs="Times New Roman"/>
          <w:iCs/>
        </w:rPr>
      </w:pPr>
      <w:r w:rsidRPr="00B142C3">
        <w:rPr>
          <w:rFonts w:cs="Times New Roman"/>
          <w:iCs/>
        </w:rPr>
        <w:t xml:space="preserve">The effect of these domains on the final certainty rating is intentionally not </w:t>
      </w:r>
      <w:r w:rsidRPr="00B142C3">
        <w:rPr>
          <w:rFonts w:cs="Times New Roman"/>
          <w:iCs/>
          <w:lang w:val="en-US"/>
        </w:rPr>
        <w:t xml:space="preserve">predefined </w:t>
      </w:r>
      <w:r w:rsidRPr="00B142C3">
        <w:rPr>
          <w:rFonts w:cs="Times New Roman"/>
          <w:iCs/>
        </w:rPr>
        <w:t xml:space="preserve">by ICER, meaning they use a purely judgemental approach to account for these factors. This unconstrained approach </w:t>
      </w:r>
      <w:proofErr w:type="gramStart"/>
      <w:r w:rsidRPr="00B142C3">
        <w:rPr>
          <w:rFonts w:cs="Times New Roman"/>
          <w:iCs/>
        </w:rPr>
        <w:t>is in contrast to</w:t>
      </w:r>
      <w:proofErr w:type="gramEnd"/>
      <w:r w:rsidRPr="00B142C3">
        <w:rPr>
          <w:rFonts w:cs="Times New Roman"/>
          <w:iCs/>
        </w:rPr>
        <w:t xml:space="preserve"> that of GRADE, according to which there is a pre-set amount that each domain can contribute to the final ranking (</w:t>
      </w:r>
      <w:r w:rsidRPr="00B142C3">
        <w:rPr>
          <w:rFonts w:cs="Times New Roman"/>
          <w:b/>
          <w:bCs/>
          <w:color w:val="52565A"/>
          <w:shd w:val="clear" w:color="auto" w:fill="FFFFFF"/>
        </w:rPr>
        <w:t>±</w:t>
      </w:r>
      <w:r w:rsidRPr="00B142C3">
        <w:rPr>
          <w:rFonts w:cs="Times New Roman"/>
          <w:iCs/>
        </w:rPr>
        <w:t xml:space="preserve">1, </w:t>
      </w:r>
      <w:r w:rsidRPr="00B142C3">
        <w:rPr>
          <w:rFonts w:cs="Times New Roman"/>
          <w:b/>
          <w:bCs/>
          <w:color w:val="52565A"/>
          <w:shd w:val="clear" w:color="auto" w:fill="FFFFFF"/>
        </w:rPr>
        <w:t>±</w:t>
      </w:r>
      <w:r w:rsidRPr="00B142C3">
        <w:rPr>
          <w:rFonts w:cs="Times New Roman"/>
          <w:iCs/>
        </w:rPr>
        <w:t xml:space="preserve">2, -3). As a result, different factors may play a larger or smaller role, depending on the assessment and needs to be accompanied by high levels of transparency. For example, </w:t>
      </w:r>
      <w:proofErr w:type="gramStart"/>
      <w:r w:rsidRPr="00B142C3">
        <w:rPr>
          <w:rFonts w:cs="Times New Roman"/>
          <w:iCs/>
        </w:rPr>
        <w:t>a large number of</w:t>
      </w:r>
      <w:proofErr w:type="gramEnd"/>
      <w:r w:rsidRPr="00B142C3">
        <w:rPr>
          <w:rFonts w:cs="Times New Roman"/>
          <w:iCs/>
        </w:rPr>
        <w:t xml:space="preserve"> studies with high risk of bias but with high consistency of results could even </w:t>
      </w:r>
      <w:r w:rsidRPr="00B142C3">
        <w:rPr>
          <w:rFonts w:cs="Times New Roman"/>
          <w:iCs/>
        </w:rPr>
        <w:lastRenderedPageBreak/>
        <w:t xml:space="preserve">lead to high levels of certainty on the added benefit </w:t>
      </w:r>
      <w:sdt>
        <w:sdtPr>
          <w:rPr>
            <w:rFonts w:cs="Times New Roman"/>
            <w:iCs/>
            <w:color w:val="000000"/>
          </w:rPr>
          <w:tag w:val="MENDELEY_CITATION_f5e90913-77fd-43d4-b6a5-a09088fe31a2"/>
          <w:id w:val="1175762782"/>
          <w:placeholder>
            <w:docPart w:val="B4020FA97E8A4B5EAC53B0C3AD96CE3B"/>
          </w:placeholder>
        </w:sdtPr>
        <w:sdtEndPr/>
        <w:sdtContent>
          <w:r w:rsidRPr="00B142C3">
            <w:rPr>
              <w:rFonts w:cs="Times New Roman"/>
              <w:iCs/>
              <w:color w:val="000000"/>
            </w:rPr>
            <w:t>(8)</w:t>
          </w:r>
        </w:sdtContent>
      </w:sdt>
      <w:r w:rsidRPr="00B142C3">
        <w:rPr>
          <w:rFonts w:cs="Times New Roman"/>
          <w:iCs/>
        </w:rPr>
        <w:t>. A clear distinction between certainty and risk of bias is also made, the latter being one of the factors that affect certainty. The important role of judgment is further highlighted by the fact that algorithms and mathematical equations are suggested to be supportive to decision making rather than to be determinant of the conclusions themselves.</w:t>
      </w:r>
    </w:p>
    <w:p w14:paraId="1E40ACE4" w14:textId="77777777" w:rsidR="00B83354" w:rsidRPr="00B142C3" w:rsidRDefault="00B83354" w:rsidP="00B83354">
      <w:pPr>
        <w:ind w:firstLine="720"/>
        <w:jc w:val="both"/>
        <w:rPr>
          <w:rFonts w:cs="Times New Roman"/>
          <w:iCs/>
        </w:rPr>
      </w:pPr>
      <w:r w:rsidRPr="00B142C3">
        <w:rPr>
          <w:rFonts w:cs="Times New Roman"/>
          <w:iCs/>
        </w:rPr>
        <w:t xml:space="preserve">The outcome-centred approach of GRADE is not evident in ICER’s guidelines, meaning they judge how ‘the body of evidence stacks up to each domain of uncertainty’ instead of viewing it as a characteristic parameter of each outcome. In the assessments examined there is a discussion on a per outcome basis for the presence and magnitude of clinical benefits and harms but not for the level of certainty that accompanies them. </w:t>
      </w:r>
    </w:p>
    <w:p w14:paraId="323576ED" w14:textId="4B7F167D" w:rsidR="00B83354" w:rsidRPr="00B142C3" w:rsidRDefault="008229DC" w:rsidP="00B83354">
      <w:pPr>
        <w:ind w:firstLine="720"/>
        <w:jc w:val="both"/>
        <w:rPr>
          <w:rFonts w:cs="Times New Roman"/>
          <w:iCs/>
        </w:rPr>
      </w:pPr>
      <w:r>
        <w:rPr>
          <w:rFonts w:cs="Times New Roman"/>
          <w:iCs/>
        </w:rPr>
        <w:t>W</w:t>
      </w:r>
      <w:r w:rsidR="00B83354" w:rsidRPr="00B142C3">
        <w:rPr>
          <w:rFonts w:cs="Times New Roman"/>
          <w:iCs/>
        </w:rPr>
        <w:t>hen making conclusions on overall net benefit, ICER assigns a ‘joint rating’ (a letter) that corresponds to a predefined space on the ICER matrix and gives information both for the magnitude of added benefit as well as the certainty surrounding it (</w:t>
      </w:r>
      <w:r w:rsidR="00B83354" w:rsidRPr="00B142C3">
        <w:rPr>
          <w:rFonts w:cs="Times New Roman"/>
          <w:b/>
          <w:bCs/>
          <w:iCs/>
        </w:rPr>
        <w:t>BEA/AB</w:t>
      </w:r>
      <w:r w:rsidR="00B83354" w:rsidRPr="00B142C3">
        <w:rPr>
          <w:rFonts w:cs="Times New Roman"/>
          <w:iCs/>
        </w:rPr>
        <w:t>). The ICER matrix is comprised of two axes: an x-axis of ascending ‘comparative net health benefit’ and a y-axis of ascending ‘level of certainty in the evidence’. Apart from serving as a visual representation of possible results, it also serves as a conceptual tool for assessing relative clinical effectiveness.</w:t>
      </w:r>
      <w:r>
        <w:rPr>
          <w:rFonts w:cs="Times New Roman"/>
          <w:iCs/>
        </w:rPr>
        <w:t xml:space="preserve"> On a final note, although the magnitude of the ‘comparative net health benefit’ is presented separately and on a different axis than certainty, it may play a role on the increase of certainty if a large effect is present</w:t>
      </w:r>
      <w:r w:rsidRPr="00B142C3">
        <w:rPr>
          <w:rFonts w:cs="Times New Roman"/>
          <w:iCs/>
        </w:rPr>
        <w:t xml:space="preserve"> (</w:t>
      </w:r>
      <w:r w:rsidRPr="00B142C3">
        <w:rPr>
          <w:rFonts w:cs="Times New Roman"/>
          <w:b/>
          <w:bCs/>
          <w:iCs/>
          <w:color w:val="FFD966" w:themeColor="accent4" w:themeTint="99"/>
        </w:rPr>
        <w:sym w:font="Wingdings" w:char="F0F1"/>
      </w:r>
      <w:proofErr w:type="spellStart"/>
      <w:r w:rsidRPr="00B142C3">
        <w:rPr>
          <w:rFonts w:cs="Times New Roman"/>
          <w:b/>
          <w:bCs/>
          <w:iCs/>
          <w:color w:val="FFD966" w:themeColor="accent4" w:themeTint="99"/>
        </w:rPr>
        <w:t>LaE</w:t>
      </w:r>
      <w:proofErr w:type="spellEnd"/>
      <w:r w:rsidRPr="00B142C3">
        <w:rPr>
          <w:rFonts w:cs="Times New Roman"/>
          <w:iCs/>
        </w:rPr>
        <w:t>)</w:t>
      </w:r>
      <w:r>
        <w:rPr>
          <w:rFonts w:cs="Times New Roman"/>
          <w:iCs/>
        </w:rPr>
        <w:t xml:space="preserve">, as was pointed out by ICER representative in the process of the verification of our results referring us to </w:t>
      </w:r>
      <w:r w:rsidR="00426AF4">
        <w:rPr>
          <w:rFonts w:cs="Times New Roman"/>
          <w:iCs/>
        </w:rPr>
        <w:t xml:space="preserve">their assessment </w:t>
      </w:r>
      <w:r>
        <w:rPr>
          <w:rFonts w:cs="Times New Roman"/>
          <w:iCs/>
        </w:rPr>
        <w:t xml:space="preserve">of </w:t>
      </w:r>
      <w:proofErr w:type="spellStart"/>
      <w:r>
        <w:rPr>
          <w:rFonts w:cs="Times New Roman"/>
          <w:iCs/>
        </w:rPr>
        <w:t>Zolgensma</w:t>
      </w:r>
      <w:proofErr w:type="spellEnd"/>
      <w:r>
        <w:rPr>
          <w:rFonts w:cs="Times New Roman"/>
          <w:iCs/>
        </w:rPr>
        <w:t>.</w:t>
      </w:r>
    </w:p>
    <w:p w14:paraId="4820429B" w14:textId="77777777" w:rsidR="00B83354" w:rsidRPr="00B142C3" w:rsidRDefault="00B83354" w:rsidP="00B83354">
      <w:pPr>
        <w:jc w:val="both"/>
        <w:rPr>
          <w:rFonts w:cs="Times New Roman"/>
          <w:b/>
          <w:bCs/>
          <w:iCs/>
        </w:rPr>
      </w:pPr>
    </w:p>
    <w:p w14:paraId="1C214089" w14:textId="77777777" w:rsidR="000E77E8" w:rsidRDefault="000E77E8">
      <w:pPr>
        <w:spacing w:line="259" w:lineRule="auto"/>
        <w:rPr>
          <w:rFonts w:eastAsiaTheme="majorEastAsia" w:cstheme="majorBidi"/>
          <w:i/>
          <w:color w:val="000000" w:themeColor="text1"/>
          <w:szCs w:val="24"/>
        </w:rPr>
      </w:pPr>
      <w:r>
        <w:br w:type="page"/>
      </w:r>
    </w:p>
    <w:p w14:paraId="18A80C5A" w14:textId="7C45C847" w:rsidR="00B83354" w:rsidRPr="00B142C3" w:rsidRDefault="00B83354" w:rsidP="00B83354">
      <w:pPr>
        <w:pStyle w:val="Heading3"/>
      </w:pPr>
      <w:r w:rsidRPr="00B142C3">
        <w:lastRenderedPageBreak/>
        <w:t>III. HAS</w:t>
      </w:r>
      <w:r w:rsidRPr="00B142C3">
        <w:rPr>
          <w:color w:val="E7E6E6" w:themeColor="background2"/>
          <w:highlight w:val="darkGreen"/>
        </w:rPr>
        <w:t xml:space="preserve"> </w:t>
      </w:r>
    </w:p>
    <w:tbl>
      <w:tblPr>
        <w:tblStyle w:val="TableGrid"/>
        <w:tblW w:w="0" w:type="auto"/>
        <w:tblLook w:val="04A0" w:firstRow="1" w:lastRow="0" w:firstColumn="1" w:lastColumn="0" w:noHBand="0" w:noVBand="1"/>
      </w:tblPr>
      <w:tblGrid>
        <w:gridCol w:w="9016"/>
      </w:tblGrid>
      <w:tr w:rsidR="00B83354" w:rsidRPr="00B142C3" w14:paraId="0DEC04B3" w14:textId="77777777" w:rsidTr="00BD2DE2">
        <w:tc>
          <w:tcPr>
            <w:tcW w:w="9016" w:type="dxa"/>
          </w:tcPr>
          <w:p w14:paraId="01EE9C96" w14:textId="77777777" w:rsidR="00B83354" w:rsidRPr="00B142C3" w:rsidRDefault="00B83354" w:rsidP="00BD2DE2">
            <w:pPr>
              <w:jc w:val="both"/>
              <w:rPr>
                <w:rFonts w:cs="Times New Roman"/>
                <w:b/>
                <w:bCs/>
                <w:iCs/>
              </w:rPr>
            </w:pPr>
            <w:r w:rsidRPr="00B142C3">
              <w:rPr>
                <w:rFonts w:cs="Times New Roman"/>
                <w:b/>
                <w:bCs/>
                <w:iCs/>
              </w:rPr>
              <w:t>HAS guidelines included:</w:t>
            </w:r>
          </w:p>
          <w:p w14:paraId="39F9C956"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 xml:space="preserve">Haute </w:t>
            </w:r>
            <w:proofErr w:type="spellStart"/>
            <w:r w:rsidRPr="00B142C3">
              <w:rPr>
                <w:rFonts w:eastAsia="Times New Roman" w:cs="Times New Roman"/>
              </w:rPr>
              <w:t>Autorité</w:t>
            </w:r>
            <w:proofErr w:type="spellEnd"/>
            <w:r w:rsidRPr="00B142C3">
              <w:rPr>
                <w:rFonts w:eastAsia="Times New Roman" w:cs="Times New Roman"/>
              </w:rPr>
              <w:t xml:space="preserve"> de </w:t>
            </w:r>
            <w:proofErr w:type="spellStart"/>
            <w:r w:rsidRPr="00B142C3">
              <w:rPr>
                <w:rFonts w:eastAsia="Times New Roman" w:cs="Times New Roman"/>
              </w:rPr>
              <w:t>Santé</w:t>
            </w:r>
            <w:proofErr w:type="spellEnd"/>
            <w:r w:rsidRPr="00B142C3">
              <w:rPr>
                <w:rFonts w:eastAsia="Times New Roman" w:cs="Times New Roman"/>
              </w:rPr>
              <w:t xml:space="preserve"> (HAS), “Pricing and Reimbursement of drugs and HTA policies in France,” 2014. [Online]. Available: http://www.has-sante.fr/portail/upload/docs/application/pdf/2014-03/pricing_reimbursement_of_drugs_and_hta_policies_in_france.pdf.</w:t>
            </w:r>
          </w:p>
          <w:p w14:paraId="3EADAD7B" w14:textId="77777777" w:rsidR="00B83354" w:rsidRPr="00B142C3" w:rsidRDefault="00B83354" w:rsidP="00BD2DE2">
            <w:pPr>
              <w:numPr>
                <w:ilvl w:val="0"/>
                <w:numId w:val="5"/>
              </w:numPr>
              <w:spacing w:line="240" w:lineRule="auto"/>
              <w:contextualSpacing/>
              <w:rPr>
                <w:rFonts w:cs="Times New Roman"/>
                <w:b/>
                <w:bCs/>
                <w:iCs/>
              </w:rPr>
            </w:pPr>
            <w:r w:rsidRPr="00B142C3">
              <w:rPr>
                <w:rFonts w:eastAsia="Times New Roman" w:cs="Times New Roman"/>
              </w:rPr>
              <w:t xml:space="preserve">Haute </w:t>
            </w:r>
            <w:proofErr w:type="spellStart"/>
            <w:r w:rsidRPr="00B142C3">
              <w:rPr>
                <w:rFonts w:eastAsia="Times New Roman" w:cs="Times New Roman"/>
              </w:rPr>
              <w:t>Autorité</w:t>
            </w:r>
            <w:proofErr w:type="spellEnd"/>
            <w:r w:rsidRPr="00B142C3">
              <w:rPr>
                <w:rFonts w:eastAsia="Times New Roman" w:cs="Times New Roman"/>
              </w:rPr>
              <w:t xml:space="preserve"> de </w:t>
            </w:r>
            <w:proofErr w:type="spellStart"/>
            <w:r w:rsidRPr="00B142C3">
              <w:rPr>
                <w:rFonts w:eastAsia="Times New Roman" w:cs="Times New Roman"/>
              </w:rPr>
              <w:t>Santé</w:t>
            </w:r>
            <w:proofErr w:type="spellEnd"/>
            <w:r w:rsidRPr="00B142C3">
              <w:rPr>
                <w:rFonts w:eastAsia="Times New Roman" w:cs="Times New Roman"/>
              </w:rPr>
              <w:t xml:space="preserve"> (HAS), “Medicinal products assessment. Transparency Committee Doctrine. Principles of medicinal products assessment and appraisal for reimbursement purposes.,” Saint-Denis (France), 2018. [Online]. Available: https://www.has-sante.fr/upload/docs/application/pdf/2019-07/doctrine_de_la_commission_de_la_transparence_-_version_anglaise.pdf.</w:t>
            </w:r>
          </w:p>
          <w:p w14:paraId="27E50BDF"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 xml:space="preserve">Haute </w:t>
            </w:r>
            <w:proofErr w:type="spellStart"/>
            <w:r w:rsidRPr="00B142C3">
              <w:rPr>
                <w:rFonts w:eastAsia="Times New Roman" w:cs="Times New Roman"/>
              </w:rPr>
              <w:t>Autorité</w:t>
            </w:r>
            <w:proofErr w:type="spellEnd"/>
            <w:r w:rsidRPr="00B142C3">
              <w:rPr>
                <w:rFonts w:eastAsia="Times New Roman" w:cs="Times New Roman"/>
              </w:rPr>
              <w:t xml:space="preserve"> de </w:t>
            </w:r>
            <w:proofErr w:type="spellStart"/>
            <w:r w:rsidRPr="00B142C3">
              <w:rPr>
                <w:rFonts w:eastAsia="Times New Roman" w:cs="Times New Roman"/>
              </w:rPr>
              <w:t>Santé</w:t>
            </w:r>
            <w:proofErr w:type="spellEnd"/>
            <w:r w:rsidRPr="00B142C3">
              <w:rPr>
                <w:rFonts w:eastAsia="Times New Roman" w:cs="Times New Roman"/>
              </w:rPr>
              <w:t xml:space="preserve"> (HAS), “</w:t>
            </w:r>
            <w:proofErr w:type="spellStart"/>
            <w:r w:rsidRPr="00B142C3">
              <w:rPr>
                <w:rFonts w:eastAsia="Times New Roman" w:cs="Times New Roman"/>
              </w:rPr>
              <w:t>Niveau</w:t>
            </w:r>
            <w:proofErr w:type="spellEnd"/>
            <w:r w:rsidRPr="00B142C3">
              <w:rPr>
                <w:rFonts w:eastAsia="Times New Roman" w:cs="Times New Roman"/>
              </w:rPr>
              <w:t xml:space="preserve"> de </w:t>
            </w:r>
            <w:proofErr w:type="spellStart"/>
            <w:r w:rsidRPr="00B142C3">
              <w:rPr>
                <w:rFonts w:eastAsia="Times New Roman" w:cs="Times New Roman"/>
              </w:rPr>
              <w:t>preuve</w:t>
            </w:r>
            <w:proofErr w:type="spellEnd"/>
            <w:r w:rsidRPr="00B142C3">
              <w:rPr>
                <w:rFonts w:eastAsia="Times New Roman" w:cs="Times New Roman"/>
              </w:rPr>
              <w:t xml:space="preserve"> et gradation des </w:t>
            </w:r>
            <w:proofErr w:type="spellStart"/>
            <w:r w:rsidRPr="00B142C3">
              <w:rPr>
                <w:rFonts w:eastAsia="Times New Roman" w:cs="Times New Roman"/>
              </w:rPr>
              <w:t>recommandations</w:t>
            </w:r>
            <w:proofErr w:type="spellEnd"/>
            <w:r w:rsidRPr="00B142C3">
              <w:rPr>
                <w:rFonts w:eastAsia="Times New Roman" w:cs="Times New Roman"/>
              </w:rPr>
              <w:t xml:space="preserve"> de bonne pratique,” Saint-Denis (France), 2013. [Online]. Available: https://www.has-sante.fr/upload/docs/application/pdf/2013-06/etat_des_lieux_niveau_preuve_gradation.pdf.</w:t>
            </w:r>
          </w:p>
          <w:p w14:paraId="190528BB" w14:textId="77777777" w:rsidR="00B83354" w:rsidRPr="00B142C3" w:rsidRDefault="00B83354" w:rsidP="00BD2DE2">
            <w:pPr>
              <w:rPr>
                <w:rFonts w:cs="Times New Roman"/>
                <w:b/>
                <w:bCs/>
                <w:iCs/>
              </w:rPr>
            </w:pPr>
            <w:r w:rsidRPr="00B142C3">
              <w:rPr>
                <w:rFonts w:cs="Times New Roman"/>
                <w:b/>
                <w:bCs/>
                <w:iCs/>
              </w:rPr>
              <w:t>HAS assessments included:</w:t>
            </w:r>
          </w:p>
          <w:p w14:paraId="75F842AE" w14:textId="77777777" w:rsidR="00B83354" w:rsidRPr="00B142C3" w:rsidRDefault="00B83354" w:rsidP="00BD2DE2">
            <w:pPr>
              <w:rPr>
                <w:rFonts w:cs="Times New Roman"/>
                <w:i/>
                <w:lang w:val="en-US"/>
              </w:rPr>
            </w:pPr>
            <w:r w:rsidRPr="00B142C3">
              <w:rPr>
                <w:rFonts w:cs="Times New Roman"/>
                <w:i/>
              </w:rPr>
              <w:t xml:space="preserve">Last three assessments that at the time of retrieval (12/04/2020) included an English translated Transparency Committee Opinion Summary. The assessments selected were for drugs being assessed for the first time (nouveau </w:t>
            </w:r>
            <w:proofErr w:type="spellStart"/>
            <w:r w:rsidRPr="00B142C3">
              <w:rPr>
                <w:rFonts w:cs="Times New Roman"/>
                <w:i/>
              </w:rPr>
              <w:t>médicament</w:t>
            </w:r>
            <w:proofErr w:type="spellEnd"/>
            <w:r w:rsidRPr="00B142C3">
              <w:rPr>
                <w:rFonts w:cs="Times New Roman"/>
                <w:i/>
              </w:rPr>
              <w:t>).</w:t>
            </w:r>
          </w:p>
          <w:p w14:paraId="5023089E"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“Transparency Committee Opinion Summary - </w:t>
            </w:r>
            <w:proofErr w:type="spellStart"/>
            <w:r w:rsidRPr="00B142C3">
              <w:rPr>
                <w:rFonts w:cs="Times New Roman"/>
                <w:iCs/>
              </w:rPr>
              <w:t>Slenyto</w:t>
            </w:r>
            <w:proofErr w:type="spellEnd"/>
            <w:r w:rsidRPr="00B142C3">
              <w:rPr>
                <w:rFonts w:cs="Times New Roman"/>
                <w:iCs/>
              </w:rPr>
              <w:t xml:space="preserve"> (melatonin) (English translation),” Saint-Denis (France). [Online]. Available: https://www.has-sante.fr/upload/docs/application/pdf/2019-11/slenyto_summary_ct17549.pdf.</w:t>
            </w:r>
          </w:p>
          <w:p w14:paraId="6B0E7587"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w:t>
            </w:r>
            <w:proofErr w:type="spellStart"/>
            <w:r w:rsidRPr="00B142C3">
              <w:rPr>
                <w:rFonts w:cs="Times New Roman"/>
                <w:iCs/>
              </w:rPr>
              <w:t>Commision</w:t>
            </w:r>
            <w:proofErr w:type="spellEnd"/>
            <w:r w:rsidRPr="00B142C3">
              <w:rPr>
                <w:rFonts w:cs="Times New Roman"/>
                <w:iCs/>
              </w:rPr>
              <w:t xml:space="preserve"> de la </w:t>
            </w:r>
            <w:proofErr w:type="spellStart"/>
            <w:r w:rsidRPr="00B142C3">
              <w:rPr>
                <w:rFonts w:cs="Times New Roman"/>
                <w:iCs/>
              </w:rPr>
              <w:t>Transparence</w:t>
            </w:r>
            <w:proofErr w:type="spellEnd"/>
            <w:r w:rsidRPr="00B142C3">
              <w:rPr>
                <w:rFonts w:cs="Times New Roman"/>
                <w:iCs/>
              </w:rPr>
              <w:t xml:space="preserve"> - Transcription - </w:t>
            </w:r>
            <w:proofErr w:type="spellStart"/>
            <w:r w:rsidRPr="00B142C3">
              <w:rPr>
                <w:rFonts w:cs="Times New Roman"/>
                <w:iCs/>
              </w:rPr>
              <w:t>Slenyto</w:t>
            </w:r>
            <w:proofErr w:type="spellEnd"/>
            <w:r w:rsidRPr="00B142C3">
              <w:rPr>
                <w:rFonts w:cs="Times New Roman"/>
                <w:iCs/>
              </w:rPr>
              <w:t xml:space="preserve"> (melatonin),” Saint-Denis (France), 2019. [Online]. Available: https://www.has-sante.fr/upload/docs/application/pdf/2019-08/slenyto_12062019_transcription_ct17549.pdf.</w:t>
            </w:r>
          </w:p>
          <w:p w14:paraId="24BFBDF8"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w:t>
            </w:r>
            <w:proofErr w:type="spellStart"/>
            <w:r w:rsidRPr="00B142C3">
              <w:rPr>
                <w:rFonts w:cs="Times New Roman"/>
                <w:iCs/>
              </w:rPr>
              <w:t>Commision</w:t>
            </w:r>
            <w:proofErr w:type="spellEnd"/>
            <w:r w:rsidRPr="00B142C3">
              <w:rPr>
                <w:rFonts w:cs="Times New Roman"/>
                <w:iCs/>
              </w:rPr>
              <w:t xml:space="preserve"> de la </w:t>
            </w:r>
            <w:proofErr w:type="spellStart"/>
            <w:r w:rsidRPr="00B142C3">
              <w:rPr>
                <w:rFonts w:cs="Times New Roman"/>
                <w:iCs/>
              </w:rPr>
              <w:t>Transparence</w:t>
            </w:r>
            <w:proofErr w:type="spellEnd"/>
            <w:r w:rsidRPr="00B142C3">
              <w:rPr>
                <w:rFonts w:cs="Times New Roman"/>
                <w:iCs/>
              </w:rPr>
              <w:t xml:space="preserve"> - Avis - </w:t>
            </w:r>
            <w:proofErr w:type="spellStart"/>
            <w:r w:rsidRPr="00B142C3">
              <w:rPr>
                <w:rFonts w:cs="Times New Roman"/>
                <w:iCs/>
              </w:rPr>
              <w:t>Slenyto</w:t>
            </w:r>
            <w:proofErr w:type="spellEnd"/>
            <w:r w:rsidRPr="00B142C3">
              <w:rPr>
                <w:rFonts w:cs="Times New Roman"/>
                <w:iCs/>
              </w:rPr>
              <w:t xml:space="preserve"> (melatonin),” Saint-Denis (France), 2019. [Online]. Available: https://www.has-sante.fr/upload/docs/evamed/CT-17549_SLENYTO_PIC_INS_Avis2_CT17549.pdf.</w:t>
            </w:r>
          </w:p>
          <w:p w14:paraId="6AE7ABBB"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“Transparency Committee Opinion Summary - </w:t>
            </w:r>
            <w:proofErr w:type="spellStart"/>
            <w:r w:rsidRPr="00B142C3">
              <w:rPr>
                <w:rFonts w:cs="Times New Roman"/>
                <w:iCs/>
              </w:rPr>
              <w:t>Caddera</w:t>
            </w:r>
            <w:proofErr w:type="spellEnd"/>
            <w:r w:rsidRPr="00B142C3">
              <w:rPr>
                <w:rFonts w:cs="Times New Roman"/>
                <w:iCs/>
              </w:rPr>
              <w:t xml:space="preserve"> (calcium chloride dihydrate) (English translation),” Saint-Denis (France), 2019. [Online]. Available: https://www.has-sante.fr/upload/docs/application/pdf/2019-11/caddera_summary_ct17578.pdf.</w:t>
            </w:r>
          </w:p>
          <w:p w14:paraId="54B42090"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“Commission de la </w:t>
            </w:r>
            <w:proofErr w:type="spellStart"/>
            <w:r w:rsidRPr="00B142C3">
              <w:rPr>
                <w:rFonts w:cs="Times New Roman"/>
                <w:iCs/>
              </w:rPr>
              <w:t>Transparence</w:t>
            </w:r>
            <w:proofErr w:type="spellEnd"/>
            <w:r w:rsidRPr="00B142C3">
              <w:rPr>
                <w:rFonts w:cs="Times New Roman"/>
                <w:iCs/>
              </w:rPr>
              <w:t xml:space="preserve"> - Avis - </w:t>
            </w:r>
            <w:proofErr w:type="spellStart"/>
            <w:r w:rsidRPr="00B142C3">
              <w:rPr>
                <w:rFonts w:cs="Times New Roman"/>
                <w:iCs/>
              </w:rPr>
              <w:t>Caddera</w:t>
            </w:r>
            <w:proofErr w:type="spellEnd"/>
            <w:r w:rsidRPr="00B142C3">
              <w:rPr>
                <w:rFonts w:cs="Times New Roman"/>
                <w:iCs/>
              </w:rPr>
              <w:t xml:space="preserve"> (calcium chloride dihydrate),” Saint-Denis (France), 2019. [Online]. Available: https://www.has-sante.fr/upload/docs/evamed/CT-17578_CADDERA_PIC_INS_Avis1_CT17578.pdf.</w:t>
            </w:r>
          </w:p>
          <w:p w14:paraId="1D52296E" w14:textId="77777777" w:rsidR="00B83354" w:rsidRPr="00B142C3" w:rsidRDefault="00B83354" w:rsidP="00BD2DE2">
            <w:pPr>
              <w:numPr>
                <w:ilvl w:val="0"/>
                <w:numId w:val="10"/>
              </w:numPr>
              <w:spacing w:line="240" w:lineRule="auto"/>
              <w:contextualSpacing/>
              <w:rPr>
                <w:rFonts w:cs="Times New Roman"/>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“Commission de la </w:t>
            </w:r>
            <w:proofErr w:type="spellStart"/>
            <w:r w:rsidRPr="00B142C3">
              <w:rPr>
                <w:rFonts w:cs="Times New Roman"/>
                <w:iCs/>
              </w:rPr>
              <w:t>Transparence</w:t>
            </w:r>
            <w:proofErr w:type="spellEnd"/>
            <w:r w:rsidRPr="00B142C3">
              <w:rPr>
                <w:rFonts w:cs="Times New Roman"/>
                <w:iCs/>
              </w:rPr>
              <w:t xml:space="preserve"> - Avis - </w:t>
            </w:r>
            <w:proofErr w:type="spellStart"/>
            <w:r w:rsidRPr="00B142C3">
              <w:rPr>
                <w:rFonts w:cs="Times New Roman"/>
                <w:iCs/>
              </w:rPr>
              <w:t>Pifeltro</w:t>
            </w:r>
            <w:proofErr w:type="spellEnd"/>
            <w:r w:rsidRPr="00B142C3">
              <w:rPr>
                <w:rFonts w:cs="Times New Roman"/>
                <w:iCs/>
              </w:rPr>
              <w:t xml:space="preserve"> (</w:t>
            </w:r>
            <w:proofErr w:type="spellStart"/>
            <w:r w:rsidRPr="00B142C3">
              <w:rPr>
                <w:rFonts w:cs="Times New Roman"/>
                <w:iCs/>
              </w:rPr>
              <w:t>doravirine</w:t>
            </w:r>
            <w:proofErr w:type="spellEnd"/>
            <w:r w:rsidRPr="00B142C3">
              <w:rPr>
                <w:rFonts w:cs="Times New Roman"/>
                <w:iCs/>
              </w:rPr>
              <w:t>),” Saint-Denis (France), 2019. [Online]. Available: https://www.has-sante.fr/upload/docs/application/pdf/2019-05/pifeltro_synthese_ct17495.pdf.</w:t>
            </w:r>
          </w:p>
          <w:p w14:paraId="740C10C3" w14:textId="77777777" w:rsidR="00B83354" w:rsidRPr="00B142C3" w:rsidRDefault="00B83354" w:rsidP="00BD2DE2">
            <w:pPr>
              <w:numPr>
                <w:ilvl w:val="0"/>
                <w:numId w:val="10"/>
              </w:numPr>
              <w:spacing w:line="240" w:lineRule="auto"/>
              <w:contextualSpacing/>
              <w:rPr>
                <w:rFonts w:cs="Times New Roman"/>
                <w:b/>
                <w:bCs/>
                <w:iCs/>
              </w:rPr>
            </w:pPr>
            <w:r w:rsidRPr="00B142C3">
              <w:rPr>
                <w:rFonts w:cs="Times New Roman"/>
                <w:iCs/>
              </w:rPr>
              <w:t xml:space="preserve">Haute </w:t>
            </w:r>
            <w:proofErr w:type="spellStart"/>
            <w:r w:rsidRPr="00B142C3">
              <w:rPr>
                <w:rFonts w:cs="Times New Roman"/>
                <w:iCs/>
              </w:rPr>
              <w:t>Autorité</w:t>
            </w:r>
            <w:proofErr w:type="spellEnd"/>
            <w:r w:rsidRPr="00B142C3">
              <w:rPr>
                <w:rFonts w:cs="Times New Roman"/>
                <w:iCs/>
              </w:rPr>
              <w:t xml:space="preserve"> de </w:t>
            </w:r>
            <w:proofErr w:type="spellStart"/>
            <w:r w:rsidRPr="00B142C3">
              <w:rPr>
                <w:rFonts w:cs="Times New Roman"/>
                <w:iCs/>
              </w:rPr>
              <w:t>Santé</w:t>
            </w:r>
            <w:proofErr w:type="spellEnd"/>
            <w:r w:rsidRPr="00B142C3">
              <w:rPr>
                <w:rFonts w:cs="Times New Roman"/>
                <w:iCs/>
              </w:rPr>
              <w:t xml:space="preserve"> (HAS), “Transparency Committee Opinion Summary - </w:t>
            </w:r>
            <w:proofErr w:type="spellStart"/>
            <w:r w:rsidRPr="00B142C3">
              <w:rPr>
                <w:rFonts w:cs="Times New Roman"/>
                <w:iCs/>
              </w:rPr>
              <w:t>Pifeltro</w:t>
            </w:r>
            <w:proofErr w:type="spellEnd"/>
            <w:r w:rsidRPr="00B142C3">
              <w:rPr>
                <w:rFonts w:cs="Times New Roman"/>
                <w:iCs/>
              </w:rPr>
              <w:t xml:space="preserve"> (</w:t>
            </w:r>
            <w:proofErr w:type="spellStart"/>
            <w:r w:rsidRPr="00B142C3">
              <w:rPr>
                <w:rFonts w:cs="Times New Roman"/>
                <w:iCs/>
              </w:rPr>
              <w:t>doravirine</w:t>
            </w:r>
            <w:proofErr w:type="spellEnd"/>
            <w:r w:rsidRPr="00B142C3">
              <w:rPr>
                <w:rFonts w:cs="Times New Roman"/>
                <w:iCs/>
              </w:rPr>
              <w:t>) (English translation),” Saint-Denis (France), 2019. [Online]. Available: https://www.has-sante.fr/upload/docs/application/pdf/2019-08/pifeltro_summary_ct17495.pdf.</w:t>
            </w:r>
          </w:p>
        </w:tc>
      </w:tr>
    </w:tbl>
    <w:p w14:paraId="327D043F" w14:textId="77777777" w:rsidR="00B83354" w:rsidRPr="00B142C3" w:rsidRDefault="00B83354" w:rsidP="00B83354">
      <w:pPr>
        <w:jc w:val="both"/>
        <w:rPr>
          <w:rFonts w:cs="Times New Roman"/>
          <w:b/>
          <w:bCs/>
          <w:iCs/>
        </w:rPr>
      </w:pPr>
    </w:p>
    <w:p w14:paraId="0118A7BA" w14:textId="77777777" w:rsidR="00B83354" w:rsidRPr="00B142C3" w:rsidRDefault="00B83354" w:rsidP="00B83354">
      <w:pPr>
        <w:ind w:firstLine="720"/>
        <w:jc w:val="both"/>
        <w:rPr>
          <w:rFonts w:cs="Times New Roman"/>
          <w:iCs/>
        </w:rPr>
      </w:pPr>
      <w:r w:rsidRPr="00B142C3">
        <w:rPr>
          <w:rFonts w:cs="Times New Roman"/>
          <w:iCs/>
        </w:rPr>
        <w:t xml:space="preserve">The relative effectiveness assessments of HAS usually reach two critical conclusions: SMR (Service </w:t>
      </w:r>
      <w:proofErr w:type="spellStart"/>
      <w:r w:rsidRPr="00B142C3">
        <w:rPr>
          <w:rFonts w:cs="Times New Roman"/>
          <w:iCs/>
        </w:rPr>
        <w:t>Médical</w:t>
      </w:r>
      <w:proofErr w:type="spellEnd"/>
      <w:r w:rsidRPr="00B142C3">
        <w:rPr>
          <w:rFonts w:cs="Times New Roman"/>
          <w:iCs/>
        </w:rPr>
        <w:t xml:space="preserve"> </w:t>
      </w:r>
      <w:proofErr w:type="spellStart"/>
      <w:r w:rsidRPr="00B142C3">
        <w:rPr>
          <w:rFonts w:cs="Times New Roman"/>
          <w:iCs/>
        </w:rPr>
        <w:t>Rendu</w:t>
      </w:r>
      <w:proofErr w:type="spellEnd"/>
      <w:r w:rsidRPr="00B142C3">
        <w:rPr>
          <w:rFonts w:cs="Times New Roman"/>
          <w:iCs/>
        </w:rPr>
        <w:t xml:space="preserve">, </w:t>
      </w:r>
      <w:r w:rsidRPr="00B142C3">
        <w:rPr>
          <w:rFonts w:cs="Times New Roman"/>
          <w:i/>
        </w:rPr>
        <w:t xml:space="preserve">EN: </w:t>
      </w:r>
      <w:r w:rsidRPr="00B142C3">
        <w:rPr>
          <w:rFonts w:cs="Times New Roman"/>
          <w:iCs/>
        </w:rPr>
        <w:t>Clinical Benefit) and ASMR (</w:t>
      </w:r>
      <w:proofErr w:type="spellStart"/>
      <w:r w:rsidRPr="00B142C3">
        <w:rPr>
          <w:rFonts w:cs="Times New Roman"/>
          <w:iCs/>
        </w:rPr>
        <w:t>Amélioration</w:t>
      </w:r>
      <w:proofErr w:type="spellEnd"/>
      <w:r w:rsidRPr="00B142C3">
        <w:rPr>
          <w:rFonts w:cs="Times New Roman"/>
          <w:iCs/>
        </w:rPr>
        <w:t xml:space="preserve"> du Service </w:t>
      </w:r>
      <w:proofErr w:type="spellStart"/>
      <w:r w:rsidRPr="00B142C3">
        <w:rPr>
          <w:rFonts w:cs="Times New Roman"/>
          <w:iCs/>
        </w:rPr>
        <w:t>Médical</w:t>
      </w:r>
      <w:proofErr w:type="spellEnd"/>
      <w:r w:rsidRPr="00B142C3">
        <w:rPr>
          <w:rFonts w:cs="Times New Roman"/>
          <w:iCs/>
        </w:rPr>
        <w:t xml:space="preserve"> </w:t>
      </w:r>
      <w:proofErr w:type="spellStart"/>
      <w:r w:rsidRPr="00B142C3">
        <w:rPr>
          <w:rFonts w:cs="Times New Roman"/>
          <w:iCs/>
        </w:rPr>
        <w:t>Rendu</w:t>
      </w:r>
      <w:proofErr w:type="spellEnd"/>
      <w:r w:rsidRPr="00B142C3">
        <w:rPr>
          <w:rFonts w:cs="Times New Roman"/>
          <w:iCs/>
        </w:rPr>
        <w:t xml:space="preserve">, </w:t>
      </w:r>
      <w:r w:rsidRPr="00B142C3">
        <w:rPr>
          <w:rFonts w:cs="Times New Roman"/>
          <w:i/>
        </w:rPr>
        <w:t xml:space="preserve">EN: </w:t>
      </w:r>
      <w:r w:rsidRPr="00B142C3">
        <w:rPr>
          <w:rFonts w:cs="Times New Roman"/>
          <w:iCs/>
        </w:rPr>
        <w:t xml:space="preserve">Clinical Added Value). SMR is the answer to the questions: ‘Should the drug be reimbursed? Is the </w:t>
      </w:r>
      <w:r w:rsidRPr="00B142C3">
        <w:rPr>
          <w:rFonts w:cs="Times New Roman"/>
          <w:iCs/>
        </w:rPr>
        <w:lastRenderedPageBreak/>
        <w:t xml:space="preserve">drug clinically interesting?’ while ASMR replies to the question: ‘Does the drug improve </w:t>
      </w:r>
      <w:proofErr w:type="gramStart"/>
      <w:r w:rsidRPr="00B142C3">
        <w:rPr>
          <w:rFonts w:cs="Times New Roman"/>
          <w:iCs/>
        </w:rPr>
        <w:t>patients</w:t>
      </w:r>
      <w:proofErr w:type="gramEnd"/>
      <w:r w:rsidRPr="00B142C3">
        <w:rPr>
          <w:rFonts w:cs="Times New Roman"/>
          <w:iCs/>
        </w:rPr>
        <w:t xml:space="preserve"> clinical situation, as compared to existing therapies?’ </w:t>
      </w:r>
      <w:sdt>
        <w:sdtPr>
          <w:rPr>
            <w:rFonts w:cs="Times New Roman"/>
            <w:iCs/>
            <w:color w:val="000000"/>
          </w:rPr>
          <w:tag w:val="MENDELEY_CITATION_0f543476-df77-4779-99b6-b87deb8be65c"/>
          <w:id w:val="-1403293318"/>
          <w:placeholder>
            <w:docPart w:val="D69E3F54B41547D8A6353695082F624A"/>
          </w:placeholder>
        </w:sdtPr>
        <w:sdtEndPr/>
        <w:sdtContent>
          <w:r w:rsidRPr="00B142C3">
            <w:rPr>
              <w:rFonts w:cs="Times New Roman"/>
              <w:iCs/>
              <w:color w:val="000000"/>
            </w:rPr>
            <w:t>(14)</w:t>
          </w:r>
        </w:sdtContent>
      </w:sdt>
      <w:r w:rsidRPr="00B142C3">
        <w:rPr>
          <w:rFonts w:cs="Times New Roman"/>
          <w:iCs/>
        </w:rPr>
        <w:t>.</w:t>
      </w:r>
    </w:p>
    <w:p w14:paraId="29E73EF2" w14:textId="77777777" w:rsidR="00B83354" w:rsidRPr="00B142C3" w:rsidRDefault="00B83354" w:rsidP="00B83354">
      <w:pPr>
        <w:ind w:firstLine="720"/>
        <w:jc w:val="both"/>
        <w:rPr>
          <w:rFonts w:cs="Times New Roman"/>
          <w:iCs/>
          <w:lang w:val="en-US"/>
        </w:rPr>
      </w:pPr>
      <w:r w:rsidRPr="00B142C3">
        <w:rPr>
          <w:rFonts w:cs="Times New Roman"/>
          <w:iCs/>
          <w:lang w:val="en-US"/>
        </w:rPr>
        <w:t>The two primary ranks of SMR are (</w:t>
      </w:r>
      <w:proofErr w:type="spellStart"/>
      <w:r w:rsidRPr="00B142C3">
        <w:rPr>
          <w:rFonts w:cs="Times New Roman"/>
          <w:iCs/>
          <w:lang w:val="en-US"/>
        </w:rPr>
        <w:t>i</w:t>
      </w:r>
      <w:proofErr w:type="spellEnd"/>
      <w:r w:rsidRPr="00B142C3">
        <w:rPr>
          <w:rFonts w:cs="Times New Roman"/>
          <w:iCs/>
          <w:lang w:val="en-US"/>
        </w:rPr>
        <w:t xml:space="preserve">) sufficient (with subcategories of low, </w:t>
      </w:r>
      <w:proofErr w:type="gramStart"/>
      <w:r w:rsidRPr="00B142C3">
        <w:rPr>
          <w:rFonts w:cs="Times New Roman"/>
          <w:iCs/>
          <w:lang w:val="en-US"/>
        </w:rPr>
        <w:t>moderate</w:t>
      </w:r>
      <w:proofErr w:type="gramEnd"/>
      <w:r w:rsidRPr="00B142C3">
        <w:rPr>
          <w:rFonts w:cs="Times New Roman"/>
          <w:iCs/>
          <w:lang w:val="en-US"/>
        </w:rPr>
        <w:t xml:space="preserve"> and substantial or important) and (ii) insufficient. The decision on whether SMR is sufficient or not, essentially determines whether a drug will enter the positive reimbursement list. Each subcategory of a sufficient SMR corresponds to a percentage of reimbursement. ASMR is ranked on a five-level scale (from low to high: V, IV, III, II, I) and is related to the price that a new drug will be assigned. The lowest ASMR ranking (V) implies a maximum price of the existing comparators or higher if cost savings are induced, while the rest indicate a possibly higher price.</w:t>
      </w:r>
    </w:p>
    <w:p w14:paraId="2766A27B" w14:textId="77777777" w:rsidR="00B83354" w:rsidRPr="00B142C3" w:rsidRDefault="00B83354" w:rsidP="00B83354">
      <w:pPr>
        <w:ind w:firstLine="720"/>
        <w:jc w:val="both"/>
        <w:rPr>
          <w:rFonts w:cs="Times New Roman"/>
          <w:iCs/>
        </w:rPr>
      </w:pPr>
      <w:r w:rsidRPr="00B142C3">
        <w:rPr>
          <w:rFonts w:cs="Times New Roman"/>
          <w:iCs/>
          <w:lang w:val="en-US"/>
        </w:rPr>
        <w:t xml:space="preserve">In the latest document </w:t>
      </w:r>
      <w:sdt>
        <w:sdtPr>
          <w:rPr>
            <w:rFonts w:cs="Times New Roman"/>
            <w:iCs/>
            <w:color w:val="000000"/>
            <w:lang w:val="en-US"/>
          </w:rPr>
          <w:tag w:val="MENDELEY_CITATION_0339a7db-27c4-4e9a-bd8b-d92db02464c9"/>
          <w:id w:val="-133408131"/>
          <w:placeholder>
            <w:docPart w:val="D69E3F54B41547D8A6353695082F624A"/>
          </w:placeholder>
        </w:sdtPr>
        <w:sdtEndPr/>
        <w:sdtContent>
          <w:r w:rsidRPr="00B142C3">
            <w:rPr>
              <w:rFonts w:cs="Times New Roman"/>
              <w:iCs/>
              <w:color w:val="000000"/>
              <w:lang w:val="en-US"/>
            </w:rPr>
            <w:t>(15)</w:t>
          </w:r>
        </w:sdtContent>
      </w:sdt>
      <w:r w:rsidRPr="00B142C3">
        <w:rPr>
          <w:rFonts w:cs="Times New Roman"/>
          <w:iCs/>
          <w:lang w:val="en-US"/>
        </w:rPr>
        <w:t xml:space="preserve"> of the Transparency Committee (TC) of HAS, responsible for making recommendations on drug reimbursement to public authorities, there are detailed definitions for both these scales of (added) benefit. In both definitions there is reference to uncertainty as one of the factors affecting the ranking, especially in the lower ranks. This is also verified by three recent assessments </w:t>
      </w:r>
      <w:proofErr w:type="gramStart"/>
      <w:r w:rsidRPr="00B142C3">
        <w:rPr>
          <w:rFonts w:cs="Times New Roman"/>
          <w:iCs/>
          <w:lang w:val="en-US"/>
        </w:rPr>
        <w:t>taken into account</w:t>
      </w:r>
      <w:proofErr w:type="gramEnd"/>
      <w:r w:rsidRPr="00B142C3">
        <w:rPr>
          <w:rFonts w:cs="Times New Roman"/>
          <w:iCs/>
          <w:lang w:val="en-US"/>
        </w:rPr>
        <w:t xml:space="preserve"> </w:t>
      </w:r>
      <w:sdt>
        <w:sdtPr>
          <w:rPr>
            <w:rFonts w:cs="Times New Roman"/>
            <w:iCs/>
            <w:color w:val="000000"/>
            <w:lang w:val="en-US"/>
          </w:rPr>
          <w:tag w:val="MENDELEY_CITATION_520fd324-44d0-4385-9f8f-1bac4ca0b2e9"/>
          <w:id w:val="-494034852"/>
          <w:placeholder>
            <w:docPart w:val="D69E3F54B41547D8A6353695082F624A"/>
          </w:placeholder>
        </w:sdtPr>
        <w:sdtEndPr/>
        <w:sdtContent>
          <w:r w:rsidRPr="00B142C3">
            <w:rPr>
              <w:rFonts w:cs="Times New Roman"/>
              <w:iCs/>
              <w:color w:val="000000"/>
              <w:lang w:val="en-US"/>
            </w:rPr>
            <w:t>(16–22)</w:t>
          </w:r>
        </w:sdtContent>
      </w:sdt>
      <w:r w:rsidRPr="00B142C3">
        <w:rPr>
          <w:rFonts w:cs="Times New Roman"/>
          <w:iCs/>
          <w:color w:val="000000"/>
          <w:lang w:val="en-US"/>
        </w:rPr>
        <w:t>,</w:t>
      </w:r>
      <w:r w:rsidRPr="00B142C3">
        <w:rPr>
          <w:rFonts w:cs="Times New Roman"/>
          <w:iCs/>
          <w:lang w:val="en-US"/>
        </w:rPr>
        <w:t xml:space="preserve"> where uncertainties are being taken into account to assign an SMR and ASMR rating and are referred to in a narrative way in the summaries that accompany the rankings.</w:t>
      </w:r>
    </w:p>
    <w:p w14:paraId="2774227D" w14:textId="77777777" w:rsidR="00B83354" w:rsidRPr="00B142C3" w:rsidRDefault="00B83354" w:rsidP="00B83354">
      <w:pPr>
        <w:ind w:firstLine="720"/>
        <w:jc w:val="both"/>
        <w:rPr>
          <w:rFonts w:cs="Times New Roman"/>
          <w:iCs/>
          <w:lang w:val="en-US"/>
        </w:rPr>
      </w:pPr>
      <w:r w:rsidRPr="00B142C3">
        <w:rPr>
          <w:rFonts w:cs="Times New Roman"/>
          <w:iCs/>
          <w:lang w:val="en-US"/>
        </w:rPr>
        <w:t>In a document examining various evidence assessment tools, HAS</w:t>
      </w:r>
      <w:r w:rsidRPr="00B142C3">
        <w:rPr>
          <w:rFonts w:cs="Times New Roman"/>
          <w:iCs/>
          <w:color w:val="000000"/>
          <w:lang w:val="en-US"/>
        </w:rPr>
        <w:t xml:space="preserve"> </w:t>
      </w:r>
      <w:sdt>
        <w:sdtPr>
          <w:rPr>
            <w:rFonts w:cs="Times New Roman"/>
            <w:iCs/>
            <w:color w:val="000000"/>
            <w:lang w:val="en-US"/>
          </w:rPr>
          <w:tag w:val="MENDELEY_CITATION_7b193d50-508e-4ff3-9c8e-080ed4a98243"/>
          <w:id w:val="-1130006097"/>
          <w:placeholder>
            <w:docPart w:val="D69E3F54B41547D8A6353695082F624A"/>
          </w:placeholder>
        </w:sdtPr>
        <w:sdtEndPr/>
        <w:sdtContent>
          <w:r w:rsidRPr="00B142C3">
            <w:rPr>
              <w:rFonts w:cs="Times New Roman"/>
              <w:iCs/>
              <w:color w:val="000000"/>
              <w:lang w:val="en-US"/>
            </w:rPr>
            <w:t>(23)</w:t>
          </w:r>
        </w:sdtContent>
      </w:sdt>
      <w:r w:rsidRPr="00B142C3">
        <w:rPr>
          <w:rFonts w:cs="Times New Roman"/>
          <w:iCs/>
          <w:color w:val="000000"/>
          <w:lang w:val="en-US"/>
        </w:rPr>
        <w:t xml:space="preserve"> presents its own grading system, which is based on a document </w:t>
      </w:r>
      <w:sdt>
        <w:sdtPr>
          <w:rPr>
            <w:rFonts w:cs="Times New Roman"/>
            <w:iCs/>
            <w:color w:val="000000"/>
            <w:lang w:val="en-US"/>
          </w:rPr>
          <w:tag w:val="MENDELEY_CITATION_3178a955-602e-46ee-8876-367440673bdd"/>
          <w:id w:val="754702626"/>
          <w:placeholder>
            <w:docPart w:val="D69E3F54B41547D8A6353695082F624A"/>
          </w:placeholder>
        </w:sdtPr>
        <w:sdtEndPr/>
        <w:sdtContent>
          <w:r w:rsidRPr="00B142C3">
            <w:rPr>
              <w:rFonts w:cs="Times New Roman"/>
              <w:iCs/>
              <w:color w:val="000000"/>
              <w:lang w:val="en-US"/>
            </w:rPr>
            <w:t>(24)</w:t>
          </w:r>
        </w:sdtContent>
      </w:sdt>
      <w:r w:rsidRPr="00B142C3">
        <w:rPr>
          <w:rFonts w:cs="Times New Roman"/>
          <w:iCs/>
          <w:color w:val="000000"/>
          <w:lang w:val="en-US"/>
        </w:rPr>
        <w:t xml:space="preserve"> of the National Agency for Accreditation and Health Evaluation (ANAES / </w:t>
      </w:r>
      <w:r w:rsidRPr="00B142C3">
        <w:rPr>
          <w:rFonts w:cs="Times New Roman"/>
          <w:i/>
          <w:color w:val="000000"/>
          <w:lang w:val="en-US"/>
        </w:rPr>
        <w:t>FR:</w:t>
      </w:r>
      <w:r w:rsidRPr="00B142C3">
        <w:t xml:space="preserve"> </w:t>
      </w:r>
      <w:proofErr w:type="spellStart"/>
      <w:r w:rsidRPr="00B142C3">
        <w:rPr>
          <w:rFonts w:cs="Times New Roman"/>
          <w:iCs/>
          <w:color w:val="000000"/>
          <w:lang w:val="en-US"/>
        </w:rPr>
        <w:t>Agence</w:t>
      </w:r>
      <w:proofErr w:type="spellEnd"/>
      <w:r w:rsidRPr="00B142C3">
        <w:rPr>
          <w:rFonts w:cs="Times New Roman"/>
          <w:iCs/>
          <w:color w:val="000000"/>
          <w:lang w:val="en-US"/>
        </w:rPr>
        <w:t xml:space="preserve"> </w:t>
      </w:r>
      <w:proofErr w:type="spellStart"/>
      <w:r w:rsidRPr="00B142C3">
        <w:rPr>
          <w:rFonts w:cs="Times New Roman"/>
          <w:iCs/>
          <w:color w:val="000000"/>
          <w:lang w:val="en-US"/>
        </w:rPr>
        <w:t>Nationale</w:t>
      </w:r>
      <w:proofErr w:type="spellEnd"/>
      <w:r w:rsidRPr="00B142C3">
        <w:rPr>
          <w:rFonts w:cs="Times New Roman"/>
          <w:iCs/>
          <w:color w:val="000000"/>
          <w:lang w:val="en-US"/>
        </w:rPr>
        <w:t xml:space="preserve"> </w:t>
      </w:r>
      <w:proofErr w:type="spellStart"/>
      <w:r w:rsidRPr="00B142C3">
        <w:rPr>
          <w:rFonts w:cs="Times New Roman"/>
          <w:iCs/>
          <w:color w:val="000000"/>
          <w:lang w:val="en-US"/>
        </w:rPr>
        <w:t>d'Accréditation</w:t>
      </w:r>
      <w:proofErr w:type="spellEnd"/>
      <w:r w:rsidRPr="00B142C3">
        <w:rPr>
          <w:rFonts w:cs="Times New Roman"/>
          <w:iCs/>
          <w:color w:val="000000"/>
          <w:lang w:val="en-US"/>
        </w:rPr>
        <w:t xml:space="preserve"> et </w:t>
      </w:r>
      <w:proofErr w:type="spellStart"/>
      <w:r w:rsidRPr="00B142C3">
        <w:rPr>
          <w:rFonts w:cs="Times New Roman"/>
          <w:iCs/>
          <w:color w:val="000000"/>
          <w:lang w:val="en-US"/>
        </w:rPr>
        <w:t>d'Evaluation</w:t>
      </w:r>
      <w:proofErr w:type="spellEnd"/>
      <w:r w:rsidRPr="00B142C3">
        <w:rPr>
          <w:rFonts w:cs="Times New Roman"/>
          <w:iCs/>
          <w:color w:val="000000"/>
          <w:lang w:val="en-US"/>
        </w:rPr>
        <w:t xml:space="preserve"> </w:t>
      </w:r>
      <w:proofErr w:type="spellStart"/>
      <w:r w:rsidRPr="00B142C3">
        <w:rPr>
          <w:rFonts w:cs="Times New Roman"/>
          <w:iCs/>
          <w:color w:val="000000"/>
          <w:lang w:val="en-US"/>
        </w:rPr>
        <w:t>en</w:t>
      </w:r>
      <w:proofErr w:type="spellEnd"/>
      <w:r w:rsidRPr="00B142C3">
        <w:rPr>
          <w:rFonts w:cs="Times New Roman"/>
          <w:iCs/>
          <w:color w:val="000000"/>
          <w:lang w:val="en-US"/>
        </w:rPr>
        <w:t xml:space="preserve"> </w:t>
      </w:r>
      <w:proofErr w:type="spellStart"/>
      <w:r w:rsidRPr="00B142C3">
        <w:rPr>
          <w:rFonts w:cs="Times New Roman"/>
          <w:iCs/>
          <w:color w:val="000000"/>
          <w:lang w:val="en-US"/>
        </w:rPr>
        <w:t>Santé</w:t>
      </w:r>
      <w:proofErr w:type="spellEnd"/>
      <w:r w:rsidRPr="00B142C3">
        <w:rPr>
          <w:rFonts w:cs="Times New Roman"/>
          <w:iCs/>
          <w:color w:val="000000"/>
          <w:lang w:val="en-US"/>
        </w:rPr>
        <w:t>) that was later grouped into HAS.</w:t>
      </w:r>
      <w:r w:rsidRPr="00B142C3">
        <w:rPr>
          <w:rFonts w:cs="Times New Roman"/>
          <w:iCs/>
          <w:lang w:val="en-US"/>
        </w:rPr>
        <w:t xml:space="preserve"> Other evidence grading systems are also presented (</w:t>
      </w:r>
      <w:proofErr w:type="gramStart"/>
      <w:r w:rsidRPr="00B142C3">
        <w:rPr>
          <w:rFonts w:cs="Times New Roman"/>
          <w:iCs/>
          <w:lang w:val="en-US"/>
        </w:rPr>
        <w:t>e.g.</w:t>
      </w:r>
      <w:proofErr w:type="gramEnd"/>
      <w:r w:rsidRPr="00B142C3">
        <w:rPr>
          <w:rFonts w:cs="Times New Roman"/>
          <w:iCs/>
          <w:lang w:val="en-US"/>
        </w:rPr>
        <w:t xml:space="preserve"> GRADE). Although in the introduction of the document it is stated that another document with the final selection of HAS will follow, possibly updating their evidence assessment choices, we could not identify such a document </w:t>
      </w:r>
      <w:proofErr w:type="gramStart"/>
      <w:r w:rsidRPr="00B142C3">
        <w:rPr>
          <w:rFonts w:cs="Times New Roman"/>
          <w:iCs/>
          <w:lang w:val="en-US"/>
        </w:rPr>
        <w:t>in</w:t>
      </w:r>
      <w:proofErr w:type="gramEnd"/>
      <w:r w:rsidRPr="00B142C3">
        <w:rPr>
          <w:rFonts w:cs="Times New Roman"/>
          <w:iCs/>
          <w:lang w:val="en-US"/>
        </w:rPr>
        <w:t xml:space="preserve"> the website of HAS. There are also more recent references </w:t>
      </w:r>
      <w:sdt>
        <w:sdtPr>
          <w:rPr>
            <w:rFonts w:cs="Times New Roman"/>
            <w:iCs/>
            <w:color w:val="000000"/>
            <w:lang w:val="en-US"/>
          </w:rPr>
          <w:tag w:val="MENDELEY_CITATION_4b26fe58-f8f3-4adf-9be5-3df562a8418a"/>
          <w:id w:val="1712448454"/>
          <w:placeholder>
            <w:docPart w:val="D69E3F54B41547D8A6353695082F624A"/>
          </w:placeholder>
        </w:sdtPr>
        <w:sdtEndPr/>
        <w:sdtContent>
          <w:r w:rsidRPr="00B142C3">
            <w:rPr>
              <w:rFonts w:cs="Times New Roman"/>
              <w:iCs/>
              <w:color w:val="000000"/>
              <w:lang w:val="en-US"/>
            </w:rPr>
            <w:t>(25)</w:t>
          </w:r>
        </w:sdtContent>
      </w:sdt>
      <w:r w:rsidRPr="00B142C3">
        <w:rPr>
          <w:rFonts w:cs="Times New Roman"/>
          <w:iCs/>
          <w:lang w:val="en-US"/>
        </w:rPr>
        <w:t xml:space="preserve"> to the same HAS system since the publication of that document, so we may assume that it is still in use. Furthermore, it is remarkable that no reported reference to the </w:t>
      </w:r>
      <w:r w:rsidRPr="00B142C3">
        <w:t>HAS evidence assessment framework or any other framework was identified in the three assessments examined.</w:t>
      </w:r>
    </w:p>
    <w:p w14:paraId="2D5BD06B" w14:textId="77777777" w:rsidR="00B83354" w:rsidRPr="00B142C3" w:rsidRDefault="00B83354" w:rsidP="00B83354">
      <w:pPr>
        <w:ind w:firstLine="720"/>
        <w:jc w:val="both"/>
        <w:rPr>
          <w:rFonts w:cs="Times New Roman"/>
          <w:iCs/>
        </w:rPr>
      </w:pPr>
      <w:r w:rsidRPr="00B142C3">
        <w:rPr>
          <w:rFonts w:cs="Times New Roman"/>
          <w:iCs/>
          <w:lang w:val="en-US"/>
        </w:rPr>
        <w:t>In the same document, HAS defines ‘quality of research evidence’ (</w:t>
      </w:r>
      <w:proofErr w:type="spellStart"/>
      <w:r w:rsidRPr="00B142C3">
        <w:rPr>
          <w:rFonts w:cs="Times New Roman"/>
          <w:iCs/>
          <w:lang w:val="en-US"/>
        </w:rPr>
        <w:t>QoRE</w:t>
      </w:r>
      <w:proofErr w:type="spellEnd"/>
      <w:r w:rsidRPr="00B142C3">
        <w:rPr>
          <w:rFonts w:cs="Times New Roman"/>
          <w:iCs/>
          <w:lang w:val="en-US"/>
        </w:rPr>
        <w:t xml:space="preserve"> / </w:t>
      </w:r>
      <w:r w:rsidRPr="00B142C3">
        <w:rPr>
          <w:rFonts w:cs="Times New Roman"/>
          <w:i/>
          <w:lang w:val="en-US"/>
        </w:rPr>
        <w:t>FR</w:t>
      </w:r>
      <w:r w:rsidRPr="00B142C3">
        <w:rPr>
          <w:rFonts w:cs="Times New Roman"/>
          <w:iCs/>
          <w:lang w:val="en-US"/>
        </w:rPr>
        <w:t xml:space="preserve">: </w:t>
      </w:r>
      <w:proofErr w:type="spellStart"/>
      <w:r w:rsidRPr="00B142C3">
        <w:rPr>
          <w:rFonts w:cs="Times New Roman"/>
          <w:i/>
          <w:lang w:val="en-US"/>
        </w:rPr>
        <w:t>niveau</w:t>
      </w:r>
      <w:proofErr w:type="spellEnd"/>
      <w:r w:rsidRPr="00B142C3">
        <w:rPr>
          <w:rFonts w:cs="Times New Roman"/>
          <w:i/>
          <w:lang w:val="en-US"/>
        </w:rPr>
        <w:t xml:space="preserve"> de </w:t>
      </w:r>
      <w:proofErr w:type="spellStart"/>
      <w:r w:rsidRPr="00B142C3">
        <w:rPr>
          <w:rFonts w:cs="Times New Roman"/>
          <w:i/>
          <w:lang w:val="en-US"/>
        </w:rPr>
        <w:t>preuve</w:t>
      </w:r>
      <w:proofErr w:type="spellEnd"/>
      <w:r w:rsidRPr="00B142C3">
        <w:rPr>
          <w:rFonts w:cs="Times New Roman"/>
          <w:iCs/>
          <w:lang w:val="en-US"/>
        </w:rPr>
        <w:t xml:space="preserve"> or </w:t>
      </w:r>
      <w:proofErr w:type="spellStart"/>
      <w:r w:rsidRPr="00B142C3">
        <w:rPr>
          <w:rFonts w:cs="Times New Roman"/>
          <w:i/>
          <w:lang w:val="en-US"/>
        </w:rPr>
        <w:t>qualité</w:t>
      </w:r>
      <w:proofErr w:type="spellEnd"/>
      <w:r w:rsidRPr="00B142C3">
        <w:rPr>
          <w:rFonts w:cs="Times New Roman"/>
          <w:i/>
          <w:lang w:val="en-US"/>
        </w:rPr>
        <w:t xml:space="preserve"> de la demonstration</w:t>
      </w:r>
      <w:r w:rsidRPr="00B142C3">
        <w:rPr>
          <w:rFonts w:cs="Times New Roman"/>
          <w:iCs/>
          <w:lang w:val="en-US"/>
        </w:rPr>
        <w:t>). The English term ‘level of proof’ is also used, possibly since it is the literal translation from the French term. It refers to single studies (</w:t>
      </w:r>
      <w:r w:rsidRPr="00B142C3">
        <w:rPr>
          <w:rFonts w:cs="Times New Roman"/>
          <w:b/>
          <w:bCs/>
          <w:iCs/>
          <w:lang w:val="en-US"/>
        </w:rPr>
        <w:t>IS</w:t>
      </w:r>
      <w:r w:rsidRPr="00B142C3">
        <w:rPr>
          <w:rFonts w:cs="Times New Roman"/>
          <w:iCs/>
          <w:lang w:val="en-US"/>
        </w:rPr>
        <w:t>) and is based on a three-level scale (low, intermediate, strong). Based on the latest TC doctrine</w:t>
      </w:r>
      <w:r w:rsidRPr="00B142C3">
        <w:rPr>
          <w:rFonts w:cs="Times New Roman"/>
          <w:iCs/>
          <w:color w:val="000000"/>
          <w:lang w:val="en-US"/>
        </w:rPr>
        <w:t xml:space="preserve"> </w:t>
      </w:r>
      <w:sdt>
        <w:sdtPr>
          <w:rPr>
            <w:rFonts w:cs="Times New Roman"/>
            <w:iCs/>
            <w:color w:val="000000"/>
            <w:lang w:val="en-US"/>
          </w:rPr>
          <w:tag w:val="MENDELEY_CITATION_dc0dcfcb-321d-42fc-b474-a630ab282f29"/>
          <w:id w:val="1022279298"/>
          <w:placeholder>
            <w:docPart w:val="2F9B9B7BD81D423D84E3E31D48166481"/>
          </w:placeholder>
        </w:sdtPr>
        <w:sdtEndPr/>
        <w:sdtContent>
          <w:r w:rsidRPr="00B142C3">
            <w:rPr>
              <w:rFonts w:cs="Times New Roman"/>
              <w:iCs/>
              <w:color w:val="000000"/>
              <w:lang w:val="en-US"/>
            </w:rPr>
            <w:t>(15)</w:t>
          </w:r>
        </w:sdtContent>
      </w:sdt>
      <w:r w:rsidRPr="00B142C3">
        <w:rPr>
          <w:rFonts w:cs="Times New Roman"/>
          <w:iCs/>
          <w:lang w:val="en-US"/>
        </w:rPr>
        <w:t xml:space="preserve">, </w:t>
      </w:r>
      <w:proofErr w:type="spellStart"/>
      <w:r w:rsidRPr="00B142C3">
        <w:rPr>
          <w:rFonts w:cs="Times New Roman"/>
          <w:iCs/>
          <w:lang w:val="en-US"/>
        </w:rPr>
        <w:t>QoRE</w:t>
      </w:r>
      <w:proofErr w:type="spellEnd"/>
      <w:r w:rsidRPr="00B142C3">
        <w:rPr>
          <w:rFonts w:cs="Times New Roman"/>
          <w:iCs/>
          <w:lang w:val="en-US"/>
        </w:rPr>
        <w:t xml:space="preserve"> is indicated to be affected by the following domains: statistical significance, sufficient power, whether the statistical analysis is adapted for the objectives or not </w:t>
      </w:r>
      <w:r w:rsidRPr="00B142C3">
        <w:rPr>
          <w:rFonts w:cs="Times New Roman"/>
          <w:iCs/>
        </w:rPr>
        <w:t>(</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xml:space="preserve">), directness in terms of comparators, </w:t>
      </w:r>
      <w:proofErr w:type="gramStart"/>
      <w:r w:rsidRPr="00B142C3">
        <w:rPr>
          <w:rFonts w:cs="Times New Roman"/>
          <w:iCs/>
        </w:rPr>
        <w:t>population</w:t>
      </w:r>
      <w:proofErr w:type="gramEnd"/>
      <w:r w:rsidRPr="00B142C3">
        <w:rPr>
          <w:rFonts w:cs="Times New Roman"/>
          <w:iCs/>
        </w:rPr>
        <w:t xml:space="preserve"> and endpoints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design of the study and risk of bias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Consequently, both SMR and ASMR ranking (</w:t>
      </w:r>
      <w:r w:rsidRPr="00B142C3">
        <w:rPr>
          <w:rFonts w:cs="Times New Roman"/>
          <w:b/>
          <w:bCs/>
          <w:iCs/>
        </w:rPr>
        <w:t>AB</w:t>
      </w:r>
      <w:r w:rsidRPr="00B142C3">
        <w:rPr>
          <w:rFonts w:cs="Times New Roman"/>
          <w:iCs/>
        </w:rPr>
        <w:t xml:space="preserve">) are affected by </w:t>
      </w:r>
      <w:proofErr w:type="spellStart"/>
      <w:r w:rsidRPr="00B142C3">
        <w:rPr>
          <w:rFonts w:cs="Times New Roman"/>
          <w:iCs/>
        </w:rPr>
        <w:t>QoRE</w:t>
      </w:r>
      <w:proofErr w:type="spellEnd"/>
      <w:r w:rsidRPr="00B142C3">
        <w:rPr>
          <w:rFonts w:cs="Times New Roman"/>
          <w:iCs/>
        </w:rPr>
        <w:t xml:space="preserve">, with an ‘insufficient’ SMR or an ASMR ‘V’ indicating possible issues in </w:t>
      </w:r>
      <w:proofErr w:type="spellStart"/>
      <w:r w:rsidRPr="00B142C3">
        <w:rPr>
          <w:rFonts w:cs="Times New Roman"/>
          <w:iCs/>
        </w:rPr>
        <w:t>QoRE</w:t>
      </w:r>
      <w:proofErr w:type="spellEnd"/>
      <w:r w:rsidRPr="00B142C3">
        <w:rPr>
          <w:rFonts w:cs="Times New Roman"/>
          <w:iCs/>
        </w:rPr>
        <w:t xml:space="preserve">, however the possible effect is not clearly defined. Furthermore, there is reference to the ‘effect </w:t>
      </w:r>
      <w:r w:rsidRPr="00B142C3">
        <w:rPr>
          <w:rFonts w:cs="Times New Roman"/>
          <w:iCs/>
        </w:rPr>
        <w:lastRenderedPageBreak/>
        <w:t xml:space="preserve">size’ - </w:t>
      </w:r>
      <w:proofErr w:type="spellStart"/>
      <w:proofErr w:type="gramStart"/>
      <w:r w:rsidRPr="00B142C3">
        <w:rPr>
          <w:rFonts w:cs="Times New Roman"/>
          <w:iCs/>
        </w:rPr>
        <w:t>i</w:t>
      </w:r>
      <w:proofErr w:type="spellEnd"/>
      <w:r w:rsidRPr="00B142C3">
        <w:rPr>
          <w:rFonts w:cs="Times New Roman"/>
          <w:iCs/>
        </w:rPr>
        <w:t>..e.</w:t>
      </w:r>
      <w:proofErr w:type="gramEnd"/>
      <w:r w:rsidRPr="00B142C3">
        <w:rPr>
          <w:rFonts w:cs="Times New Roman"/>
          <w:iCs/>
        </w:rPr>
        <w:t xml:space="preserve"> magnitude of effect – which could also be linked to the concept of large effect (</w:t>
      </w:r>
      <w:r w:rsidRPr="00B142C3">
        <w:rPr>
          <w:rFonts w:cs="Times New Roman"/>
          <w:b/>
          <w:bCs/>
          <w:iCs/>
          <w:color w:val="FFD966" w:themeColor="accent4" w:themeTint="99"/>
        </w:rPr>
        <w:sym w:font="Wingdings" w:char="F0F1"/>
      </w:r>
      <w:proofErr w:type="spellStart"/>
      <w:r w:rsidRPr="00B142C3">
        <w:rPr>
          <w:rFonts w:cs="Times New Roman"/>
          <w:b/>
          <w:bCs/>
          <w:iCs/>
          <w:color w:val="FFD966" w:themeColor="accent4" w:themeTint="99"/>
        </w:rPr>
        <w:t>LaE</w:t>
      </w:r>
      <w:proofErr w:type="spellEnd"/>
      <w:r w:rsidRPr="00B142C3">
        <w:rPr>
          <w:rFonts w:cs="Times New Roman"/>
          <w:iCs/>
        </w:rPr>
        <w:t xml:space="preserve">), since a large effect would imply higher SMR and ASMR final ratings. It is generally not clear however how the effect size balances against the level of proof when assigning these ratings. That, together with the adverse effects as well as the duration of a study are </w:t>
      </w:r>
      <w:proofErr w:type="gramStart"/>
      <w:r w:rsidRPr="00B142C3">
        <w:rPr>
          <w:rFonts w:cs="Times New Roman"/>
          <w:iCs/>
        </w:rPr>
        <w:t>taken into account</w:t>
      </w:r>
      <w:proofErr w:type="gramEnd"/>
      <w:r w:rsidRPr="00B142C3">
        <w:rPr>
          <w:rFonts w:cs="Times New Roman"/>
          <w:iCs/>
        </w:rPr>
        <w:t xml:space="preserve"> in order to assign a ranking for SMR and ASMR and are presented as distinct concepts to that of </w:t>
      </w:r>
      <w:proofErr w:type="spellStart"/>
      <w:r w:rsidRPr="00B142C3">
        <w:rPr>
          <w:rFonts w:cs="Times New Roman"/>
          <w:iCs/>
        </w:rPr>
        <w:t>QoRE</w:t>
      </w:r>
      <w:proofErr w:type="spellEnd"/>
      <w:r w:rsidRPr="00B142C3">
        <w:rPr>
          <w:rFonts w:cs="Times New Roman"/>
          <w:iCs/>
          <w:vertAlign w:val="superscript"/>
        </w:rPr>
        <w:footnoteReference w:id="1"/>
      </w:r>
      <w:r w:rsidRPr="00B142C3">
        <w:rPr>
          <w:rFonts w:cs="Times New Roman"/>
          <w:iCs/>
        </w:rPr>
        <w:t>.</w:t>
      </w:r>
      <w:r w:rsidRPr="00B142C3">
        <w:rPr>
          <w:rFonts w:cs="Times New Roman"/>
          <w:iCs/>
        </w:rPr>
        <w:tab/>
      </w:r>
    </w:p>
    <w:p w14:paraId="36576124" w14:textId="77777777" w:rsidR="00B83354" w:rsidRPr="00B142C3" w:rsidRDefault="00B83354" w:rsidP="00B83354">
      <w:pPr>
        <w:ind w:firstLine="720"/>
        <w:jc w:val="both"/>
        <w:rPr>
          <w:rFonts w:cs="Times New Roman"/>
          <w:iCs/>
          <w:lang w:val="en-US"/>
        </w:rPr>
      </w:pPr>
      <w:r w:rsidRPr="00B142C3">
        <w:rPr>
          <w:rFonts w:cs="Times New Roman"/>
          <w:iCs/>
          <w:lang w:val="en-US"/>
        </w:rPr>
        <w:t xml:space="preserve">A </w:t>
      </w:r>
      <w:proofErr w:type="spellStart"/>
      <w:r w:rsidRPr="00B142C3">
        <w:rPr>
          <w:rFonts w:cs="Times New Roman"/>
          <w:iCs/>
          <w:lang w:val="en-US"/>
        </w:rPr>
        <w:t>QoRE</w:t>
      </w:r>
      <w:proofErr w:type="spellEnd"/>
      <w:r w:rsidRPr="00B142C3">
        <w:rPr>
          <w:rFonts w:cs="Times New Roman"/>
          <w:iCs/>
          <w:lang w:val="en-US"/>
        </w:rPr>
        <w:t xml:space="preserve"> for the whole body of evidence (</w:t>
      </w:r>
      <w:r w:rsidRPr="00B142C3">
        <w:rPr>
          <w:rFonts w:cs="Times New Roman"/>
          <w:i/>
          <w:lang w:val="en-US"/>
        </w:rPr>
        <w:t>FR</w:t>
      </w:r>
      <w:r w:rsidRPr="00B142C3">
        <w:rPr>
          <w:rFonts w:cs="Times New Roman"/>
          <w:iCs/>
          <w:lang w:val="en-US"/>
        </w:rPr>
        <w:t xml:space="preserve">: </w:t>
      </w:r>
      <w:r w:rsidRPr="00B142C3">
        <w:rPr>
          <w:rFonts w:cs="Times New Roman"/>
          <w:i/>
          <w:lang w:val="en-US"/>
        </w:rPr>
        <w:t xml:space="preserve">ensemble </w:t>
      </w:r>
      <w:proofErr w:type="spellStart"/>
      <w:r w:rsidRPr="00B142C3">
        <w:rPr>
          <w:rFonts w:cs="Times New Roman"/>
          <w:i/>
          <w:lang w:val="en-US"/>
        </w:rPr>
        <w:t>d’etudes</w:t>
      </w:r>
      <w:proofErr w:type="spellEnd"/>
      <w:r w:rsidRPr="00B142C3">
        <w:rPr>
          <w:rFonts w:cs="Times New Roman"/>
          <w:iCs/>
          <w:lang w:val="en-US"/>
        </w:rPr>
        <w:t>) for a given research question is also provided by HAS (</w:t>
      </w:r>
      <w:r w:rsidRPr="00B142C3">
        <w:rPr>
          <w:rFonts w:cs="Times New Roman"/>
          <w:b/>
          <w:bCs/>
          <w:iCs/>
          <w:lang w:val="en-US"/>
        </w:rPr>
        <w:t>BEA</w:t>
      </w:r>
      <w:r w:rsidRPr="00B142C3">
        <w:rPr>
          <w:rFonts w:cs="Times New Roman"/>
          <w:iCs/>
          <w:lang w:val="en-US"/>
        </w:rPr>
        <w:t xml:space="preserve">). It is based on a four-level scale (from low to high: 4, 3, 2, 1) and it is affected by the relevance of the data regarding the research question, the </w:t>
      </w:r>
      <w:proofErr w:type="gramStart"/>
      <w:r w:rsidRPr="00B142C3">
        <w:rPr>
          <w:rFonts w:cs="Times New Roman"/>
          <w:iCs/>
          <w:lang w:val="en-US"/>
        </w:rPr>
        <w:t xml:space="preserve">aforementioned </w:t>
      </w:r>
      <w:proofErr w:type="spellStart"/>
      <w:r w:rsidRPr="00B142C3">
        <w:rPr>
          <w:rFonts w:cs="Times New Roman"/>
          <w:iCs/>
          <w:lang w:val="en-US"/>
        </w:rPr>
        <w:t>QoRE</w:t>
      </w:r>
      <w:proofErr w:type="spellEnd"/>
      <w:proofErr w:type="gramEnd"/>
      <w:r w:rsidRPr="00B142C3">
        <w:rPr>
          <w:rFonts w:cs="Times New Roman"/>
          <w:iCs/>
          <w:lang w:val="en-US"/>
        </w:rPr>
        <w:t xml:space="preserve"> for the available studies and the consistency of the results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w:t>
      </w:r>
      <w:r w:rsidRPr="00B142C3">
        <w:rPr>
          <w:rFonts w:cs="Times New Roman"/>
          <w:iCs/>
          <w:lang w:val="en-US"/>
        </w:rPr>
        <w:t>. An outcome centered approach has not been identified as well as a fixed approach for inferring rankings on the HAS scale based on the above domains.</w:t>
      </w:r>
    </w:p>
    <w:p w14:paraId="5136701D" w14:textId="77777777" w:rsidR="00B83354" w:rsidRPr="00B142C3" w:rsidRDefault="00B83354" w:rsidP="00B83354">
      <w:pPr>
        <w:jc w:val="both"/>
        <w:rPr>
          <w:rFonts w:cs="Times New Roman"/>
          <w:b/>
          <w:bCs/>
          <w:iCs/>
          <w:lang w:val="en-US"/>
        </w:rPr>
      </w:pPr>
    </w:p>
    <w:p w14:paraId="74EEDBD4" w14:textId="77777777" w:rsidR="000E77E8" w:rsidRDefault="000E77E8">
      <w:pPr>
        <w:spacing w:line="259" w:lineRule="auto"/>
        <w:rPr>
          <w:rFonts w:eastAsiaTheme="majorEastAsia" w:cstheme="majorBidi"/>
          <w:i/>
          <w:color w:val="000000" w:themeColor="text1"/>
          <w:szCs w:val="24"/>
          <w:lang w:val="en-US"/>
        </w:rPr>
      </w:pPr>
      <w:r>
        <w:rPr>
          <w:lang w:val="en-US"/>
        </w:rPr>
        <w:br w:type="page"/>
      </w:r>
    </w:p>
    <w:p w14:paraId="3077FC60" w14:textId="6150D456" w:rsidR="00B83354" w:rsidRPr="00B142C3" w:rsidRDefault="00B83354" w:rsidP="00B83354">
      <w:pPr>
        <w:pStyle w:val="Heading3"/>
        <w:rPr>
          <w:lang w:val="en-US"/>
        </w:rPr>
      </w:pPr>
      <w:r w:rsidRPr="00B142C3">
        <w:rPr>
          <w:lang w:val="en-US"/>
        </w:rPr>
        <w:lastRenderedPageBreak/>
        <w:t>IV. NICE</w:t>
      </w:r>
    </w:p>
    <w:tbl>
      <w:tblPr>
        <w:tblStyle w:val="TableGrid"/>
        <w:tblW w:w="0" w:type="auto"/>
        <w:tblLook w:val="04A0" w:firstRow="1" w:lastRow="0" w:firstColumn="1" w:lastColumn="0" w:noHBand="0" w:noVBand="1"/>
      </w:tblPr>
      <w:tblGrid>
        <w:gridCol w:w="9016"/>
      </w:tblGrid>
      <w:tr w:rsidR="00B83354" w:rsidRPr="00B142C3" w14:paraId="12D762B7" w14:textId="77777777" w:rsidTr="00BD2DE2">
        <w:tc>
          <w:tcPr>
            <w:tcW w:w="9016" w:type="dxa"/>
          </w:tcPr>
          <w:p w14:paraId="0619C1AD" w14:textId="77777777" w:rsidR="00B83354" w:rsidRPr="00B142C3" w:rsidRDefault="00B83354" w:rsidP="00BD2DE2">
            <w:pPr>
              <w:jc w:val="both"/>
              <w:rPr>
                <w:rFonts w:cs="Times New Roman"/>
                <w:b/>
                <w:bCs/>
                <w:iCs/>
              </w:rPr>
            </w:pPr>
            <w:r w:rsidRPr="00B142C3">
              <w:rPr>
                <w:rFonts w:cs="Times New Roman"/>
                <w:b/>
                <w:bCs/>
                <w:iCs/>
              </w:rPr>
              <w:t>NICE guidelines included:</w:t>
            </w:r>
          </w:p>
          <w:p w14:paraId="2527B250" w14:textId="77777777" w:rsidR="00B83354" w:rsidRPr="00B142C3" w:rsidRDefault="00B83354" w:rsidP="00BD2DE2">
            <w:pPr>
              <w:numPr>
                <w:ilvl w:val="0"/>
                <w:numId w:val="12"/>
              </w:numPr>
              <w:spacing w:line="240" w:lineRule="auto"/>
              <w:contextualSpacing/>
              <w:rPr>
                <w:rFonts w:cs="Times New Roman"/>
                <w:iCs/>
              </w:rPr>
            </w:pPr>
            <w:r w:rsidRPr="00B142C3">
              <w:rPr>
                <w:rFonts w:cs="Times New Roman"/>
                <w:iCs/>
              </w:rPr>
              <w:t>National Institute for Health and Care (NICE), “Guide to the methods of technology appraisal 2013 (PMG9),” 2013. [Online]. Available: https://www.nice.org.uk/process/pmg9/.</w:t>
            </w:r>
          </w:p>
          <w:p w14:paraId="7EF05DD5" w14:textId="77777777" w:rsidR="00B83354" w:rsidRPr="00B142C3" w:rsidRDefault="00B83354" w:rsidP="00BD2DE2">
            <w:pPr>
              <w:numPr>
                <w:ilvl w:val="0"/>
                <w:numId w:val="12"/>
              </w:numPr>
              <w:spacing w:line="240" w:lineRule="auto"/>
              <w:contextualSpacing/>
              <w:rPr>
                <w:rFonts w:cs="Times New Roman"/>
                <w:iCs/>
              </w:rPr>
            </w:pPr>
            <w:r w:rsidRPr="00B142C3">
              <w:rPr>
                <w:rFonts w:cs="Times New Roman"/>
                <w:iCs/>
              </w:rPr>
              <w:t>National Institute for Health and Care Excellence (NICE), “Single technology appraisal: User guide for company evidence submission template (PMG24),” 2018. [Online]. Available: https://www.nice.org.uk/process/pmg24/.</w:t>
            </w:r>
          </w:p>
          <w:p w14:paraId="664CAC1D" w14:textId="77777777" w:rsidR="00B83354" w:rsidRPr="00B142C3" w:rsidRDefault="00B83354" w:rsidP="00BD2DE2">
            <w:pPr>
              <w:numPr>
                <w:ilvl w:val="0"/>
                <w:numId w:val="12"/>
              </w:numPr>
              <w:spacing w:line="240" w:lineRule="auto"/>
              <w:contextualSpacing/>
              <w:rPr>
                <w:rFonts w:cs="Times New Roman"/>
                <w:iCs/>
              </w:rPr>
            </w:pPr>
            <w:r w:rsidRPr="00B142C3">
              <w:rPr>
                <w:rFonts w:cs="Times New Roman"/>
                <w:iCs/>
              </w:rPr>
              <w:t>National Institute for Health and Care Excellence (NICE), “Developing NICE guidelines: the manual (PMG20),” 2014. [Online]. Available: http://www.nice.org.uk/article/pmg20.</w:t>
            </w:r>
          </w:p>
          <w:p w14:paraId="2673B891" w14:textId="1ECAD26E" w:rsidR="00B83354" w:rsidRPr="004E38B2" w:rsidRDefault="00B83354" w:rsidP="00BD2DE2">
            <w:pPr>
              <w:numPr>
                <w:ilvl w:val="0"/>
                <w:numId w:val="12"/>
              </w:numPr>
              <w:spacing w:line="240" w:lineRule="auto"/>
              <w:rPr>
                <w:rFonts w:cs="Times New Roman"/>
                <w:b/>
                <w:bCs/>
                <w:iCs/>
              </w:rPr>
            </w:pPr>
            <w:r w:rsidRPr="00B142C3">
              <w:rPr>
                <w:rFonts w:cs="Times New Roman"/>
                <w:iCs/>
              </w:rPr>
              <w:t>NICE, Methods for the development of NICE public health guidance: Appendix H, no. February. 2018.</w:t>
            </w:r>
          </w:p>
          <w:p w14:paraId="65F77876" w14:textId="61D5310A" w:rsidR="004E38B2" w:rsidRPr="00B142C3" w:rsidRDefault="004E38B2" w:rsidP="00BD2DE2">
            <w:pPr>
              <w:numPr>
                <w:ilvl w:val="0"/>
                <w:numId w:val="12"/>
              </w:numPr>
              <w:spacing w:line="240" w:lineRule="auto"/>
              <w:rPr>
                <w:rFonts w:cs="Times New Roman"/>
                <w:b/>
                <w:bCs/>
                <w:iCs/>
              </w:rPr>
            </w:pPr>
            <w:r w:rsidRPr="00B142C3">
              <w:rPr>
                <w:rFonts w:cs="Times New Roman"/>
                <w:iCs/>
              </w:rPr>
              <w:t>National Institute for Health and Care Excellence (NICE), “Types of technology appraisal recommendation.” https://www.nice.org.uk/about/what-we-do/our-programmes/nice-guidance/nice-technology-appraisal-guidance/types-of-recommendation (accessed Mar. 30, 2020).</w:t>
            </w:r>
          </w:p>
          <w:p w14:paraId="407C58F5" w14:textId="77777777" w:rsidR="00B83354" w:rsidRPr="00B142C3" w:rsidRDefault="00B83354" w:rsidP="00BD2DE2">
            <w:pPr>
              <w:rPr>
                <w:rFonts w:cs="Times New Roman"/>
                <w:b/>
                <w:bCs/>
                <w:iCs/>
              </w:rPr>
            </w:pPr>
            <w:r w:rsidRPr="00B142C3">
              <w:rPr>
                <w:rFonts w:cs="Times New Roman"/>
                <w:b/>
                <w:bCs/>
                <w:iCs/>
              </w:rPr>
              <w:t>NICE assessments included:</w:t>
            </w:r>
          </w:p>
          <w:p w14:paraId="7D6D9760" w14:textId="77777777" w:rsidR="00B83354" w:rsidRPr="00B142C3" w:rsidRDefault="00B83354" w:rsidP="00BD2DE2">
            <w:pPr>
              <w:rPr>
                <w:rFonts w:cs="Times New Roman"/>
                <w:iCs/>
              </w:rPr>
            </w:pPr>
            <w:r w:rsidRPr="00B142C3">
              <w:rPr>
                <w:rFonts w:cs="Times New Roman"/>
                <w:i/>
              </w:rPr>
              <w:t>Last three technology appraisal guidance documents at the time of retrieval (13/04/2020):</w:t>
            </w:r>
          </w:p>
          <w:p w14:paraId="70553F0C" w14:textId="77777777" w:rsidR="00B83354" w:rsidRPr="00B142C3" w:rsidRDefault="00B83354" w:rsidP="00BD2DE2">
            <w:pPr>
              <w:numPr>
                <w:ilvl w:val="0"/>
                <w:numId w:val="13"/>
              </w:numPr>
              <w:spacing w:line="240" w:lineRule="auto"/>
              <w:contextualSpacing/>
              <w:rPr>
                <w:rFonts w:cs="Times New Roman"/>
                <w:iCs/>
              </w:rPr>
            </w:pPr>
            <w:r w:rsidRPr="00B142C3">
              <w:rPr>
                <w:rFonts w:cs="Times New Roman"/>
                <w:iCs/>
              </w:rPr>
              <w:t>National Institute for Health and Care Excellence (NICE), “Lenalidomide with rituximab for previously treated follicular lymphoma,” 2020. [Online]. Available: https://www.nice.org.uk/guidance/ta627.</w:t>
            </w:r>
          </w:p>
          <w:p w14:paraId="1160B542" w14:textId="77777777" w:rsidR="00B83354" w:rsidRPr="00B142C3" w:rsidRDefault="00B83354" w:rsidP="00BD2DE2">
            <w:pPr>
              <w:numPr>
                <w:ilvl w:val="0"/>
                <w:numId w:val="13"/>
              </w:numPr>
              <w:spacing w:line="240" w:lineRule="auto"/>
              <w:contextualSpacing/>
              <w:rPr>
                <w:rFonts w:cs="Times New Roman"/>
                <w:iCs/>
              </w:rPr>
            </w:pPr>
            <w:r w:rsidRPr="00B142C3">
              <w:rPr>
                <w:rFonts w:cs="Times New Roman"/>
                <w:iCs/>
              </w:rPr>
              <w:t>National Institute for Health and Care Excellence (NICE), “</w:t>
            </w:r>
            <w:proofErr w:type="spellStart"/>
            <w:r w:rsidRPr="00B142C3">
              <w:rPr>
                <w:rFonts w:cs="Times New Roman"/>
                <w:iCs/>
              </w:rPr>
              <w:t>Patiromer</w:t>
            </w:r>
            <w:proofErr w:type="spellEnd"/>
            <w:r w:rsidRPr="00B142C3">
              <w:rPr>
                <w:rFonts w:cs="Times New Roman"/>
                <w:iCs/>
              </w:rPr>
              <w:t xml:space="preserve"> for treating </w:t>
            </w:r>
            <w:proofErr w:type="spellStart"/>
            <w:r w:rsidRPr="00B142C3">
              <w:rPr>
                <w:rFonts w:cs="Times New Roman"/>
                <w:iCs/>
              </w:rPr>
              <w:t>hyperkalemia</w:t>
            </w:r>
            <w:proofErr w:type="spellEnd"/>
            <w:r w:rsidRPr="00B142C3">
              <w:rPr>
                <w:rFonts w:cs="Times New Roman"/>
                <w:iCs/>
              </w:rPr>
              <w:t>,” 2019. [Online]. Available: https://www.nice.org.uk/guidance/ta623.</w:t>
            </w:r>
          </w:p>
          <w:p w14:paraId="65B6047F" w14:textId="61F8BF2B" w:rsidR="00B83354" w:rsidRPr="004E38B2" w:rsidRDefault="00B83354" w:rsidP="004E38B2">
            <w:pPr>
              <w:numPr>
                <w:ilvl w:val="0"/>
                <w:numId w:val="13"/>
              </w:numPr>
              <w:spacing w:line="240" w:lineRule="auto"/>
              <w:contextualSpacing/>
              <w:rPr>
                <w:rFonts w:cs="Times New Roman"/>
                <w:iCs/>
              </w:rPr>
            </w:pPr>
            <w:r w:rsidRPr="00B142C3">
              <w:rPr>
                <w:rFonts w:cs="Times New Roman"/>
                <w:iCs/>
              </w:rPr>
              <w:t>National Institute for Health and Care Excellence (NICE), “</w:t>
            </w:r>
            <w:proofErr w:type="spellStart"/>
            <w:r w:rsidRPr="00B142C3">
              <w:rPr>
                <w:rFonts w:cs="Times New Roman"/>
                <w:iCs/>
              </w:rPr>
              <w:t>Sotagliflozin</w:t>
            </w:r>
            <w:proofErr w:type="spellEnd"/>
            <w:r w:rsidRPr="00B142C3">
              <w:rPr>
                <w:rFonts w:cs="Times New Roman"/>
                <w:iCs/>
              </w:rPr>
              <w:t xml:space="preserve"> with insulin for treating type 1 diabetes Technology appraisal guidance,” 2020. [Online]. Available: https://www.nice.org.uk/guidance/ta622.</w:t>
            </w:r>
          </w:p>
        </w:tc>
      </w:tr>
    </w:tbl>
    <w:p w14:paraId="6BF2D381" w14:textId="77777777" w:rsidR="00B83354" w:rsidRPr="00B142C3" w:rsidRDefault="00B83354" w:rsidP="00B83354">
      <w:pPr>
        <w:ind w:firstLine="720"/>
        <w:jc w:val="both"/>
        <w:rPr>
          <w:rFonts w:cs="Times New Roman"/>
          <w:iCs/>
          <w:color w:val="000000"/>
        </w:rPr>
      </w:pPr>
      <w:r w:rsidRPr="00B142C3">
        <w:rPr>
          <w:rFonts w:cs="Times New Roman"/>
          <w:iCs/>
        </w:rPr>
        <w:t>NICE views relative effectiveness assessment in parallel to cost-effectiveness</w:t>
      </w:r>
      <w:r w:rsidRPr="00B142C3">
        <w:rPr>
          <w:rFonts w:cs="Times New Roman"/>
          <w:iCs/>
          <w:color w:val="000000"/>
        </w:rPr>
        <w:t xml:space="preserve">, without addressing them in an isolated manner </w:t>
      </w:r>
      <w:sdt>
        <w:sdtPr>
          <w:rPr>
            <w:rFonts w:cs="Times New Roman"/>
            <w:iCs/>
            <w:color w:val="000000"/>
          </w:rPr>
          <w:tag w:val="MENDELEY_CITATION_1cde138a-7aa3-486b-8d69-fdb68f7f10b0"/>
          <w:id w:val="-679430985"/>
          <w:placeholder>
            <w:docPart w:val="D69E3F54B41547D8A6353695082F624A"/>
          </w:placeholder>
        </w:sdtPr>
        <w:sdtEndPr/>
        <w:sdtContent>
          <w:r w:rsidRPr="00B142C3">
            <w:rPr>
              <w:rFonts w:cs="Times New Roman"/>
              <w:iCs/>
              <w:color w:val="000000"/>
            </w:rPr>
            <w:t>(26)</w:t>
          </w:r>
        </w:sdtContent>
      </w:sdt>
      <w:r w:rsidRPr="00B142C3">
        <w:rPr>
          <w:rFonts w:cs="Times New Roman"/>
          <w:iCs/>
          <w:color w:val="000000"/>
        </w:rPr>
        <w:t xml:space="preserve">. Special weight is attributed to the cost-effectiveness part. This is highlighted by the fact that NICE explicitly adopts a cost-effectiveness threshold for concluding on recommendations </w:t>
      </w:r>
      <w:sdt>
        <w:sdtPr>
          <w:rPr>
            <w:rFonts w:cs="Times New Roman"/>
            <w:iCs/>
            <w:color w:val="000000"/>
          </w:rPr>
          <w:tag w:val="MENDELEY_CITATION_0782cba9-0700-4d75-af20-83ae46a7380f"/>
          <w:id w:val="-940988765"/>
          <w:placeholder>
            <w:docPart w:val="D69E3F54B41547D8A6353695082F624A"/>
          </w:placeholder>
        </w:sdtPr>
        <w:sdtEndPr/>
        <w:sdtContent>
          <w:r w:rsidRPr="00B142C3">
            <w:rPr>
              <w:rFonts w:cs="Times New Roman"/>
              <w:iCs/>
              <w:color w:val="000000"/>
            </w:rPr>
            <w:t>(27)</w:t>
          </w:r>
        </w:sdtContent>
      </w:sdt>
      <w:r w:rsidRPr="00B142C3">
        <w:rPr>
          <w:rFonts w:cs="Times New Roman"/>
          <w:iCs/>
          <w:color w:val="000000"/>
        </w:rPr>
        <w:t>.</w:t>
      </w:r>
    </w:p>
    <w:p w14:paraId="5DA8F193" w14:textId="77777777" w:rsidR="00B83354" w:rsidRPr="00B142C3" w:rsidRDefault="00B83354" w:rsidP="00B83354">
      <w:pPr>
        <w:ind w:firstLine="720"/>
        <w:jc w:val="both"/>
        <w:rPr>
          <w:rFonts w:cs="Times New Roman"/>
          <w:iCs/>
          <w:color w:val="000000"/>
        </w:rPr>
      </w:pPr>
      <w:r w:rsidRPr="00B142C3">
        <w:rPr>
          <w:rFonts w:cs="Times New Roman"/>
          <w:iCs/>
          <w:color w:val="000000"/>
        </w:rPr>
        <w:t xml:space="preserve">Systematic reviews are used in the reference case </w:t>
      </w:r>
      <w:proofErr w:type="gramStart"/>
      <w:r w:rsidRPr="00B142C3">
        <w:rPr>
          <w:rFonts w:cs="Times New Roman"/>
          <w:iCs/>
          <w:color w:val="000000"/>
        </w:rPr>
        <w:t>in order to</w:t>
      </w:r>
      <w:proofErr w:type="gramEnd"/>
      <w:r w:rsidRPr="00B142C3">
        <w:rPr>
          <w:rFonts w:cs="Times New Roman"/>
          <w:iCs/>
          <w:color w:val="000000"/>
        </w:rPr>
        <w:t xml:space="preserve"> identify and assess health effects. All studies included in those should be critically appraised</w:t>
      </w:r>
      <w:r w:rsidRPr="00B142C3">
        <w:rPr>
          <w:rFonts w:cs="Times New Roman"/>
          <w:iCs/>
          <w:color w:val="000000"/>
          <w:vertAlign w:val="superscript"/>
        </w:rPr>
        <w:footnoteReference w:id="2"/>
      </w:r>
      <w:r w:rsidRPr="00B142C3">
        <w:rPr>
          <w:rFonts w:cs="Times New Roman"/>
          <w:iCs/>
          <w:color w:val="000000"/>
        </w:rPr>
        <w:t xml:space="preserve">, with </w:t>
      </w:r>
      <w:r w:rsidRPr="00B142C3">
        <w:rPr>
          <w:rFonts w:cs="Times New Roman"/>
          <w:iCs/>
        </w:rPr>
        <w:t>a clear preference for inclusion of studies of ‘the best available quality’</w:t>
      </w:r>
      <w:r w:rsidRPr="00B142C3">
        <w:rPr>
          <w:rFonts w:cs="Times New Roman"/>
          <w:iCs/>
          <w:vertAlign w:val="superscript"/>
        </w:rPr>
        <w:footnoteReference w:id="3"/>
      </w:r>
      <w:r w:rsidRPr="00B142C3">
        <w:rPr>
          <w:rFonts w:cs="Times New Roman"/>
          <w:iCs/>
        </w:rPr>
        <w:t xml:space="preserve"> and of RCTs directly comparing the intervention with relevant comparators. G</w:t>
      </w:r>
      <w:r w:rsidRPr="00B142C3">
        <w:rPr>
          <w:rFonts w:cs="Times New Roman"/>
          <w:iCs/>
          <w:color w:val="000000"/>
        </w:rPr>
        <w:t xml:space="preserve">uidelines for conducting systematic reviews of the University of York are cited </w:t>
      </w:r>
      <w:sdt>
        <w:sdtPr>
          <w:rPr>
            <w:rFonts w:cs="Times New Roman"/>
            <w:iCs/>
            <w:color w:val="000000"/>
          </w:rPr>
          <w:tag w:val="MENDELEY_CITATION_177c364b-c8a9-4175-bc4d-e1148fc8f1a7"/>
          <w:id w:val="1126813483"/>
          <w:placeholder>
            <w:docPart w:val="D69E3F54B41547D8A6353695082F624A"/>
          </w:placeholder>
        </w:sdtPr>
        <w:sdtEndPr/>
        <w:sdtContent>
          <w:r w:rsidRPr="00B142C3">
            <w:rPr>
              <w:rFonts w:cs="Times New Roman"/>
              <w:iCs/>
              <w:color w:val="000000"/>
            </w:rPr>
            <w:t>(27,28)</w:t>
          </w:r>
        </w:sdtContent>
      </w:sdt>
      <w:r w:rsidRPr="00B142C3">
        <w:rPr>
          <w:rFonts w:cs="Times New Roman"/>
          <w:iCs/>
          <w:color w:val="000000"/>
        </w:rPr>
        <w:t xml:space="preserve"> and should be followed by the ‘independent academic groups’ that conduct the analyses. </w:t>
      </w:r>
    </w:p>
    <w:p w14:paraId="35487C07" w14:textId="77777777" w:rsidR="00B83354" w:rsidRPr="00B142C3" w:rsidRDefault="00B83354" w:rsidP="00B83354">
      <w:pPr>
        <w:ind w:firstLine="720"/>
        <w:jc w:val="both"/>
        <w:rPr>
          <w:rFonts w:cs="Times New Roman"/>
          <w:iCs/>
        </w:rPr>
      </w:pPr>
      <w:r w:rsidRPr="00B142C3">
        <w:rPr>
          <w:rFonts w:cs="Times New Roman"/>
          <w:iCs/>
          <w:color w:val="000000"/>
        </w:rPr>
        <w:t xml:space="preserve">According to these guidelines, quality assessment aims to establish the proximity of the results of a study to the truth. The domains taken into account </w:t>
      </w:r>
      <w:proofErr w:type="gramStart"/>
      <w:r w:rsidRPr="00B142C3">
        <w:rPr>
          <w:rFonts w:cs="Times New Roman"/>
          <w:iCs/>
          <w:color w:val="000000"/>
        </w:rPr>
        <w:t>are:</w:t>
      </w:r>
      <w:proofErr w:type="gramEnd"/>
      <w:r w:rsidRPr="00B142C3">
        <w:rPr>
          <w:rFonts w:cs="Times New Roman"/>
          <w:iCs/>
          <w:color w:val="000000"/>
        </w:rPr>
        <w:t xml:space="preserve"> study design with respect to the research objective, risk of bias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choice of outcome measure, statistical issues (</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quality of reporting and publication bias (</w:t>
      </w:r>
      <w:r w:rsidRPr="00B142C3">
        <w:rPr>
          <w:rFonts w:cs="Times New Roman"/>
          <w:b/>
          <w:bCs/>
          <w:iCs/>
          <w:color w:val="7F7F7F" w:themeColor="text1" w:themeTint="80"/>
        </w:rPr>
        <w:sym w:font="Wingdings" w:char="F0F2"/>
      </w:r>
      <w:proofErr w:type="spellStart"/>
      <w:r w:rsidRPr="00B142C3">
        <w:rPr>
          <w:rFonts w:cs="Times New Roman"/>
          <w:b/>
          <w:bCs/>
          <w:iCs/>
          <w:color w:val="7F7F7F" w:themeColor="text1" w:themeTint="80"/>
        </w:rPr>
        <w:t>PuB</w:t>
      </w:r>
      <w:proofErr w:type="spellEnd"/>
      <w:r w:rsidRPr="00B142C3">
        <w:rPr>
          <w:rFonts w:cs="Times New Roman"/>
          <w:iCs/>
        </w:rPr>
        <w:t xml:space="preserve">), quality of the intervention and generalizability </w:t>
      </w:r>
      <w:bookmarkStart w:id="2" w:name="_Hlk31275706"/>
      <w:r w:rsidRPr="00B142C3">
        <w:rPr>
          <w:rFonts w:cs="Times New Roman"/>
          <w:iCs/>
        </w:rPr>
        <w:t>(</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w:t>
      </w:r>
      <w:bookmarkEnd w:id="2"/>
      <w:r w:rsidRPr="00B142C3">
        <w:rPr>
          <w:rFonts w:cs="Times New Roman"/>
          <w:iCs/>
        </w:rPr>
        <w:t>. Furthermore, NICE explicitly refers to the following domains in their guidelines: relevance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xml:space="preserve">), </w:t>
      </w:r>
      <w:r w:rsidRPr="00B142C3">
        <w:rPr>
          <w:rFonts w:cs="Times New Roman"/>
          <w:iCs/>
        </w:rPr>
        <w:lastRenderedPageBreak/>
        <w:t>indirect comparisons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study design and risk of bias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transparency and reproducibility</w:t>
      </w:r>
      <w:r w:rsidRPr="00B142C3">
        <w:rPr>
          <w:rFonts w:cs="Times New Roman"/>
          <w:iCs/>
          <w:vertAlign w:val="superscript"/>
        </w:rPr>
        <w:footnoteReference w:id="4"/>
      </w:r>
      <w:r w:rsidRPr="00B142C3">
        <w:rPr>
          <w:rFonts w:cs="Times New Roman"/>
          <w:iCs/>
        </w:rPr>
        <w:t xml:space="preserve">  as well as heterogeneity and inconsistencies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w:t>
      </w:r>
      <w:r w:rsidRPr="00B142C3">
        <w:rPr>
          <w:rFonts w:cs="Times New Roman"/>
          <w:iCs/>
          <w:vertAlign w:val="superscript"/>
        </w:rPr>
        <w:footnoteReference w:id="5"/>
      </w:r>
      <w:r w:rsidRPr="00B142C3">
        <w:rPr>
          <w:rFonts w:cs="Times New Roman"/>
          <w:iCs/>
        </w:rPr>
        <w:t xml:space="preserve">. All of the above lead to the ‘robustness of the synthesis’ assessment in the end of the synthesis process, which includes the methodological quality of the included studies as well </w:t>
      </w:r>
      <w:r>
        <w:rPr>
          <w:rFonts w:cs="Times New Roman"/>
          <w:iCs/>
        </w:rPr>
        <w:t xml:space="preserve">as </w:t>
      </w:r>
      <w:r w:rsidRPr="00B142C3">
        <w:rPr>
          <w:rFonts w:cs="Times New Roman"/>
          <w:iCs/>
        </w:rPr>
        <w:t xml:space="preserve">the credibility of the product of the synthesis process. </w:t>
      </w:r>
    </w:p>
    <w:p w14:paraId="38CAFA66" w14:textId="77777777" w:rsidR="00B83354" w:rsidRPr="00B142C3" w:rsidRDefault="00B83354" w:rsidP="00B83354">
      <w:pPr>
        <w:ind w:firstLine="720"/>
        <w:jc w:val="both"/>
        <w:rPr>
          <w:rFonts w:cs="Times New Roman"/>
          <w:iCs/>
        </w:rPr>
      </w:pPr>
      <w:r w:rsidRPr="00B142C3">
        <w:rPr>
          <w:rFonts w:cs="Times New Roman"/>
          <w:iCs/>
        </w:rPr>
        <w:t xml:space="preserve">Use of validity assessment to conclude on whether the evidence included are weak, </w:t>
      </w:r>
      <w:proofErr w:type="gramStart"/>
      <w:r w:rsidRPr="00B142C3">
        <w:rPr>
          <w:rFonts w:cs="Times New Roman"/>
          <w:iCs/>
        </w:rPr>
        <w:t>moderate  or</w:t>
      </w:r>
      <w:proofErr w:type="gramEnd"/>
      <w:r w:rsidRPr="00B142C3">
        <w:rPr>
          <w:rFonts w:cs="Times New Roman"/>
          <w:iCs/>
        </w:rPr>
        <w:t xml:space="preserve"> good. This is followed by a critical reflection on the synthesis process (the methodology of the synthesis, the evidence used, the assumptions made, discrepancies and uncertainties identified, expected changes in technology or evidence, aspects that may influence implementation and effectiveness in real settings). Drawing conclusions on its generalisability and robustness. Finally, checking with authors of primary studies is also advised, especially when the number of studies included is small.</w:t>
      </w:r>
    </w:p>
    <w:p w14:paraId="5DF4FD6F" w14:textId="77777777" w:rsidR="00B83354" w:rsidRPr="00B142C3" w:rsidRDefault="00B83354" w:rsidP="00B83354">
      <w:pPr>
        <w:ind w:firstLine="720"/>
        <w:jc w:val="both"/>
        <w:rPr>
          <w:rFonts w:cs="Times New Roman"/>
          <w:iCs/>
          <w:lang w:val="en-US"/>
        </w:rPr>
      </w:pPr>
      <w:r w:rsidRPr="00B142C3">
        <w:rPr>
          <w:rFonts w:cs="Times New Roman"/>
          <w:iCs/>
        </w:rPr>
        <w:t xml:space="preserve">NICE has also published a list of </w:t>
      </w:r>
      <w:proofErr w:type="gramStart"/>
      <w:r w:rsidRPr="00B142C3">
        <w:rPr>
          <w:rFonts w:cs="Times New Roman"/>
          <w:iCs/>
        </w:rPr>
        <w:t>minimum</w:t>
      </w:r>
      <w:proofErr w:type="gramEnd"/>
      <w:r w:rsidRPr="00B142C3">
        <w:rPr>
          <w:rFonts w:cs="Times New Roman"/>
          <w:iCs/>
        </w:rPr>
        <w:t xml:space="preserve"> ‘quality assessment’ criteria for the ‘relevant clinical effectiveness evidence’ submitted, that include aspects of risk of bias, generalizability, publication bias </w:t>
      </w:r>
      <w:sdt>
        <w:sdtPr>
          <w:rPr>
            <w:rFonts w:cs="Times New Roman"/>
            <w:iCs/>
            <w:color w:val="000000"/>
            <w:lang w:val="en-US"/>
          </w:rPr>
          <w:tag w:val="MENDELEY_CITATION_c2ac6072-eb28-4d34-af79-47a981f91186"/>
          <w:id w:val="-1325501960"/>
          <w:placeholder>
            <w:docPart w:val="0C7AE4FF452044518BB1A0149C46C03C"/>
          </w:placeholder>
        </w:sdtPr>
        <w:sdtEndPr/>
        <w:sdtContent>
          <w:r w:rsidRPr="00B142C3">
            <w:rPr>
              <w:rFonts w:cs="Times New Roman"/>
              <w:iCs/>
              <w:color w:val="000000"/>
              <w:lang w:val="en-US"/>
            </w:rPr>
            <w:t>(29)</w:t>
          </w:r>
        </w:sdtContent>
      </w:sdt>
      <w:r w:rsidRPr="00B142C3">
        <w:rPr>
          <w:rFonts w:cs="Times New Roman"/>
          <w:iCs/>
        </w:rPr>
        <w:t xml:space="preserve">. Indeed, the ‘Committee Papers’ (ID1374, ID877 and ID1376) of all three assessments examined </w:t>
      </w:r>
      <w:sdt>
        <w:sdtPr>
          <w:rPr>
            <w:rFonts w:cs="Times New Roman"/>
            <w:iCs/>
            <w:color w:val="000000"/>
          </w:rPr>
          <w:tag w:val="MENDELEY_CITATION_ef4f9344-b508-4e1f-8c0a-43d390fcffd3"/>
          <w:id w:val="-537046163"/>
          <w:placeholder>
            <w:docPart w:val="D69E3F54B41547D8A6353695082F624A"/>
          </w:placeholder>
        </w:sdtPr>
        <w:sdtEndPr/>
        <w:sdtContent>
          <w:r w:rsidRPr="00B142C3">
            <w:rPr>
              <w:rFonts w:cs="Times New Roman"/>
              <w:iCs/>
              <w:color w:val="000000"/>
            </w:rPr>
            <w:t>(30–32)</w:t>
          </w:r>
        </w:sdtContent>
      </w:sdt>
      <w:r w:rsidRPr="00B142C3">
        <w:rPr>
          <w:rFonts w:cs="Times New Roman"/>
          <w:iCs/>
          <w:color w:val="000000"/>
        </w:rPr>
        <w:t>,</w:t>
      </w:r>
      <w:r w:rsidRPr="00B142C3">
        <w:rPr>
          <w:rFonts w:cs="Times New Roman"/>
          <w:iCs/>
        </w:rPr>
        <w:t xml:space="preserve"> </w:t>
      </w:r>
      <w:r w:rsidRPr="00B142C3">
        <w:rPr>
          <w:rFonts w:cs="Times New Roman"/>
          <w:iCs/>
          <w:lang w:val="en-US"/>
        </w:rPr>
        <w:t xml:space="preserve">include a ‘quality assessment’ chapter in the ‘Company Evidence Submission’ (Document B) </w:t>
      </w:r>
      <w:proofErr w:type="gramStart"/>
      <w:r w:rsidRPr="00B142C3">
        <w:rPr>
          <w:rFonts w:cs="Times New Roman"/>
          <w:iCs/>
          <w:lang w:val="en-US"/>
        </w:rPr>
        <w:t>that  include</w:t>
      </w:r>
      <w:proofErr w:type="gramEnd"/>
      <w:r w:rsidRPr="00B142C3">
        <w:rPr>
          <w:rFonts w:cs="Times New Roman"/>
          <w:iCs/>
          <w:lang w:val="en-US"/>
        </w:rPr>
        <w:t xml:space="preserve"> the above-mentioned minimum criteria. These minimum criteria are not explicitly referred to in the final assessment reports themselves (‘technology appraisal guidance’). From the assessments included we can presume that uncertainty for the body of evidence is expressed in a narrative way in the committee discussion as well as the summaries accompanying the recommendation.</w:t>
      </w:r>
    </w:p>
    <w:tbl>
      <w:tblPr>
        <w:tblStyle w:val="TableGrid"/>
        <w:tblW w:w="0" w:type="auto"/>
        <w:tblLook w:val="04A0" w:firstRow="1" w:lastRow="0" w:firstColumn="1" w:lastColumn="0" w:noHBand="0" w:noVBand="1"/>
      </w:tblPr>
      <w:tblGrid>
        <w:gridCol w:w="8359"/>
        <w:gridCol w:w="636"/>
      </w:tblGrid>
      <w:tr w:rsidR="00B83354" w:rsidRPr="00B142C3" w14:paraId="1803A331" w14:textId="77777777" w:rsidTr="00BD2DE2">
        <w:tc>
          <w:tcPr>
            <w:tcW w:w="8995" w:type="dxa"/>
            <w:gridSpan w:val="2"/>
            <w:vAlign w:val="center"/>
          </w:tcPr>
          <w:p w14:paraId="1AAB781F" w14:textId="77777777" w:rsidR="00B83354" w:rsidRPr="00714DA6" w:rsidRDefault="00B83354" w:rsidP="00BD2DE2">
            <w:pPr>
              <w:spacing w:line="240" w:lineRule="auto"/>
              <w:jc w:val="center"/>
              <w:rPr>
                <w:b/>
                <w:bCs/>
                <w:sz w:val="18"/>
                <w:szCs w:val="18"/>
              </w:rPr>
            </w:pPr>
            <w:r w:rsidRPr="00B142C3">
              <w:rPr>
                <w:b/>
                <w:bCs/>
                <w:sz w:val="18"/>
                <w:szCs w:val="18"/>
              </w:rPr>
              <w:t xml:space="preserve">Table </w:t>
            </w:r>
            <w:r w:rsidRPr="00714DA6">
              <w:rPr>
                <w:b/>
                <w:bCs/>
                <w:sz w:val="18"/>
                <w:szCs w:val="18"/>
              </w:rPr>
              <w:t>1</w:t>
            </w:r>
          </w:p>
          <w:p w14:paraId="3F2C0D36" w14:textId="77777777" w:rsidR="00B83354" w:rsidRPr="00B142C3" w:rsidRDefault="00B83354" w:rsidP="00BD2DE2">
            <w:pPr>
              <w:spacing w:line="240" w:lineRule="auto"/>
              <w:jc w:val="center"/>
              <w:rPr>
                <w:noProof/>
              </w:rPr>
            </w:pPr>
            <w:r w:rsidRPr="00B142C3">
              <w:rPr>
                <w:sz w:val="18"/>
                <w:szCs w:val="18"/>
              </w:rPr>
              <w:t xml:space="preserve">Quality assessment criteria as described by NICE in their </w:t>
            </w:r>
            <w:r w:rsidRPr="00B142C3">
              <w:rPr>
                <w:sz w:val="18"/>
                <w:szCs w:val="18"/>
                <w:lang w:val="en-US"/>
              </w:rPr>
              <w:t>‘</w:t>
            </w:r>
            <w:r w:rsidRPr="00B142C3">
              <w:rPr>
                <w:sz w:val="18"/>
                <w:szCs w:val="18"/>
              </w:rPr>
              <w:t>User guide for company evidence submission template’</w:t>
            </w:r>
            <w:r w:rsidRPr="00B142C3">
              <w:rPr>
                <w:sz w:val="18"/>
                <w:szCs w:val="18"/>
                <w:vertAlign w:val="superscript"/>
              </w:rPr>
              <w:footnoteReference w:id="6"/>
            </w:r>
          </w:p>
        </w:tc>
      </w:tr>
      <w:tr w:rsidR="00B83354" w:rsidRPr="00B142C3" w14:paraId="65EF9437" w14:textId="77777777" w:rsidTr="00BD2DE2">
        <w:tc>
          <w:tcPr>
            <w:tcW w:w="8359" w:type="dxa"/>
            <w:vAlign w:val="center"/>
          </w:tcPr>
          <w:p w14:paraId="5E9848B8" w14:textId="77777777" w:rsidR="00B83354" w:rsidRPr="00B142C3" w:rsidRDefault="00B83354" w:rsidP="00BD2DE2">
            <w:pPr>
              <w:spacing w:line="240" w:lineRule="auto"/>
              <w:rPr>
                <w:rFonts w:cs="Times New Roman"/>
                <w:iCs/>
              </w:rPr>
            </w:pPr>
            <w:r w:rsidRPr="00B142C3">
              <w:t>Was the randomisation method adequate?</w:t>
            </w:r>
          </w:p>
        </w:tc>
        <w:tc>
          <w:tcPr>
            <w:tcW w:w="636" w:type="dxa"/>
            <w:vAlign w:val="center"/>
          </w:tcPr>
          <w:p w14:paraId="132AA459" w14:textId="77777777" w:rsidR="00B83354" w:rsidRPr="00B142C3" w:rsidRDefault="00B83354" w:rsidP="00BD2DE2">
            <w:pPr>
              <w:spacing w:line="240" w:lineRule="auto"/>
              <w:jc w:val="center"/>
              <w:rPr>
                <w:rFonts w:cs="Times New Roman"/>
                <w:iCs/>
              </w:rPr>
            </w:pPr>
            <w:r w:rsidRPr="00B142C3">
              <w:rPr>
                <w:noProof/>
                <w:lang w:val="nl-NL" w:eastAsia="nl-NL"/>
              </w:rPr>
              <mc:AlternateContent>
                <mc:Choice Requires="wps">
                  <w:drawing>
                    <wp:inline distT="0" distB="0" distL="0" distR="0" wp14:anchorId="3F446DE0" wp14:editId="3F380F87">
                      <wp:extent cx="252095" cy="252095"/>
                      <wp:effectExtent l="9525" t="9525" r="5080" b="508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113259"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3F446DE0" id="Oval 60" o:spid="_x0000_s1040"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" fillcolor="#c00000" stroked="f" strokeweight="1pt">
                      <v:stroke joinstyle="miter"/>
                      <v:textbox inset="0,0,0,0">
                        <w:txbxContent>
                          <w:p w14:paraId="2B113259"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r>
      <w:tr w:rsidR="00B83354" w:rsidRPr="00B142C3" w14:paraId="2699EEB1" w14:textId="77777777" w:rsidTr="00BD2DE2">
        <w:tc>
          <w:tcPr>
            <w:tcW w:w="8359" w:type="dxa"/>
            <w:vAlign w:val="center"/>
          </w:tcPr>
          <w:p w14:paraId="3315F06D" w14:textId="77777777" w:rsidR="00B83354" w:rsidRPr="00B142C3" w:rsidRDefault="00B83354" w:rsidP="00BD2DE2">
            <w:pPr>
              <w:spacing w:line="240" w:lineRule="auto"/>
              <w:rPr>
                <w:rFonts w:cs="Times New Roman"/>
                <w:iCs/>
              </w:rPr>
            </w:pPr>
            <w:r w:rsidRPr="00B142C3">
              <w:t>Was the allocation adequately concealed?</w:t>
            </w:r>
          </w:p>
        </w:tc>
        <w:tc>
          <w:tcPr>
            <w:tcW w:w="636" w:type="dxa"/>
            <w:vAlign w:val="center"/>
          </w:tcPr>
          <w:p w14:paraId="6BB55565" w14:textId="77777777" w:rsidR="00B83354" w:rsidRPr="00B142C3" w:rsidRDefault="00B83354" w:rsidP="00BD2DE2">
            <w:pPr>
              <w:spacing w:line="240" w:lineRule="auto"/>
              <w:jc w:val="center"/>
              <w:rPr>
                <w:rFonts w:cs="Times New Roman"/>
                <w:iCs/>
              </w:rPr>
            </w:pPr>
            <w:r w:rsidRPr="00B142C3">
              <w:rPr>
                <w:noProof/>
                <w:lang w:val="nl-NL" w:eastAsia="nl-NL"/>
              </w:rPr>
              <mc:AlternateContent>
                <mc:Choice Requires="wps">
                  <w:drawing>
                    <wp:inline distT="0" distB="0" distL="0" distR="0" wp14:anchorId="64B8901F" wp14:editId="177DEC8D">
                      <wp:extent cx="252095" cy="252095"/>
                      <wp:effectExtent l="9525" t="9525" r="5080" b="508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A0187F"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64B8901F" id="Oval 61" o:spid="_x0000_s1041"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" fillcolor="#c00000" stroked="f" strokeweight="1pt">
                      <v:stroke joinstyle="miter"/>
                      <v:textbox inset="0,0,0,0">
                        <w:txbxContent>
                          <w:p w14:paraId="24A0187F"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r>
      <w:tr w:rsidR="00B83354" w:rsidRPr="00B142C3" w14:paraId="369C8DD7" w14:textId="77777777" w:rsidTr="00BD2DE2">
        <w:tc>
          <w:tcPr>
            <w:tcW w:w="8359" w:type="dxa"/>
            <w:vAlign w:val="center"/>
          </w:tcPr>
          <w:p w14:paraId="7A66BE76" w14:textId="77777777" w:rsidR="00B83354" w:rsidRPr="00B142C3" w:rsidRDefault="00B83354" w:rsidP="00BD2DE2">
            <w:pPr>
              <w:spacing w:line="240" w:lineRule="auto"/>
              <w:rPr>
                <w:rFonts w:cs="Times New Roman"/>
                <w:iCs/>
              </w:rPr>
            </w:pPr>
            <w:r w:rsidRPr="00B142C3">
              <w:t>Were the groups similar at the outset of the study in terms of prognostic factors, for example severity of disease?</w:t>
            </w:r>
          </w:p>
        </w:tc>
        <w:tc>
          <w:tcPr>
            <w:tcW w:w="636" w:type="dxa"/>
            <w:vAlign w:val="center"/>
          </w:tcPr>
          <w:p w14:paraId="52A59D9E" w14:textId="77777777" w:rsidR="00B83354" w:rsidRPr="00B142C3" w:rsidRDefault="00B83354" w:rsidP="00BD2DE2">
            <w:pPr>
              <w:spacing w:line="240" w:lineRule="auto"/>
              <w:jc w:val="center"/>
              <w:rPr>
                <w:rFonts w:cs="Times New Roman"/>
                <w:iCs/>
              </w:rPr>
            </w:pPr>
            <w:r w:rsidRPr="00B142C3">
              <w:rPr>
                <w:noProof/>
                <w:lang w:val="nl-NL" w:eastAsia="nl-NL"/>
              </w:rPr>
              <mc:AlternateContent>
                <mc:Choice Requires="wps">
                  <w:drawing>
                    <wp:inline distT="0" distB="0" distL="0" distR="0" wp14:anchorId="54E8974B" wp14:editId="7A00E951">
                      <wp:extent cx="252095" cy="252095"/>
                      <wp:effectExtent l="9525" t="9525" r="5080" b="508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44813F"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54E8974B" id="Oval 62" o:spid="_x0000_s1042"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" fillcolor="#c00000" stroked="f" strokeweight="1pt">
                      <v:stroke joinstyle="miter"/>
                      <v:textbox inset="0,0,0,0">
                        <w:txbxContent>
                          <w:p w14:paraId="0C44813F"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r>
      <w:tr w:rsidR="00B83354" w:rsidRPr="00B142C3" w14:paraId="0CA8AE4E" w14:textId="77777777" w:rsidTr="00BD2DE2">
        <w:tc>
          <w:tcPr>
            <w:tcW w:w="8359" w:type="dxa"/>
            <w:vAlign w:val="center"/>
          </w:tcPr>
          <w:p w14:paraId="2EFA49F9" w14:textId="77777777" w:rsidR="00B83354" w:rsidRPr="00B142C3" w:rsidRDefault="00B83354" w:rsidP="00BD2DE2">
            <w:pPr>
              <w:spacing w:line="240" w:lineRule="auto"/>
              <w:rPr>
                <w:rFonts w:cs="Times New Roman"/>
                <w:i/>
              </w:rPr>
            </w:pPr>
            <w:r w:rsidRPr="00B142C3">
              <w:t xml:space="preserve">Were the care providers, </w:t>
            </w:r>
            <w:proofErr w:type="gramStart"/>
            <w:r w:rsidRPr="00B142C3">
              <w:t>participants</w:t>
            </w:r>
            <w:proofErr w:type="gramEnd"/>
            <w:r w:rsidRPr="00B142C3">
              <w:t xml:space="preserve"> and outcome assessors blind to treatment allocation? If any of these people were not blind to treatment allocation, what might be the likely impact on the risk of bias (for each outcome)?</w:t>
            </w:r>
          </w:p>
        </w:tc>
        <w:tc>
          <w:tcPr>
            <w:tcW w:w="636" w:type="dxa"/>
            <w:vAlign w:val="center"/>
          </w:tcPr>
          <w:p w14:paraId="52F49944" w14:textId="77777777" w:rsidR="00B83354" w:rsidRPr="00B142C3" w:rsidRDefault="00B83354" w:rsidP="00BD2DE2">
            <w:pPr>
              <w:spacing w:line="240" w:lineRule="auto"/>
              <w:jc w:val="center"/>
              <w:rPr>
                <w:rFonts w:cs="Times New Roman"/>
                <w:iCs/>
              </w:rPr>
            </w:pPr>
            <w:r w:rsidRPr="00B142C3">
              <w:rPr>
                <w:noProof/>
                <w:lang w:val="nl-NL" w:eastAsia="nl-NL"/>
              </w:rPr>
              <mc:AlternateContent>
                <mc:Choice Requires="wps">
                  <w:drawing>
                    <wp:inline distT="0" distB="0" distL="0" distR="0" wp14:anchorId="1003B6CC" wp14:editId="79887903">
                      <wp:extent cx="252095" cy="252095"/>
                      <wp:effectExtent l="9525" t="9525" r="5080" b="508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1C779B"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1003B6CC" id="Oval 63" o:spid="_x0000_s1043"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" fillcolor="#c00000" stroked="f" strokeweight="1pt">
                      <v:stroke joinstyle="miter"/>
                      <v:textbox inset="0,0,0,0">
                        <w:txbxContent>
                          <w:p w14:paraId="301C779B"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r>
      <w:tr w:rsidR="00B83354" w:rsidRPr="00B142C3" w14:paraId="5F67A942" w14:textId="77777777" w:rsidTr="00BD2DE2">
        <w:tc>
          <w:tcPr>
            <w:tcW w:w="8359" w:type="dxa"/>
            <w:vAlign w:val="center"/>
          </w:tcPr>
          <w:p w14:paraId="3E33AFB1" w14:textId="77777777" w:rsidR="00B83354" w:rsidRPr="00B142C3" w:rsidRDefault="00B83354" w:rsidP="00BD2DE2">
            <w:pPr>
              <w:spacing w:line="240" w:lineRule="auto"/>
              <w:rPr>
                <w:rFonts w:cs="Times New Roman"/>
                <w:iCs/>
              </w:rPr>
            </w:pPr>
            <w:r w:rsidRPr="00B142C3">
              <w:t xml:space="preserve">Were there any unexpected imbalances in </w:t>
            </w:r>
            <w:proofErr w:type="gramStart"/>
            <w:r w:rsidRPr="00B142C3">
              <w:t>drop-outs</w:t>
            </w:r>
            <w:proofErr w:type="gramEnd"/>
            <w:r w:rsidRPr="00B142C3">
              <w:t xml:space="preserve"> between groups? If so, were they explained or adjusted for?</w:t>
            </w:r>
          </w:p>
        </w:tc>
        <w:tc>
          <w:tcPr>
            <w:tcW w:w="636" w:type="dxa"/>
            <w:shd w:val="clear" w:color="auto" w:fill="auto"/>
            <w:vAlign w:val="center"/>
          </w:tcPr>
          <w:p w14:paraId="5FE7EC78" w14:textId="77777777" w:rsidR="00B83354" w:rsidRPr="00B142C3" w:rsidRDefault="00B83354" w:rsidP="00BD2DE2">
            <w:pPr>
              <w:spacing w:line="240" w:lineRule="auto"/>
              <w:jc w:val="center"/>
              <w:rPr>
                <w:rFonts w:cs="Times New Roman"/>
                <w:iCs/>
              </w:rPr>
            </w:pPr>
            <w:r w:rsidRPr="00B142C3">
              <w:rPr>
                <w:noProof/>
                <w:lang w:val="nl-NL" w:eastAsia="nl-NL"/>
              </w:rPr>
              <mc:AlternateContent>
                <mc:Choice Requires="wps">
                  <w:drawing>
                    <wp:inline distT="0" distB="0" distL="0" distR="0" wp14:anchorId="03975E2E" wp14:editId="6104C860">
                      <wp:extent cx="252095" cy="252095"/>
                      <wp:effectExtent l="9525" t="9525" r="5080" b="508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4C8529"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03975E2E" id="Oval 65" o:spid="_x0000_s1044"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" fillcolor="#c00000" stroked="f" strokeweight="1pt">
                      <v:stroke joinstyle="miter"/>
                      <v:textbox inset="0,0,0,0">
                        <w:txbxContent>
                          <w:p w14:paraId="614C8529"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r>
      <w:tr w:rsidR="00B83354" w:rsidRPr="00B142C3" w14:paraId="481A6B3F" w14:textId="77777777" w:rsidTr="00BD2DE2">
        <w:tc>
          <w:tcPr>
            <w:tcW w:w="8359" w:type="dxa"/>
            <w:vAlign w:val="center"/>
          </w:tcPr>
          <w:p w14:paraId="26D537DF" w14:textId="77777777" w:rsidR="00B83354" w:rsidRPr="00B142C3" w:rsidRDefault="00B83354" w:rsidP="00BD2DE2">
            <w:pPr>
              <w:spacing w:line="240" w:lineRule="auto"/>
              <w:rPr>
                <w:rFonts w:cs="Times New Roman"/>
                <w:iCs/>
              </w:rPr>
            </w:pPr>
            <w:r w:rsidRPr="00B142C3">
              <w:t>Is there any evidence to suggest that the authors measured more outcomes than they reported?</w:t>
            </w:r>
          </w:p>
        </w:tc>
        <w:tc>
          <w:tcPr>
            <w:tcW w:w="636" w:type="dxa"/>
            <w:vAlign w:val="center"/>
          </w:tcPr>
          <w:p w14:paraId="5CCD3941" w14:textId="77777777" w:rsidR="00B83354" w:rsidRPr="00B142C3" w:rsidRDefault="00B83354" w:rsidP="00BD2DE2">
            <w:pPr>
              <w:spacing w:line="240" w:lineRule="auto"/>
              <w:jc w:val="center"/>
            </w:pPr>
            <w:r w:rsidRPr="00B142C3">
              <w:rPr>
                <w:noProof/>
                <w:lang w:val="nl-NL" w:eastAsia="nl-NL"/>
              </w:rPr>
              <mc:AlternateContent>
                <mc:Choice Requires="wps">
                  <w:drawing>
                    <wp:inline distT="0" distB="0" distL="0" distR="0" wp14:anchorId="0F87F786" wp14:editId="6E2F91B0">
                      <wp:extent cx="252095" cy="252095"/>
                      <wp:effectExtent l="9525" t="9525" r="5080" b="508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725E24" w14:textId="77777777" w:rsidR="00BD2DE2" w:rsidRDefault="00BD2DE2" w:rsidP="00B83354">
                                  <w:pPr>
                                    <w:spacing w:after="0"/>
                                    <w:jc w:val="center"/>
                                    <w:rPr>
                                      <w:b/>
                                      <w:bCs/>
                                      <w:color w:val="FFFFFF" w:themeColor="background1"/>
                                      <w:spacing w:val="6"/>
                                      <w:sz w:val="12"/>
                                      <w:szCs w:val="12"/>
                                      <w:lang w:val="en-US"/>
                                    </w:rPr>
                                  </w:pPr>
                                  <w:r>
                                    <w:rPr>
                                      <w:b/>
                                      <w:bCs/>
                                      <w:color w:val="FFFFFF" w:themeColor="background1"/>
                                      <w:spacing w:val="6"/>
                                      <w:sz w:val="12"/>
                                      <w:szCs w:val="12"/>
                                      <w:lang w:val="en-US"/>
                                    </w:rPr>
                                    <w:t>PuB</w:t>
                                  </w:r>
                                </w:p>
                              </w:txbxContent>
                            </wps:txbx>
                            <wps:bodyPr rot="0" vert="horz" wrap="square" lIns="0" tIns="0" rIns="0" bIns="0" anchor="ctr" anchorCtr="0" upright="1">
                              <a:noAutofit/>
                            </wps:bodyPr>
                          </wps:wsp>
                        </a:graphicData>
                      </a:graphic>
                    </wp:inline>
                  </w:drawing>
                </mc:Choice>
                <mc:Fallback>
                  <w:pict>
                    <v:oval w14:anchorId="0F87F786" id="Oval 66" o:spid="_x0000_s1045"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" fillcolor="#7f7f7f" stroked="f" strokeweight="1pt">
                      <v:stroke joinstyle="miter"/>
                      <v:textbox inset="0,0,0,0">
                        <w:txbxContent>
                          <w:p w14:paraId="65725E24" w14:textId="77777777" w:rsidR="00BD2DE2" w:rsidRDefault="00BD2DE2" w:rsidP="00B83354">
                            <w:pPr>
                              <w:spacing w:after="0"/>
                              <w:jc w:val="center"/>
                              <w:rPr>
                                <w:b/>
                                <w:bCs/>
                                <w:color w:val="FFFFFF" w:themeColor="background1"/>
                                <w:spacing w:val="6"/>
                                <w:sz w:val="12"/>
                                <w:szCs w:val="12"/>
                                <w:lang w:val="en-US"/>
                              </w:rPr>
                            </w:pPr>
                            <w:r>
                              <w:rPr>
                                <w:b/>
                                <w:bCs/>
                                <w:color w:val="FFFFFF" w:themeColor="background1"/>
                                <w:spacing w:val="6"/>
                                <w:sz w:val="12"/>
                                <w:szCs w:val="12"/>
                                <w:lang w:val="en-US"/>
                              </w:rPr>
                              <w:t>PuB</w:t>
                            </w:r>
                          </w:p>
                        </w:txbxContent>
                      </v:textbox>
                      <w10:anchorlock/>
                    </v:oval>
                  </w:pict>
                </mc:Fallback>
              </mc:AlternateContent>
            </w:r>
          </w:p>
        </w:tc>
      </w:tr>
      <w:tr w:rsidR="00B83354" w:rsidRPr="00B142C3" w14:paraId="098C1D35" w14:textId="77777777" w:rsidTr="00BD2DE2">
        <w:tc>
          <w:tcPr>
            <w:tcW w:w="8359" w:type="dxa"/>
            <w:vAlign w:val="center"/>
          </w:tcPr>
          <w:p w14:paraId="38913AA9" w14:textId="77777777" w:rsidR="00B83354" w:rsidRPr="00B142C3" w:rsidRDefault="00B83354" w:rsidP="00BD2DE2">
            <w:pPr>
              <w:spacing w:line="240" w:lineRule="auto"/>
              <w:rPr>
                <w:rFonts w:cs="Times New Roman"/>
                <w:iCs/>
              </w:rPr>
            </w:pPr>
            <w:r w:rsidRPr="00B142C3">
              <w:t>Did the analysis include an intention-to-treat analysis? If so, was this appropriate and were appropriate methods used to account for missing data?</w:t>
            </w:r>
          </w:p>
        </w:tc>
        <w:tc>
          <w:tcPr>
            <w:tcW w:w="636" w:type="dxa"/>
            <w:vAlign w:val="center"/>
          </w:tcPr>
          <w:p w14:paraId="36843904" w14:textId="77777777" w:rsidR="00B83354" w:rsidRPr="00B142C3" w:rsidRDefault="00B83354" w:rsidP="00BD2DE2">
            <w:pPr>
              <w:spacing w:line="240" w:lineRule="auto"/>
              <w:jc w:val="center"/>
              <w:rPr>
                <w:rFonts w:cs="Times New Roman"/>
                <w:iCs/>
              </w:rPr>
            </w:pPr>
            <w:r w:rsidRPr="00B142C3">
              <w:rPr>
                <w:rFonts w:cs="Times New Roman"/>
                <w:iCs/>
              </w:rPr>
              <w:t>-</w:t>
            </w:r>
          </w:p>
        </w:tc>
      </w:tr>
      <w:tr w:rsidR="00B83354" w:rsidRPr="00B142C3" w14:paraId="57173F0E" w14:textId="77777777" w:rsidTr="00BD2DE2">
        <w:tc>
          <w:tcPr>
            <w:tcW w:w="8359" w:type="dxa"/>
            <w:vAlign w:val="center"/>
          </w:tcPr>
          <w:p w14:paraId="5F492A0E" w14:textId="77777777" w:rsidR="00B83354" w:rsidRPr="00B142C3" w:rsidRDefault="00B83354" w:rsidP="00BD2DE2">
            <w:pPr>
              <w:spacing w:line="240" w:lineRule="auto"/>
            </w:pPr>
            <w:r w:rsidRPr="00B142C3">
              <w:t>Also consider whether the authors of the study publication declared any conflicts of interest.</w:t>
            </w:r>
          </w:p>
        </w:tc>
        <w:tc>
          <w:tcPr>
            <w:tcW w:w="636" w:type="dxa"/>
            <w:vAlign w:val="center"/>
          </w:tcPr>
          <w:p w14:paraId="14DF56F2" w14:textId="77777777" w:rsidR="00B83354" w:rsidRPr="00B142C3" w:rsidRDefault="00B83354" w:rsidP="00BD2DE2">
            <w:pPr>
              <w:spacing w:line="240" w:lineRule="auto"/>
              <w:jc w:val="center"/>
            </w:pPr>
            <w:r w:rsidRPr="00B142C3">
              <w:t>-</w:t>
            </w:r>
          </w:p>
        </w:tc>
      </w:tr>
      <w:tr w:rsidR="00B83354" w:rsidRPr="00B142C3" w14:paraId="0637D0B7" w14:textId="77777777" w:rsidTr="00BD2DE2">
        <w:tc>
          <w:tcPr>
            <w:tcW w:w="8359" w:type="dxa"/>
            <w:vAlign w:val="center"/>
          </w:tcPr>
          <w:p w14:paraId="31DADE51" w14:textId="77777777" w:rsidR="00B83354" w:rsidRPr="00B142C3" w:rsidRDefault="00B83354" w:rsidP="00BD2DE2">
            <w:pPr>
              <w:spacing w:line="240" w:lineRule="auto"/>
            </w:pPr>
            <w:r w:rsidRPr="00B142C3">
              <w:t>Consider how closely the trials reflects routine clinical practice in England.</w:t>
            </w:r>
          </w:p>
        </w:tc>
        <w:tc>
          <w:tcPr>
            <w:tcW w:w="636" w:type="dxa"/>
            <w:vAlign w:val="center"/>
          </w:tcPr>
          <w:p w14:paraId="348FA849" w14:textId="77777777" w:rsidR="00B83354" w:rsidRPr="00B142C3" w:rsidRDefault="00B83354" w:rsidP="00BD2DE2">
            <w:pPr>
              <w:spacing w:line="240" w:lineRule="auto"/>
              <w:jc w:val="center"/>
            </w:pPr>
            <w:r w:rsidRPr="00B142C3">
              <w:rPr>
                <w:noProof/>
                <w:lang w:val="nl-NL" w:eastAsia="nl-NL"/>
              </w:rPr>
              <mc:AlternateContent>
                <mc:Choice Requires="wps">
                  <w:drawing>
                    <wp:inline distT="0" distB="0" distL="0" distR="0" wp14:anchorId="31F50E1D" wp14:editId="212B4E12">
                      <wp:extent cx="252095" cy="252095"/>
                      <wp:effectExtent l="9525" t="9525" r="5080" b="508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A5C9F5" w14:textId="77777777" w:rsidR="00BD2DE2" w:rsidRDefault="00BD2DE2" w:rsidP="00B83354">
                                  <w:pPr>
                                    <w:spacing w:after="0"/>
                                    <w:jc w:val="center"/>
                                    <w:rPr>
                                      <w:b/>
                                      <w:bCs/>
                                      <w:color w:val="FFFFFF" w:themeColor="background1"/>
                                      <w:spacing w:val="6"/>
                                      <w:sz w:val="12"/>
                                      <w:szCs w:val="12"/>
                                      <w:lang w:val="en-US"/>
                                    </w:rPr>
                                  </w:pPr>
                                  <w:r>
                                    <w:rPr>
                                      <w:b/>
                                      <w:bCs/>
                                      <w:color w:val="FFFFFF" w:themeColor="background1"/>
                                      <w:spacing w:val="6"/>
                                      <w:sz w:val="12"/>
                                      <w:szCs w:val="12"/>
                                      <w:lang w:val="en-US"/>
                                    </w:rPr>
                                    <w:t>InD</w:t>
                                  </w:r>
                                </w:p>
                              </w:txbxContent>
                            </wps:txbx>
                            <wps:bodyPr rot="0" vert="horz" wrap="square" lIns="0" tIns="0" rIns="0" bIns="0" anchor="ctr" anchorCtr="0" upright="1">
                              <a:noAutofit/>
                            </wps:bodyPr>
                          </wps:wsp>
                        </a:graphicData>
                      </a:graphic>
                    </wp:inline>
                  </w:drawing>
                </mc:Choice>
                <mc:Fallback>
                  <w:pict>
                    <v:oval w14:anchorId="31F50E1D" id="Oval 67" o:spid="_x0000_s1046"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" fillcolor="#4472c4" stroked="f" strokeweight="1pt">
                      <v:stroke joinstyle="miter"/>
                      <v:textbox inset="0,0,0,0">
                        <w:txbxContent>
                          <w:p w14:paraId="62A5C9F5" w14:textId="77777777" w:rsidR="00BD2DE2" w:rsidRDefault="00BD2DE2" w:rsidP="00B83354">
                            <w:pPr>
                              <w:spacing w:after="0"/>
                              <w:jc w:val="center"/>
                              <w:rPr>
                                <w:b/>
                                <w:bCs/>
                                <w:color w:val="FFFFFF" w:themeColor="background1"/>
                                <w:spacing w:val="6"/>
                                <w:sz w:val="12"/>
                                <w:szCs w:val="12"/>
                                <w:lang w:val="en-US"/>
                              </w:rPr>
                            </w:pPr>
                            <w:r>
                              <w:rPr>
                                <w:b/>
                                <w:bCs/>
                                <w:color w:val="FFFFFF" w:themeColor="background1"/>
                                <w:spacing w:val="6"/>
                                <w:sz w:val="12"/>
                                <w:szCs w:val="12"/>
                                <w:lang w:val="en-US"/>
                              </w:rPr>
                              <w:t>InD</w:t>
                            </w:r>
                          </w:p>
                        </w:txbxContent>
                      </v:textbox>
                      <w10:anchorlock/>
                    </v:oval>
                  </w:pict>
                </mc:Fallback>
              </mc:AlternateContent>
            </w:r>
          </w:p>
        </w:tc>
      </w:tr>
    </w:tbl>
    <w:p w14:paraId="264EA7F1" w14:textId="77777777" w:rsidR="00B83354" w:rsidRPr="00B142C3" w:rsidRDefault="00B83354" w:rsidP="00B83354">
      <w:pPr>
        <w:ind w:firstLine="720"/>
        <w:jc w:val="both"/>
        <w:rPr>
          <w:rFonts w:cs="Times New Roman"/>
          <w:iCs/>
        </w:rPr>
      </w:pPr>
      <w:proofErr w:type="gramStart"/>
      <w:r w:rsidRPr="00B142C3">
        <w:rPr>
          <w:rFonts w:cs="Times New Roman"/>
          <w:iCs/>
        </w:rPr>
        <w:t>In order to</w:t>
      </w:r>
      <w:proofErr w:type="gramEnd"/>
      <w:r w:rsidRPr="00B142C3">
        <w:rPr>
          <w:rFonts w:cs="Times New Roman"/>
          <w:iCs/>
        </w:rPr>
        <w:t xml:space="preserve"> quantify decision uncertainty, models (that combine clinical with cost effectiveness) are likely to be used. Models are also used in cases of indirectness, differences in population, outcomes, </w:t>
      </w:r>
      <w:r w:rsidRPr="00B142C3">
        <w:rPr>
          <w:rFonts w:cs="Times New Roman"/>
          <w:iCs/>
        </w:rPr>
        <w:lastRenderedPageBreak/>
        <w:t xml:space="preserve">or comparators regarding the evidence available. In most technology appraisals, models are preferred </w:t>
      </w:r>
      <w:proofErr w:type="gramStart"/>
      <w:r w:rsidRPr="00B142C3">
        <w:rPr>
          <w:rFonts w:cs="Times New Roman"/>
          <w:iCs/>
        </w:rPr>
        <w:t>in order to</w:t>
      </w:r>
      <w:proofErr w:type="gramEnd"/>
      <w:r w:rsidRPr="00B142C3">
        <w:rPr>
          <w:rFonts w:cs="Times New Roman"/>
          <w:iCs/>
        </w:rPr>
        <w:t xml:space="preserve"> project health benefit and cost effectiveness in the long-term. As a result, uncertainty associated with models and their input data is described extensively in the guidelines of NICE. </w:t>
      </w:r>
    </w:p>
    <w:p w14:paraId="328D8984" w14:textId="77777777" w:rsidR="00B83354" w:rsidRPr="00B142C3" w:rsidRDefault="00B83354" w:rsidP="00B83354">
      <w:pPr>
        <w:ind w:firstLine="720"/>
        <w:jc w:val="both"/>
        <w:rPr>
          <w:rFonts w:cs="Times New Roman"/>
          <w:iCs/>
        </w:rPr>
      </w:pPr>
      <w:r w:rsidRPr="00B142C3">
        <w:rPr>
          <w:rFonts w:cs="Times New Roman"/>
          <w:iCs/>
        </w:rPr>
        <w:t xml:space="preserve">If there is high uncertainty about the clinical and/or cost effectiveness of a new intervention, NICE may make an ‘only in research’ recommendation </w:t>
      </w:r>
      <w:r>
        <w:rPr>
          <w:rFonts w:cs="Times New Roman"/>
          <w:iCs/>
        </w:rPr>
        <w:t>in favour of</w:t>
      </w:r>
      <w:r w:rsidRPr="00B142C3">
        <w:rPr>
          <w:rFonts w:cs="Times New Roman"/>
          <w:iCs/>
        </w:rPr>
        <w:t xml:space="preserve"> the generation of additional evidence </w:t>
      </w:r>
      <w:sdt>
        <w:sdtPr>
          <w:rPr>
            <w:rFonts w:cs="Times New Roman"/>
            <w:iCs/>
            <w:color w:val="000000"/>
          </w:rPr>
          <w:tag w:val="MENDELEY_CITATION_bd9e7fc7-a3c1-4c40-ad29-c02f4cd624c5"/>
          <w:id w:val="-1310868390"/>
          <w:placeholder>
            <w:docPart w:val="D69E3F54B41547D8A6353695082F624A"/>
          </w:placeholder>
        </w:sdtPr>
        <w:sdtEndPr/>
        <w:sdtContent>
          <w:r w:rsidRPr="00B142C3">
            <w:rPr>
              <w:rFonts w:cs="Times New Roman"/>
              <w:iCs/>
              <w:color w:val="000000"/>
            </w:rPr>
            <w:t>(33)</w:t>
          </w:r>
        </w:sdtContent>
      </w:sdt>
      <w:r w:rsidRPr="00B142C3">
        <w:rPr>
          <w:rFonts w:cs="Times New Roman"/>
          <w:iCs/>
          <w:color w:val="000000"/>
        </w:rPr>
        <w:t xml:space="preserve">. As shown in one of the assessments included in the study </w:t>
      </w:r>
      <w:sdt>
        <w:sdtPr>
          <w:rPr>
            <w:rFonts w:cs="Times New Roman"/>
            <w:iCs/>
            <w:color w:val="000000"/>
          </w:rPr>
          <w:tag w:val="MENDELEY_CITATION_d60ce173-2cfa-479c-b6b3-a60764c5a1d2"/>
          <w:id w:val="337352664"/>
          <w:placeholder>
            <w:docPart w:val="D69E3F54B41547D8A6353695082F624A"/>
          </w:placeholder>
        </w:sdtPr>
        <w:sdtEndPr/>
        <w:sdtContent>
          <w:r w:rsidRPr="00B142C3">
            <w:rPr>
              <w:rFonts w:cs="Times New Roman"/>
              <w:iCs/>
              <w:color w:val="000000"/>
            </w:rPr>
            <w:t>(31)</w:t>
          </w:r>
        </w:sdtContent>
      </w:sdt>
      <w:r w:rsidRPr="00B142C3">
        <w:rPr>
          <w:rFonts w:cs="Times New Roman"/>
          <w:iCs/>
          <w:color w:val="000000"/>
        </w:rPr>
        <w:t>, even an assessment that leads to a ‘Recommended’ outcome may include ‘Recommendations for research’ where more valuable clinical evidence could be generated.</w:t>
      </w:r>
    </w:p>
    <w:p w14:paraId="7AE152EF" w14:textId="77777777" w:rsidR="00B83354" w:rsidRPr="00B142C3" w:rsidRDefault="00B83354" w:rsidP="00B83354">
      <w:pPr>
        <w:ind w:firstLine="720"/>
        <w:jc w:val="both"/>
        <w:rPr>
          <w:rFonts w:cs="Times New Roman"/>
          <w:iCs/>
        </w:rPr>
      </w:pPr>
      <w:r w:rsidRPr="00B142C3">
        <w:rPr>
          <w:rFonts w:cs="Times New Roman"/>
          <w:iCs/>
        </w:rPr>
        <w:t>It is worth noting that NICE employs a different approach for their ‘guidelines’ processes</w:t>
      </w:r>
      <w:r w:rsidRPr="00B142C3">
        <w:rPr>
          <w:rFonts w:cs="Times New Roman"/>
          <w:iCs/>
          <w:vertAlign w:val="superscript"/>
        </w:rPr>
        <w:footnoteReference w:id="7"/>
      </w:r>
      <w:r w:rsidRPr="00B142C3">
        <w:rPr>
          <w:rFonts w:cs="Times New Roman"/>
          <w:iCs/>
        </w:rPr>
        <w:t xml:space="preserve"> </w:t>
      </w:r>
      <w:sdt>
        <w:sdtPr>
          <w:rPr>
            <w:rFonts w:cs="Times New Roman"/>
            <w:iCs/>
            <w:color w:val="000000"/>
          </w:rPr>
          <w:tag w:val="MENDELEY_CITATION_ac326078-8fe4-476e-a6e2-d87d8e732d5d"/>
          <w:id w:val="1145860373"/>
          <w:placeholder>
            <w:docPart w:val="BF5B30E37A6049518E36AA5EEA13A782"/>
          </w:placeholder>
        </w:sdtPr>
        <w:sdtEndPr/>
        <w:sdtContent>
          <w:r w:rsidRPr="00B142C3">
            <w:rPr>
              <w:rFonts w:cs="Times New Roman"/>
              <w:iCs/>
              <w:color w:val="000000"/>
            </w:rPr>
            <w:t>(34)</w:t>
          </w:r>
        </w:sdtContent>
      </w:sdt>
      <w:r w:rsidRPr="00B142C3">
        <w:rPr>
          <w:rFonts w:cs="Times New Roman"/>
          <w:iCs/>
          <w:color w:val="000000"/>
        </w:rPr>
        <w:t>.</w:t>
      </w:r>
      <w:r w:rsidRPr="00B142C3">
        <w:rPr>
          <w:rFonts w:cs="Times New Roman"/>
          <w:iCs/>
        </w:rPr>
        <w:t xml:space="preserve"> First, they classify studies based on their study design and complete ‘methodology checklists’ </w:t>
      </w:r>
      <w:r w:rsidRPr="00B142C3">
        <w:rPr>
          <w:rFonts w:cs="Times New Roman"/>
          <w:iCs/>
          <w:color w:val="000000"/>
        </w:rPr>
        <w:t xml:space="preserve">assessing qualitative aspects of studies based on their design (different checklists for systematic reviews and meta-analyses, RCTs, cohort studies, case control studies </w:t>
      </w:r>
      <w:sdt>
        <w:sdtPr>
          <w:rPr>
            <w:rFonts w:cs="Times New Roman"/>
            <w:iCs/>
            <w:color w:val="000000"/>
          </w:rPr>
          <w:tag w:val="MENDELEY_CITATION_3c3e8e08-af65-4b10-9d35-aeafb0cbcef0"/>
          <w:id w:val="436035332"/>
          <w:placeholder>
            <w:docPart w:val="D69E3F54B41547D8A6353695082F624A"/>
          </w:placeholder>
        </w:sdtPr>
        <w:sdtEndPr/>
        <w:sdtContent>
          <w:r w:rsidRPr="00B142C3">
            <w:rPr>
              <w:rFonts w:cs="Times New Roman"/>
              <w:iCs/>
              <w:color w:val="000000"/>
            </w:rPr>
            <w:t>(35)</w:t>
          </w:r>
        </w:sdtContent>
      </w:sdt>
      <w:r w:rsidRPr="00B142C3">
        <w:rPr>
          <w:rFonts w:cs="Times New Roman"/>
          <w:iCs/>
          <w:color w:val="000000"/>
        </w:rPr>
        <w:t xml:space="preserve">). The domains identified in the checklists are risk of bias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selection bias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 xml:space="preserve">), performance bias, attrition bias. Therefore, data from non-randomised studies may be required to supplement RCT data. Observational data are associated with higher uncertainty, as is explicitly stated. </w:t>
      </w:r>
    </w:p>
    <w:p w14:paraId="31378DB1" w14:textId="77777777" w:rsidR="00B83354" w:rsidRPr="00B142C3" w:rsidRDefault="00B83354" w:rsidP="00B83354">
      <w:pPr>
        <w:ind w:firstLine="720"/>
        <w:jc w:val="both"/>
        <w:rPr>
          <w:rFonts w:cs="Times New Roman"/>
          <w:iCs/>
        </w:rPr>
      </w:pPr>
      <w:r w:rsidRPr="00B142C3">
        <w:rPr>
          <w:rFonts w:cs="Times New Roman"/>
          <w:iCs/>
        </w:rPr>
        <w:t xml:space="preserve">Evidence </w:t>
      </w:r>
      <w:proofErr w:type="gramStart"/>
      <w:r w:rsidRPr="00B142C3">
        <w:rPr>
          <w:rFonts w:cs="Times New Roman"/>
          <w:iCs/>
        </w:rPr>
        <w:t>are</w:t>
      </w:r>
      <w:proofErr w:type="gramEnd"/>
      <w:r w:rsidRPr="00B142C3">
        <w:rPr>
          <w:rFonts w:cs="Times New Roman"/>
          <w:iCs/>
        </w:rPr>
        <w:t xml:space="preserve"> summarized in GRADE evidence profiles. These tables include the certainty of evidence rating labels implemented by GRADE</w:t>
      </w:r>
      <w:r w:rsidRPr="00B142C3">
        <w:rPr>
          <w:rFonts w:cs="Times New Roman"/>
          <w:iCs/>
          <w:vertAlign w:val="superscript"/>
        </w:rPr>
        <w:footnoteReference w:id="8"/>
      </w:r>
      <w:r w:rsidRPr="00B142C3">
        <w:rPr>
          <w:rFonts w:cs="Times New Roman"/>
          <w:iCs/>
        </w:rPr>
        <w:t>. In the absence of such tables, estimates of clinical effectiveness and the confidence in them are presented in narrative ‘evidence statements’ with predefined structure and included terminology</w:t>
      </w:r>
      <w:r w:rsidRPr="00B142C3">
        <w:rPr>
          <w:rFonts w:cs="Times New Roman"/>
          <w:iCs/>
          <w:vertAlign w:val="superscript"/>
        </w:rPr>
        <w:footnoteReference w:id="9"/>
      </w:r>
      <w:r w:rsidRPr="00B142C3">
        <w:rPr>
          <w:rFonts w:cs="Times New Roman"/>
          <w:iCs/>
        </w:rPr>
        <w:t>. Since NICE endorses GRADE</w:t>
      </w:r>
      <w:r>
        <w:rPr>
          <w:rFonts w:cs="Times New Roman"/>
          <w:iCs/>
        </w:rPr>
        <w:t xml:space="preserve"> for this process</w:t>
      </w:r>
      <w:r w:rsidRPr="00B142C3">
        <w:rPr>
          <w:rFonts w:cs="Times New Roman"/>
          <w:iCs/>
        </w:rPr>
        <w:t xml:space="preserve">, they also make clear that the quality of a study may vary depending on the outcome considered. As they state however </w:t>
      </w:r>
      <w:sdt>
        <w:sdtPr>
          <w:rPr>
            <w:rFonts w:cs="Times New Roman"/>
            <w:iCs/>
            <w:color w:val="000000"/>
          </w:rPr>
          <w:tag w:val="MENDELEY_CITATION_15baef91-e472-4b53-a972-980db93a4e11"/>
          <w:id w:val="-224223070"/>
          <w:placeholder>
            <w:docPart w:val="D69E3F54B41547D8A6353695082F624A"/>
          </w:placeholder>
        </w:sdtPr>
        <w:sdtEndPr/>
        <w:sdtContent>
          <w:r w:rsidRPr="00B142C3">
            <w:rPr>
              <w:rFonts w:cs="Times New Roman"/>
              <w:iCs/>
              <w:color w:val="000000"/>
            </w:rPr>
            <w:t>(34)</w:t>
          </w:r>
        </w:sdtContent>
      </w:sdt>
      <w:r w:rsidRPr="00B142C3">
        <w:rPr>
          <w:rFonts w:cs="Times New Roman"/>
          <w:iCs/>
          <w:color w:val="000000"/>
        </w:rPr>
        <w:t>, they do not use an ordinal scale (or ‘labels’) for rating quality of evidence across all outcomes but instead express it by using the appropriate wording in their recommendations</w:t>
      </w:r>
      <w:r w:rsidRPr="00B142C3">
        <w:rPr>
          <w:rFonts w:cs="Times New Roman"/>
          <w:iCs/>
        </w:rPr>
        <w:t xml:space="preserve">. Another deviation, apart from not using the GRADE scale, is that of the inclusion of a review of cost effectiveness studies, to produce ‘economic evidence </w:t>
      </w:r>
      <w:proofErr w:type="gramStart"/>
      <w:r w:rsidRPr="00B142C3">
        <w:rPr>
          <w:rFonts w:cs="Times New Roman"/>
          <w:iCs/>
        </w:rPr>
        <w:t>profiles’</w:t>
      </w:r>
      <w:proofErr w:type="gramEnd"/>
      <w:r w:rsidRPr="00B142C3">
        <w:rPr>
          <w:rFonts w:cs="Times New Roman"/>
          <w:iCs/>
        </w:rPr>
        <w:t>.</w:t>
      </w:r>
    </w:p>
    <w:p w14:paraId="78A22476" w14:textId="77777777" w:rsidR="000E77E8" w:rsidRDefault="000E77E8">
      <w:pPr>
        <w:spacing w:line="259" w:lineRule="auto"/>
        <w:rPr>
          <w:rFonts w:eastAsiaTheme="majorEastAsia" w:cstheme="majorBidi"/>
          <w:i/>
          <w:color w:val="000000" w:themeColor="text1"/>
          <w:szCs w:val="24"/>
          <w:lang w:val="en-US"/>
        </w:rPr>
      </w:pPr>
      <w:r>
        <w:rPr>
          <w:lang w:val="en-US"/>
        </w:rPr>
        <w:br w:type="page"/>
      </w:r>
    </w:p>
    <w:p w14:paraId="3B43844F" w14:textId="5F6D2144" w:rsidR="00B83354" w:rsidRPr="00B142C3" w:rsidRDefault="00B83354" w:rsidP="00B83354">
      <w:pPr>
        <w:pStyle w:val="Heading3"/>
        <w:rPr>
          <w:lang w:val="en-US"/>
        </w:rPr>
      </w:pPr>
      <w:r w:rsidRPr="00B142C3">
        <w:rPr>
          <w:lang w:val="en-US"/>
        </w:rPr>
        <w:lastRenderedPageBreak/>
        <w:t>V. ZIN</w:t>
      </w:r>
    </w:p>
    <w:tbl>
      <w:tblPr>
        <w:tblStyle w:val="TableGrid"/>
        <w:tblW w:w="0" w:type="auto"/>
        <w:tblLook w:val="04A0" w:firstRow="1" w:lastRow="0" w:firstColumn="1" w:lastColumn="0" w:noHBand="0" w:noVBand="1"/>
      </w:tblPr>
      <w:tblGrid>
        <w:gridCol w:w="9062"/>
      </w:tblGrid>
      <w:tr w:rsidR="00B83354" w:rsidRPr="00B142C3" w14:paraId="3D8AB7E6" w14:textId="77777777" w:rsidTr="00BD2DE2">
        <w:tc>
          <w:tcPr>
            <w:tcW w:w="9016" w:type="dxa"/>
          </w:tcPr>
          <w:p w14:paraId="2837AFB4" w14:textId="77777777" w:rsidR="00B83354" w:rsidRPr="00B142C3" w:rsidRDefault="00B83354" w:rsidP="00BD2DE2">
            <w:pPr>
              <w:jc w:val="both"/>
              <w:rPr>
                <w:rFonts w:cs="Times New Roman"/>
                <w:b/>
                <w:bCs/>
                <w:iCs/>
              </w:rPr>
            </w:pPr>
            <w:r w:rsidRPr="00B142C3">
              <w:rPr>
                <w:rFonts w:cs="Times New Roman"/>
                <w:b/>
                <w:bCs/>
                <w:iCs/>
              </w:rPr>
              <w:t>ZIN guidelines included:</w:t>
            </w:r>
          </w:p>
          <w:p w14:paraId="7B5C6088" w14:textId="77777777" w:rsidR="00B83354" w:rsidRPr="00B142C3" w:rsidRDefault="00B83354" w:rsidP="00BD2DE2">
            <w:pPr>
              <w:numPr>
                <w:ilvl w:val="0"/>
                <w:numId w:val="5"/>
              </w:numPr>
              <w:spacing w:line="240" w:lineRule="auto"/>
              <w:contextualSpacing/>
              <w:rPr>
                <w:rFonts w:eastAsia="Times New Roman" w:cs="Times New Roman"/>
              </w:rPr>
            </w:pPr>
            <w:proofErr w:type="spellStart"/>
            <w:r w:rsidRPr="00B142C3">
              <w:rPr>
                <w:rFonts w:eastAsia="Times New Roman" w:cs="Times New Roman"/>
              </w:rPr>
              <w:t>Zorginstituut</w:t>
            </w:r>
            <w:proofErr w:type="spellEnd"/>
            <w:r w:rsidRPr="00B142C3">
              <w:rPr>
                <w:rFonts w:eastAsia="Times New Roman" w:cs="Times New Roman"/>
              </w:rPr>
              <w:t xml:space="preserve"> Nederland (ZIN), “Package advice in practice,” Diemen (The Netherlands), 2017. [Online]. Available: https://english.zorginstituutnederland.nl/binaries/zinl-eng/documents/reports/2018/09/05/package-advice-in-practice---deliberations-for-arriving-at-a-fair-package/Package+advice+in+practice+-+Deliberations+for+arriving+at+a+fair+package.pdf.</w:t>
            </w:r>
          </w:p>
          <w:p w14:paraId="21F040F0" w14:textId="77777777" w:rsidR="00B83354" w:rsidRPr="00B142C3" w:rsidRDefault="00B83354" w:rsidP="00BD2DE2">
            <w:pPr>
              <w:numPr>
                <w:ilvl w:val="0"/>
                <w:numId w:val="5"/>
              </w:numPr>
              <w:spacing w:line="240" w:lineRule="auto"/>
              <w:contextualSpacing/>
              <w:rPr>
                <w:rFonts w:eastAsia="Times New Roman" w:cs="Times New Roman"/>
                <w:lang w:val="nl-NL"/>
              </w:rPr>
            </w:pPr>
            <w:r w:rsidRPr="00B142C3">
              <w:rPr>
                <w:rFonts w:eastAsia="Times New Roman" w:cs="Times New Roman"/>
                <w:lang w:val="nl-NL"/>
              </w:rPr>
              <w:t>M. Offringa, W. J. J. Assendelft, and R. J. P. M. Scholten, “Kritisch beoordelen van een artikel,” in Inleiding in evidence-based medicine, Bohn Stafleu van Loghum, onderdeel van Springer Uitgeverij, 2008, pp. 54–142.</w:t>
            </w:r>
          </w:p>
          <w:p w14:paraId="18F7F0A9" w14:textId="77777777" w:rsidR="00B83354" w:rsidRPr="00B142C3" w:rsidRDefault="00B83354" w:rsidP="00BD2DE2">
            <w:pPr>
              <w:numPr>
                <w:ilvl w:val="0"/>
                <w:numId w:val="5"/>
              </w:numPr>
              <w:spacing w:line="240" w:lineRule="auto"/>
              <w:contextualSpacing/>
              <w:rPr>
                <w:rFonts w:eastAsia="Times New Roman" w:cs="Times New Roman"/>
              </w:rPr>
            </w:pPr>
            <w:proofErr w:type="spellStart"/>
            <w:r w:rsidRPr="00B142C3">
              <w:rPr>
                <w:rFonts w:eastAsia="Times New Roman" w:cs="Times New Roman"/>
              </w:rPr>
              <w:t>Zorginstituut</w:t>
            </w:r>
            <w:proofErr w:type="spellEnd"/>
            <w:r w:rsidRPr="00B142C3">
              <w:rPr>
                <w:rFonts w:eastAsia="Times New Roman" w:cs="Times New Roman"/>
              </w:rPr>
              <w:t xml:space="preserve"> Nederland (ZIN), “Assessment of ‘established medical science and medical practice’ (English summary),” Diemen (The Netherlands), 2015. [Online]. Available: https://english.zorginstituutnederland.nl/binaries/zinl-eng/documents/reports/2015/01/19/assessment-of-established-medical-science-and-medical-practice/Assessment+of+established+medical+science+and+medical+practice.pdf.</w:t>
            </w:r>
          </w:p>
          <w:p w14:paraId="7AD84315" w14:textId="77777777" w:rsidR="00B83354" w:rsidRPr="00B142C3" w:rsidRDefault="00B83354" w:rsidP="00BD2DE2">
            <w:pPr>
              <w:numPr>
                <w:ilvl w:val="0"/>
                <w:numId w:val="5"/>
              </w:numPr>
              <w:spacing w:line="240" w:lineRule="auto"/>
              <w:contextualSpacing/>
              <w:rPr>
                <w:rFonts w:cs="Times New Roman"/>
                <w:iCs/>
                <w:lang w:val="nl-NL"/>
              </w:rPr>
            </w:pPr>
            <w:r w:rsidRPr="00B142C3">
              <w:rPr>
                <w:rFonts w:eastAsia="Times New Roman" w:cs="Times New Roman"/>
                <w:lang w:val="nl-NL"/>
              </w:rPr>
              <w:t>Zorginstituut Nederland (ZIN), “Beoordeling stand van de wetenschap en praktijk,” Diemen, 2015. [Online]. Available: https://www.zorginstituutnederland.nl/binaries/zinl/documenten/rapport/2015/01/15/beoordeling-stand-van-de-wetenschap-en-praktijk/Beoordeling+stand+van+de+wetenschap+en+praktijk.pdf.</w:t>
            </w:r>
            <w:r w:rsidRPr="00B142C3">
              <w:rPr>
                <w:rFonts w:eastAsia="Times New Roman"/>
                <w:lang w:val="nl-NL"/>
              </w:rPr>
              <w:t>ZIN, “Criteria voor beoordeling therapeutische waarde,” 2014.</w:t>
            </w:r>
          </w:p>
          <w:p w14:paraId="5592659A" w14:textId="77777777" w:rsidR="00B83354" w:rsidRPr="00B142C3" w:rsidRDefault="00B83354" w:rsidP="00BD2DE2">
            <w:pPr>
              <w:numPr>
                <w:ilvl w:val="0"/>
                <w:numId w:val="5"/>
              </w:numPr>
              <w:spacing w:line="240" w:lineRule="auto"/>
              <w:contextualSpacing/>
              <w:rPr>
                <w:rFonts w:cs="Times New Roman"/>
                <w:iCs/>
              </w:rPr>
            </w:pPr>
            <w:r w:rsidRPr="00B142C3">
              <w:rPr>
                <w:rFonts w:cs="Times New Roman"/>
                <w:iCs/>
                <w:lang w:val="nl-NL"/>
              </w:rPr>
              <w:t xml:space="preserve">Zorginstituut Nederland (ZIN), “Criteria voor beoordeling therapeutische waarde,” Diemen (The Netherlands), 2014. </w:t>
            </w:r>
            <w:r w:rsidRPr="00B142C3">
              <w:rPr>
                <w:rFonts w:cs="Times New Roman"/>
                <w:iCs/>
              </w:rPr>
              <w:t>[Online]. Available: https://www.zorginstituutnederland.nl/binaries/zinl/documenten/publicatie/2014/07/01/criteria-voor-beoordeling-therapeutische-waarde/Criteria+voor+beoordeling+therapeutische+waarde.pdf.</w:t>
            </w:r>
          </w:p>
          <w:p w14:paraId="6C50B137" w14:textId="77777777" w:rsidR="00B83354" w:rsidRPr="00B142C3" w:rsidRDefault="00B83354" w:rsidP="00BD2DE2">
            <w:pPr>
              <w:numPr>
                <w:ilvl w:val="0"/>
                <w:numId w:val="5"/>
              </w:numPr>
              <w:spacing w:line="240" w:lineRule="auto"/>
              <w:contextualSpacing/>
              <w:rPr>
                <w:rFonts w:cs="Times New Roman"/>
                <w:b/>
                <w:bCs/>
                <w:iCs/>
              </w:rPr>
            </w:pPr>
            <w:r w:rsidRPr="00B142C3">
              <w:rPr>
                <w:rFonts w:cs="Times New Roman"/>
                <w:iCs/>
                <w:lang w:val="nl-NL"/>
              </w:rPr>
              <w:t xml:space="preserve">J. de Boer and P. Pasman, “Procedure beoordeling extramurale geneesmiddelen,” Diemen (The Netherlands), 2018. </w:t>
            </w:r>
            <w:r w:rsidRPr="00B142C3">
              <w:rPr>
                <w:rFonts w:cs="Times New Roman"/>
                <w:iCs/>
              </w:rPr>
              <w:t>[Online]. Available: https://www.zorginstituutnederland.nl/binaries/zinl/documenten/rapport/2016/09/09/procedure-beoordeling-extramurale-geneesmiddelen/Procedure+beoordeling+extramurale+geneesmiddelen+%28GVS%29+versie+november+2018.pdf.</w:t>
            </w:r>
          </w:p>
          <w:p w14:paraId="6EAB76E0" w14:textId="77777777" w:rsidR="00B83354" w:rsidRPr="00B142C3" w:rsidRDefault="00B83354" w:rsidP="00BD2DE2">
            <w:pPr>
              <w:rPr>
                <w:rFonts w:cs="Times New Roman"/>
                <w:b/>
                <w:bCs/>
                <w:iCs/>
              </w:rPr>
            </w:pPr>
            <w:r w:rsidRPr="00B142C3">
              <w:rPr>
                <w:rFonts w:cs="Times New Roman"/>
                <w:b/>
                <w:bCs/>
                <w:iCs/>
              </w:rPr>
              <w:t>ZIN assessments included:</w:t>
            </w:r>
          </w:p>
          <w:p w14:paraId="42FC5ECB" w14:textId="77777777" w:rsidR="00B83354" w:rsidRPr="00B142C3" w:rsidRDefault="00B83354" w:rsidP="00BD2DE2">
            <w:pPr>
              <w:rPr>
                <w:rFonts w:cs="Times New Roman"/>
                <w:i/>
              </w:rPr>
            </w:pPr>
            <w:r w:rsidRPr="00B142C3">
              <w:rPr>
                <w:rFonts w:cs="Times New Roman"/>
                <w:i/>
              </w:rPr>
              <w:t>Last three relative effectiveness assessments that at the time of retrieval (13/04/2020) included a part of them translated in English.</w:t>
            </w:r>
          </w:p>
          <w:p w14:paraId="66CD6F7B" w14:textId="77777777" w:rsidR="00B83354" w:rsidRPr="00B142C3" w:rsidRDefault="00B83354" w:rsidP="00BD2DE2">
            <w:pPr>
              <w:numPr>
                <w:ilvl w:val="0"/>
                <w:numId w:val="8"/>
              </w:numPr>
              <w:spacing w:line="240" w:lineRule="auto"/>
              <w:contextualSpacing/>
              <w:rPr>
                <w:rFonts w:cs="Times New Roman"/>
                <w:iCs/>
                <w:lang w:val="nl-NL"/>
              </w:rPr>
            </w:pPr>
            <w:r w:rsidRPr="00B142C3">
              <w:rPr>
                <w:rFonts w:cs="Times New Roman"/>
                <w:iCs/>
                <w:lang w:val="nl-NL"/>
              </w:rPr>
              <w:t>Zorginstituut Nederland (ZIN), Farmacotherapeutisch rapport voretigene neparvovec (Luxturna®) bij de behandeling van visusverlies door erfelijke retinale dystrofie met bi-allelische RPE65-mutaties. Diemen (The Netherlands), 2019.</w:t>
            </w:r>
          </w:p>
          <w:p w14:paraId="723AA470" w14:textId="77777777" w:rsidR="00B83354" w:rsidRPr="00B142C3" w:rsidRDefault="00B83354" w:rsidP="00BD2DE2">
            <w:pPr>
              <w:numPr>
                <w:ilvl w:val="0"/>
                <w:numId w:val="8"/>
              </w:numPr>
              <w:spacing w:line="240" w:lineRule="auto"/>
              <w:contextualSpacing/>
              <w:rPr>
                <w:rFonts w:cs="Times New Roman"/>
                <w:iCs/>
              </w:rPr>
            </w:pPr>
            <w:r w:rsidRPr="00B142C3">
              <w:rPr>
                <w:rFonts w:cs="Times New Roman"/>
                <w:iCs/>
                <w:lang w:val="nl-NL"/>
              </w:rPr>
              <w:t xml:space="preserve">Zorginstituut Nederland (ZIN), “Package advice voretigene neparvovec (Luxturna®),” Diemen (The Netherlands), 2020. </w:t>
            </w:r>
            <w:r w:rsidRPr="00B142C3">
              <w:rPr>
                <w:rFonts w:cs="Times New Roman"/>
                <w:iCs/>
              </w:rPr>
              <w:t>[Online]. Available: https://english.zorginstituutnederland.nl/binaries/zinl-eng/documents/reports/2020/02/17/voretigene-neparvovec-luxturna/Voretigene+neparvovec+%28Luxturna®%29+package+advice.pdf.</w:t>
            </w:r>
          </w:p>
          <w:p w14:paraId="4EC345F6" w14:textId="77777777" w:rsidR="00B83354" w:rsidRPr="00B142C3" w:rsidRDefault="00B83354" w:rsidP="00BD2DE2">
            <w:pPr>
              <w:numPr>
                <w:ilvl w:val="0"/>
                <w:numId w:val="8"/>
              </w:numPr>
              <w:spacing w:line="240" w:lineRule="auto"/>
              <w:contextualSpacing/>
              <w:rPr>
                <w:rFonts w:cs="Times New Roman"/>
                <w:iCs/>
              </w:rPr>
            </w:pPr>
            <w:r w:rsidRPr="00B142C3">
              <w:rPr>
                <w:rFonts w:cs="Times New Roman"/>
                <w:iCs/>
                <w:lang w:val="nl-NL"/>
              </w:rPr>
              <w:t xml:space="preserve">Zorginstituut Nederland (ZIN), “Farmacotherapeutisch rapport emicizumab (Hemlibra®) als routineprofylaxe van bloedingen bij patiënten met ernstige hemofilie A zonder remmers tegen factor VIII,” Diemen (The Netherlands), 2019. </w:t>
            </w:r>
            <w:r w:rsidRPr="00B142C3">
              <w:rPr>
                <w:rFonts w:cs="Times New Roman"/>
                <w:iCs/>
              </w:rPr>
              <w:t>[Online]. Available: https://www.zorginstituutnederland.nl/binaries/zinl/documenten/adviezen/2020/02/17/pakketadvies-emicizumab-hemlibra/Pakketadvies+emicizumab+%28Hemlibra®%29.pdf.</w:t>
            </w:r>
          </w:p>
          <w:p w14:paraId="345FD026" w14:textId="77777777" w:rsidR="00B83354" w:rsidRPr="00B142C3" w:rsidRDefault="00B83354" w:rsidP="00BD2DE2">
            <w:pPr>
              <w:numPr>
                <w:ilvl w:val="0"/>
                <w:numId w:val="8"/>
              </w:numPr>
              <w:spacing w:line="240" w:lineRule="auto"/>
              <w:contextualSpacing/>
              <w:rPr>
                <w:rFonts w:cs="Times New Roman"/>
                <w:iCs/>
              </w:rPr>
            </w:pPr>
            <w:proofErr w:type="spellStart"/>
            <w:r w:rsidRPr="00B142C3">
              <w:rPr>
                <w:rFonts w:cs="Times New Roman"/>
                <w:iCs/>
              </w:rPr>
              <w:t>Zorginstituut</w:t>
            </w:r>
            <w:proofErr w:type="spellEnd"/>
            <w:r w:rsidRPr="00B142C3">
              <w:rPr>
                <w:rFonts w:cs="Times New Roman"/>
                <w:iCs/>
              </w:rPr>
              <w:t xml:space="preserve"> Nederland (ZIN), “Package advice </w:t>
            </w:r>
            <w:proofErr w:type="spellStart"/>
            <w:r w:rsidRPr="00B142C3">
              <w:rPr>
                <w:rFonts w:cs="Times New Roman"/>
                <w:iCs/>
              </w:rPr>
              <w:t>emicizumab</w:t>
            </w:r>
            <w:proofErr w:type="spellEnd"/>
            <w:r w:rsidRPr="00B142C3">
              <w:rPr>
                <w:rFonts w:cs="Times New Roman"/>
                <w:iCs/>
              </w:rPr>
              <w:t xml:space="preserve"> (</w:t>
            </w:r>
            <w:proofErr w:type="spellStart"/>
            <w:r w:rsidRPr="00B142C3">
              <w:rPr>
                <w:rFonts w:cs="Times New Roman"/>
                <w:iCs/>
              </w:rPr>
              <w:t>Hemlibra</w:t>
            </w:r>
            <w:proofErr w:type="spellEnd"/>
            <w:r w:rsidRPr="00B142C3">
              <w:rPr>
                <w:rFonts w:cs="Times New Roman"/>
                <w:iCs/>
              </w:rPr>
              <w:t xml:space="preserve"> ®),” Diemen (The Netherlands), 2020. [Online]. Available: https://english.zorginstituutnederland.nl/binaries/zinl-</w:t>
            </w:r>
            <w:r w:rsidRPr="00B142C3">
              <w:rPr>
                <w:rFonts w:cs="Times New Roman"/>
                <w:iCs/>
              </w:rPr>
              <w:lastRenderedPageBreak/>
              <w:t>eng/documents/reports/2020/02/17/emicizumab-hemlibra/Emicizumab+%28Hemlibra®%29+package+advice.pdf.</w:t>
            </w:r>
          </w:p>
          <w:p w14:paraId="5AC11D37" w14:textId="77777777" w:rsidR="00B83354" w:rsidRPr="00B142C3" w:rsidRDefault="00B83354" w:rsidP="00BD2DE2">
            <w:pPr>
              <w:numPr>
                <w:ilvl w:val="0"/>
                <w:numId w:val="8"/>
              </w:numPr>
              <w:spacing w:line="240" w:lineRule="auto"/>
              <w:contextualSpacing/>
              <w:rPr>
                <w:rFonts w:cs="Times New Roman"/>
                <w:b/>
                <w:bCs/>
                <w:iCs/>
              </w:rPr>
            </w:pPr>
            <w:proofErr w:type="spellStart"/>
            <w:r w:rsidRPr="00B142C3">
              <w:rPr>
                <w:rFonts w:cs="Times New Roman"/>
                <w:iCs/>
              </w:rPr>
              <w:t>Zorginstituut</w:t>
            </w:r>
            <w:proofErr w:type="spellEnd"/>
            <w:r w:rsidRPr="00B142C3">
              <w:rPr>
                <w:rFonts w:cs="Times New Roman"/>
                <w:iCs/>
              </w:rPr>
              <w:t xml:space="preserve"> Nederland (ZIN), “Relative effectiveness report </w:t>
            </w:r>
            <w:proofErr w:type="spellStart"/>
            <w:r w:rsidRPr="00B142C3">
              <w:rPr>
                <w:rFonts w:cs="Times New Roman"/>
                <w:iCs/>
              </w:rPr>
              <w:t>metreleptin</w:t>
            </w:r>
            <w:proofErr w:type="spellEnd"/>
            <w:r w:rsidRPr="00B142C3">
              <w:rPr>
                <w:rFonts w:cs="Times New Roman"/>
                <w:iCs/>
              </w:rPr>
              <w:t xml:space="preserve"> (</w:t>
            </w:r>
            <w:proofErr w:type="spellStart"/>
            <w:r w:rsidRPr="00B142C3">
              <w:rPr>
                <w:rFonts w:cs="Times New Roman"/>
                <w:iCs/>
              </w:rPr>
              <w:t>Myalepta</w:t>
            </w:r>
            <w:proofErr w:type="spellEnd"/>
            <w:r w:rsidRPr="00B142C3">
              <w:rPr>
                <w:rFonts w:cs="Times New Roman"/>
                <w:iCs/>
              </w:rPr>
              <w:t xml:space="preserve"> ®) for treatment of lipodystrophy,” Diemen (The Netherlands), 2019. [Online]. Available: https://english.zorginstituutnederland.nl/binaries/zinl-eng/documents/reports/2019/10/21/metreleptin-myalepta-for-treatment-of-lipodystrophy/Metreleptin+%28Myalepta®%29+for+treatment+of+lipodystrophy.pdf.</w:t>
            </w:r>
          </w:p>
        </w:tc>
      </w:tr>
    </w:tbl>
    <w:p w14:paraId="0DBDC222" w14:textId="77777777" w:rsidR="00B83354" w:rsidRPr="00B142C3" w:rsidRDefault="00B83354" w:rsidP="00B83354">
      <w:pPr>
        <w:ind w:firstLine="720"/>
        <w:jc w:val="both"/>
        <w:rPr>
          <w:rFonts w:cs="Times New Roman"/>
          <w:iCs/>
          <w:color w:val="000000"/>
          <w:lang w:val="en-US"/>
        </w:rPr>
      </w:pPr>
    </w:p>
    <w:p w14:paraId="43CD4215" w14:textId="77777777" w:rsidR="00B83354" w:rsidRPr="00B142C3" w:rsidRDefault="00B83354" w:rsidP="00B83354">
      <w:pPr>
        <w:ind w:firstLine="720"/>
        <w:jc w:val="both"/>
        <w:rPr>
          <w:rFonts w:cs="Times New Roman"/>
          <w:iCs/>
          <w:color w:val="000000"/>
          <w:lang w:val="en-US"/>
        </w:rPr>
      </w:pPr>
      <w:r w:rsidRPr="00B142C3">
        <w:rPr>
          <w:rFonts w:cs="Times New Roman"/>
          <w:iCs/>
          <w:color w:val="000000"/>
          <w:lang w:val="en-US"/>
        </w:rPr>
        <w:t xml:space="preserve">ZIN assessments cover four criteria </w:t>
      </w:r>
      <w:sdt>
        <w:sdtPr>
          <w:rPr>
            <w:rFonts w:cs="Times New Roman"/>
            <w:iCs/>
            <w:color w:val="000000"/>
            <w:lang w:val="en-US"/>
          </w:rPr>
          <w:tag w:val="MENDELEY_CITATION_4f8cbe23-93f4-46d5-81a8-18b630063417"/>
          <w:id w:val="-215734496"/>
          <w:placeholder>
            <w:docPart w:val="D69E3F54B41547D8A6353695082F624A"/>
          </w:placeholder>
        </w:sdtPr>
        <w:sdtEndPr/>
        <w:sdtContent>
          <w:r w:rsidRPr="00B142C3">
            <w:rPr>
              <w:rFonts w:cs="Times New Roman"/>
              <w:iCs/>
              <w:color w:val="000000"/>
              <w:lang w:val="en-US"/>
            </w:rPr>
            <w:t>(36)</w:t>
          </w:r>
        </w:sdtContent>
      </w:sdt>
      <w:r w:rsidRPr="00B142C3">
        <w:rPr>
          <w:rFonts w:cs="Times New Roman"/>
          <w:iCs/>
          <w:color w:val="000000"/>
          <w:lang w:val="en-US"/>
        </w:rPr>
        <w:t xml:space="preserve">: necessity, effectiveness, </w:t>
      </w:r>
      <w:proofErr w:type="gramStart"/>
      <w:r w:rsidRPr="00B142C3">
        <w:rPr>
          <w:rFonts w:cs="Times New Roman"/>
          <w:iCs/>
          <w:color w:val="000000"/>
          <w:lang w:val="en-US"/>
        </w:rPr>
        <w:t>cost-effectiveness</w:t>
      </w:r>
      <w:proofErr w:type="gramEnd"/>
      <w:r w:rsidRPr="00B142C3">
        <w:rPr>
          <w:rFonts w:cs="Times New Roman"/>
          <w:iCs/>
          <w:color w:val="000000"/>
          <w:lang w:val="en-US"/>
        </w:rPr>
        <w:t xml:space="preserve"> and feasibility. For the effectiveness step, which is of interest to this study, the Scientific Advisory Board (</w:t>
      </w:r>
      <w:r w:rsidRPr="00B142C3">
        <w:rPr>
          <w:rFonts w:cs="Times New Roman"/>
          <w:i/>
          <w:color w:val="000000"/>
          <w:lang w:val="en-US"/>
        </w:rPr>
        <w:t>NL:</w:t>
      </w:r>
      <w:r w:rsidRPr="00B142C3">
        <w:rPr>
          <w:rFonts w:cs="Times New Roman"/>
          <w:iCs/>
          <w:color w:val="000000"/>
          <w:lang w:val="en-US"/>
        </w:rPr>
        <w:t xml:space="preserve"> </w:t>
      </w:r>
      <w:proofErr w:type="spellStart"/>
      <w:r w:rsidRPr="001E2036">
        <w:rPr>
          <w:rFonts w:cs="Times New Roman"/>
          <w:i/>
          <w:color w:val="000000"/>
          <w:lang w:val="en-US"/>
        </w:rPr>
        <w:t>Wetenschappelijke</w:t>
      </w:r>
      <w:proofErr w:type="spellEnd"/>
      <w:r w:rsidRPr="001E2036">
        <w:rPr>
          <w:rFonts w:cs="Times New Roman"/>
          <w:i/>
          <w:color w:val="000000"/>
          <w:lang w:val="en-US"/>
        </w:rPr>
        <w:t xml:space="preserve"> </w:t>
      </w:r>
      <w:proofErr w:type="spellStart"/>
      <w:r w:rsidRPr="001E2036">
        <w:rPr>
          <w:rFonts w:cs="Times New Roman"/>
          <w:i/>
          <w:color w:val="000000"/>
          <w:lang w:val="en-US"/>
        </w:rPr>
        <w:t>Adviesraad</w:t>
      </w:r>
      <w:proofErr w:type="spellEnd"/>
      <w:r w:rsidRPr="00B142C3">
        <w:rPr>
          <w:rFonts w:cs="Times New Roman"/>
          <w:iCs/>
          <w:color w:val="000000"/>
          <w:lang w:val="en-US"/>
        </w:rPr>
        <w:t xml:space="preserve"> – WAR) reviews scientific reports and makes a clinical assessment regarding the value of the effect (</w:t>
      </w:r>
      <w:r w:rsidRPr="00B142C3">
        <w:rPr>
          <w:rFonts w:cs="Times New Roman"/>
          <w:i/>
          <w:color w:val="000000"/>
          <w:lang w:val="en-US"/>
        </w:rPr>
        <w:t>NL:</w:t>
      </w:r>
      <w:r w:rsidRPr="00B142C3">
        <w:rPr>
          <w:rFonts w:cs="Times New Roman"/>
          <w:iCs/>
          <w:color w:val="000000"/>
          <w:lang w:val="en-US"/>
        </w:rPr>
        <w:t xml:space="preserve"> </w:t>
      </w:r>
      <w:proofErr w:type="spellStart"/>
      <w:r w:rsidRPr="001E2036">
        <w:rPr>
          <w:rFonts w:cs="Times New Roman"/>
          <w:i/>
          <w:color w:val="000000"/>
          <w:lang w:val="en-US"/>
        </w:rPr>
        <w:t>waardering</w:t>
      </w:r>
      <w:proofErr w:type="spellEnd"/>
      <w:r w:rsidRPr="001E2036">
        <w:rPr>
          <w:rFonts w:cs="Times New Roman"/>
          <w:i/>
          <w:color w:val="000000"/>
          <w:lang w:val="en-US"/>
        </w:rPr>
        <w:t xml:space="preserve"> van het effect</w:t>
      </w:r>
      <w:r w:rsidRPr="00B142C3">
        <w:rPr>
          <w:rFonts w:cs="Times New Roman"/>
          <w:iCs/>
          <w:color w:val="000000"/>
          <w:lang w:val="en-US"/>
        </w:rPr>
        <w:t>), the size of the effect (</w:t>
      </w:r>
      <w:r w:rsidRPr="00B142C3">
        <w:rPr>
          <w:rFonts w:cs="Times New Roman"/>
          <w:i/>
          <w:color w:val="000000"/>
          <w:lang w:val="en-US"/>
        </w:rPr>
        <w:t>NL:</w:t>
      </w:r>
      <w:r w:rsidRPr="00B142C3">
        <w:rPr>
          <w:rFonts w:cs="Times New Roman"/>
          <w:iCs/>
          <w:color w:val="000000"/>
          <w:lang w:val="en-US"/>
        </w:rPr>
        <w:t xml:space="preserve"> </w:t>
      </w:r>
      <w:proofErr w:type="spellStart"/>
      <w:r w:rsidRPr="001E2036">
        <w:rPr>
          <w:rFonts w:cs="Times New Roman"/>
          <w:i/>
          <w:color w:val="000000"/>
          <w:lang w:val="en-US"/>
        </w:rPr>
        <w:t>groote</w:t>
      </w:r>
      <w:proofErr w:type="spellEnd"/>
      <w:r w:rsidRPr="001E2036">
        <w:rPr>
          <w:rFonts w:cs="Times New Roman"/>
          <w:i/>
          <w:color w:val="000000"/>
          <w:lang w:val="en-US"/>
        </w:rPr>
        <w:t xml:space="preserve"> van het effect</w:t>
      </w:r>
      <w:r w:rsidRPr="00B142C3">
        <w:rPr>
          <w:rFonts w:cs="Times New Roman"/>
          <w:iCs/>
          <w:color w:val="000000"/>
          <w:lang w:val="en-US"/>
        </w:rPr>
        <w:t>) and the probability of the effect (</w:t>
      </w:r>
      <w:r w:rsidRPr="00B142C3">
        <w:rPr>
          <w:rFonts w:cs="Times New Roman"/>
          <w:i/>
          <w:color w:val="000000"/>
          <w:lang w:val="en-US"/>
        </w:rPr>
        <w:t>NL:</w:t>
      </w:r>
      <w:r w:rsidRPr="00B142C3">
        <w:rPr>
          <w:rFonts w:cs="Times New Roman"/>
          <w:iCs/>
          <w:color w:val="000000"/>
          <w:lang w:val="en-US"/>
        </w:rPr>
        <w:t xml:space="preserve"> </w:t>
      </w:r>
      <w:proofErr w:type="spellStart"/>
      <w:r w:rsidRPr="001E2036">
        <w:rPr>
          <w:rFonts w:cs="Times New Roman"/>
          <w:i/>
          <w:color w:val="000000"/>
          <w:lang w:val="en-US"/>
        </w:rPr>
        <w:t>waarschijnlijkheid</w:t>
      </w:r>
      <w:proofErr w:type="spellEnd"/>
      <w:r w:rsidRPr="001E2036">
        <w:rPr>
          <w:rFonts w:cs="Times New Roman"/>
          <w:i/>
          <w:color w:val="000000"/>
          <w:lang w:val="en-US"/>
        </w:rPr>
        <w:t xml:space="preserve"> van het effect</w:t>
      </w:r>
      <w:r w:rsidRPr="00B142C3">
        <w:rPr>
          <w:rFonts w:cs="Times New Roman"/>
          <w:iCs/>
          <w:color w:val="000000"/>
          <w:lang w:val="en-US"/>
        </w:rPr>
        <w:t>).</w:t>
      </w:r>
    </w:p>
    <w:p w14:paraId="346CEE28" w14:textId="77777777" w:rsidR="00B83354" w:rsidRPr="00B142C3" w:rsidRDefault="00B83354" w:rsidP="00B83354">
      <w:pPr>
        <w:ind w:firstLine="720"/>
        <w:jc w:val="both"/>
        <w:rPr>
          <w:rFonts w:cs="Times New Roman"/>
          <w:b/>
          <w:bCs/>
          <w:iCs/>
          <w:color w:val="000000"/>
        </w:rPr>
      </w:pPr>
      <w:r w:rsidRPr="00B142C3">
        <w:rPr>
          <w:rFonts w:cs="Times New Roman"/>
          <w:iCs/>
          <w:color w:val="000000"/>
          <w:lang w:val="en-US"/>
        </w:rPr>
        <w:t>Regarding the assessment of individual studies (</w:t>
      </w:r>
      <w:r w:rsidRPr="00B142C3">
        <w:rPr>
          <w:rFonts w:cs="Times New Roman"/>
          <w:b/>
          <w:bCs/>
          <w:iCs/>
          <w:color w:val="000000"/>
          <w:lang w:val="en-US"/>
        </w:rPr>
        <w:t>IS</w:t>
      </w:r>
      <w:r w:rsidRPr="00B142C3">
        <w:rPr>
          <w:rFonts w:cs="Times New Roman"/>
          <w:iCs/>
          <w:color w:val="000000"/>
          <w:lang w:val="en-US"/>
        </w:rPr>
        <w:t>), ZIN refers to the necessity of the assessment of their methodological aspects</w:t>
      </w:r>
      <w:r w:rsidRPr="00B142C3">
        <w:rPr>
          <w:rFonts w:cs="Times New Roman"/>
          <w:iCs/>
          <w:color w:val="000000"/>
          <w:vertAlign w:val="superscript"/>
          <w:lang w:val="en-US"/>
        </w:rPr>
        <w:footnoteReference w:id="10"/>
      </w:r>
      <w:r w:rsidRPr="00B142C3">
        <w:rPr>
          <w:rFonts w:cs="Times New Roman"/>
          <w:iCs/>
          <w:color w:val="000000"/>
          <w:lang w:val="en-US"/>
        </w:rPr>
        <w:t xml:space="preserve">. Furthermore, there is </w:t>
      </w:r>
      <w:r w:rsidRPr="00B142C3">
        <w:rPr>
          <w:rFonts w:cs="Times New Roman"/>
          <w:iCs/>
          <w:color w:val="000000"/>
        </w:rPr>
        <w:t xml:space="preserve">reference to further EBM methodology on how to proceed with the critical assessment of one study </w:t>
      </w:r>
      <w:sdt>
        <w:sdtPr>
          <w:rPr>
            <w:rFonts w:cs="Times New Roman"/>
            <w:iCs/>
            <w:color w:val="000000"/>
          </w:rPr>
          <w:tag w:val="MENDELEY_CITATION_3a890c33-c72c-466a-81d4-ae87d751217f"/>
          <w:id w:val="-871921817"/>
          <w:placeholder>
            <w:docPart w:val="DBFE02238C274A6FAEB0EFE47B26EF5E"/>
          </w:placeholder>
        </w:sdtPr>
        <w:sdtEndPr/>
        <w:sdtContent>
          <w:r w:rsidRPr="00B142C3">
            <w:rPr>
              <w:rFonts w:cs="Times New Roman"/>
              <w:iCs/>
              <w:color w:val="000000"/>
            </w:rPr>
            <w:t>(37)</w:t>
          </w:r>
        </w:sdtContent>
      </w:sdt>
      <w:r>
        <w:rPr>
          <w:rFonts w:cs="Times New Roman"/>
          <w:iCs/>
          <w:color w:val="000000"/>
        </w:rPr>
        <w:t>.</w:t>
      </w:r>
      <w:r w:rsidRPr="00B142C3">
        <w:rPr>
          <w:rFonts w:cs="Times New Roman"/>
          <w:iCs/>
          <w:color w:val="000000"/>
        </w:rPr>
        <w:t xml:space="preserve"> In these there is reference to various aspects of risk of bias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w:t>
      </w:r>
      <w:r w:rsidRPr="00B142C3">
        <w:rPr>
          <w:rFonts w:cs="Times New Roman"/>
          <w:iCs/>
          <w:color w:val="000000"/>
        </w:rPr>
        <w:t xml:space="preserve">, </w:t>
      </w:r>
      <w:proofErr w:type="gramStart"/>
      <w:r w:rsidRPr="00B142C3">
        <w:rPr>
          <w:rFonts w:cs="Times New Roman"/>
          <w:iCs/>
          <w:color w:val="000000"/>
        </w:rPr>
        <w:t>e.g.</w:t>
      </w:r>
      <w:proofErr w:type="gramEnd"/>
      <w:r w:rsidRPr="00B142C3">
        <w:rPr>
          <w:rFonts w:cs="Times New Roman"/>
          <w:iCs/>
          <w:color w:val="000000"/>
        </w:rPr>
        <w:t xml:space="preserve"> blinding and follow-up, which also include publication bias </w:t>
      </w:r>
      <w:r w:rsidRPr="00B142C3">
        <w:rPr>
          <w:rFonts w:cs="Times New Roman"/>
          <w:iCs/>
        </w:rPr>
        <w:t>(</w:t>
      </w:r>
      <w:r w:rsidRPr="00B142C3">
        <w:rPr>
          <w:rFonts w:cs="Times New Roman"/>
          <w:b/>
          <w:bCs/>
          <w:iCs/>
          <w:color w:val="7F7F7F" w:themeColor="text1" w:themeTint="80"/>
        </w:rPr>
        <w:sym w:font="Wingdings" w:char="F0F2"/>
      </w:r>
      <w:proofErr w:type="spellStart"/>
      <w:r w:rsidRPr="00B142C3">
        <w:rPr>
          <w:rFonts w:cs="Times New Roman"/>
          <w:b/>
          <w:bCs/>
          <w:iCs/>
          <w:color w:val="7F7F7F" w:themeColor="text1" w:themeTint="80"/>
        </w:rPr>
        <w:t>PuB</w:t>
      </w:r>
      <w:proofErr w:type="spellEnd"/>
      <w:r w:rsidRPr="00B142C3">
        <w:rPr>
          <w:rFonts w:cs="Times New Roman"/>
          <w:iCs/>
        </w:rPr>
        <w:t xml:space="preserve">). In the above reference there are checklists cited that assist the assessment of the validity, </w:t>
      </w:r>
      <w:proofErr w:type="gramStart"/>
      <w:r w:rsidRPr="00B142C3">
        <w:rPr>
          <w:rFonts w:cs="Times New Roman"/>
          <w:iCs/>
        </w:rPr>
        <w:t>applicability</w:t>
      </w:r>
      <w:proofErr w:type="gramEnd"/>
      <w:r w:rsidRPr="00B142C3">
        <w:rPr>
          <w:rFonts w:cs="Times New Roman"/>
          <w:iCs/>
        </w:rPr>
        <w:t xml:space="preserve"> and importance of the results.  </w:t>
      </w:r>
    </w:p>
    <w:p w14:paraId="51F935CB" w14:textId="77777777" w:rsidR="00B83354" w:rsidRPr="00B142C3" w:rsidRDefault="00B83354" w:rsidP="00B83354">
      <w:pPr>
        <w:ind w:firstLine="720"/>
        <w:jc w:val="both"/>
        <w:rPr>
          <w:rFonts w:cs="Times New Roman"/>
          <w:iCs/>
          <w:color w:val="000000"/>
          <w:lang w:val="en-US"/>
        </w:rPr>
      </w:pPr>
      <w:r w:rsidRPr="00B142C3">
        <w:rPr>
          <w:rFonts w:cs="Times New Roman"/>
          <w:iCs/>
          <w:lang w:val="en-US"/>
        </w:rPr>
        <w:t xml:space="preserve">Moving on to the body of evidence </w:t>
      </w:r>
      <w:r w:rsidRPr="00B142C3">
        <w:rPr>
          <w:rFonts w:cs="Times New Roman"/>
          <w:iCs/>
          <w:color w:val="000000"/>
        </w:rPr>
        <w:t>(</w:t>
      </w:r>
      <w:r w:rsidRPr="00B142C3">
        <w:rPr>
          <w:rFonts w:cs="Times New Roman"/>
          <w:b/>
          <w:bCs/>
          <w:iCs/>
          <w:color w:val="000000"/>
        </w:rPr>
        <w:t>BE1</w:t>
      </w:r>
      <w:r w:rsidRPr="00B142C3">
        <w:rPr>
          <w:rFonts w:cs="Times New Roman"/>
          <w:iCs/>
          <w:color w:val="000000"/>
        </w:rPr>
        <w:t xml:space="preserve">, </w:t>
      </w:r>
      <w:r w:rsidRPr="00B142C3">
        <w:rPr>
          <w:rFonts w:cs="Times New Roman"/>
          <w:b/>
          <w:bCs/>
          <w:iCs/>
          <w:color w:val="000000"/>
        </w:rPr>
        <w:t>BEA</w:t>
      </w:r>
      <w:r w:rsidRPr="00B142C3">
        <w:rPr>
          <w:rFonts w:cs="Times New Roman"/>
          <w:iCs/>
          <w:color w:val="000000"/>
        </w:rPr>
        <w:t>),</w:t>
      </w:r>
      <w:r w:rsidRPr="00B142C3">
        <w:rPr>
          <w:rFonts w:cs="Times New Roman"/>
          <w:iCs/>
          <w:lang w:val="en-US"/>
        </w:rPr>
        <w:t xml:space="preserve"> ZIN began implementing the GRADE approach in their relative effectiveness assessment practices in 2015 and </w:t>
      </w:r>
      <w:r w:rsidRPr="00B142C3">
        <w:rPr>
          <w:rFonts w:cs="Times New Roman"/>
          <w:iCs/>
          <w:color w:val="000000"/>
          <w:lang w:val="en-US"/>
        </w:rPr>
        <w:t xml:space="preserve">the ‘probability of the effect’ assessment is based on it </w:t>
      </w:r>
      <w:sdt>
        <w:sdtPr>
          <w:rPr>
            <w:rFonts w:cs="Times New Roman"/>
            <w:iCs/>
            <w:color w:val="000000"/>
            <w:lang w:val="en-US"/>
          </w:rPr>
          <w:tag w:val="MENDELEY_CITATION_45e61148-4907-4408-80d2-55b34cfa3178"/>
          <w:id w:val="-790667009"/>
          <w:placeholder>
            <w:docPart w:val="D69E3F54B41547D8A6353695082F624A"/>
          </w:placeholder>
        </w:sdtPr>
        <w:sdtEndPr/>
        <w:sdtContent>
          <w:r w:rsidRPr="00B142C3">
            <w:rPr>
              <w:rFonts w:cs="Times New Roman"/>
              <w:iCs/>
              <w:color w:val="000000"/>
              <w:lang w:val="en-US"/>
            </w:rPr>
            <w:t>(38)</w:t>
          </w:r>
        </w:sdtContent>
      </w:sdt>
      <w:r w:rsidRPr="00B142C3">
        <w:rPr>
          <w:rFonts w:cs="Times New Roman"/>
          <w:iCs/>
          <w:color w:val="000000"/>
          <w:lang w:val="en-US"/>
        </w:rPr>
        <w:t xml:space="preserve">. The term ‘quality of evidence’ is also used. </w:t>
      </w:r>
      <w:r w:rsidRPr="00B142C3">
        <w:rPr>
          <w:rFonts w:cs="Times New Roman"/>
          <w:iCs/>
        </w:rPr>
        <w:t xml:space="preserve">The domains of GRADE are also all cited, and the GRADE approach is stated to be followed ‘whenever possible’ </w:t>
      </w:r>
      <w:sdt>
        <w:sdtPr>
          <w:rPr>
            <w:rFonts w:cs="Times New Roman"/>
            <w:iCs/>
            <w:color w:val="000000"/>
          </w:rPr>
          <w:tag w:val="MENDELEY_CITATION_e083a69d-99ee-414f-b2eb-869a4835eda1"/>
          <w:id w:val="-627550210"/>
          <w:placeholder>
            <w:docPart w:val="D69E3F54B41547D8A6353695082F624A"/>
          </w:placeholder>
        </w:sdtPr>
        <w:sdtEndPr/>
        <w:sdtContent>
          <w:r w:rsidRPr="00B142C3">
            <w:rPr>
              <w:rFonts w:cs="Times New Roman"/>
              <w:iCs/>
              <w:color w:val="000000"/>
            </w:rPr>
            <w:t>(39)</w:t>
          </w:r>
        </w:sdtContent>
      </w:sdt>
      <w:r w:rsidRPr="00B142C3">
        <w:rPr>
          <w:rFonts w:cs="Times New Roman"/>
          <w:iCs/>
          <w:color w:val="000000"/>
        </w:rPr>
        <w:t xml:space="preserve"> when assessing certainty in a body of evidence. The above statement is also verified by two out of the three REAs that have been examined </w:t>
      </w:r>
      <w:sdt>
        <w:sdtPr>
          <w:rPr>
            <w:rFonts w:cs="Times New Roman"/>
            <w:iCs/>
            <w:color w:val="000000"/>
          </w:rPr>
          <w:tag w:val="MENDELEY_CITATION_a0c30fb3-eae9-4cc4-8060-23c6699dfcee"/>
          <w:id w:val="-1677419427"/>
          <w:placeholder>
            <w:docPart w:val="D69E3F54B41547D8A6353695082F624A"/>
          </w:placeholder>
        </w:sdtPr>
        <w:sdtEndPr/>
        <w:sdtContent>
          <w:r w:rsidRPr="00B142C3">
            <w:rPr>
              <w:rFonts w:cs="Times New Roman"/>
              <w:iCs/>
              <w:color w:val="000000"/>
            </w:rPr>
            <w:t>(40–44)</w:t>
          </w:r>
        </w:sdtContent>
      </w:sdt>
      <w:r w:rsidRPr="00B142C3">
        <w:rPr>
          <w:rFonts w:cs="Times New Roman"/>
          <w:iCs/>
          <w:color w:val="000000"/>
        </w:rPr>
        <w:t xml:space="preserve">, where full GRADE evidence profiles </w:t>
      </w:r>
      <w:sdt>
        <w:sdtPr>
          <w:rPr>
            <w:rFonts w:cs="Times New Roman"/>
            <w:iCs/>
            <w:color w:val="000000"/>
          </w:rPr>
          <w:tag w:val="MENDELEY_CITATION_f232694f-e9cf-461b-8c07-1d3c9a2c7bfa"/>
          <w:id w:val="523361847"/>
          <w:placeholder>
            <w:docPart w:val="D69E3F54B41547D8A6353695082F624A"/>
          </w:placeholder>
        </w:sdtPr>
        <w:sdtEndPr/>
        <w:sdtContent>
          <w:r w:rsidRPr="00B142C3">
            <w:rPr>
              <w:rFonts w:cs="Times New Roman"/>
              <w:iCs/>
              <w:color w:val="000000"/>
            </w:rPr>
            <w:t>(45)</w:t>
          </w:r>
        </w:sdtContent>
      </w:sdt>
      <w:r w:rsidRPr="00B142C3">
        <w:rPr>
          <w:rFonts w:cs="Times New Roman"/>
          <w:iCs/>
          <w:color w:val="000000"/>
        </w:rPr>
        <w:t xml:space="preserve"> are also included in the appendices</w:t>
      </w:r>
      <w:r>
        <w:rPr>
          <w:rFonts w:cs="Times New Roman"/>
          <w:iCs/>
          <w:color w:val="000000"/>
        </w:rPr>
        <w:t xml:space="preserve"> of the reports</w:t>
      </w:r>
      <w:r w:rsidRPr="00B142C3">
        <w:rPr>
          <w:rFonts w:cs="Times New Roman"/>
          <w:iCs/>
          <w:color w:val="000000"/>
        </w:rPr>
        <w:t xml:space="preserve"> – although omitting the </w:t>
      </w:r>
      <w:r w:rsidRPr="00B142C3">
        <w:rPr>
          <w:rFonts w:cs="Times New Roman"/>
          <w:b/>
          <w:bCs/>
          <w:iCs/>
          <w:color w:val="7F7F7F" w:themeColor="text1" w:themeTint="80"/>
        </w:rPr>
        <w:sym w:font="Wingdings" w:char="F0F2"/>
      </w:r>
      <w:proofErr w:type="spellStart"/>
      <w:r w:rsidRPr="00B142C3">
        <w:rPr>
          <w:rFonts w:cs="Times New Roman"/>
          <w:b/>
          <w:bCs/>
          <w:iCs/>
          <w:color w:val="7F7F7F" w:themeColor="text1" w:themeTint="80"/>
        </w:rPr>
        <w:t>PuB</w:t>
      </w:r>
      <w:proofErr w:type="spellEnd"/>
      <w:r w:rsidRPr="00B142C3">
        <w:rPr>
          <w:rFonts w:cs="Times New Roman"/>
          <w:b/>
          <w:bCs/>
          <w:iCs/>
          <w:color w:val="7F7F7F" w:themeColor="text1" w:themeTint="80"/>
        </w:rPr>
        <w:t xml:space="preserve"> </w:t>
      </w:r>
      <w:r w:rsidRPr="00B142C3">
        <w:rPr>
          <w:rFonts w:cs="Times New Roman"/>
          <w:iCs/>
        </w:rPr>
        <w:t>domain</w:t>
      </w:r>
      <w:r w:rsidRPr="00B142C3">
        <w:rPr>
          <w:rFonts w:cs="Times New Roman"/>
          <w:iCs/>
          <w:color w:val="000000"/>
        </w:rPr>
        <w:t>.</w:t>
      </w:r>
    </w:p>
    <w:p w14:paraId="60918E9A" w14:textId="77777777" w:rsidR="00B83354" w:rsidRPr="00B142C3" w:rsidRDefault="00B83354" w:rsidP="00B83354">
      <w:pPr>
        <w:ind w:firstLine="720"/>
        <w:jc w:val="both"/>
        <w:rPr>
          <w:rFonts w:cs="Times New Roman"/>
          <w:iCs/>
          <w:color w:val="000000"/>
          <w:lang w:val="en-US"/>
        </w:rPr>
      </w:pPr>
      <w:r w:rsidRPr="00B142C3">
        <w:rPr>
          <w:rFonts w:cs="Times New Roman"/>
          <w:iCs/>
          <w:color w:val="000000"/>
        </w:rPr>
        <w:t>In its guidelines</w:t>
      </w:r>
      <w:r w:rsidRPr="00B142C3">
        <w:rPr>
          <w:rFonts w:cs="Times New Roman"/>
          <w:iCs/>
          <w:color w:val="000000"/>
          <w:vertAlign w:val="superscript"/>
        </w:rPr>
        <w:footnoteReference w:id="11"/>
      </w:r>
      <w:r w:rsidRPr="00B142C3">
        <w:rPr>
          <w:rFonts w:cs="Times New Roman"/>
          <w:iCs/>
          <w:color w:val="000000"/>
        </w:rPr>
        <w:t xml:space="preserve">, </w:t>
      </w:r>
      <w:r w:rsidRPr="00B142C3">
        <w:rPr>
          <w:rFonts w:cs="Times New Roman"/>
          <w:iCs/>
          <w:color w:val="000000"/>
          <w:lang w:val="en-US"/>
        </w:rPr>
        <w:t>ZIN also makes a connection between quality of evidence and conclusions (</w:t>
      </w:r>
      <w:r w:rsidRPr="00B142C3">
        <w:rPr>
          <w:rFonts w:cs="Times New Roman"/>
          <w:b/>
          <w:bCs/>
          <w:iCs/>
          <w:color w:val="000000"/>
          <w:lang w:val="en-US"/>
        </w:rPr>
        <w:t>AB</w:t>
      </w:r>
      <w:r w:rsidRPr="00B142C3">
        <w:rPr>
          <w:rFonts w:cs="Times New Roman"/>
          <w:iCs/>
          <w:color w:val="000000"/>
          <w:lang w:val="en-US"/>
        </w:rPr>
        <w:t xml:space="preserve">) of the assessment depending on the direction of effect (positive/negative). High quality of evidence will in principle be decisive, </w:t>
      </w:r>
      <w:proofErr w:type="gramStart"/>
      <w:r w:rsidRPr="00B142C3">
        <w:rPr>
          <w:rFonts w:cs="Times New Roman"/>
          <w:iCs/>
          <w:color w:val="000000"/>
          <w:lang w:val="en-US"/>
        </w:rPr>
        <w:t>medium</w:t>
      </w:r>
      <w:proofErr w:type="gramEnd"/>
      <w:r w:rsidRPr="00B142C3">
        <w:rPr>
          <w:rFonts w:cs="Times New Roman"/>
          <w:iCs/>
          <w:color w:val="000000"/>
          <w:lang w:val="en-US"/>
        </w:rPr>
        <w:t xml:space="preserve"> or low quality will either call for further assessment or will be insufficient to take a position and very low quality will be decisive leading to a negative opinion. In a different guidelines document, it is once again verified that a conclusion on ‘therapeutic value’ (</w:t>
      </w:r>
      <w:r w:rsidRPr="00B142C3">
        <w:rPr>
          <w:rFonts w:cs="Times New Roman"/>
          <w:i/>
          <w:color w:val="000000"/>
          <w:lang w:val="en-US"/>
        </w:rPr>
        <w:t>NL:</w:t>
      </w:r>
      <w:r w:rsidRPr="00B142C3">
        <w:rPr>
          <w:rFonts w:cs="Times New Roman"/>
          <w:iCs/>
          <w:color w:val="000000"/>
          <w:lang w:val="en-US"/>
        </w:rPr>
        <w:t xml:space="preserve"> </w:t>
      </w:r>
      <w:proofErr w:type="spellStart"/>
      <w:r w:rsidRPr="00B142C3">
        <w:rPr>
          <w:rFonts w:cs="Times New Roman"/>
          <w:iCs/>
          <w:color w:val="000000"/>
          <w:lang w:val="en-US"/>
        </w:rPr>
        <w:t>therapeutische</w:t>
      </w:r>
      <w:proofErr w:type="spellEnd"/>
      <w:r w:rsidRPr="00B142C3">
        <w:rPr>
          <w:rFonts w:cs="Times New Roman"/>
          <w:iCs/>
          <w:color w:val="000000"/>
          <w:lang w:val="en-US"/>
        </w:rPr>
        <w:t xml:space="preserve"> </w:t>
      </w:r>
      <w:proofErr w:type="spellStart"/>
      <w:r w:rsidRPr="00B142C3">
        <w:rPr>
          <w:rFonts w:cs="Times New Roman"/>
          <w:iCs/>
          <w:color w:val="000000"/>
          <w:lang w:val="en-US"/>
        </w:rPr>
        <w:t>waarde</w:t>
      </w:r>
      <w:proofErr w:type="spellEnd"/>
      <w:r w:rsidRPr="00B142C3">
        <w:rPr>
          <w:rFonts w:cs="Times New Roman"/>
          <w:iCs/>
          <w:color w:val="000000"/>
          <w:lang w:val="en-US"/>
        </w:rPr>
        <w:t xml:space="preserve">) that is based on less data is of more limited value </w:t>
      </w:r>
      <w:sdt>
        <w:sdtPr>
          <w:rPr>
            <w:rFonts w:cs="Times New Roman"/>
            <w:iCs/>
            <w:color w:val="000000"/>
            <w:lang w:val="en-US"/>
          </w:rPr>
          <w:tag w:val="MENDELEY_CITATION_76fcc371-0b64-454e-9fc3-c9b079188f81"/>
          <w:id w:val="635147811"/>
          <w:placeholder>
            <w:docPart w:val="E26472B4FF9B464F824615F0566518E7"/>
          </w:placeholder>
        </w:sdtPr>
        <w:sdtEndPr/>
        <w:sdtContent>
          <w:r w:rsidRPr="00B142C3">
            <w:rPr>
              <w:rFonts w:cs="Times New Roman"/>
              <w:iCs/>
              <w:color w:val="000000"/>
              <w:lang w:val="en-US"/>
            </w:rPr>
            <w:t>(46)</w:t>
          </w:r>
        </w:sdtContent>
      </w:sdt>
      <w:r w:rsidRPr="00B142C3">
        <w:rPr>
          <w:rFonts w:cs="Times New Roman"/>
          <w:iCs/>
          <w:color w:val="000000"/>
          <w:lang w:val="en-US"/>
        </w:rPr>
        <w:t xml:space="preserve">. However, further elaboration on the terms positive or negative effect, positive or negative opinion or that of limited value was not identified. </w:t>
      </w:r>
    </w:p>
    <w:p w14:paraId="4B188C53" w14:textId="77777777" w:rsidR="00B83354" w:rsidRPr="00B142C3" w:rsidRDefault="00B83354" w:rsidP="00B83354">
      <w:pPr>
        <w:ind w:firstLine="720"/>
        <w:jc w:val="both"/>
        <w:rPr>
          <w:rFonts w:cs="Times New Roman"/>
          <w:iCs/>
          <w:color w:val="000000"/>
          <w:lang w:val="en-US"/>
        </w:rPr>
      </w:pPr>
      <w:r w:rsidRPr="00B142C3">
        <w:rPr>
          <w:rFonts w:cs="Times New Roman"/>
          <w:iCs/>
          <w:color w:val="000000"/>
          <w:lang w:val="en-US"/>
        </w:rPr>
        <w:lastRenderedPageBreak/>
        <w:t xml:space="preserve">It should be noted that based on their ‘therapeutic value’, drugs are classified into three categories of less, equal or added value compared to other treatment options </w:t>
      </w:r>
      <w:sdt>
        <w:sdtPr>
          <w:rPr>
            <w:rFonts w:cs="Times New Roman"/>
            <w:iCs/>
            <w:color w:val="000000"/>
            <w:lang w:val="en-US"/>
          </w:rPr>
          <w:tag w:val="MENDELEY_CITATION_88f4cb49-1b1c-4c21-9423-270f8f2a0594"/>
          <w:id w:val="342906343"/>
          <w:placeholder>
            <w:docPart w:val="A5B1EBF06E5F4FB885C1B26C218FBA07"/>
          </w:placeholder>
        </w:sdtPr>
        <w:sdtEndPr/>
        <w:sdtContent>
          <w:r w:rsidRPr="00B142C3">
            <w:rPr>
              <w:rFonts w:cs="Times New Roman"/>
              <w:iCs/>
              <w:color w:val="000000"/>
              <w:lang w:val="en-US"/>
            </w:rPr>
            <w:t>(46)</w:t>
          </w:r>
        </w:sdtContent>
      </w:sdt>
      <w:r w:rsidRPr="00B142C3">
        <w:rPr>
          <w:rFonts w:cs="Times New Roman"/>
          <w:iCs/>
          <w:color w:val="000000"/>
          <w:lang w:val="en-US"/>
        </w:rPr>
        <w:t xml:space="preserve">. ‘Therapeutic value’ is the product of weighing the following criteria </w:t>
      </w:r>
      <w:sdt>
        <w:sdtPr>
          <w:rPr>
            <w:rFonts w:cs="Times New Roman"/>
            <w:iCs/>
            <w:color w:val="000000"/>
            <w:lang w:val="en-US"/>
          </w:rPr>
          <w:tag w:val="MENDELEY_CITATION_7f66c016-4a4e-49eb-875c-49700eda556b"/>
          <w:id w:val="-162935223"/>
          <w:placeholder>
            <w:docPart w:val="D69E3F54B41547D8A6353695082F624A"/>
          </w:placeholder>
        </w:sdtPr>
        <w:sdtEndPr/>
        <w:sdtContent>
          <w:r w:rsidRPr="00B142C3">
            <w:rPr>
              <w:rFonts w:cs="Times New Roman"/>
              <w:iCs/>
              <w:color w:val="000000"/>
              <w:lang w:val="en-US"/>
            </w:rPr>
            <w:t>(47)</w:t>
          </w:r>
        </w:sdtContent>
      </w:sdt>
      <w:r w:rsidRPr="00B142C3">
        <w:rPr>
          <w:rFonts w:cs="Times New Roman"/>
          <w:iCs/>
          <w:color w:val="000000"/>
          <w:lang w:val="en-US"/>
        </w:rPr>
        <w:t xml:space="preserve">: </w:t>
      </w:r>
    </w:p>
    <w:p w14:paraId="07CC38F4" w14:textId="77777777" w:rsidR="00B83354" w:rsidRPr="00B142C3" w:rsidRDefault="00B83354" w:rsidP="00B83354">
      <w:pPr>
        <w:numPr>
          <w:ilvl w:val="0"/>
          <w:numId w:val="16"/>
        </w:numPr>
        <w:spacing w:line="259" w:lineRule="auto"/>
        <w:contextualSpacing/>
        <w:jc w:val="both"/>
        <w:rPr>
          <w:rFonts w:cs="Times New Roman"/>
          <w:iCs/>
          <w:color w:val="000000"/>
          <w:lang w:val="en-US"/>
        </w:rPr>
      </w:pPr>
      <w:r w:rsidRPr="00B142C3">
        <w:rPr>
          <w:rFonts w:cs="Times New Roman"/>
          <w:iCs/>
          <w:color w:val="000000"/>
          <w:lang w:val="en-US"/>
        </w:rPr>
        <w:t xml:space="preserve">Beneficial effects, </w:t>
      </w:r>
    </w:p>
    <w:p w14:paraId="40B1923A" w14:textId="77777777" w:rsidR="00B83354" w:rsidRPr="00B142C3" w:rsidRDefault="00B83354" w:rsidP="00B83354">
      <w:pPr>
        <w:numPr>
          <w:ilvl w:val="0"/>
          <w:numId w:val="16"/>
        </w:numPr>
        <w:spacing w:line="259" w:lineRule="auto"/>
        <w:contextualSpacing/>
        <w:jc w:val="both"/>
        <w:rPr>
          <w:rFonts w:cs="Times New Roman"/>
          <w:iCs/>
          <w:color w:val="000000"/>
          <w:lang w:val="en-US"/>
        </w:rPr>
      </w:pPr>
      <w:r w:rsidRPr="00B142C3">
        <w:rPr>
          <w:rFonts w:cs="Times New Roman"/>
          <w:iCs/>
          <w:color w:val="000000"/>
          <w:lang w:val="en-US"/>
        </w:rPr>
        <w:t xml:space="preserve">Adverse effects, </w:t>
      </w:r>
    </w:p>
    <w:p w14:paraId="77438DA3" w14:textId="77777777" w:rsidR="00B83354" w:rsidRPr="00B142C3" w:rsidRDefault="00B83354" w:rsidP="00B83354">
      <w:pPr>
        <w:numPr>
          <w:ilvl w:val="0"/>
          <w:numId w:val="16"/>
        </w:numPr>
        <w:spacing w:line="259" w:lineRule="auto"/>
        <w:contextualSpacing/>
        <w:jc w:val="both"/>
        <w:rPr>
          <w:rFonts w:cs="Times New Roman"/>
          <w:iCs/>
          <w:color w:val="000000"/>
          <w:lang w:val="en-US"/>
        </w:rPr>
      </w:pPr>
      <w:r w:rsidRPr="00B142C3">
        <w:rPr>
          <w:rFonts w:cs="Times New Roman"/>
          <w:iCs/>
          <w:color w:val="000000"/>
          <w:lang w:val="en-US"/>
        </w:rPr>
        <w:t>Experience:</w:t>
      </w:r>
    </w:p>
    <w:p w14:paraId="759DACDC"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 xml:space="preserve">Limited: &lt;3 years/&lt;100,000 prescriptions/&lt;20,000 patient years, </w:t>
      </w:r>
    </w:p>
    <w:p w14:paraId="3CFD5D7F"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 xml:space="preserve">Sufficient - &gt;100,000 prescriptions/&gt;20,000 patient years, </w:t>
      </w:r>
    </w:p>
    <w:p w14:paraId="5EF8A86D"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Extensive - &gt;10 years,</w:t>
      </w:r>
    </w:p>
    <w:p w14:paraId="04624EE5" w14:textId="77777777" w:rsidR="00B83354" w:rsidRPr="00B142C3" w:rsidRDefault="00B83354" w:rsidP="00B83354">
      <w:pPr>
        <w:numPr>
          <w:ilvl w:val="0"/>
          <w:numId w:val="16"/>
        </w:numPr>
        <w:spacing w:line="259" w:lineRule="auto"/>
        <w:contextualSpacing/>
        <w:jc w:val="both"/>
        <w:rPr>
          <w:rFonts w:cs="Times New Roman"/>
          <w:iCs/>
          <w:color w:val="000000"/>
          <w:lang w:val="en-US"/>
        </w:rPr>
      </w:pPr>
      <w:r w:rsidRPr="00B142C3">
        <w:rPr>
          <w:rFonts w:cs="Times New Roman"/>
          <w:iCs/>
          <w:color w:val="000000"/>
          <w:lang w:val="en-US"/>
        </w:rPr>
        <w:t>Applicability compared to the standard or usual treatment in terms of the population group included:</w:t>
      </w:r>
    </w:p>
    <w:p w14:paraId="4A794CE1"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less broadly used,</w:t>
      </w:r>
    </w:p>
    <w:p w14:paraId="2A873B97"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 xml:space="preserve">equally broadly, or </w:t>
      </w:r>
    </w:p>
    <w:p w14:paraId="2105E041" w14:textId="77777777" w:rsidR="00B83354" w:rsidRPr="00B142C3" w:rsidRDefault="00B83354" w:rsidP="00B83354">
      <w:pPr>
        <w:numPr>
          <w:ilvl w:val="1"/>
          <w:numId w:val="16"/>
        </w:numPr>
        <w:spacing w:line="259" w:lineRule="auto"/>
        <w:contextualSpacing/>
        <w:jc w:val="both"/>
        <w:rPr>
          <w:rFonts w:cs="Times New Roman"/>
          <w:iCs/>
          <w:color w:val="000000"/>
          <w:lang w:val="en-US"/>
        </w:rPr>
      </w:pPr>
      <w:r w:rsidRPr="00B142C3">
        <w:rPr>
          <w:rFonts w:cs="Times New Roman"/>
          <w:iCs/>
          <w:color w:val="000000"/>
          <w:lang w:val="en-US"/>
        </w:rPr>
        <w:t>more broadly used, and</w:t>
      </w:r>
    </w:p>
    <w:p w14:paraId="7978F3A1" w14:textId="77777777" w:rsidR="00B83354" w:rsidRPr="00B142C3" w:rsidRDefault="00B83354" w:rsidP="00B83354">
      <w:pPr>
        <w:numPr>
          <w:ilvl w:val="0"/>
          <w:numId w:val="16"/>
        </w:numPr>
        <w:spacing w:line="259" w:lineRule="auto"/>
        <w:contextualSpacing/>
        <w:jc w:val="both"/>
        <w:rPr>
          <w:rFonts w:cs="Times New Roman"/>
          <w:iCs/>
          <w:color w:val="000000"/>
          <w:lang w:val="en-US"/>
        </w:rPr>
      </w:pPr>
      <w:r w:rsidRPr="00B142C3">
        <w:rPr>
          <w:rFonts w:cs="Times New Roman"/>
          <w:iCs/>
          <w:color w:val="000000"/>
          <w:lang w:val="en-US"/>
        </w:rPr>
        <w:t>Ease of use:</w:t>
      </w:r>
    </w:p>
    <w:p w14:paraId="30275569" w14:textId="77777777" w:rsidR="00B83354" w:rsidRPr="00B142C3" w:rsidRDefault="00B83354" w:rsidP="00B83354">
      <w:pPr>
        <w:ind w:left="1440"/>
        <w:contextualSpacing/>
        <w:jc w:val="both"/>
        <w:rPr>
          <w:rFonts w:cs="Times New Roman"/>
          <w:iCs/>
          <w:color w:val="000000"/>
          <w:lang w:val="en-US"/>
        </w:rPr>
      </w:pPr>
      <w:proofErr w:type="gramStart"/>
      <w:r w:rsidRPr="00B142C3">
        <w:rPr>
          <w:rFonts w:cs="Times New Roman"/>
          <w:iCs/>
          <w:color w:val="000000"/>
          <w:lang w:val="en-US"/>
        </w:rPr>
        <w:t>e.g.</w:t>
      </w:r>
      <w:proofErr w:type="gramEnd"/>
      <w:r w:rsidRPr="00B142C3">
        <w:rPr>
          <w:rFonts w:cs="Times New Roman"/>
          <w:iCs/>
          <w:color w:val="000000"/>
          <w:lang w:val="en-US"/>
        </w:rPr>
        <w:t xml:space="preserve"> dosing frequency, time of administration, administration form, taste, packaging, etc.</w:t>
      </w:r>
    </w:p>
    <w:p w14:paraId="7004629A" w14:textId="77777777" w:rsidR="00B83354" w:rsidRPr="00B142C3" w:rsidRDefault="00B83354" w:rsidP="00B83354">
      <w:pPr>
        <w:jc w:val="both"/>
        <w:rPr>
          <w:rFonts w:cs="Times New Roman"/>
          <w:iCs/>
          <w:color w:val="000000"/>
          <w:lang w:val="en-US"/>
        </w:rPr>
      </w:pPr>
      <w:r w:rsidRPr="00B142C3">
        <w:rPr>
          <w:rFonts w:cs="Times New Roman"/>
          <w:iCs/>
          <w:color w:val="000000"/>
          <w:lang w:val="en-US"/>
        </w:rPr>
        <w:tab/>
        <w:t>Viewing the above criteria, it is worth highlighting that the population applicability domain</w:t>
      </w:r>
      <w:r>
        <w:rPr>
          <w:rFonts w:cs="Times New Roman"/>
          <w:iCs/>
          <w:color w:val="000000"/>
          <w:lang w:val="en-US"/>
        </w:rPr>
        <w:t xml:space="preserve"> (iv)</w:t>
      </w:r>
      <w:r w:rsidRPr="00B142C3">
        <w:rPr>
          <w:rFonts w:cs="Times New Roman"/>
          <w:iCs/>
          <w:color w:val="000000"/>
          <w:lang w:val="en-US"/>
        </w:rPr>
        <w:t xml:space="preserve"> (one of the four aspects considered in the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b/>
          <w:bCs/>
          <w:iCs/>
          <w:color w:val="5B9BD5" w:themeColor="accent1"/>
        </w:rPr>
        <w:t xml:space="preserve"> </w:t>
      </w:r>
      <w:r w:rsidRPr="00B142C3">
        <w:rPr>
          <w:rFonts w:cs="Times New Roman"/>
          <w:iCs/>
        </w:rPr>
        <w:t>domain as defined by GRADE</w:t>
      </w:r>
      <w:r w:rsidRPr="00B142C3">
        <w:rPr>
          <w:rFonts w:cs="Times New Roman"/>
          <w:iCs/>
          <w:color w:val="000000"/>
          <w:lang w:val="en-US"/>
        </w:rPr>
        <w:t>) is considered in the conclusion on the ‘therapeutic value’ itself, rather than just on the certainty of evidence assessment that should accompany it.</w:t>
      </w:r>
    </w:p>
    <w:p w14:paraId="73479664" w14:textId="77777777" w:rsidR="00B83354" w:rsidRPr="00B142C3" w:rsidRDefault="00B83354" w:rsidP="00B83354">
      <w:pPr>
        <w:ind w:firstLine="720"/>
        <w:jc w:val="both"/>
        <w:rPr>
          <w:rFonts w:cs="Times New Roman"/>
          <w:iCs/>
          <w:color w:val="000000"/>
        </w:rPr>
      </w:pPr>
      <w:proofErr w:type="gramStart"/>
      <w:r w:rsidRPr="00B142C3">
        <w:rPr>
          <w:rFonts w:cs="Times New Roman"/>
          <w:iCs/>
          <w:color w:val="000000"/>
          <w:lang w:val="en-US"/>
        </w:rPr>
        <w:t>The final conclusion</w:t>
      </w:r>
      <w:proofErr w:type="gramEnd"/>
      <w:r w:rsidRPr="00B142C3">
        <w:rPr>
          <w:rFonts w:cs="Times New Roman"/>
          <w:iCs/>
          <w:color w:val="000000"/>
          <w:lang w:val="en-US"/>
        </w:rPr>
        <w:t xml:space="preserve"> is based on the balance between advantages and disadvantages, the quality of evidence, arguments on the ‘appropriate evidence approach’ and input from professional groups and patients. According to the guidelines</w:t>
      </w:r>
      <w:r w:rsidRPr="00B142C3">
        <w:rPr>
          <w:rFonts w:cs="Times New Roman"/>
          <w:iCs/>
          <w:color w:val="000000"/>
        </w:rPr>
        <w:t xml:space="preserve"> </w:t>
      </w:r>
      <w:sdt>
        <w:sdtPr>
          <w:rPr>
            <w:rFonts w:cs="Times New Roman"/>
            <w:iCs/>
            <w:color w:val="000000"/>
          </w:rPr>
          <w:tag w:val="MENDELEY_CITATION_33df2b94-ae98-4390-9068-40c23b7e302a"/>
          <w:id w:val="1549722854"/>
          <w:placeholder>
            <w:docPart w:val="7A9C4E368C4F4645BA7EEF84E7CF0247"/>
          </w:placeholder>
        </w:sdtPr>
        <w:sdtEndPr/>
        <w:sdtContent>
          <w:r w:rsidRPr="00B142C3">
            <w:rPr>
              <w:rFonts w:cs="Times New Roman"/>
              <w:iCs/>
              <w:color w:val="000000"/>
            </w:rPr>
            <w:t>(42)</w:t>
          </w:r>
        </w:sdtContent>
      </w:sdt>
      <w:r w:rsidRPr="00B142C3">
        <w:rPr>
          <w:rFonts w:cs="Times New Roman"/>
          <w:iCs/>
          <w:color w:val="000000"/>
          <w:lang w:val="en-US"/>
        </w:rPr>
        <w:t xml:space="preserve">, </w:t>
      </w:r>
      <w:r w:rsidRPr="00B142C3">
        <w:rPr>
          <w:rFonts w:cs="Times New Roman"/>
          <w:iCs/>
          <w:color w:val="000000"/>
        </w:rPr>
        <w:t xml:space="preserve">when determining the final assessment/conclusion quality of evidence is should be expressed in the form of arguments. </w:t>
      </w:r>
      <w:r w:rsidRPr="00B142C3">
        <w:rPr>
          <w:rFonts w:cs="Times New Roman"/>
          <w:iCs/>
          <w:color w:val="000000"/>
          <w:lang w:val="en-US"/>
        </w:rPr>
        <w:t xml:space="preserve">The fact that there is no further reference to a pre-specified way of expressing </w:t>
      </w:r>
      <w:proofErr w:type="gramStart"/>
      <w:r w:rsidRPr="00B142C3">
        <w:rPr>
          <w:rFonts w:cs="Times New Roman"/>
          <w:iCs/>
          <w:color w:val="000000"/>
          <w:lang w:val="en-US"/>
        </w:rPr>
        <w:t>the final conclusion</w:t>
      </w:r>
      <w:proofErr w:type="gramEnd"/>
      <w:r w:rsidRPr="00B142C3">
        <w:rPr>
          <w:rFonts w:cs="Times New Roman"/>
          <w:iCs/>
          <w:color w:val="000000"/>
          <w:lang w:val="en-US"/>
        </w:rPr>
        <w:t xml:space="preserve"> and</w:t>
      </w:r>
      <w:r>
        <w:rPr>
          <w:rFonts w:cs="Times New Roman"/>
          <w:iCs/>
          <w:color w:val="000000"/>
          <w:lang w:val="en-US"/>
        </w:rPr>
        <w:t xml:space="preserve"> the fact that</w:t>
      </w:r>
      <w:r w:rsidRPr="00B142C3">
        <w:rPr>
          <w:rFonts w:cs="Times New Roman"/>
          <w:iCs/>
          <w:color w:val="000000"/>
          <w:lang w:val="en-US"/>
        </w:rPr>
        <w:t xml:space="preserve"> specific reference to transparency of reporting is made in the guidelines</w:t>
      </w:r>
      <w:r w:rsidRPr="00B142C3">
        <w:rPr>
          <w:rFonts w:cs="Times New Roman"/>
          <w:iCs/>
          <w:color w:val="000000"/>
          <w:vertAlign w:val="superscript"/>
          <w:lang w:val="en-US"/>
        </w:rPr>
        <w:footnoteReference w:id="12"/>
      </w:r>
      <w:r w:rsidRPr="00B142C3">
        <w:rPr>
          <w:rFonts w:cs="Times New Roman"/>
          <w:iCs/>
          <w:color w:val="000000"/>
          <w:lang w:val="en-US"/>
        </w:rPr>
        <w:t xml:space="preserve"> leaves us to presume that the way of communicating the final conclusion is narrative, probably combining the above scale for the ‘therapeutic value’ with certainty arguments. </w:t>
      </w:r>
    </w:p>
    <w:p w14:paraId="1C6182A0" w14:textId="77777777" w:rsidR="00B83354" w:rsidRPr="00B142C3" w:rsidRDefault="00B83354" w:rsidP="00B83354">
      <w:pPr>
        <w:ind w:firstLine="720"/>
        <w:jc w:val="both"/>
        <w:rPr>
          <w:rFonts w:cs="Times New Roman"/>
          <w:iCs/>
          <w:color w:val="000000"/>
          <w:lang w:val="en-US"/>
        </w:rPr>
      </w:pPr>
      <w:r w:rsidRPr="00B142C3">
        <w:rPr>
          <w:rFonts w:cs="Times New Roman"/>
        </w:rPr>
        <w:t>The above is verified by the REA reports examined. An overall certainty of evidence rating based on the GRADE scale was not identified. Instead, in the Final Assessment part of the report there is a narrative approach in expressing the level of certainty (</w:t>
      </w:r>
      <w:proofErr w:type="gramStart"/>
      <w:r w:rsidRPr="00B142C3">
        <w:rPr>
          <w:rFonts w:cs="Times New Roman"/>
        </w:rPr>
        <w:t>e.g.</w:t>
      </w:r>
      <w:proofErr w:type="gramEnd"/>
      <w:r w:rsidRPr="00B142C3">
        <w:rPr>
          <w:rFonts w:cs="Times New Roman"/>
        </w:rPr>
        <w:t xml:space="preserve"> ‘</w:t>
      </w:r>
      <w:r w:rsidRPr="00B142C3">
        <w:rPr>
          <w:rFonts w:cs="Times New Roman"/>
          <w:i/>
          <w:iCs/>
        </w:rPr>
        <w:t>we are</w:t>
      </w:r>
      <w:r w:rsidRPr="00B142C3">
        <w:rPr>
          <w:rFonts w:cs="Times New Roman"/>
        </w:rPr>
        <w:t xml:space="preserve"> </w:t>
      </w:r>
      <w:r w:rsidRPr="00B142C3">
        <w:rPr>
          <w:rFonts w:cs="Times New Roman"/>
          <w:i/>
          <w:iCs/>
        </w:rPr>
        <w:t>confident that (the new intervention) is at least as effective (as the existing comparators)</w:t>
      </w:r>
      <w:r w:rsidRPr="00B142C3">
        <w:rPr>
          <w:rFonts w:cs="Times New Roman"/>
          <w:color w:val="000000"/>
        </w:rPr>
        <w:t xml:space="preserve"> </w:t>
      </w:r>
      <w:sdt>
        <w:sdtPr>
          <w:rPr>
            <w:rFonts w:cs="Times New Roman"/>
            <w:color w:val="000000"/>
          </w:rPr>
          <w:tag w:val="MENDELEY_CITATION_8baa072e-c248-4d7a-ba15-813eef0af0c6"/>
          <w:id w:val="-1690523877"/>
          <w:placeholder>
            <w:docPart w:val="24D9242288D0450993D1FBA66CF30555"/>
          </w:placeholder>
        </w:sdtPr>
        <w:sdtEndPr/>
        <w:sdtContent>
          <w:r w:rsidRPr="00B142C3">
            <w:rPr>
              <w:rFonts w:cs="Times New Roman"/>
              <w:color w:val="000000"/>
            </w:rPr>
            <w:t>(48)</w:t>
          </w:r>
        </w:sdtContent>
      </w:sdt>
      <w:r w:rsidRPr="00B142C3">
        <w:rPr>
          <w:rFonts w:cs="Times New Roman"/>
        </w:rPr>
        <w:t>)’</w:t>
      </w:r>
      <w:r w:rsidRPr="00B142C3">
        <w:rPr>
          <w:rFonts w:cs="Times New Roman"/>
          <w:color w:val="000000"/>
        </w:rPr>
        <w:t>.</w:t>
      </w:r>
    </w:p>
    <w:p w14:paraId="63DCF72F" w14:textId="77777777" w:rsidR="00B83354" w:rsidRPr="00B142C3" w:rsidRDefault="00B83354" w:rsidP="00B83354">
      <w:pPr>
        <w:jc w:val="both"/>
        <w:rPr>
          <w:rFonts w:cs="Times New Roman"/>
          <w:iCs/>
          <w:color w:val="000000"/>
          <w:lang w:val="en-US"/>
        </w:rPr>
      </w:pPr>
    </w:p>
    <w:p w14:paraId="0B0D007C" w14:textId="77777777" w:rsidR="000E77E8" w:rsidRDefault="000E77E8">
      <w:pPr>
        <w:spacing w:line="259" w:lineRule="auto"/>
        <w:rPr>
          <w:rFonts w:eastAsiaTheme="majorEastAsia" w:cstheme="majorBidi"/>
          <w:i/>
          <w:color w:val="000000" w:themeColor="text1"/>
          <w:szCs w:val="24"/>
          <w:lang w:val="en-US"/>
        </w:rPr>
      </w:pPr>
      <w:r>
        <w:rPr>
          <w:lang w:val="en-US"/>
        </w:rPr>
        <w:br w:type="page"/>
      </w:r>
    </w:p>
    <w:p w14:paraId="2F03B5B8" w14:textId="7BDDE7A8" w:rsidR="00B83354" w:rsidRPr="00B142C3" w:rsidRDefault="00B83354" w:rsidP="00B83354">
      <w:pPr>
        <w:pStyle w:val="Heading3"/>
        <w:rPr>
          <w:lang w:val="en-US"/>
        </w:rPr>
      </w:pPr>
      <w:r w:rsidRPr="00B142C3">
        <w:rPr>
          <w:lang w:val="en-US"/>
        </w:rPr>
        <w:lastRenderedPageBreak/>
        <w:t>VI. CADTH</w:t>
      </w:r>
      <w:r w:rsidRPr="00B142C3">
        <w:rPr>
          <w:color w:val="E7E6E6" w:themeColor="background2"/>
          <w:highlight w:val="darkGreen"/>
        </w:rPr>
        <w:t xml:space="preserve"> </w:t>
      </w:r>
    </w:p>
    <w:tbl>
      <w:tblPr>
        <w:tblStyle w:val="TableGrid"/>
        <w:tblW w:w="0" w:type="auto"/>
        <w:tblLook w:val="04A0" w:firstRow="1" w:lastRow="0" w:firstColumn="1" w:lastColumn="0" w:noHBand="0" w:noVBand="1"/>
      </w:tblPr>
      <w:tblGrid>
        <w:gridCol w:w="9016"/>
      </w:tblGrid>
      <w:tr w:rsidR="00B83354" w:rsidRPr="00B142C3" w14:paraId="28CE7346" w14:textId="77777777" w:rsidTr="00BD2DE2">
        <w:tc>
          <w:tcPr>
            <w:tcW w:w="9016" w:type="dxa"/>
          </w:tcPr>
          <w:p w14:paraId="3C5F200C" w14:textId="77777777" w:rsidR="00B83354" w:rsidRPr="00B142C3" w:rsidRDefault="00B83354" w:rsidP="00BD2DE2">
            <w:pPr>
              <w:jc w:val="both"/>
              <w:rPr>
                <w:rFonts w:cs="Times New Roman"/>
                <w:b/>
                <w:bCs/>
                <w:iCs/>
              </w:rPr>
            </w:pPr>
            <w:r w:rsidRPr="00B142C3">
              <w:rPr>
                <w:rFonts w:cs="Times New Roman"/>
                <w:b/>
                <w:bCs/>
                <w:iCs/>
              </w:rPr>
              <w:t>CADTH guidelines included:</w:t>
            </w:r>
          </w:p>
          <w:p w14:paraId="285D3BC9"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 xml:space="preserve">A. Bai, V. Shukla, G. </w:t>
            </w:r>
            <w:proofErr w:type="spellStart"/>
            <w:r w:rsidRPr="00B142C3">
              <w:rPr>
                <w:rFonts w:eastAsia="Times New Roman" w:cs="Times New Roman"/>
              </w:rPr>
              <w:t>Bak</w:t>
            </w:r>
            <w:proofErr w:type="spellEnd"/>
            <w:r w:rsidRPr="00B142C3">
              <w:rPr>
                <w:rFonts w:eastAsia="Times New Roman" w:cs="Times New Roman"/>
              </w:rPr>
              <w:t>, and G. Wells, Quality Assessment Tools Project Report. Ottawa: Canadian Agency for Drugs and Technologies in Health, 2012.</w:t>
            </w:r>
          </w:p>
          <w:p w14:paraId="1BCB562E"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Canadian Agency for Drugs and Technologies in Health (CADTH), “Therapeutic Review Framework and Process,” 2019. [Online]. Available: https://cadth.ca/.</w:t>
            </w:r>
          </w:p>
          <w:p w14:paraId="62B5D31D" w14:textId="77777777" w:rsidR="00B83354" w:rsidRPr="00B142C3" w:rsidRDefault="00B83354" w:rsidP="00BD2DE2">
            <w:pPr>
              <w:numPr>
                <w:ilvl w:val="0"/>
                <w:numId w:val="5"/>
              </w:numPr>
              <w:spacing w:line="240" w:lineRule="auto"/>
              <w:rPr>
                <w:rFonts w:cs="Times New Roman"/>
                <w:b/>
                <w:bCs/>
                <w:iCs/>
              </w:rPr>
            </w:pPr>
            <w:r w:rsidRPr="00B142C3">
              <w:rPr>
                <w:rFonts w:eastAsia="Times New Roman" w:cs="Times New Roman"/>
              </w:rPr>
              <w:t>Canadian Agency for Drugs and Technologies in Health (CADTH), “Procedures for the CADTH Common Drug Review and Interim Plasma Protein Product Review,” 2020. [Online]. Available: https://cadth.ca/.</w:t>
            </w:r>
          </w:p>
          <w:p w14:paraId="7470E669" w14:textId="77777777" w:rsidR="00B83354" w:rsidRPr="00B142C3" w:rsidRDefault="00B83354" w:rsidP="00BD2DE2">
            <w:pPr>
              <w:rPr>
                <w:rFonts w:cs="Times New Roman"/>
                <w:b/>
                <w:bCs/>
                <w:iCs/>
              </w:rPr>
            </w:pPr>
            <w:r w:rsidRPr="00B142C3">
              <w:rPr>
                <w:rFonts w:cs="Times New Roman"/>
                <w:b/>
                <w:bCs/>
                <w:iCs/>
              </w:rPr>
              <w:t>CADTH assessments included:</w:t>
            </w:r>
          </w:p>
          <w:p w14:paraId="2A44330C" w14:textId="77777777" w:rsidR="00B83354" w:rsidRPr="00B142C3" w:rsidRDefault="00B83354" w:rsidP="00BD2DE2">
            <w:pPr>
              <w:rPr>
                <w:rFonts w:cs="Times New Roman"/>
                <w:i/>
              </w:rPr>
            </w:pPr>
            <w:r w:rsidRPr="00B142C3">
              <w:rPr>
                <w:rFonts w:cs="Times New Roman"/>
                <w:i/>
              </w:rPr>
              <w:t>Last three relative effectiveness assessments of the Common Drug Review (CDR) process that at the time of retrieval (13/04/2020) included a Clinical Review Report and a Drug Expert Committee Recommendation.</w:t>
            </w:r>
          </w:p>
          <w:p w14:paraId="1567123A" w14:textId="77777777" w:rsidR="00B83354" w:rsidRPr="00B142C3" w:rsidRDefault="00B83354" w:rsidP="00BD2DE2">
            <w:pPr>
              <w:numPr>
                <w:ilvl w:val="0"/>
                <w:numId w:val="9"/>
              </w:numPr>
              <w:spacing w:line="240" w:lineRule="auto"/>
              <w:contextualSpacing/>
              <w:rPr>
                <w:rFonts w:cs="Times New Roman"/>
                <w:iCs/>
              </w:rPr>
            </w:pPr>
            <w:r w:rsidRPr="00B142C3">
              <w:rPr>
                <w:rFonts w:cs="Times New Roman"/>
                <w:iCs/>
              </w:rPr>
              <w:t>Canadian Agency for Drugs and Technologies in Health (CADTH), “CADTH Common Drug Review - TAFAMIDIS (</w:t>
            </w:r>
            <w:proofErr w:type="spellStart"/>
            <w:r w:rsidRPr="00B142C3">
              <w:rPr>
                <w:rFonts w:cs="Times New Roman"/>
                <w:iCs/>
              </w:rPr>
              <w:t>Vyndaqel</w:t>
            </w:r>
            <w:proofErr w:type="spellEnd"/>
            <w:r w:rsidRPr="00B142C3">
              <w:rPr>
                <w:rFonts w:cs="Times New Roman"/>
                <w:iCs/>
              </w:rPr>
              <w:t>) Clinical Review Report,” 2020.</w:t>
            </w:r>
          </w:p>
          <w:p w14:paraId="2E32FDC2" w14:textId="77777777" w:rsidR="00B83354" w:rsidRPr="00B142C3" w:rsidRDefault="00B83354" w:rsidP="00BD2DE2">
            <w:pPr>
              <w:numPr>
                <w:ilvl w:val="0"/>
                <w:numId w:val="9"/>
              </w:numPr>
              <w:spacing w:line="240" w:lineRule="auto"/>
              <w:contextualSpacing/>
              <w:rPr>
                <w:rFonts w:cs="Times New Roman"/>
                <w:iCs/>
              </w:rPr>
            </w:pPr>
            <w:r w:rsidRPr="00B142C3">
              <w:rPr>
                <w:rFonts w:cs="Times New Roman"/>
                <w:iCs/>
              </w:rPr>
              <w:t xml:space="preserve">Canadian Agency for Drugs and Technologies in Health (CADTH), “CADTH Common Drug Review- CADTH Canadian Drug Expert Committee Recommendation (Final): </w:t>
            </w:r>
            <w:proofErr w:type="spellStart"/>
            <w:r w:rsidRPr="00B142C3">
              <w:rPr>
                <w:rFonts w:cs="Times New Roman"/>
                <w:iCs/>
              </w:rPr>
              <w:t>Tafamidis</w:t>
            </w:r>
            <w:proofErr w:type="spellEnd"/>
            <w:r w:rsidRPr="00B142C3">
              <w:rPr>
                <w:rFonts w:cs="Times New Roman"/>
                <w:iCs/>
              </w:rPr>
              <w:t xml:space="preserve"> Meglumine (</w:t>
            </w:r>
            <w:proofErr w:type="spellStart"/>
            <w:r w:rsidRPr="00B142C3">
              <w:rPr>
                <w:rFonts w:cs="Times New Roman"/>
                <w:iCs/>
              </w:rPr>
              <w:t>Vyndaqel</w:t>
            </w:r>
            <w:proofErr w:type="spellEnd"/>
            <w:r w:rsidRPr="00B142C3">
              <w:rPr>
                <w:rFonts w:cs="Times New Roman"/>
                <w:iCs/>
              </w:rPr>
              <w:t xml:space="preserve"> – Pfizer Canada ULC),” 2020. [Online]. Available: https://cadth.ca/sites/default/files/cdr/complete/SR0625 </w:t>
            </w:r>
            <w:proofErr w:type="spellStart"/>
            <w:r w:rsidRPr="00B142C3">
              <w:rPr>
                <w:rFonts w:cs="Times New Roman"/>
                <w:iCs/>
              </w:rPr>
              <w:t>Vyndaqel</w:t>
            </w:r>
            <w:proofErr w:type="spellEnd"/>
            <w:r w:rsidRPr="00B142C3">
              <w:rPr>
                <w:rFonts w:cs="Times New Roman"/>
                <w:iCs/>
              </w:rPr>
              <w:t xml:space="preserve"> - CDEC </w:t>
            </w:r>
            <w:proofErr w:type="gramStart"/>
            <w:r w:rsidRPr="00B142C3">
              <w:rPr>
                <w:rFonts w:cs="Times New Roman"/>
                <w:iCs/>
              </w:rPr>
              <w:t>Final  Recommendation</w:t>
            </w:r>
            <w:proofErr w:type="gramEnd"/>
            <w:r w:rsidRPr="00B142C3">
              <w:rPr>
                <w:rFonts w:cs="Times New Roman"/>
                <w:iCs/>
              </w:rPr>
              <w:t xml:space="preserve"> February 20%2C 2020 for posting.pdf.</w:t>
            </w:r>
          </w:p>
          <w:p w14:paraId="753DC846" w14:textId="77777777" w:rsidR="00B83354" w:rsidRPr="00B142C3" w:rsidRDefault="00B83354" w:rsidP="00BD2DE2">
            <w:pPr>
              <w:numPr>
                <w:ilvl w:val="0"/>
                <w:numId w:val="9"/>
              </w:numPr>
              <w:spacing w:line="240" w:lineRule="auto"/>
              <w:contextualSpacing/>
              <w:rPr>
                <w:rFonts w:cs="Times New Roman"/>
                <w:iCs/>
              </w:rPr>
            </w:pPr>
            <w:r w:rsidRPr="00B142C3">
              <w:rPr>
                <w:rFonts w:cs="Times New Roman"/>
                <w:iCs/>
              </w:rPr>
              <w:t>Canadian Agency for Drugs and Technologies in Health (CADTH), “CADTH Common Drug Review- CADTH Canadian Drug Expert Committee Recommendation (Final): Vortioxetine (Trintellix — Lundbeck Canada Inc.),” 2020. [Online]. Available: https://www.cadth.ca/sites/default/files/cdr/complete/SR0611 Trintellix - Final CDEC Recommendation February 14%2C 2020_For posting.pdf.</w:t>
            </w:r>
          </w:p>
          <w:p w14:paraId="5E392C99" w14:textId="77777777" w:rsidR="00B83354" w:rsidRPr="00B142C3" w:rsidRDefault="00B83354" w:rsidP="00BD2DE2">
            <w:pPr>
              <w:numPr>
                <w:ilvl w:val="0"/>
                <w:numId w:val="9"/>
              </w:numPr>
              <w:spacing w:line="240" w:lineRule="auto"/>
              <w:contextualSpacing/>
              <w:rPr>
                <w:rFonts w:cs="Times New Roman"/>
                <w:iCs/>
              </w:rPr>
            </w:pPr>
            <w:r w:rsidRPr="00B142C3">
              <w:rPr>
                <w:rFonts w:cs="Times New Roman"/>
                <w:iCs/>
              </w:rPr>
              <w:t>Canadian Agency for Drugs and Technologies in Health (CADTH), “CADTH Common Drug Review - Clinical Review Report Vortioxetine Hydrobromide (Trintellix),” 2020. [Online]. Available: https://cadth.ca/sites/default/files/cdr/clinical/sr0611-trintellix-clinical-review-report.pdf.</w:t>
            </w:r>
          </w:p>
          <w:p w14:paraId="5270DD7F" w14:textId="77777777" w:rsidR="00B83354" w:rsidRPr="00B142C3" w:rsidRDefault="00B83354" w:rsidP="00BD2DE2">
            <w:pPr>
              <w:numPr>
                <w:ilvl w:val="0"/>
                <w:numId w:val="9"/>
              </w:numPr>
              <w:spacing w:line="240" w:lineRule="auto"/>
              <w:contextualSpacing/>
              <w:rPr>
                <w:rFonts w:cs="Times New Roman"/>
                <w:iCs/>
              </w:rPr>
            </w:pPr>
            <w:r w:rsidRPr="00B142C3">
              <w:rPr>
                <w:rFonts w:cs="Times New Roman"/>
                <w:iCs/>
              </w:rPr>
              <w:t>Canadian Agency for Drugs and Technologies in Health (CADTH), “CADTH Common Drug Review- CADTH Canadian Drug Expert Committee Recommendation (Final): Upadacitinib (</w:t>
            </w:r>
            <w:proofErr w:type="spellStart"/>
            <w:r w:rsidRPr="00B142C3">
              <w:rPr>
                <w:rFonts w:cs="Times New Roman"/>
                <w:iCs/>
              </w:rPr>
              <w:t>Rinvoq</w:t>
            </w:r>
            <w:proofErr w:type="spellEnd"/>
            <w:r w:rsidRPr="00B142C3">
              <w:rPr>
                <w:rFonts w:cs="Times New Roman"/>
                <w:iCs/>
              </w:rPr>
              <w:t xml:space="preserve"> — AbbVie),” 2020. [Online]. Available: https://www.cadth.ca/sites/default/files/cdr/complete/SR0614 </w:t>
            </w:r>
            <w:proofErr w:type="spellStart"/>
            <w:r w:rsidRPr="00B142C3">
              <w:rPr>
                <w:rFonts w:cs="Times New Roman"/>
                <w:iCs/>
              </w:rPr>
              <w:t>Rinvoq</w:t>
            </w:r>
            <w:proofErr w:type="spellEnd"/>
            <w:r w:rsidRPr="00B142C3">
              <w:rPr>
                <w:rFonts w:cs="Times New Roman"/>
                <w:iCs/>
              </w:rPr>
              <w:t xml:space="preserve"> - CDEC Final Recommendation February 6%2C 2020_for posting.pdf.</w:t>
            </w:r>
          </w:p>
          <w:p w14:paraId="21F0AAA0" w14:textId="28A7A357" w:rsidR="00B83354" w:rsidRPr="004E38B2" w:rsidRDefault="00B83354" w:rsidP="004E38B2">
            <w:pPr>
              <w:numPr>
                <w:ilvl w:val="0"/>
                <w:numId w:val="9"/>
              </w:numPr>
              <w:spacing w:line="240" w:lineRule="auto"/>
              <w:contextualSpacing/>
              <w:rPr>
                <w:rFonts w:cs="Times New Roman"/>
                <w:iCs/>
              </w:rPr>
            </w:pPr>
            <w:r w:rsidRPr="00B142C3">
              <w:rPr>
                <w:rFonts w:cs="Times New Roman"/>
                <w:iCs/>
              </w:rPr>
              <w:t>Canadian Agency for Drugs and Technologies in Health (CADTH), “CADTH Common Drug Review - Clinical Review Report Upadacitinib (</w:t>
            </w:r>
            <w:proofErr w:type="spellStart"/>
            <w:r w:rsidRPr="00B142C3">
              <w:rPr>
                <w:rFonts w:cs="Times New Roman"/>
                <w:iCs/>
              </w:rPr>
              <w:t>Rinvoq</w:t>
            </w:r>
            <w:proofErr w:type="spellEnd"/>
            <w:r w:rsidRPr="00B142C3">
              <w:rPr>
                <w:rFonts w:cs="Times New Roman"/>
                <w:iCs/>
              </w:rPr>
              <w:t>),” 2020. [Online]. Available: https://www.cadth.ca/sites/default/files/cdr/clinical/sr0614-rinvoq-clinical-review-report.pdf.</w:t>
            </w:r>
          </w:p>
        </w:tc>
      </w:tr>
    </w:tbl>
    <w:p w14:paraId="13291249" w14:textId="77777777" w:rsidR="00B83354" w:rsidRPr="00B142C3" w:rsidRDefault="00B83354" w:rsidP="00B83354">
      <w:pPr>
        <w:tabs>
          <w:tab w:val="left" w:pos="7764"/>
        </w:tabs>
        <w:jc w:val="both"/>
        <w:rPr>
          <w:rFonts w:cs="Times New Roman"/>
          <w:b/>
          <w:bCs/>
          <w:iCs/>
          <w:color w:val="000000"/>
        </w:rPr>
      </w:pPr>
    </w:p>
    <w:p w14:paraId="29AF236F" w14:textId="77777777" w:rsidR="00B83354" w:rsidRPr="00B142C3" w:rsidRDefault="00B83354" w:rsidP="00B83354">
      <w:pPr>
        <w:tabs>
          <w:tab w:val="left" w:pos="7764"/>
        </w:tabs>
        <w:ind w:firstLine="709"/>
        <w:jc w:val="both"/>
        <w:rPr>
          <w:rFonts w:cs="Times New Roman"/>
          <w:iCs/>
          <w:color w:val="000000"/>
          <w:lang w:val="en-US"/>
        </w:rPr>
      </w:pPr>
      <w:r w:rsidRPr="00B142C3">
        <w:rPr>
          <w:rFonts w:cs="Times New Roman"/>
          <w:iCs/>
          <w:color w:val="000000"/>
          <w:lang w:val="en-US"/>
        </w:rPr>
        <w:t xml:space="preserve">A report published by CADTH on quality assessment of evidence </w:t>
      </w:r>
      <w:sdt>
        <w:sdtPr>
          <w:rPr>
            <w:rFonts w:cs="Times New Roman"/>
            <w:iCs/>
            <w:color w:val="000000"/>
            <w:lang w:val="en-US"/>
          </w:rPr>
          <w:tag w:val="MENDELEY_CITATION_5067b86d-7587-4fe6-a84b-147ed3ec10c9"/>
          <w:id w:val="-1012536454"/>
          <w:placeholder>
            <w:docPart w:val="D69E3F54B41547D8A6353695082F624A"/>
          </w:placeholder>
        </w:sdtPr>
        <w:sdtEndPr/>
        <w:sdtContent>
          <w:r w:rsidRPr="00B142C3">
            <w:rPr>
              <w:rFonts w:cs="Times New Roman"/>
              <w:iCs/>
              <w:color w:val="000000"/>
              <w:lang w:val="en-US"/>
            </w:rPr>
            <w:t>(49)</w:t>
          </w:r>
        </w:sdtContent>
      </w:sdt>
      <w:r w:rsidRPr="00B142C3">
        <w:rPr>
          <w:rFonts w:cs="Times New Roman"/>
          <w:iCs/>
          <w:color w:val="000000"/>
          <w:lang w:val="en-US"/>
        </w:rPr>
        <w:t xml:space="preserve"> defines the terms ‘quality’ and ‘strength of a body of evidence’. Quality refers to individual studies and is used as a synonym to internal validity (related to design, conduct, analysis / selection, </w:t>
      </w:r>
      <w:proofErr w:type="gramStart"/>
      <w:r w:rsidRPr="00B142C3">
        <w:rPr>
          <w:rFonts w:cs="Times New Roman"/>
          <w:iCs/>
          <w:color w:val="000000"/>
          <w:lang w:val="en-US"/>
        </w:rPr>
        <w:t>measurement</w:t>
      </w:r>
      <w:proofErr w:type="gramEnd"/>
      <w:r w:rsidRPr="00B142C3">
        <w:rPr>
          <w:rFonts w:cs="Times New Roman"/>
          <w:iCs/>
          <w:color w:val="000000"/>
          <w:lang w:val="en-US"/>
        </w:rPr>
        <w:t xml:space="preserve"> and confounding biases)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xml:space="preserve">) </w:t>
      </w:r>
      <w:r w:rsidRPr="00B142C3">
        <w:rPr>
          <w:rFonts w:cs="Times New Roman"/>
          <w:iCs/>
          <w:color w:val="000000"/>
          <w:lang w:val="en-US"/>
        </w:rPr>
        <w:t xml:space="preserve">following the guidelines of the US Agency for Healthcare Research and Quality (AHRQ) published in 2002 </w:t>
      </w:r>
      <w:sdt>
        <w:sdtPr>
          <w:rPr>
            <w:rFonts w:cs="Times New Roman"/>
            <w:iCs/>
            <w:color w:val="000000"/>
            <w:lang w:val="en-US"/>
          </w:rPr>
          <w:tag w:val="MENDELEY_CITATION_5606523b-f77f-481b-8262-5c437bce41ad"/>
          <w:id w:val="-1435813116"/>
          <w:placeholder>
            <w:docPart w:val="D69E3F54B41547D8A6353695082F624A"/>
          </w:placeholder>
        </w:sdtPr>
        <w:sdtEndPr/>
        <w:sdtContent>
          <w:r w:rsidRPr="00B142C3">
            <w:rPr>
              <w:rFonts w:cs="Times New Roman"/>
              <w:iCs/>
              <w:color w:val="000000"/>
              <w:lang w:val="en-US"/>
            </w:rPr>
            <w:t>(50)</w:t>
          </w:r>
        </w:sdtContent>
      </w:sdt>
      <w:r w:rsidRPr="00B142C3">
        <w:rPr>
          <w:rFonts w:cs="Times New Roman"/>
          <w:iCs/>
          <w:color w:val="000000"/>
          <w:lang w:val="en-US"/>
        </w:rPr>
        <w:t xml:space="preserve">. AMSTAR and SIGN 50 are the ‘quality assessment instruments’ used to assess internal validity, depending on the study design. The ‘strength of a body of evidence’ refers to the size of the estimated risk and its accompanying confidence intervals, again following the definitions of the AHRQ. It is comprised of three major domains: (1) quality, that has the </w:t>
      </w:r>
      <w:r w:rsidRPr="00B142C3">
        <w:rPr>
          <w:rFonts w:cs="Times New Roman"/>
          <w:iCs/>
          <w:color w:val="000000"/>
          <w:lang w:val="en-US"/>
        </w:rPr>
        <w:lastRenderedPageBreak/>
        <w:t xml:space="preserve">abovementioned definition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w:t>
      </w:r>
      <w:r w:rsidRPr="00B142C3">
        <w:rPr>
          <w:rFonts w:cs="Times New Roman"/>
          <w:iCs/>
          <w:color w:val="000000"/>
          <w:lang w:val="en-US"/>
        </w:rPr>
        <w:t xml:space="preserve">, (2) quantity, meaning the number of studies evaluating the question, sample size, magnitude of treatment effect </w:t>
      </w:r>
      <w:r w:rsidRPr="00B142C3">
        <w:rPr>
          <w:rFonts w:cs="Times New Roman"/>
          <w:iCs/>
        </w:rPr>
        <w:t>(</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w:t>
      </w:r>
      <w:r w:rsidRPr="00B142C3">
        <w:rPr>
          <w:rFonts w:cs="Times New Roman"/>
          <w:b/>
          <w:bCs/>
          <w:iCs/>
          <w:color w:val="439729"/>
        </w:rPr>
        <w:t xml:space="preserve">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xml:space="preserve">) </w:t>
      </w:r>
      <w:r w:rsidRPr="00B142C3">
        <w:rPr>
          <w:rFonts w:cs="Times New Roman"/>
          <w:iCs/>
          <w:color w:val="000000"/>
          <w:lang w:val="en-US"/>
        </w:rPr>
        <w:t xml:space="preserve">and (3) consistency of findings </w:t>
      </w:r>
      <w:r w:rsidRPr="00B142C3">
        <w:rPr>
          <w:rFonts w:cs="Times New Roman"/>
          <w:iCs/>
        </w:rPr>
        <w:t>(</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w:t>
      </w:r>
      <w:r w:rsidRPr="00B142C3">
        <w:rPr>
          <w:rFonts w:cs="Times New Roman"/>
          <w:iCs/>
          <w:color w:val="000000"/>
          <w:lang w:val="en-US"/>
        </w:rPr>
        <w:t>.</w:t>
      </w:r>
    </w:p>
    <w:p w14:paraId="3EEF138B" w14:textId="74BAAC2C" w:rsidR="00B83354" w:rsidRPr="00B142C3" w:rsidRDefault="00B83354" w:rsidP="00B83354">
      <w:pPr>
        <w:tabs>
          <w:tab w:val="left" w:pos="7764"/>
        </w:tabs>
        <w:ind w:firstLine="709"/>
        <w:jc w:val="both"/>
        <w:rPr>
          <w:rFonts w:cs="Times New Roman"/>
          <w:iCs/>
          <w:color w:val="000000"/>
          <w:lang w:val="en-US"/>
        </w:rPr>
      </w:pPr>
      <w:r w:rsidRPr="00B142C3">
        <w:rPr>
          <w:rFonts w:cs="Times New Roman"/>
          <w:iCs/>
          <w:color w:val="000000"/>
          <w:lang w:val="en-US"/>
        </w:rPr>
        <w:t xml:space="preserve">According to the ‘Quality Assessment Tools’ (QAT) project carried out in 2012 by CADTH </w:t>
      </w:r>
      <w:sdt>
        <w:sdtPr>
          <w:rPr>
            <w:rFonts w:cs="Times New Roman"/>
            <w:iCs/>
            <w:color w:val="000000"/>
            <w:lang w:val="en-US"/>
          </w:rPr>
          <w:tag w:val="MENDELEY_CITATION_dde54705-e8d9-48be-8730-1351b52d2b47"/>
          <w:id w:val="2092885358"/>
          <w:placeholder>
            <w:docPart w:val="2F6F041252F24542B693E393F1C8A01B"/>
          </w:placeholder>
        </w:sdtPr>
        <w:sdtEndPr/>
        <w:sdtContent>
          <w:r w:rsidRPr="00B142C3">
            <w:rPr>
              <w:rFonts w:cs="Times New Roman"/>
              <w:iCs/>
              <w:color w:val="000000"/>
              <w:lang w:val="en-US"/>
            </w:rPr>
            <w:t>(51)</w:t>
          </w:r>
        </w:sdtContent>
      </w:sdt>
      <w:r w:rsidRPr="00B142C3">
        <w:rPr>
          <w:rFonts w:cs="Times New Roman"/>
          <w:iCs/>
          <w:color w:val="000000"/>
          <w:lang w:val="en-US"/>
        </w:rPr>
        <w:t xml:space="preserve"> </w:t>
      </w:r>
      <w:proofErr w:type="gramStart"/>
      <w:r w:rsidRPr="00B142C3">
        <w:rPr>
          <w:rFonts w:cs="Times New Roman"/>
          <w:iCs/>
          <w:color w:val="000000"/>
          <w:lang w:val="en-US"/>
        </w:rPr>
        <w:t>in order to</w:t>
      </w:r>
      <w:proofErr w:type="gramEnd"/>
      <w:r w:rsidRPr="00B142C3">
        <w:rPr>
          <w:rFonts w:cs="Times New Roman"/>
          <w:iCs/>
          <w:color w:val="000000"/>
          <w:lang w:val="en-US"/>
        </w:rPr>
        <w:t xml:space="preserve"> make a choice for an ‘evidence grading system’, GRADE was selected as the QAT of choice. However, </w:t>
      </w:r>
      <w:r w:rsidR="00B92AA3">
        <w:rPr>
          <w:rFonts w:cs="Times New Roman"/>
          <w:iCs/>
          <w:color w:val="000000"/>
          <w:lang w:val="en-US"/>
        </w:rPr>
        <w:t>after consulting with</w:t>
      </w:r>
      <w:r w:rsidR="00EB15AB">
        <w:rPr>
          <w:rFonts w:cs="Times New Roman"/>
          <w:iCs/>
          <w:color w:val="000000"/>
          <w:lang w:val="en-US"/>
        </w:rPr>
        <w:t xml:space="preserve"> a</w:t>
      </w:r>
      <w:r w:rsidR="00B92AA3">
        <w:rPr>
          <w:rFonts w:cs="Times New Roman"/>
          <w:iCs/>
          <w:color w:val="000000"/>
          <w:lang w:val="en-US"/>
        </w:rPr>
        <w:t xml:space="preserve"> CADTH representative it was verified to us that the above repo</w:t>
      </w:r>
      <w:r w:rsidR="00BD2DE2">
        <w:rPr>
          <w:rFonts w:cs="Times New Roman"/>
          <w:iCs/>
          <w:color w:val="000000"/>
          <w:lang w:val="en-US"/>
        </w:rPr>
        <w:t>rt does not describe the current way of practice of</w:t>
      </w:r>
      <w:r w:rsidR="00E03219">
        <w:rPr>
          <w:rFonts w:cs="Times New Roman"/>
          <w:iCs/>
          <w:color w:val="000000"/>
          <w:lang w:val="en-US"/>
        </w:rPr>
        <w:t xml:space="preserve"> the organization</w:t>
      </w:r>
      <w:r w:rsidRPr="00B142C3">
        <w:rPr>
          <w:rFonts w:cs="Times New Roman"/>
          <w:iCs/>
          <w:color w:val="000000"/>
          <w:lang w:val="en-US"/>
        </w:rPr>
        <w:t xml:space="preserve">. </w:t>
      </w:r>
      <w:r w:rsidR="00113578">
        <w:rPr>
          <w:rFonts w:cs="Times New Roman"/>
          <w:iCs/>
          <w:color w:val="000000"/>
          <w:lang w:val="en-US"/>
        </w:rPr>
        <w:t xml:space="preserve">Instead, </w:t>
      </w:r>
      <w:r w:rsidR="00FD0162">
        <w:rPr>
          <w:rFonts w:cs="Times New Roman"/>
          <w:iCs/>
          <w:color w:val="000000"/>
          <w:lang w:val="en-US"/>
        </w:rPr>
        <w:t>evaluations are</w:t>
      </w:r>
      <w:r w:rsidR="00113578">
        <w:rPr>
          <w:rFonts w:cs="Times New Roman"/>
          <w:iCs/>
          <w:color w:val="000000"/>
          <w:lang w:val="en-US"/>
        </w:rPr>
        <w:t xml:space="preserve"> based on an (undisclosed) annotated </w:t>
      </w:r>
      <w:r w:rsidR="00FD0162">
        <w:rPr>
          <w:rFonts w:cs="Times New Roman"/>
          <w:iCs/>
          <w:color w:val="000000"/>
          <w:lang w:val="en-US"/>
        </w:rPr>
        <w:t>document</w:t>
      </w:r>
      <w:r w:rsidR="00113578">
        <w:rPr>
          <w:rFonts w:cs="Times New Roman"/>
          <w:iCs/>
          <w:color w:val="000000"/>
          <w:lang w:val="en-US"/>
        </w:rPr>
        <w:t xml:space="preserve">. </w:t>
      </w:r>
      <w:r w:rsidRPr="00B142C3">
        <w:rPr>
          <w:rFonts w:cs="Times New Roman"/>
          <w:iCs/>
          <w:color w:val="000000"/>
          <w:lang w:val="en-US"/>
        </w:rPr>
        <w:t xml:space="preserve">Regarding the Clinical Review of the Common Drug Review (CDR) or the Therapeutic Review processes, CADTH states that ‘authors appraise, analyze and interpret the clinical data to generate a reproducible, transparent and rigorous review of the available clinical evidence’ in its health technology management program guidelines </w:t>
      </w:r>
      <w:sdt>
        <w:sdtPr>
          <w:rPr>
            <w:rFonts w:cs="Times New Roman"/>
            <w:iCs/>
            <w:color w:val="000000"/>
            <w:lang w:val="en-US"/>
          </w:rPr>
          <w:tag w:val="MENDELEY_CITATION_b8c9772b-bd4d-4f8f-a817-608af56d2430"/>
          <w:id w:val="-1597544746"/>
          <w:placeholder>
            <w:docPart w:val="2F7BAB6119924B669CE5D9D550B0B504"/>
          </w:placeholder>
        </w:sdtPr>
        <w:sdtEndPr/>
        <w:sdtContent>
          <w:r w:rsidRPr="00B142C3">
            <w:rPr>
              <w:rFonts w:cs="Times New Roman"/>
              <w:iCs/>
              <w:color w:val="000000"/>
              <w:lang w:val="en-US"/>
            </w:rPr>
            <w:t>(52)</w:t>
          </w:r>
        </w:sdtContent>
      </w:sdt>
      <w:r w:rsidRPr="00B142C3">
        <w:rPr>
          <w:rFonts w:cs="Times New Roman"/>
          <w:iCs/>
          <w:color w:val="000000"/>
          <w:lang w:val="en-US"/>
        </w:rPr>
        <w:t xml:space="preserve"> or that ‘CADTH summarizes and critically appraises the relevant studies in the clinical report’  and documents ‘strengths and limitations with respect to both internal validity (…) and external validity’ in its drug reimbursement recommendation guidelines </w:t>
      </w:r>
      <w:sdt>
        <w:sdtPr>
          <w:rPr>
            <w:rFonts w:cs="Times New Roman"/>
            <w:iCs/>
            <w:color w:val="000000"/>
            <w:lang w:val="en-US"/>
          </w:rPr>
          <w:tag w:val="MENDELEY_CITATION_1236b49f-c33f-43e2-ac10-ad4e2e9c864d"/>
          <w:id w:val="617424510"/>
          <w:placeholder>
            <w:docPart w:val="D69E3F54B41547D8A6353695082F624A"/>
          </w:placeholder>
        </w:sdtPr>
        <w:sdtEndPr/>
        <w:sdtContent>
          <w:r w:rsidRPr="00B142C3">
            <w:rPr>
              <w:rFonts w:cs="Times New Roman"/>
              <w:iCs/>
              <w:color w:val="000000"/>
              <w:lang w:val="en-US"/>
            </w:rPr>
            <w:t>(53–58)</w:t>
          </w:r>
        </w:sdtContent>
      </w:sdt>
      <w:r w:rsidRPr="00B142C3">
        <w:rPr>
          <w:rFonts w:cs="Times New Roman"/>
          <w:iCs/>
          <w:color w:val="000000"/>
          <w:lang w:val="en-US"/>
        </w:rPr>
        <w:t xml:space="preserve">. </w:t>
      </w:r>
    </w:p>
    <w:p w14:paraId="74CD9A81" w14:textId="678D0717" w:rsidR="00B83354" w:rsidRPr="00B142C3" w:rsidRDefault="00B83354" w:rsidP="00B83354">
      <w:pPr>
        <w:tabs>
          <w:tab w:val="left" w:pos="7764"/>
        </w:tabs>
        <w:ind w:firstLine="709"/>
        <w:jc w:val="both"/>
        <w:rPr>
          <w:rFonts w:cs="Times New Roman"/>
          <w:iCs/>
          <w:color w:val="000000"/>
          <w:lang w:val="en-US"/>
        </w:rPr>
      </w:pPr>
      <w:r w:rsidRPr="00B142C3">
        <w:rPr>
          <w:rFonts w:cs="Times New Roman"/>
          <w:iCs/>
          <w:color w:val="000000"/>
          <w:lang w:val="en-US"/>
        </w:rPr>
        <w:t xml:space="preserve">Indeed, based on three recent assessments of the CDR process (or ‘product line’) included in this study </w:t>
      </w:r>
      <w:sdt>
        <w:sdtPr>
          <w:rPr>
            <w:rFonts w:cs="Times New Roman"/>
            <w:iCs/>
            <w:color w:val="000000"/>
            <w:lang w:val="en-US"/>
          </w:rPr>
          <w:tag w:val="MENDELEY_CITATION_117ad5a7-1a2b-44f7-8c46-86f22b1ac943"/>
          <w:id w:val="-1693919282"/>
          <w:placeholder>
            <w:docPart w:val="D69E3F54B41547D8A6353695082F624A"/>
          </w:placeholder>
        </w:sdtPr>
        <w:sdtEndPr/>
        <w:sdtContent>
          <w:r w:rsidRPr="00B142C3">
            <w:rPr>
              <w:rFonts w:cs="Times New Roman"/>
              <w:iCs/>
              <w:color w:val="000000"/>
              <w:lang w:val="en-US"/>
            </w:rPr>
            <w:t>(59)</w:t>
          </w:r>
        </w:sdtContent>
      </w:sdt>
      <w:r w:rsidRPr="00B142C3">
        <w:rPr>
          <w:rFonts w:cs="Times New Roman"/>
          <w:iCs/>
          <w:color w:val="000000"/>
          <w:lang w:val="en-US"/>
        </w:rPr>
        <w:t xml:space="preserve">, internal and external validity are discussed in sections named ‘Critical Appraisal’ of the recommendation reports that follow the presentation of results of pivotal studies, indirect treatment comparisons and other relevant studies </w:t>
      </w:r>
      <w:proofErr w:type="gramStart"/>
      <w:r w:rsidRPr="00B142C3">
        <w:rPr>
          <w:rFonts w:cs="Times New Roman"/>
          <w:iCs/>
          <w:color w:val="000000"/>
          <w:lang w:val="en-US"/>
        </w:rPr>
        <w:t>taken into account</w:t>
      </w:r>
      <w:proofErr w:type="gramEnd"/>
      <w:r w:rsidRPr="00B142C3">
        <w:rPr>
          <w:rFonts w:cs="Times New Roman"/>
          <w:iCs/>
          <w:color w:val="000000"/>
          <w:lang w:val="en-US"/>
        </w:rPr>
        <w:t xml:space="preserve"> – as indicated in the ‘Clinical Review Report’ template </w:t>
      </w:r>
      <w:sdt>
        <w:sdtPr>
          <w:rPr>
            <w:rFonts w:cs="Times New Roman"/>
            <w:iCs/>
            <w:color w:val="000000"/>
            <w:lang w:val="en-US"/>
          </w:rPr>
          <w:tag w:val="MENDELEY_CITATION_5fc60216-a497-44f9-ac22-ea7329c1a129"/>
          <w:id w:val="-1239474953"/>
          <w:placeholder>
            <w:docPart w:val="D69E3F54B41547D8A6353695082F624A"/>
          </w:placeholder>
        </w:sdtPr>
        <w:sdtEndPr/>
        <w:sdtContent>
          <w:r w:rsidRPr="00B142C3">
            <w:rPr>
              <w:rFonts w:cs="Times New Roman"/>
              <w:iCs/>
              <w:color w:val="000000"/>
              <w:lang w:val="en-US"/>
            </w:rPr>
            <w:t>(7)</w:t>
          </w:r>
        </w:sdtContent>
      </w:sdt>
      <w:r w:rsidRPr="00B142C3">
        <w:rPr>
          <w:rFonts w:cs="Times New Roman"/>
          <w:iCs/>
          <w:color w:val="000000"/>
          <w:lang w:val="en-US"/>
        </w:rPr>
        <w:t>.</w:t>
      </w:r>
      <w:r w:rsidRPr="00B142C3">
        <w:rPr>
          <w:rFonts w:cs="Times New Roman"/>
          <w:iCs/>
          <w:color w:val="000000"/>
        </w:rPr>
        <w:t xml:space="preserve"> In these chapters, </w:t>
      </w:r>
      <w:r w:rsidRPr="00B142C3">
        <w:t>internal and external validity are being discussed</w:t>
      </w:r>
      <w:r w:rsidRPr="00B142C3">
        <w:rPr>
          <w:rFonts w:cs="Times New Roman"/>
          <w:iCs/>
          <w:color w:val="000000"/>
          <w:lang w:val="en-US"/>
        </w:rPr>
        <w:t xml:space="preserve"> in a narrative way. In the same assessments however, there is no reported reference to any ‘evidence assessment framework’ to conduct the abovementioned uncertainty or ‘strength of evidence’ assessments.</w:t>
      </w:r>
    </w:p>
    <w:p w14:paraId="0EAD2CFE" w14:textId="77777777" w:rsidR="00B83354" w:rsidRPr="00B142C3" w:rsidRDefault="00B83354" w:rsidP="00B83354">
      <w:pPr>
        <w:ind w:firstLine="720"/>
        <w:jc w:val="both"/>
        <w:rPr>
          <w:rFonts w:cs="Times New Roman"/>
          <w:iCs/>
        </w:rPr>
      </w:pPr>
      <w:r w:rsidRPr="00B142C3">
        <w:rPr>
          <w:rFonts w:cs="Times New Roman"/>
          <w:iCs/>
          <w:color w:val="000000"/>
          <w:lang w:val="en-US"/>
        </w:rPr>
        <w:t xml:space="preserve">Finally, CADTH also provides domains that ‘contribute to the uncertainty of clinical benefit’ in its ‘reimburse with conditions’ recommendation of the CDR process. These include the number of clinical studies, small sample sizes </w:t>
      </w:r>
      <w:r w:rsidRPr="00B142C3">
        <w:rPr>
          <w:rFonts w:cs="Times New Roman"/>
          <w:iCs/>
        </w:rPr>
        <w:t>(</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w:t>
      </w:r>
      <w:r w:rsidRPr="00B142C3">
        <w:rPr>
          <w:rFonts w:cs="Times New Roman"/>
          <w:iCs/>
          <w:color w:val="000000"/>
          <w:lang w:val="en-US"/>
        </w:rPr>
        <w:t>, the absence of comparator groups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w:t>
      </w:r>
      <w:r w:rsidRPr="00B142C3">
        <w:rPr>
          <w:rFonts w:cs="Times New Roman"/>
          <w:iCs/>
          <w:color w:val="000000"/>
          <w:lang w:val="en-US"/>
        </w:rPr>
        <w:t xml:space="preserve">, trial designs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w:t>
      </w:r>
      <w:r w:rsidRPr="00B142C3">
        <w:rPr>
          <w:rFonts w:cs="Times New Roman"/>
          <w:iCs/>
          <w:color w:val="000000"/>
          <w:lang w:val="en-US"/>
        </w:rPr>
        <w:t xml:space="preserve">, study durations or follow-up </w:t>
      </w:r>
      <w:r w:rsidRPr="00B142C3">
        <w:rPr>
          <w:rFonts w:cs="Times New Roman"/>
          <w:iCs/>
        </w:rPr>
        <w:t>(</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w:t>
      </w:r>
      <w:r w:rsidRPr="00B142C3">
        <w:rPr>
          <w:rFonts w:cs="Times New Roman"/>
          <w:iCs/>
          <w:color w:val="000000"/>
          <w:lang w:val="en-US"/>
        </w:rPr>
        <w:t xml:space="preserve">, the inability to distinguish disease severity in heterogeneous manifested rare diseases </w:t>
      </w:r>
      <w:r w:rsidRPr="00B142C3">
        <w:rPr>
          <w:rFonts w:cs="Times New Roman"/>
          <w:iCs/>
        </w:rPr>
        <w:t>(</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w:t>
      </w:r>
      <w:r w:rsidRPr="00B142C3">
        <w:rPr>
          <w:rFonts w:cs="Times New Roman"/>
          <w:iCs/>
          <w:color w:val="000000"/>
          <w:lang w:val="en-US"/>
        </w:rPr>
        <w:t>, limited to surrogate end points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w:t>
      </w:r>
      <w:r w:rsidRPr="00B142C3">
        <w:rPr>
          <w:rFonts w:cs="Times New Roman"/>
          <w:iCs/>
          <w:color w:val="000000"/>
          <w:lang w:val="en-US"/>
        </w:rPr>
        <w:t>, insufficient evidence on meaningful clinical end points (</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w:t>
      </w:r>
      <w:r w:rsidRPr="00B142C3">
        <w:rPr>
          <w:rFonts w:cs="Times New Roman"/>
          <w:iCs/>
          <w:color w:val="000000"/>
          <w:lang w:val="en-US"/>
        </w:rPr>
        <w:t xml:space="preserve"> and greater uncertainty in statistical analyses </w:t>
      </w:r>
      <w:r w:rsidRPr="00B142C3">
        <w:rPr>
          <w:rFonts w:cs="Times New Roman"/>
          <w:iCs/>
        </w:rPr>
        <w:t>(</w:t>
      </w:r>
      <w:r w:rsidRPr="00B142C3">
        <w:rPr>
          <w:rFonts w:cs="Times New Roman"/>
          <w:b/>
          <w:bCs/>
          <w:iCs/>
          <w:color w:val="439729"/>
        </w:rPr>
        <w:sym w:font="Wingdings" w:char="F0F2"/>
      </w:r>
      <w:proofErr w:type="spellStart"/>
      <w:r w:rsidRPr="00B142C3">
        <w:rPr>
          <w:rFonts w:cs="Times New Roman"/>
          <w:b/>
          <w:bCs/>
          <w:iCs/>
          <w:color w:val="439729"/>
        </w:rPr>
        <w:t>ImP</w:t>
      </w:r>
      <w:proofErr w:type="spellEnd"/>
      <w:r w:rsidRPr="00B142C3">
        <w:rPr>
          <w:rFonts w:cs="Times New Roman"/>
          <w:iCs/>
        </w:rPr>
        <w:t xml:space="preserve">). In this sense, uncertainty may also be implied in the final recommendation. </w:t>
      </w:r>
    </w:p>
    <w:p w14:paraId="24A3D5EE" w14:textId="77777777" w:rsidR="00B83354" w:rsidRPr="00B142C3" w:rsidRDefault="00B83354" w:rsidP="00B83354">
      <w:pPr>
        <w:jc w:val="both"/>
        <w:rPr>
          <w:rFonts w:cs="Times New Roman"/>
          <w:b/>
          <w:bCs/>
          <w:iCs/>
        </w:rPr>
      </w:pPr>
    </w:p>
    <w:p w14:paraId="01B32C1F" w14:textId="77777777" w:rsidR="000E77E8" w:rsidRDefault="000E77E8">
      <w:pPr>
        <w:spacing w:line="259" w:lineRule="auto"/>
        <w:rPr>
          <w:rFonts w:eastAsiaTheme="majorEastAsia" w:cstheme="majorBidi"/>
          <w:i/>
          <w:color w:val="000000" w:themeColor="text1"/>
          <w:szCs w:val="24"/>
        </w:rPr>
      </w:pPr>
      <w:r>
        <w:br w:type="page"/>
      </w:r>
    </w:p>
    <w:p w14:paraId="3C52D424" w14:textId="58DF1846" w:rsidR="00B83354" w:rsidRPr="00B142C3" w:rsidRDefault="00B83354" w:rsidP="00B83354">
      <w:pPr>
        <w:pStyle w:val="Heading3"/>
      </w:pPr>
      <w:r w:rsidRPr="00B142C3">
        <w:lastRenderedPageBreak/>
        <w:t xml:space="preserve">VII. </w:t>
      </w:r>
      <w:proofErr w:type="spellStart"/>
      <w:r w:rsidRPr="00B142C3">
        <w:t>EUnetHTA</w:t>
      </w:r>
      <w:proofErr w:type="spellEnd"/>
    </w:p>
    <w:tbl>
      <w:tblPr>
        <w:tblStyle w:val="TableGrid"/>
        <w:tblW w:w="0" w:type="auto"/>
        <w:tblLook w:val="04A0" w:firstRow="1" w:lastRow="0" w:firstColumn="1" w:lastColumn="0" w:noHBand="0" w:noVBand="1"/>
      </w:tblPr>
      <w:tblGrid>
        <w:gridCol w:w="9016"/>
      </w:tblGrid>
      <w:tr w:rsidR="00B83354" w:rsidRPr="00B142C3" w14:paraId="56E93B54" w14:textId="77777777" w:rsidTr="00BD2DE2">
        <w:tc>
          <w:tcPr>
            <w:tcW w:w="9016" w:type="dxa"/>
          </w:tcPr>
          <w:p w14:paraId="50A14A42" w14:textId="77777777" w:rsidR="00B83354" w:rsidRPr="00B142C3" w:rsidRDefault="00B83354" w:rsidP="00BD2DE2">
            <w:pPr>
              <w:jc w:val="both"/>
              <w:rPr>
                <w:rFonts w:cs="Times New Roman"/>
                <w:b/>
                <w:bCs/>
                <w:iCs/>
              </w:rPr>
            </w:pPr>
            <w:proofErr w:type="spellStart"/>
            <w:r w:rsidRPr="00B142C3">
              <w:rPr>
                <w:rFonts w:cs="Times New Roman"/>
                <w:b/>
                <w:bCs/>
                <w:iCs/>
              </w:rPr>
              <w:t>EUnetHTA</w:t>
            </w:r>
            <w:proofErr w:type="spellEnd"/>
            <w:r w:rsidRPr="00B142C3">
              <w:rPr>
                <w:rFonts w:cs="Times New Roman"/>
                <w:b/>
                <w:bCs/>
                <w:iCs/>
              </w:rPr>
              <w:t xml:space="preserve"> guidelines included:</w:t>
            </w:r>
          </w:p>
          <w:p w14:paraId="56AAB65E"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European Network for Health Technology Assessment (</w:t>
            </w:r>
            <w:proofErr w:type="spellStart"/>
            <w:r w:rsidRPr="00B142C3">
              <w:rPr>
                <w:rFonts w:eastAsia="Times New Roman" w:cs="Times New Roman"/>
              </w:rPr>
              <w:t>EUnetHTA</w:t>
            </w:r>
            <w:proofErr w:type="spellEnd"/>
            <w:r w:rsidRPr="00B142C3">
              <w:rPr>
                <w:rFonts w:eastAsia="Times New Roman" w:cs="Times New Roman"/>
              </w:rPr>
              <w:t>), “</w:t>
            </w:r>
            <w:proofErr w:type="spellStart"/>
            <w:r w:rsidRPr="00B142C3">
              <w:rPr>
                <w:rFonts w:eastAsia="Times New Roman" w:cs="Times New Roman"/>
              </w:rPr>
              <w:t>EUnetHTA</w:t>
            </w:r>
            <w:proofErr w:type="spellEnd"/>
            <w:r w:rsidRPr="00B142C3">
              <w:rPr>
                <w:rFonts w:eastAsia="Times New Roman" w:cs="Times New Roman"/>
              </w:rPr>
              <w:t xml:space="preserve"> Joint Action 2, Work Package 8. HTA Core Model ® version 3.0 (Pdf),” 2016. [Online]. Available: www.htacoremodel.info/BrowseModel.aspx. </w:t>
            </w:r>
          </w:p>
          <w:p w14:paraId="6E231FAB"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European Network for Health Technology Assessment (</w:t>
            </w:r>
            <w:proofErr w:type="spellStart"/>
            <w:r w:rsidRPr="00B142C3">
              <w:rPr>
                <w:rFonts w:eastAsia="Times New Roman" w:cs="Times New Roman"/>
              </w:rPr>
              <w:t>EUnetHTA</w:t>
            </w:r>
            <w:proofErr w:type="spellEnd"/>
            <w:r w:rsidRPr="00B142C3">
              <w:rPr>
                <w:rFonts w:eastAsia="Times New Roman" w:cs="Times New Roman"/>
              </w:rPr>
              <w:t>), “Levels of evidence: Internal validity of randomised controlled trials,” 2015. [Online]. Available: https://www.eunethta.eu/wp-content/uploads/2018/01/16_WP7-SG3-GL-int_val_RCTs_amend2015.pdf.</w:t>
            </w:r>
          </w:p>
          <w:p w14:paraId="5482D60F"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European Network for Health Technology Assessment (</w:t>
            </w:r>
            <w:proofErr w:type="spellStart"/>
            <w:r w:rsidRPr="00B142C3">
              <w:rPr>
                <w:rFonts w:eastAsia="Times New Roman" w:cs="Times New Roman"/>
              </w:rPr>
              <w:t>EUnetHTA</w:t>
            </w:r>
            <w:proofErr w:type="spellEnd"/>
            <w:r w:rsidRPr="00B142C3">
              <w:rPr>
                <w:rFonts w:eastAsia="Times New Roman" w:cs="Times New Roman"/>
              </w:rPr>
              <w:t>), “Internal validity of non-randomised studies (NRS) on interventions,” 2015. [Online]. Available: https://www.eunethta.eu/wp-content/uploads/2018/01/Internal-validity-of-non-randomised-studies-NRS-on-interventions_Guideline_Final-Jul-2015_0.pdf.</w:t>
            </w:r>
          </w:p>
          <w:p w14:paraId="3A5AEFDE" w14:textId="77777777" w:rsidR="00B83354" w:rsidRPr="00B142C3" w:rsidRDefault="00B83354" w:rsidP="00BD2DE2">
            <w:pPr>
              <w:numPr>
                <w:ilvl w:val="0"/>
                <w:numId w:val="5"/>
              </w:numPr>
              <w:spacing w:line="240" w:lineRule="auto"/>
              <w:contextualSpacing/>
              <w:rPr>
                <w:rFonts w:eastAsia="Times New Roman" w:cs="Times New Roman"/>
              </w:rPr>
            </w:pPr>
            <w:r w:rsidRPr="00B142C3">
              <w:rPr>
                <w:rFonts w:eastAsia="Times New Roman" w:cs="Times New Roman"/>
              </w:rPr>
              <w:t>European Network for Health Technology Assessment (</w:t>
            </w:r>
            <w:proofErr w:type="spellStart"/>
            <w:r w:rsidRPr="00B142C3">
              <w:rPr>
                <w:rFonts w:eastAsia="Times New Roman" w:cs="Times New Roman"/>
              </w:rPr>
              <w:t>EUnetHTA</w:t>
            </w:r>
            <w:proofErr w:type="spellEnd"/>
            <w:r w:rsidRPr="00B142C3">
              <w:rPr>
                <w:rFonts w:eastAsia="Times New Roman" w:cs="Times New Roman"/>
              </w:rPr>
              <w:t>), “Levels of evidence: Applicability of evidence for the context of a relative effectiveness assessment,” 2015. [Online]. Available: https://www.eunethta.eu/wp-content/uploads/2018/01/Levels-of-Evidence-Applicability-of-evidence-for-the-context-of-a-relative-effectiveness-assessment_Amended-JA1-Guideline_Final-Nov-2015.pdf.</w:t>
            </w:r>
          </w:p>
          <w:p w14:paraId="4DB0D923" w14:textId="77777777" w:rsidR="00B83354" w:rsidRPr="00B142C3" w:rsidRDefault="00B83354" w:rsidP="00BD2DE2">
            <w:pPr>
              <w:numPr>
                <w:ilvl w:val="0"/>
                <w:numId w:val="5"/>
              </w:numPr>
              <w:spacing w:line="240" w:lineRule="auto"/>
              <w:rPr>
                <w:rFonts w:cs="Times New Roman"/>
                <w:b/>
                <w:bCs/>
                <w:iCs/>
              </w:rPr>
            </w:pPr>
            <w:r w:rsidRPr="00B142C3">
              <w:rPr>
                <w:rFonts w:eastAsia="Times New Roman" w:cs="Times New Roman"/>
              </w:rPr>
              <w:t>European Network for Health Technology Assessment (</w:t>
            </w:r>
            <w:proofErr w:type="spellStart"/>
            <w:r w:rsidRPr="00B142C3">
              <w:rPr>
                <w:rFonts w:eastAsia="Times New Roman" w:cs="Times New Roman"/>
              </w:rPr>
              <w:t>EUnetHTA</w:t>
            </w:r>
            <w:proofErr w:type="spellEnd"/>
            <w:r w:rsidRPr="00B142C3">
              <w:rPr>
                <w:rFonts w:eastAsia="Times New Roman" w:cs="Times New Roman"/>
              </w:rPr>
              <w:t>), “Comparators &amp; Comparisons: Direct and indirect comparisons,” 2015. [Online]. Available: https://eunethta.eu/wp-content/uploads/2018/01/Comparators-Comparisons-Direct-and-indirect-comparisons_Amended-JA1-Guideline_Final-Nov-2015.pdf.</w:t>
            </w:r>
          </w:p>
          <w:p w14:paraId="1486E41E" w14:textId="77777777" w:rsidR="00B83354" w:rsidRPr="00B142C3" w:rsidRDefault="00B83354" w:rsidP="00BD2DE2">
            <w:pPr>
              <w:rPr>
                <w:rFonts w:cs="Times New Roman"/>
                <w:b/>
                <w:bCs/>
                <w:iCs/>
              </w:rPr>
            </w:pPr>
            <w:proofErr w:type="spellStart"/>
            <w:r w:rsidRPr="00B142C3">
              <w:rPr>
                <w:rFonts w:cs="Times New Roman"/>
                <w:b/>
                <w:bCs/>
                <w:iCs/>
              </w:rPr>
              <w:t>EUnetHTA</w:t>
            </w:r>
            <w:proofErr w:type="spellEnd"/>
            <w:r w:rsidRPr="00B142C3">
              <w:rPr>
                <w:rFonts w:cs="Times New Roman"/>
                <w:b/>
                <w:bCs/>
                <w:iCs/>
              </w:rPr>
              <w:t xml:space="preserve"> assessments included:</w:t>
            </w:r>
          </w:p>
          <w:p w14:paraId="15EA028E" w14:textId="77777777" w:rsidR="00B83354" w:rsidRPr="00B142C3" w:rsidRDefault="00B83354" w:rsidP="00BD2DE2">
            <w:pPr>
              <w:rPr>
                <w:rFonts w:cs="Times New Roman"/>
                <w:i/>
              </w:rPr>
            </w:pPr>
            <w:r w:rsidRPr="00B142C3">
              <w:rPr>
                <w:rFonts w:cs="Times New Roman"/>
                <w:i/>
              </w:rPr>
              <w:t>Last three relative effectiveness assessments at the time of retrieval (13/04/2020) that included a final assessment report:</w:t>
            </w:r>
          </w:p>
          <w:p w14:paraId="4D70C924" w14:textId="77777777" w:rsidR="00B83354" w:rsidRPr="00B142C3" w:rsidRDefault="00B83354" w:rsidP="00BD2DE2">
            <w:pPr>
              <w:numPr>
                <w:ilvl w:val="0"/>
                <w:numId w:val="14"/>
              </w:numPr>
              <w:spacing w:line="240" w:lineRule="auto"/>
              <w:contextualSpacing/>
              <w:rPr>
                <w:rFonts w:cs="Times New Roman"/>
                <w:iCs/>
              </w:rPr>
            </w:pPr>
            <w:proofErr w:type="spellStart"/>
            <w:r w:rsidRPr="00B142C3">
              <w:rPr>
                <w:rFonts w:cs="Times New Roman"/>
                <w:iCs/>
              </w:rPr>
              <w:t>Autoridade</w:t>
            </w:r>
            <w:proofErr w:type="spellEnd"/>
            <w:r w:rsidRPr="00B142C3">
              <w:rPr>
                <w:rFonts w:cs="Times New Roman"/>
                <w:iCs/>
              </w:rPr>
              <w:t xml:space="preserve"> Nacional do </w:t>
            </w:r>
            <w:proofErr w:type="spellStart"/>
            <w:r w:rsidRPr="00B142C3">
              <w:rPr>
                <w:rFonts w:cs="Times New Roman"/>
                <w:iCs/>
              </w:rPr>
              <w:t>Medicamento</w:t>
            </w:r>
            <w:proofErr w:type="spellEnd"/>
            <w:r w:rsidRPr="00B142C3">
              <w:rPr>
                <w:rFonts w:cs="Times New Roman"/>
                <w:iCs/>
              </w:rPr>
              <w:t xml:space="preserve"> e </w:t>
            </w:r>
            <w:proofErr w:type="spellStart"/>
            <w:r w:rsidRPr="00B142C3">
              <w:rPr>
                <w:rFonts w:cs="Times New Roman"/>
                <w:iCs/>
              </w:rPr>
              <w:t>Produtos</w:t>
            </w:r>
            <w:proofErr w:type="spellEnd"/>
            <w:r w:rsidRPr="00B142C3">
              <w:rPr>
                <w:rFonts w:cs="Times New Roman"/>
                <w:iCs/>
              </w:rPr>
              <w:t xml:space="preserve"> de </w:t>
            </w:r>
            <w:proofErr w:type="spellStart"/>
            <w:r w:rsidRPr="00B142C3">
              <w:rPr>
                <w:rFonts w:cs="Times New Roman"/>
                <w:iCs/>
              </w:rPr>
              <w:t>Saude</w:t>
            </w:r>
            <w:proofErr w:type="spellEnd"/>
            <w:r w:rsidRPr="00B142C3">
              <w:rPr>
                <w:rFonts w:cs="Times New Roman"/>
                <w:iCs/>
              </w:rPr>
              <w:t xml:space="preserve"> - Portugal and National Centre for Pharmacoeconomics - Ireland, “Relative effectiveness assessment of pharmaceutical technologies. Siponimod for the treatment of adult patients with secondary progressive multiple sclerosis (SPMS) with active disease evidenced by relapses or imaging features of inflammatory activity. Jo,” Diemen, (The Netherlands), 2020.</w:t>
            </w:r>
          </w:p>
          <w:p w14:paraId="7AE155D2" w14:textId="77777777" w:rsidR="00B83354" w:rsidRPr="00B142C3" w:rsidRDefault="00B83354" w:rsidP="00BD2DE2">
            <w:pPr>
              <w:numPr>
                <w:ilvl w:val="0"/>
                <w:numId w:val="14"/>
              </w:numPr>
              <w:spacing w:line="240" w:lineRule="auto"/>
              <w:contextualSpacing/>
              <w:rPr>
                <w:rFonts w:cs="Times New Roman"/>
                <w:iCs/>
              </w:rPr>
            </w:pPr>
            <w:r w:rsidRPr="00B142C3">
              <w:rPr>
                <w:rFonts w:cs="Times New Roman"/>
                <w:iCs/>
              </w:rPr>
              <w:t>Ministry of Health of the Republic of Croatia (MIZ Croatia) - Croatia, Agency for Health Technology Assessment and Tariff System (</w:t>
            </w:r>
            <w:proofErr w:type="spellStart"/>
            <w:r w:rsidRPr="00B142C3">
              <w:rPr>
                <w:rFonts w:cs="Times New Roman"/>
                <w:iCs/>
              </w:rPr>
              <w:t>AOTMiT</w:t>
            </w:r>
            <w:proofErr w:type="spellEnd"/>
            <w:r w:rsidRPr="00B142C3">
              <w:rPr>
                <w:rFonts w:cs="Times New Roman"/>
                <w:iCs/>
              </w:rPr>
              <w:t xml:space="preserve">) - Poland, and Dental and Pharmaceutical Benefits Agency (TLV), “Ustekinumab for the treatment of adult patients with moderately to severely active ulcerative colitis (UC) who have had an inadequate response with, lost response to, or were intolerant to either conventional therapy or have medical contraindications(...),” </w:t>
            </w:r>
            <w:proofErr w:type="spellStart"/>
            <w:r w:rsidRPr="00B142C3">
              <w:rPr>
                <w:rFonts w:cs="Times New Roman"/>
                <w:iCs/>
              </w:rPr>
              <w:t>EUnetHTA</w:t>
            </w:r>
            <w:proofErr w:type="spellEnd"/>
            <w:r w:rsidRPr="00B142C3">
              <w:rPr>
                <w:rFonts w:cs="Times New Roman"/>
                <w:iCs/>
              </w:rPr>
              <w:t xml:space="preserve"> Project ID: PTJA07. 2019.</w:t>
            </w:r>
          </w:p>
          <w:p w14:paraId="31A66123" w14:textId="77777777" w:rsidR="00B83354" w:rsidRPr="00B142C3" w:rsidRDefault="00B83354" w:rsidP="00BD2DE2">
            <w:pPr>
              <w:numPr>
                <w:ilvl w:val="0"/>
                <w:numId w:val="14"/>
              </w:numPr>
              <w:spacing w:line="240" w:lineRule="auto"/>
              <w:contextualSpacing/>
              <w:rPr>
                <w:rFonts w:cs="Times New Roman"/>
                <w:iCs/>
              </w:rPr>
            </w:pPr>
            <w:r w:rsidRPr="00B142C3">
              <w:rPr>
                <w:rFonts w:cs="Times New Roman"/>
                <w:iCs/>
              </w:rPr>
              <w:t xml:space="preserve">Finnish Medicines Agency (FIMEA) - Finland, Spanish Agency of Medicine and Sanitary Products (AEMPS) - Spain, and Association of Austrian Social Insurance Institutions (DVSV) - Austria, “Relative Effectiveness Assessment of pharmaceutical technologies. Brolucizumab for the treatment of adults with neovascular (wet) age-related macular degeneration (AMD). Joint Assessment.,” </w:t>
            </w:r>
            <w:proofErr w:type="spellStart"/>
            <w:r w:rsidRPr="00B142C3">
              <w:rPr>
                <w:rFonts w:cs="Times New Roman"/>
                <w:iCs/>
              </w:rPr>
              <w:t>EUnetHTA</w:t>
            </w:r>
            <w:proofErr w:type="spellEnd"/>
            <w:r w:rsidRPr="00B142C3">
              <w:rPr>
                <w:rFonts w:cs="Times New Roman"/>
                <w:iCs/>
              </w:rPr>
              <w:t xml:space="preserve"> Report No.: PTJA09. 2020. Available from: https //www.eunethta.eu, Diemen (The Netherlands).</w:t>
            </w:r>
          </w:p>
        </w:tc>
      </w:tr>
    </w:tbl>
    <w:p w14:paraId="4C95E785" w14:textId="77777777" w:rsidR="00B83354" w:rsidRPr="00B142C3" w:rsidRDefault="00B83354" w:rsidP="00B83354">
      <w:pPr>
        <w:jc w:val="both"/>
        <w:rPr>
          <w:rFonts w:cs="Times New Roman"/>
          <w:b/>
          <w:bCs/>
          <w:iCs/>
        </w:rPr>
      </w:pPr>
    </w:p>
    <w:p w14:paraId="2DDFC9A3" w14:textId="77777777" w:rsidR="00B83354" w:rsidRPr="00B142C3" w:rsidRDefault="00B83354" w:rsidP="00B83354">
      <w:pPr>
        <w:ind w:firstLine="720"/>
        <w:jc w:val="both"/>
        <w:rPr>
          <w:rFonts w:cs="Times New Roman"/>
          <w:iCs/>
          <w:color w:val="000000"/>
          <w:lang w:val="en-US"/>
        </w:rPr>
      </w:pPr>
      <w:r w:rsidRPr="00B142C3">
        <w:rPr>
          <w:rFonts w:cs="Times New Roman"/>
          <w:iCs/>
        </w:rPr>
        <w:t xml:space="preserve">The HTA Core Model guidelines of </w:t>
      </w:r>
      <w:proofErr w:type="spellStart"/>
      <w:r w:rsidRPr="00B142C3">
        <w:rPr>
          <w:rFonts w:cs="Times New Roman"/>
          <w:iCs/>
        </w:rPr>
        <w:t>EUnetHTA</w:t>
      </w:r>
      <w:proofErr w:type="spellEnd"/>
      <w:r w:rsidRPr="00B142C3">
        <w:rPr>
          <w:rFonts w:cs="Times New Roman"/>
          <w:iCs/>
        </w:rPr>
        <w:t xml:space="preserve"> </w:t>
      </w:r>
      <w:sdt>
        <w:sdtPr>
          <w:rPr>
            <w:rFonts w:cs="Times New Roman"/>
            <w:iCs/>
            <w:color w:val="000000"/>
          </w:rPr>
          <w:tag w:val="MENDELEY_CITATION_919caf20-844a-439b-a32f-3ec874d5425d"/>
          <w:id w:val="690964949"/>
          <w:placeholder>
            <w:docPart w:val="D69E3F54B41547D8A6353695082F624A"/>
          </w:placeholder>
        </w:sdtPr>
        <w:sdtEndPr/>
        <w:sdtContent>
          <w:r w:rsidRPr="00B142C3">
            <w:rPr>
              <w:rFonts w:cs="Times New Roman"/>
              <w:iCs/>
              <w:color w:val="000000"/>
            </w:rPr>
            <w:t>(61)</w:t>
          </w:r>
        </w:sdtContent>
      </w:sdt>
      <w:r w:rsidRPr="00B142C3">
        <w:rPr>
          <w:rFonts w:cs="Times New Roman"/>
          <w:iCs/>
        </w:rPr>
        <w:t xml:space="preserve"> describe nine domains that should be </w:t>
      </w:r>
      <w:proofErr w:type="gramStart"/>
      <w:r w:rsidRPr="00B142C3">
        <w:rPr>
          <w:rFonts w:cs="Times New Roman"/>
          <w:iCs/>
        </w:rPr>
        <w:t>taken into account</w:t>
      </w:r>
      <w:proofErr w:type="gramEnd"/>
      <w:r w:rsidRPr="00B142C3">
        <w:rPr>
          <w:rFonts w:cs="Times New Roman"/>
          <w:iCs/>
        </w:rPr>
        <w:t xml:space="preserve"> for health technology assessment, the fourth one being the clinical effectiveness (abbreviated as EFF). The goal of this domain is to assess the ‘net benefit’ (</w:t>
      </w:r>
      <w:proofErr w:type="gramStart"/>
      <w:r w:rsidRPr="00B142C3">
        <w:rPr>
          <w:rFonts w:cs="Times New Roman"/>
          <w:iCs/>
        </w:rPr>
        <w:t>i.e.</w:t>
      </w:r>
      <w:proofErr w:type="gramEnd"/>
      <w:r w:rsidRPr="00B142C3">
        <w:rPr>
          <w:rFonts w:cs="Times New Roman"/>
          <w:iCs/>
        </w:rPr>
        <w:t xml:space="preserve"> benefits – harms) as well as the ‘certainty of the evidence’. The reference of the term ‘certainty of the evidence’, which is of interest to us in this study, </w:t>
      </w:r>
      <w:r>
        <w:rPr>
          <w:rFonts w:cs="Times New Roman"/>
          <w:iCs/>
        </w:rPr>
        <w:t xml:space="preserve">is stated to </w:t>
      </w:r>
      <w:r w:rsidRPr="00B142C3">
        <w:rPr>
          <w:rFonts w:cs="Times New Roman"/>
          <w:iCs/>
        </w:rPr>
        <w:t xml:space="preserve">derive from the 2007 USPSTF guidelines </w:t>
      </w:r>
      <w:sdt>
        <w:sdtPr>
          <w:rPr>
            <w:rFonts w:cs="Times New Roman"/>
            <w:iCs/>
            <w:color w:val="000000"/>
          </w:rPr>
          <w:tag w:val="MENDELEY_CITATION_f7aab8a4-540a-4254-a2c3-c067405a5f45"/>
          <w:id w:val="1887361531"/>
          <w:placeholder>
            <w:docPart w:val="D69E3F54B41547D8A6353695082F624A"/>
          </w:placeholder>
        </w:sdtPr>
        <w:sdtEndPr/>
        <w:sdtContent>
          <w:r w:rsidRPr="00B142C3">
            <w:rPr>
              <w:rFonts w:cs="Times New Roman"/>
              <w:iCs/>
              <w:color w:val="000000"/>
            </w:rPr>
            <w:t>(10)</w:t>
          </w:r>
        </w:sdtContent>
      </w:sdt>
      <w:r w:rsidRPr="00B142C3">
        <w:rPr>
          <w:rFonts w:cs="Times New Roman"/>
          <w:iCs/>
        </w:rPr>
        <w:t xml:space="preserve"> (which has also been maintained in their latest updates of the guidelines </w:t>
      </w:r>
      <w:sdt>
        <w:sdtPr>
          <w:rPr>
            <w:rFonts w:cs="Times New Roman"/>
            <w:iCs/>
            <w:color w:val="000000"/>
          </w:rPr>
          <w:tag w:val="MENDELEY_CITATION_332ada22-10cf-4fa1-8d04-ae5a9a9873bd"/>
          <w:id w:val="-258447670"/>
          <w:placeholder>
            <w:docPart w:val="D69E3F54B41547D8A6353695082F624A"/>
          </w:placeholder>
        </w:sdtPr>
        <w:sdtEndPr/>
        <w:sdtContent>
          <w:r w:rsidRPr="00B142C3">
            <w:rPr>
              <w:rFonts w:cs="Times New Roman"/>
              <w:iCs/>
              <w:color w:val="000000"/>
            </w:rPr>
            <w:t>(62)</w:t>
          </w:r>
        </w:sdtContent>
      </w:sdt>
      <w:r w:rsidRPr="00B142C3">
        <w:rPr>
          <w:rFonts w:cs="Times New Roman"/>
          <w:iCs/>
          <w:color w:val="000000"/>
        </w:rPr>
        <w:t xml:space="preserve">) and can be viewed as a synonym </w:t>
      </w:r>
      <w:r w:rsidRPr="00B142C3">
        <w:rPr>
          <w:rFonts w:cs="Times New Roman"/>
          <w:iCs/>
          <w:color w:val="000000"/>
          <w:lang w:val="en-US"/>
        </w:rPr>
        <w:t xml:space="preserve">to </w:t>
      </w:r>
      <w:r w:rsidRPr="00B142C3">
        <w:rPr>
          <w:rFonts w:cs="Times New Roman"/>
          <w:iCs/>
          <w:color w:val="000000"/>
          <w:lang w:val="en-US"/>
        </w:rPr>
        <w:lastRenderedPageBreak/>
        <w:t>GRADE’s quality (or certainty)</w:t>
      </w:r>
      <w:r w:rsidRPr="00B142C3">
        <w:rPr>
          <w:rFonts w:cs="Times New Roman"/>
          <w:iCs/>
          <w:color w:val="000000"/>
        </w:rPr>
        <w:t xml:space="preserve"> </w:t>
      </w:r>
      <w:r w:rsidRPr="00B142C3">
        <w:rPr>
          <w:rFonts w:cs="Times New Roman"/>
          <w:iCs/>
          <w:color w:val="000000"/>
          <w:lang w:val="en-US"/>
        </w:rPr>
        <w:t xml:space="preserve">of evidence </w:t>
      </w:r>
      <w:sdt>
        <w:sdtPr>
          <w:rPr>
            <w:rFonts w:cs="Times New Roman"/>
            <w:iCs/>
            <w:color w:val="000000"/>
            <w:lang w:val="en-US"/>
          </w:rPr>
          <w:tag w:val="MENDELEY_CITATION_edf9e39b-ee56-420a-8772-c8a60fdcb121"/>
          <w:id w:val="76878888"/>
          <w:placeholder>
            <w:docPart w:val="D69E3F54B41547D8A6353695082F624A"/>
          </w:placeholder>
        </w:sdtPr>
        <w:sdtEndPr/>
        <w:sdtContent>
          <w:r w:rsidRPr="00B142C3">
            <w:rPr>
              <w:rFonts w:cs="Times New Roman"/>
              <w:iCs/>
              <w:color w:val="000000"/>
              <w:lang w:val="en-US"/>
            </w:rPr>
            <w:t>(63–65)</w:t>
          </w:r>
        </w:sdtContent>
      </w:sdt>
      <w:r w:rsidRPr="00B142C3">
        <w:rPr>
          <w:rFonts w:cs="Times New Roman"/>
          <w:iCs/>
          <w:color w:val="000000"/>
          <w:lang w:val="en-US"/>
        </w:rPr>
        <w:t xml:space="preserve">, having the same ‘umbrella term’ essence to it. The term ‘certainty of evidence’ is not further elaborated in the document. </w:t>
      </w:r>
    </w:p>
    <w:p w14:paraId="7D473067" w14:textId="77777777" w:rsidR="00B83354" w:rsidRPr="00B142C3" w:rsidRDefault="00B83354" w:rsidP="00B83354">
      <w:pPr>
        <w:ind w:firstLine="720"/>
        <w:jc w:val="both"/>
        <w:rPr>
          <w:rFonts w:cs="Times New Roman"/>
          <w:iCs/>
          <w:color w:val="000000"/>
          <w:lang w:val="en-US"/>
        </w:rPr>
      </w:pPr>
      <w:r w:rsidRPr="00B142C3">
        <w:rPr>
          <w:rFonts w:cs="Times New Roman"/>
          <w:iCs/>
          <w:color w:val="000000"/>
          <w:lang w:val="en-US"/>
        </w:rPr>
        <w:t xml:space="preserve">Although the USPSTF term is used above, later in the same guidelines there is a general urge to the GRADE approach for grading quality of evidence and strength of recommendations. However, this urge is expressed in a non-binding manner. This is further verified by looking into the three assessments included in this study </w:t>
      </w:r>
      <w:sdt>
        <w:sdtPr>
          <w:rPr>
            <w:rFonts w:cs="Times New Roman"/>
            <w:iCs/>
            <w:color w:val="000000"/>
            <w:lang w:val="en-US"/>
          </w:rPr>
          <w:tag w:val="MENDELEY_CITATION_c8bd026b-4610-4e2d-a511-780a3f30fec1"/>
          <w:id w:val="1979879457"/>
          <w:placeholder>
            <w:docPart w:val="D69E3F54B41547D8A6353695082F624A"/>
          </w:placeholder>
        </w:sdtPr>
        <w:sdtEndPr/>
        <w:sdtContent>
          <w:r w:rsidRPr="00B142C3">
            <w:rPr>
              <w:rFonts w:cs="Times New Roman"/>
              <w:iCs/>
              <w:color w:val="000000"/>
              <w:lang w:val="en-US"/>
            </w:rPr>
            <w:t>(66–68)</w:t>
          </w:r>
        </w:sdtContent>
      </w:sdt>
      <w:r w:rsidRPr="00B142C3">
        <w:rPr>
          <w:rFonts w:cs="Times New Roman"/>
          <w:iCs/>
          <w:color w:val="000000"/>
          <w:lang w:val="en-US"/>
        </w:rPr>
        <w:t xml:space="preserve">: while all three assessments </w:t>
      </w:r>
      <w:proofErr w:type="gramStart"/>
      <w:r w:rsidRPr="00B142C3">
        <w:rPr>
          <w:rFonts w:cs="Times New Roman"/>
          <w:iCs/>
          <w:color w:val="000000"/>
          <w:lang w:val="en-US"/>
        </w:rPr>
        <w:t>make reference</w:t>
      </w:r>
      <w:proofErr w:type="gramEnd"/>
      <w:r w:rsidRPr="00B142C3">
        <w:rPr>
          <w:rFonts w:cs="Times New Roman"/>
          <w:iCs/>
          <w:color w:val="000000"/>
          <w:lang w:val="en-US"/>
        </w:rPr>
        <w:t xml:space="preserve"> to the GRADE approach (either to state that they are following it or not) only one states to follow it to assess certainty of evidence.</w:t>
      </w:r>
    </w:p>
    <w:p w14:paraId="2F18D67B" w14:textId="77777777" w:rsidR="00B83354" w:rsidRPr="00B142C3" w:rsidRDefault="00B83354" w:rsidP="00B83354">
      <w:pPr>
        <w:ind w:firstLine="720"/>
        <w:jc w:val="both"/>
        <w:rPr>
          <w:rFonts w:cs="Times New Roman"/>
          <w:iCs/>
          <w:lang w:val="en-US"/>
        </w:rPr>
      </w:pPr>
      <w:r w:rsidRPr="00B142C3">
        <w:rPr>
          <w:rFonts w:cs="Times New Roman"/>
          <w:iCs/>
          <w:lang w:val="en-US"/>
        </w:rPr>
        <w:t>In the same guidelines document, t</w:t>
      </w:r>
      <w:r w:rsidRPr="00B142C3">
        <w:rPr>
          <w:rFonts w:cs="Times New Roman"/>
          <w:iCs/>
        </w:rPr>
        <w:t xml:space="preserve">here is a </w:t>
      </w:r>
      <w:r w:rsidRPr="00B142C3">
        <w:rPr>
          <w:rFonts w:cs="Times New Roman"/>
          <w:iCs/>
          <w:lang w:val="en-US"/>
        </w:rPr>
        <w:t>summary of the possible sources of uncertainty.</w:t>
      </w:r>
      <w:r w:rsidRPr="00B142C3">
        <w:rPr>
          <w:rFonts w:cs="Times New Roman"/>
          <w:iCs/>
          <w:color w:val="000000"/>
          <w:lang w:val="en-US"/>
        </w:rPr>
        <w:t xml:space="preserve"> The EFF domain</w:t>
      </w:r>
      <w:r w:rsidRPr="00B142C3">
        <w:rPr>
          <w:rFonts w:cs="Times New Roman"/>
          <w:iCs/>
          <w:color w:val="000000"/>
          <w:vertAlign w:val="superscript"/>
          <w:lang w:val="en-US"/>
        </w:rPr>
        <w:footnoteReference w:id="13"/>
      </w:r>
      <w:r w:rsidRPr="00B142C3">
        <w:rPr>
          <w:rFonts w:cs="Times New Roman"/>
          <w:iCs/>
          <w:color w:val="000000"/>
          <w:lang w:val="en-US"/>
        </w:rPr>
        <w:t xml:space="preserve"> refers to errors and biases as well as appraisal tools on a principles level. In the same section there is </w:t>
      </w:r>
      <w:r w:rsidRPr="00B142C3">
        <w:rPr>
          <w:rFonts w:cs="Times New Roman"/>
          <w:iCs/>
          <w:lang w:val="en-US"/>
        </w:rPr>
        <w:t xml:space="preserve">the explicit acknowledgement of the difference between ‘quality of evidence’ and ‘validity’ (or ‘risk of </w:t>
      </w:r>
      <w:proofErr w:type="spellStart"/>
      <w:r w:rsidRPr="00B142C3">
        <w:rPr>
          <w:rFonts w:cs="Times New Roman"/>
          <w:iCs/>
          <w:lang w:val="en-US"/>
        </w:rPr>
        <w:t>bias’</w:t>
      </w:r>
      <w:proofErr w:type="spellEnd"/>
      <w:r w:rsidRPr="00B142C3">
        <w:rPr>
          <w:rFonts w:cs="Times New Roman"/>
          <w:iCs/>
          <w:lang w:val="en-US"/>
        </w:rPr>
        <w:t xml:space="preserve">), with the first one having the essence that GRADE has assigned to it. The term ‘(methodological) quality of individual study’ is also used as a synonym to internal validity whereas the term ‘quality of the body of evidence’ is used in the sense that GRADE meant it. </w:t>
      </w:r>
      <w:r w:rsidRPr="00B142C3">
        <w:rPr>
          <w:rFonts w:cs="Times New Roman"/>
          <w:iCs/>
          <w:color w:val="000000"/>
          <w:lang w:val="en-US"/>
        </w:rPr>
        <w:t xml:space="preserve">The sources of bias in a systematic review can be found in the whole evidence base, on the individual study level or for individual endpoints in the single study level. </w:t>
      </w:r>
    </w:p>
    <w:p w14:paraId="66E8F849" w14:textId="77777777" w:rsidR="00B83354" w:rsidRPr="00B142C3" w:rsidRDefault="00B83354" w:rsidP="00B83354">
      <w:pPr>
        <w:ind w:firstLine="720"/>
        <w:jc w:val="both"/>
        <w:rPr>
          <w:rFonts w:cs="Times New Roman"/>
          <w:iCs/>
        </w:rPr>
      </w:pPr>
      <w:proofErr w:type="spellStart"/>
      <w:r w:rsidRPr="00B142C3">
        <w:rPr>
          <w:rFonts w:cs="Times New Roman"/>
          <w:iCs/>
          <w:color w:val="000000"/>
          <w:lang w:val="en-US"/>
        </w:rPr>
        <w:t>EUnetHTA</w:t>
      </w:r>
      <w:proofErr w:type="spellEnd"/>
      <w:r w:rsidRPr="00B142C3">
        <w:rPr>
          <w:rFonts w:cs="Times New Roman"/>
          <w:iCs/>
        </w:rPr>
        <w:t xml:space="preserve"> has also published a series of three guidelines papers under the title ‘levels of evidence’, giving guidance for the assessment of both the internal and external validity of individual studies </w:t>
      </w:r>
      <w:sdt>
        <w:sdtPr>
          <w:rPr>
            <w:rFonts w:cs="Times New Roman"/>
            <w:iCs/>
            <w:color w:val="000000"/>
          </w:rPr>
          <w:tag w:val="MENDELEY_CITATION_11efd7d9-6209-49c1-8700-36bfcfe99cc3"/>
          <w:id w:val="1717698373"/>
          <w:placeholder>
            <w:docPart w:val="D69E3F54B41547D8A6353695082F624A"/>
          </w:placeholder>
        </w:sdtPr>
        <w:sdtEndPr/>
        <w:sdtContent>
          <w:r w:rsidRPr="00B142C3">
            <w:rPr>
              <w:rFonts w:cs="Times New Roman"/>
              <w:iCs/>
              <w:color w:val="000000"/>
            </w:rPr>
            <w:t>(69)</w:t>
          </w:r>
        </w:sdtContent>
      </w:sdt>
      <w:r w:rsidRPr="00B142C3">
        <w:rPr>
          <w:rFonts w:cs="Times New Roman"/>
          <w:iCs/>
        </w:rPr>
        <w:t>. In these guidelines there is further elaboration on internal and external validity, recommendations on how to deal with them, including suggestion for specific quality checklists and assessment tools, like those provided by Cochrane. The separated way that these guidelines are presented (rather than being part of an overall uncertainty assessment approach) is also reflected in the assessments included in the present study. Based on the assessment reports reviewed, r</w:t>
      </w:r>
      <w:proofErr w:type="spellStart"/>
      <w:r w:rsidRPr="00B142C3">
        <w:rPr>
          <w:rFonts w:cs="Times New Roman"/>
          <w:iCs/>
          <w:color w:val="000000"/>
          <w:lang w:val="en-US"/>
        </w:rPr>
        <w:t>isk</w:t>
      </w:r>
      <w:proofErr w:type="spellEnd"/>
      <w:r w:rsidRPr="00B142C3">
        <w:rPr>
          <w:rFonts w:cs="Times New Roman"/>
          <w:iCs/>
          <w:color w:val="000000"/>
          <w:lang w:val="en-US"/>
        </w:rPr>
        <w:t xml:space="preserve"> of bias and external validity </w:t>
      </w:r>
      <w:proofErr w:type="gramStart"/>
      <w:r w:rsidRPr="00B142C3">
        <w:rPr>
          <w:rFonts w:cs="Times New Roman"/>
          <w:iCs/>
          <w:color w:val="000000"/>
          <w:lang w:val="en-US"/>
        </w:rPr>
        <w:t>are</w:t>
      </w:r>
      <w:proofErr w:type="gramEnd"/>
      <w:r w:rsidRPr="00B142C3">
        <w:rPr>
          <w:rFonts w:cs="Times New Roman"/>
          <w:iCs/>
          <w:color w:val="000000"/>
          <w:lang w:val="en-US"/>
        </w:rPr>
        <w:t xml:space="preserve"> being discussed on separate chapters, following </w:t>
      </w:r>
      <w:proofErr w:type="spellStart"/>
      <w:r w:rsidRPr="00B142C3">
        <w:rPr>
          <w:rFonts w:cs="Times New Roman"/>
          <w:iCs/>
          <w:color w:val="000000"/>
          <w:lang w:val="en-US"/>
        </w:rPr>
        <w:t>EUnetHTA</w:t>
      </w:r>
      <w:proofErr w:type="spellEnd"/>
      <w:r w:rsidRPr="00B142C3">
        <w:rPr>
          <w:rFonts w:cs="Times New Roman"/>
          <w:iCs/>
          <w:color w:val="000000"/>
          <w:lang w:val="en-US"/>
        </w:rPr>
        <w:t xml:space="preserve"> guidelines and an overall verdict on uncertainty is not reached. Instead, there is a narrative way of incorporating reflections on available knowledge in the conclusions part.</w:t>
      </w:r>
    </w:p>
    <w:p w14:paraId="1289ECED" w14:textId="77777777" w:rsidR="00B83354" w:rsidRPr="00B142C3" w:rsidRDefault="00B83354" w:rsidP="00B83354">
      <w:pPr>
        <w:ind w:firstLine="720"/>
        <w:jc w:val="both"/>
        <w:rPr>
          <w:rFonts w:cs="Times New Roman"/>
          <w:iCs/>
        </w:rPr>
      </w:pPr>
      <w:r w:rsidRPr="00B142C3">
        <w:rPr>
          <w:rFonts w:cs="Times New Roman"/>
          <w:iCs/>
        </w:rPr>
        <w:t xml:space="preserve">When viewing the three ‘Levels of Evidence’ guidelines in combination with the EFF domain in the HTA core model guidelines, we can conclude that there is consideration of all the domains contributing to uncertainty, as set by GRADE. The guidelines of </w:t>
      </w:r>
      <w:proofErr w:type="spellStart"/>
      <w:r w:rsidRPr="00B142C3">
        <w:rPr>
          <w:rFonts w:cs="Times New Roman"/>
          <w:iCs/>
        </w:rPr>
        <w:t>EUnetHTA</w:t>
      </w:r>
      <w:proofErr w:type="spellEnd"/>
      <w:r w:rsidRPr="00B142C3">
        <w:rPr>
          <w:rFonts w:cs="Times New Roman"/>
          <w:iCs/>
        </w:rPr>
        <w:t xml:space="preserve"> are based on various guidelines from different HTA agencies and good practice guidelines, including </w:t>
      </w:r>
      <w:proofErr w:type="spellStart"/>
      <w:r w:rsidRPr="00B142C3">
        <w:rPr>
          <w:rFonts w:cs="Times New Roman"/>
          <w:iCs/>
        </w:rPr>
        <w:t>IQWiG</w:t>
      </w:r>
      <w:proofErr w:type="spellEnd"/>
      <w:r w:rsidRPr="00B142C3">
        <w:rPr>
          <w:rFonts w:cs="Times New Roman"/>
          <w:iCs/>
        </w:rPr>
        <w:t>, GRADE and AHRQ.</w:t>
      </w:r>
    </w:p>
    <w:p w14:paraId="505302DC" w14:textId="77777777" w:rsidR="00B83354" w:rsidRPr="00B142C3" w:rsidRDefault="00B83354" w:rsidP="00B83354">
      <w:pPr>
        <w:jc w:val="both"/>
        <w:rPr>
          <w:rFonts w:cs="Times New Roman"/>
          <w:iCs/>
        </w:rPr>
      </w:pPr>
      <w:r w:rsidRPr="00B142C3">
        <w:rPr>
          <w:rFonts w:cs="Times New Roman"/>
          <w:iCs/>
        </w:rPr>
        <w:lastRenderedPageBreak/>
        <w:tab/>
        <w:t xml:space="preserve">In the ‘Internal Validity for RCTs’ guideline, </w:t>
      </w:r>
      <w:proofErr w:type="spellStart"/>
      <w:r w:rsidRPr="00B142C3">
        <w:rPr>
          <w:rFonts w:cs="Times New Roman"/>
          <w:iCs/>
        </w:rPr>
        <w:t>EUnetHTA</w:t>
      </w:r>
      <w:proofErr w:type="spellEnd"/>
      <w:r w:rsidRPr="00B142C3">
        <w:rPr>
          <w:rFonts w:cs="Times New Roman"/>
          <w:iCs/>
        </w:rPr>
        <w:t xml:space="preserve"> </w:t>
      </w:r>
      <w:proofErr w:type="gramStart"/>
      <w:r w:rsidRPr="00B142C3">
        <w:rPr>
          <w:rFonts w:cs="Times New Roman"/>
          <w:iCs/>
        </w:rPr>
        <w:t>makes reference</w:t>
      </w:r>
      <w:proofErr w:type="gramEnd"/>
      <w:r w:rsidRPr="00B142C3">
        <w:rPr>
          <w:rFonts w:cs="Times New Roman"/>
          <w:iCs/>
        </w:rPr>
        <w:t xml:space="preserve"> to the process of </w:t>
      </w:r>
      <w:proofErr w:type="spellStart"/>
      <w:r w:rsidRPr="00B142C3">
        <w:rPr>
          <w:rFonts w:cs="Times New Roman"/>
          <w:iCs/>
        </w:rPr>
        <w:t>IQWiG</w:t>
      </w:r>
      <w:proofErr w:type="spellEnd"/>
      <w:r w:rsidRPr="00B142C3">
        <w:rPr>
          <w:rFonts w:cs="Times New Roman"/>
          <w:iCs/>
        </w:rPr>
        <w:t xml:space="preserve"> for going from ‘uncertainty with regard to study results’ to ‘conclusions on the evidence base’. When mentioning this process, there is reference to the risk of bias domain (</w:t>
      </w:r>
      <w:r w:rsidRPr="00B142C3">
        <w:rPr>
          <w:rFonts w:cs="Times New Roman"/>
          <w:b/>
          <w:bCs/>
          <w:iCs/>
          <w:color w:val="C00000"/>
        </w:rPr>
        <w:sym w:font="Wingdings" w:char="F0F2"/>
      </w:r>
      <w:proofErr w:type="spellStart"/>
      <w:r w:rsidRPr="00B142C3">
        <w:rPr>
          <w:rFonts w:cs="Times New Roman"/>
          <w:b/>
          <w:bCs/>
          <w:iCs/>
          <w:color w:val="C00000"/>
        </w:rPr>
        <w:t>RoB</w:t>
      </w:r>
      <w:proofErr w:type="spellEnd"/>
      <w:r w:rsidRPr="00B142C3">
        <w:rPr>
          <w:rFonts w:cs="Times New Roman"/>
          <w:iCs/>
        </w:rPr>
        <w:t>) as well as the direction of the estimates of effect (</w:t>
      </w:r>
      <w:r w:rsidRPr="00B142C3">
        <w:rPr>
          <w:rFonts w:cs="Times New Roman"/>
          <w:b/>
          <w:bCs/>
          <w:iCs/>
          <w:color w:val="C45911" w:themeColor="accent2" w:themeShade="BF"/>
        </w:rPr>
        <w:sym w:font="Wingdings" w:char="F0F2"/>
      </w:r>
      <w:proofErr w:type="spellStart"/>
      <w:r w:rsidRPr="00B142C3">
        <w:rPr>
          <w:rFonts w:cs="Times New Roman"/>
          <w:b/>
          <w:bCs/>
          <w:iCs/>
          <w:color w:val="C45911" w:themeColor="accent2" w:themeShade="BF"/>
        </w:rPr>
        <w:t>InC</w:t>
      </w:r>
      <w:proofErr w:type="spellEnd"/>
      <w:r w:rsidRPr="00B142C3">
        <w:rPr>
          <w:rFonts w:cs="Times New Roman"/>
          <w:iCs/>
        </w:rPr>
        <w:t>). In the ‘Internal Validity of NRS on interventions’ there is discussion of all 8 uncertainty domains of GRADE, with primary focus to the possibility of a large effect (</w:t>
      </w:r>
      <w:r w:rsidRPr="00B142C3">
        <w:rPr>
          <w:rFonts w:cs="Times New Roman"/>
          <w:b/>
          <w:bCs/>
          <w:iCs/>
          <w:color w:val="FFD966" w:themeColor="accent4" w:themeTint="99"/>
        </w:rPr>
        <w:sym w:font="Wingdings" w:char="F0F1"/>
      </w:r>
      <w:proofErr w:type="spellStart"/>
      <w:r w:rsidRPr="00B142C3">
        <w:rPr>
          <w:rFonts w:cs="Times New Roman"/>
          <w:b/>
          <w:bCs/>
          <w:iCs/>
          <w:color w:val="FFD966" w:themeColor="accent4" w:themeTint="99"/>
        </w:rPr>
        <w:t>LaE</w:t>
      </w:r>
      <w:proofErr w:type="spellEnd"/>
      <w:r w:rsidRPr="00B142C3">
        <w:rPr>
          <w:rFonts w:cs="Times New Roman"/>
          <w:iCs/>
        </w:rPr>
        <w:t xml:space="preserve">) as well as the other two upgrading quality of evidence. The viewpoint here is that HTA authors should </w:t>
      </w:r>
      <w:proofErr w:type="gramStart"/>
      <w:r w:rsidRPr="00B142C3">
        <w:rPr>
          <w:rFonts w:cs="Times New Roman"/>
          <w:iCs/>
        </w:rPr>
        <w:t>take into account</w:t>
      </w:r>
      <w:proofErr w:type="gramEnd"/>
      <w:r w:rsidRPr="00B142C3">
        <w:rPr>
          <w:rFonts w:cs="Times New Roman"/>
          <w:iCs/>
        </w:rPr>
        <w:t xml:space="preserve"> possible counteraction of the higher </w:t>
      </w:r>
      <w:proofErr w:type="spellStart"/>
      <w:r w:rsidRPr="00B142C3">
        <w:rPr>
          <w:rFonts w:cs="Times New Roman"/>
          <w:iCs/>
        </w:rPr>
        <w:t>RoB</w:t>
      </w:r>
      <w:proofErr w:type="spellEnd"/>
      <w:r w:rsidRPr="00B142C3">
        <w:rPr>
          <w:rFonts w:cs="Times New Roman"/>
          <w:iCs/>
        </w:rPr>
        <w:t xml:space="preserve"> of NRS due to these domains. The ‘Applicability of evidence for the context of a relative effectiveness assessment’ guideline, follows the methodological choices proposed in the AHRQ guidelines </w:t>
      </w:r>
      <w:sdt>
        <w:sdtPr>
          <w:rPr>
            <w:rFonts w:cs="Times New Roman"/>
            <w:iCs/>
            <w:color w:val="000000"/>
          </w:rPr>
          <w:tag w:val="MENDELEY_CITATION_ea0318bd-5164-46a0-8a5a-23317f6807d8"/>
          <w:id w:val="49747618"/>
          <w:placeholder>
            <w:docPart w:val="D69E3F54B41547D8A6353695082F624A"/>
          </w:placeholder>
        </w:sdtPr>
        <w:sdtEndPr/>
        <w:sdtContent>
          <w:r w:rsidRPr="00B142C3">
            <w:rPr>
              <w:rFonts w:cs="Times New Roman"/>
              <w:iCs/>
              <w:color w:val="000000"/>
            </w:rPr>
            <w:t>(70)</w:t>
          </w:r>
        </w:sdtContent>
      </w:sdt>
      <w:r w:rsidRPr="00B142C3">
        <w:rPr>
          <w:rFonts w:cs="Times New Roman"/>
          <w:iCs/>
        </w:rPr>
        <w:t xml:space="preserve">. The Applicability </w:t>
      </w:r>
      <w:r w:rsidRPr="00B142C3">
        <w:rPr>
          <w:rFonts w:cs="Times New Roman"/>
          <w:iCs/>
          <w:color w:val="000000"/>
          <w:lang w:val="en-US"/>
        </w:rPr>
        <w:t>(</w:t>
      </w:r>
      <w:r w:rsidRPr="00B142C3">
        <w:rPr>
          <w:rFonts w:cs="Times New Roman"/>
          <w:b/>
          <w:bCs/>
          <w:iCs/>
          <w:color w:val="5B9BD5" w:themeColor="accent1"/>
        </w:rPr>
        <w:sym w:font="Wingdings" w:char="F0F2"/>
      </w:r>
      <w:proofErr w:type="spellStart"/>
      <w:r w:rsidRPr="00B142C3">
        <w:rPr>
          <w:rFonts w:cs="Times New Roman"/>
          <w:b/>
          <w:bCs/>
          <w:iCs/>
          <w:color w:val="5B9BD5" w:themeColor="accent1"/>
        </w:rPr>
        <w:t>InD</w:t>
      </w:r>
      <w:proofErr w:type="spellEnd"/>
      <w:r w:rsidRPr="00B142C3">
        <w:rPr>
          <w:rFonts w:cs="Times New Roman"/>
          <w:iCs/>
        </w:rPr>
        <w:t xml:space="preserve">) domain here is one covering most of the aspects related to the Indirectness domain of GRADE (3 out of 4), apart from the effect of indirect comparisons. Indirect comparisons, which are another aspect included in the indirectness domain as defined by GRADE, are described in a separate document </w:t>
      </w:r>
      <w:sdt>
        <w:sdtPr>
          <w:rPr>
            <w:rFonts w:cs="Times New Roman"/>
            <w:iCs/>
            <w:color w:val="000000"/>
          </w:rPr>
          <w:tag w:val="MENDELEY_CITATION_671ebb8b-0f7e-4222-85ef-c9a83e84a672"/>
          <w:id w:val="1910877435"/>
          <w:placeholder>
            <w:docPart w:val="D69E3F54B41547D8A6353695082F624A"/>
          </w:placeholder>
        </w:sdtPr>
        <w:sdtEndPr/>
        <w:sdtContent>
          <w:r w:rsidRPr="00B142C3">
            <w:rPr>
              <w:rFonts w:cs="Times New Roman"/>
              <w:iCs/>
              <w:color w:val="000000"/>
            </w:rPr>
            <w:t>(60)</w:t>
          </w:r>
        </w:sdtContent>
      </w:sdt>
      <w:r w:rsidRPr="00B142C3">
        <w:rPr>
          <w:rFonts w:cs="Times New Roman"/>
          <w:iCs/>
          <w:color w:val="000000"/>
        </w:rPr>
        <w:t>. Finally, a</w:t>
      </w:r>
      <w:r w:rsidRPr="00B142C3">
        <w:rPr>
          <w:rFonts w:cs="Times New Roman"/>
          <w:iCs/>
        </w:rPr>
        <w:t xml:space="preserve">pplicability for </w:t>
      </w:r>
      <w:proofErr w:type="spellStart"/>
      <w:r w:rsidRPr="00B142C3">
        <w:rPr>
          <w:rFonts w:cs="Times New Roman"/>
          <w:iCs/>
        </w:rPr>
        <w:t>EUnetHTA</w:t>
      </w:r>
      <w:proofErr w:type="spellEnd"/>
      <w:r w:rsidRPr="00B142C3">
        <w:rPr>
          <w:rFonts w:cs="Times New Roman"/>
          <w:iCs/>
        </w:rPr>
        <w:t xml:space="preserve"> should also be viewed in the context of its transnational role. As a result, some elements of applicability may need to be judged on a national level. </w:t>
      </w:r>
    </w:p>
    <w:p w14:paraId="1BA185B2" w14:textId="77777777" w:rsidR="00B83354" w:rsidRDefault="00B83354" w:rsidP="00B83354">
      <w:pPr>
        <w:jc w:val="both"/>
        <w:rPr>
          <w:rFonts w:cs="Times New Roman"/>
          <w:iCs/>
        </w:rPr>
      </w:pPr>
      <w:r w:rsidRPr="00B142C3">
        <w:rPr>
          <w:rFonts w:cs="Times New Roman"/>
          <w:iCs/>
        </w:rPr>
        <w:tab/>
        <w:t xml:space="preserve">Coming back to the HTA Core Model guidelines, where ‘certainty of the evidence’ is stated to be one of the two goals of the EFF domain, after having also </w:t>
      </w:r>
      <w:proofErr w:type="gramStart"/>
      <w:r w:rsidRPr="00B142C3">
        <w:rPr>
          <w:rFonts w:cs="Times New Roman"/>
          <w:iCs/>
        </w:rPr>
        <w:t>taken into account</w:t>
      </w:r>
      <w:proofErr w:type="gramEnd"/>
      <w:r w:rsidRPr="00B142C3">
        <w:rPr>
          <w:rFonts w:cs="Times New Roman"/>
          <w:iCs/>
        </w:rPr>
        <w:t xml:space="preserve"> the consideration the ‘Levels of Evidence’ guidelines series, we can say that the principles that </w:t>
      </w:r>
      <w:r w:rsidRPr="00B142C3">
        <w:rPr>
          <w:rFonts w:cs="Times New Roman"/>
          <w:iCs/>
          <w:lang w:val="en-US"/>
        </w:rPr>
        <w:t xml:space="preserve">rule </w:t>
      </w:r>
      <w:proofErr w:type="spellStart"/>
      <w:r w:rsidRPr="00B142C3">
        <w:rPr>
          <w:rFonts w:cs="Times New Roman"/>
          <w:iCs/>
          <w:lang w:val="en-US"/>
        </w:rPr>
        <w:t>EUnetHTA</w:t>
      </w:r>
      <w:proofErr w:type="spellEnd"/>
      <w:r w:rsidRPr="00B142C3">
        <w:rPr>
          <w:rFonts w:cs="Times New Roman"/>
          <w:iCs/>
          <w:lang w:val="en-US"/>
        </w:rPr>
        <w:t xml:space="preserve"> processes are clear</w:t>
      </w:r>
      <w:r>
        <w:rPr>
          <w:rFonts w:cs="Times New Roman"/>
          <w:iCs/>
          <w:lang w:val="en-US"/>
        </w:rPr>
        <w:t>, although not appearing to belong to a holistic approach toward uncertainty.</w:t>
      </w:r>
    </w:p>
    <w:p w14:paraId="7D0FBED5" w14:textId="77777777" w:rsidR="00B83354" w:rsidRPr="00B142C3" w:rsidRDefault="00B83354" w:rsidP="00B83354">
      <w:pPr>
        <w:jc w:val="both"/>
        <w:rPr>
          <w:rFonts w:cs="Times New Roman"/>
          <w:iCs/>
          <w:lang w:val="en-US"/>
        </w:rPr>
      </w:pPr>
    </w:p>
    <w:tbl>
      <w:tblPr>
        <w:tblStyle w:val="TableGrid"/>
        <w:tblW w:w="0" w:type="auto"/>
        <w:tblLook w:val="04A0" w:firstRow="1" w:lastRow="0" w:firstColumn="1" w:lastColumn="0" w:noHBand="0" w:noVBand="1"/>
      </w:tblPr>
      <w:tblGrid>
        <w:gridCol w:w="633"/>
        <w:gridCol w:w="634"/>
        <w:gridCol w:w="634"/>
        <w:gridCol w:w="636"/>
        <w:gridCol w:w="612"/>
        <w:gridCol w:w="612"/>
        <w:gridCol w:w="612"/>
        <w:gridCol w:w="612"/>
        <w:gridCol w:w="950"/>
        <w:gridCol w:w="918"/>
        <w:gridCol w:w="705"/>
        <w:gridCol w:w="704"/>
        <w:gridCol w:w="704"/>
      </w:tblGrid>
      <w:tr w:rsidR="00B83354" w:rsidRPr="00B142C3" w14:paraId="2DBF40FB" w14:textId="77777777" w:rsidTr="00BD2DE2">
        <w:trPr>
          <w:trHeight w:val="440"/>
        </w:trPr>
        <w:tc>
          <w:tcPr>
            <w:tcW w:w="8966" w:type="dxa"/>
            <w:gridSpan w:val="13"/>
            <w:tcBorders>
              <w:top w:val="single" w:sz="4" w:space="0" w:color="auto"/>
              <w:left w:val="single" w:sz="4" w:space="0" w:color="auto"/>
              <w:bottom w:val="single" w:sz="4" w:space="0" w:color="auto"/>
              <w:right w:val="single" w:sz="4" w:space="0" w:color="auto"/>
            </w:tcBorders>
            <w:vAlign w:val="center"/>
          </w:tcPr>
          <w:p w14:paraId="6018EDFC" w14:textId="77777777" w:rsidR="00B83354" w:rsidRDefault="00B83354" w:rsidP="00BD2DE2">
            <w:pPr>
              <w:spacing w:line="240" w:lineRule="auto"/>
              <w:jc w:val="center"/>
              <w:rPr>
                <w:rFonts w:cs="Times New Roman"/>
                <w:iCs/>
              </w:rPr>
            </w:pPr>
            <w:r w:rsidRPr="00B142C3">
              <w:rPr>
                <w:rFonts w:cs="Times New Roman"/>
                <w:b/>
                <w:bCs/>
                <w:iCs/>
              </w:rPr>
              <w:t>Table</w:t>
            </w:r>
            <w:r>
              <w:rPr>
                <w:rFonts w:cs="Times New Roman"/>
                <w:b/>
                <w:bCs/>
                <w:iCs/>
              </w:rPr>
              <w:t xml:space="preserve"> 2</w:t>
            </w:r>
            <w:r w:rsidRPr="00B142C3">
              <w:rPr>
                <w:rFonts w:cs="Times New Roman"/>
                <w:b/>
                <w:bCs/>
                <w:iCs/>
              </w:rPr>
              <w:t>.</w:t>
            </w:r>
            <w:r w:rsidRPr="00B142C3">
              <w:rPr>
                <w:rFonts w:cs="Times New Roman"/>
                <w:iCs/>
              </w:rPr>
              <w:t xml:space="preserve"> </w:t>
            </w:r>
          </w:p>
          <w:p w14:paraId="376EB916" w14:textId="77777777" w:rsidR="00B83354" w:rsidRPr="00B142C3" w:rsidRDefault="00B83354" w:rsidP="00BD2DE2">
            <w:pPr>
              <w:spacing w:line="240" w:lineRule="auto"/>
              <w:jc w:val="center"/>
              <w:rPr>
                <w:rFonts w:cs="Times New Roman"/>
                <w:iCs/>
              </w:rPr>
            </w:pPr>
            <w:proofErr w:type="spellStart"/>
            <w:r w:rsidRPr="00B142C3">
              <w:rPr>
                <w:rFonts w:cs="Times New Roman"/>
                <w:iCs/>
              </w:rPr>
              <w:t>EUnetHTA</w:t>
            </w:r>
            <w:proofErr w:type="spellEnd"/>
            <w:r w:rsidRPr="00B142C3">
              <w:rPr>
                <w:rFonts w:cs="Times New Roman"/>
                <w:iCs/>
              </w:rPr>
              <w:t xml:space="preserve"> guidelines on domains affecting certainty of evidence.</w:t>
            </w:r>
          </w:p>
        </w:tc>
      </w:tr>
      <w:tr w:rsidR="00B83354" w:rsidRPr="00B142C3" w14:paraId="4576EB4A" w14:textId="77777777" w:rsidTr="00BD2DE2">
        <w:trPr>
          <w:trHeight w:val="440"/>
        </w:trPr>
        <w:tc>
          <w:tcPr>
            <w:tcW w:w="6853" w:type="dxa"/>
            <w:gridSpan w:val="10"/>
            <w:tcBorders>
              <w:top w:val="single" w:sz="4" w:space="0" w:color="auto"/>
              <w:left w:val="single" w:sz="4" w:space="0" w:color="auto"/>
              <w:bottom w:val="single" w:sz="4" w:space="0" w:color="auto"/>
              <w:right w:val="single" w:sz="4" w:space="0" w:color="auto"/>
            </w:tcBorders>
            <w:vAlign w:val="center"/>
          </w:tcPr>
          <w:p w14:paraId="1D2CBBAC" w14:textId="77777777" w:rsidR="00B83354" w:rsidRPr="00B142C3" w:rsidRDefault="00B83354" w:rsidP="00BD2DE2">
            <w:pPr>
              <w:spacing w:line="240" w:lineRule="auto"/>
              <w:jc w:val="center"/>
              <w:rPr>
                <w:rFonts w:cs="Times New Roman"/>
                <w:iCs/>
              </w:rPr>
            </w:pPr>
            <w:r w:rsidRPr="00B142C3">
              <w:rPr>
                <w:rFonts w:cs="Times New Roman"/>
                <w:iCs/>
              </w:rPr>
              <w:t>Levels of Evidence guidelines series</w:t>
            </w:r>
          </w:p>
        </w:tc>
        <w:tc>
          <w:tcPr>
            <w:tcW w:w="2113" w:type="dxa"/>
            <w:gridSpan w:val="3"/>
            <w:tcBorders>
              <w:top w:val="single" w:sz="4" w:space="0" w:color="auto"/>
              <w:left w:val="single" w:sz="4" w:space="0" w:color="auto"/>
              <w:bottom w:val="single" w:sz="4" w:space="0" w:color="auto"/>
              <w:right w:val="single" w:sz="4" w:space="0" w:color="auto"/>
            </w:tcBorders>
            <w:vAlign w:val="center"/>
          </w:tcPr>
          <w:p w14:paraId="58286AD5" w14:textId="77777777" w:rsidR="00B83354" w:rsidRPr="00B142C3" w:rsidRDefault="00B83354" w:rsidP="00BD2DE2">
            <w:pPr>
              <w:spacing w:line="240" w:lineRule="auto"/>
              <w:jc w:val="center"/>
              <w:rPr>
                <w:rFonts w:cs="Times New Roman"/>
                <w:iCs/>
              </w:rPr>
            </w:pPr>
            <w:r w:rsidRPr="00B142C3">
              <w:rPr>
                <w:rFonts w:cs="Times New Roman"/>
                <w:iCs/>
              </w:rPr>
              <w:t>EFF domain in</w:t>
            </w:r>
          </w:p>
          <w:p w14:paraId="219753CF" w14:textId="77777777" w:rsidR="00B83354" w:rsidRPr="00B142C3" w:rsidRDefault="00B83354" w:rsidP="00BD2DE2">
            <w:pPr>
              <w:spacing w:line="240" w:lineRule="auto"/>
              <w:jc w:val="center"/>
              <w:rPr>
                <w:rFonts w:cs="Times New Roman"/>
                <w:iCs/>
              </w:rPr>
            </w:pPr>
            <w:r w:rsidRPr="00B142C3">
              <w:rPr>
                <w:rFonts w:cs="Times New Roman"/>
                <w:iCs/>
              </w:rPr>
              <w:t xml:space="preserve">HTA core model guideline </w:t>
            </w:r>
            <w:sdt>
              <w:sdtPr>
                <w:rPr>
                  <w:rFonts w:cs="Times New Roman"/>
                  <w:iCs/>
                  <w:color w:val="000000"/>
                </w:rPr>
                <w:tag w:val="MENDELEY_CITATION_e54517e7-1c59-42e4-bdd2-d3107090f460"/>
                <w:id w:val="-1697613873"/>
                <w:placeholder>
                  <w:docPart w:val="D69E3F54B41547D8A6353695082F624A"/>
                </w:placeholder>
              </w:sdtPr>
              <w:sdtEndPr/>
              <w:sdtContent>
                <w:r w:rsidRPr="00B142C3">
                  <w:rPr>
                    <w:rFonts w:cs="Times New Roman"/>
                    <w:iCs/>
                    <w:color w:val="000000"/>
                  </w:rPr>
                  <w:t>(68)</w:t>
                </w:r>
              </w:sdtContent>
            </w:sdt>
          </w:p>
        </w:tc>
      </w:tr>
      <w:tr w:rsidR="00B83354" w:rsidRPr="00B142C3" w14:paraId="432C96AA" w14:textId="77777777" w:rsidTr="00BD2DE2">
        <w:trPr>
          <w:trHeight w:val="440"/>
        </w:trPr>
        <w:tc>
          <w:tcPr>
            <w:tcW w:w="4985" w:type="dxa"/>
            <w:gridSpan w:val="8"/>
            <w:tcBorders>
              <w:top w:val="single" w:sz="4" w:space="0" w:color="auto"/>
              <w:left w:val="single" w:sz="4" w:space="0" w:color="auto"/>
              <w:bottom w:val="single" w:sz="4" w:space="0" w:color="auto"/>
              <w:right w:val="single" w:sz="4" w:space="0" w:color="auto"/>
            </w:tcBorders>
            <w:vAlign w:val="center"/>
          </w:tcPr>
          <w:p w14:paraId="7E2D4D78" w14:textId="77777777" w:rsidR="00B83354" w:rsidRPr="00B142C3" w:rsidRDefault="00B83354" w:rsidP="00BD2DE2">
            <w:pPr>
              <w:spacing w:line="240" w:lineRule="auto"/>
              <w:jc w:val="center"/>
              <w:rPr>
                <w:rFonts w:cs="Times New Roman"/>
                <w:iCs/>
              </w:rPr>
            </w:pPr>
            <w:proofErr w:type="gramStart"/>
            <w:r w:rsidRPr="00B142C3">
              <w:rPr>
                <w:rFonts w:cs="Times New Roman"/>
                <w:iCs/>
              </w:rPr>
              <w:t>Internal  Validity</w:t>
            </w:r>
            <w:proofErr w:type="gramEnd"/>
          </w:p>
        </w:tc>
        <w:tc>
          <w:tcPr>
            <w:tcW w:w="1868" w:type="dxa"/>
            <w:gridSpan w:val="2"/>
            <w:vMerge w:val="restart"/>
            <w:tcBorders>
              <w:top w:val="single" w:sz="4" w:space="0" w:color="auto"/>
              <w:left w:val="single" w:sz="4" w:space="0" w:color="auto"/>
              <w:right w:val="single" w:sz="4" w:space="0" w:color="auto"/>
            </w:tcBorders>
            <w:vAlign w:val="center"/>
          </w:tcPr>
          <w:p w14:paraId="2B0201C3" w14:textId="77777777" w:rsidR="00B83354" w:rsidRPr="00B142C3" w:rsidRDefault="00B83354" w:rsidP="00BD2DE2">
            <w:pPr>
              <w:spacing w:line="240" w:lineRule="auto"/>
              <w:jc w:val="center"/>
              <w:rPr>
                <w:rFonts w:cs="Times New Roman"/>
                <w:iCs/>
              </w:rPr>
            </w:pPr>
            <w:r w:rsidRPr="00B142C3">
              <w:rPr>
                <w:rFonts w:cs="Times New Roman"/>
                <w:iCs/>
              </w:rPr>
              <w:t>Applicability</w:t>
            </w:r>
          </w:p>
          <w:p w14:paraId="070A5169" w14:textId="77777777" w:rsidR="00B83354" w:rsidRPr="00B142C3" w:rsidRDefault="00B83354" w:rsidP="00BD2DE2">
            <w:pPr>
              <w:spacing w:line="240" w:lineRule="auto"/>
              <w:jc w:val="center"/>
              <w:rPr>
                <w:rFonts w:cs="Times New Roman"/>
                <w:iCs/>
              </w:rPr>
            </w:pPr>
            <w:r w:rsidRPr="00B142C3">
              <w:rPr>
                <w:rFonts w:cs="Times New Roman"/>
                <w:iCs/>
              </w:rPr>
              <w:t>(</w:t>
            </w:r>
            <w:proofErr w:type="gramStart"/>
            <w:r w:rsidRPr="00B142C3">
              <w:rPr>
                <w:rFonts w:cs="Times New Roman"/>
                <w:iCs/>
              </w:rPr>
              <w:t>with</w:t>
            </w:r>
            <w:proofErr w:type="gramEnd"/>
            <w:r w:rsidRPr="00B142C3">
              <w:rPr>
                <w:rFonts w:cs="Times New Roman"/>
                <w:iCs/>
              </w:rPr>
              <w:t xml:space="preserve"> a main focus on RCTs) </w:t>
            </w:r>
            <w:sdt>
              <w:sdtPr>
                <w:rPr>
                  <w:rFonts w:cs="Times New Roman"/>
                  <w:iCs/>
                  <w:color w:val="000000"/>
                </w:rPr>
                <w:tag w:val="MENDELEY_CITATION_7de87eff-9d48-47f2-bb17-86a16ef54a31"/>
                <w:id w:val="865339697"/>
                <w:placeholder>
                  <w:docPart w:val="D69E3F54B41547D8A6353695082F624A"/>
                </w:placeholder>
              </w:sdtPr>
              <w:sdtEndPr/>
              <w:sdtContent>
                <w:r w:rsidRPr="00B142C3">
                  <w:rPr>
                    <w:rFonts w:cs="Times New Roman"/>
                    <w:iCs/>
                    <w:color w:val="000000"/>
                  </w:rPr>
                  <w:t>(66)</w:t>
                </w:r>
              </w:sdtContent>
            </w:sdt>
          </w:p>
        </w:tc>
        <w:tc>
          <w:tcPr>
            <w:tcW w:w="2113" w:type="dxa"/>
            <w:gridSpan w:val="3"/>
            <w:vMerge w:val="restart"/>
            <w:tcBorders>
              <w:top w:val="single" w:sz="4" w:space="0" w:color="auto"/>
              <w:left w:val="single" w:sz="4" w:space="0" w:color="auto"/>
              <w:right w:val="single" w:sz="4" w:space="0" w:color="auto"/>
            </w:tcBorders>
            <w:vAlign w:val="center"/>
          </w:tcPr>
          <w:p w14:paraId="31E1EC22" w14:textId="77777777" w:rsidR="00B83354" w:rsidRPr="00B142C3" w:rsidRDefault="00B83354" w:rsidP="00BD2DE2">
            <w:pPr>
              <w:spacing w:line="240" w:lineRule="auto"/>
              <w:jc w:val="center"/>
              <w:rPr>
                <w:rFonts w:cs="Times New Roman"/>
                <w:iCs/>
                <w:sz w:val="16"/>
                <w:szCs w:val="16"/>
              </w:rPr>
            </w:pPr>
            <w:r w:rsidRPr="00B142C3">
              <w:rPr>
                <w:rFonts w:cs="Times New Roman"/>
                <w:iCs/>
                <w:sz w:val="16"/>
                <w:szCs w:val="16"/>
              </w:rPr>
              <w:t xml:space="preserve">There is explicit reference to the concepts of internal validity, external </w:t>
            </w:r>
            <w:proofErr w:type="gramStart"/>
            <w:r w:rsidRPr="00B142C3">
              <w:rPr>
                <w:rFonts w:cs="Times New Roman"/>
                <w:iCs/>
                <w:sz w:val="16"/>
                <w:szCs w:val="16"/>
              </w:rPr>
              <w:t>validity</w:t>
            </w:r>
            <w:proofErr w:type="gramEnd"/>
            <w:r w:rsidRPr="00B142C3">
              <w:rPr>
                <w:rFonts w:cs="Times New Roman"/>
                <w:iCs/>
                <w:sz w:val="16"/>
                <w:szCs w:val="16"/>
              </w:rPr>
              <w:t xml:space="preserve"> and precision. They state GRADE could be used in assessments and mention the 8 domains </w:t>
            </w:r>
            <w:proofErr w:type="gramStart"/>
            <w:r w:rsidRPr="00B142C3">
              <w:rPr>
                <w:rFonts w:cs="Times New Roman"/>
                <w:iCs/>
                <w:sz w:val="16"/>
                <w:szCs w:val="16"/>
              </w:rPr>
              <w:t>taken into account</w:t>
            </w:r>
            <w:proofErr w:type="gramEnd"/>
            <w:r w:rsidRPr="00B142C3">
              <w:rPr>
                <w:rFonts w:cs="Times New Roman"/>
                <w:iCs/>
                <w:sz w:val="16"/>
                <w:szCs w:val="16"/>
              </w:rPr>
              <w:t>.</w:t>
            </w:r>
          </w:p>
        </w:tc>
      </w:tr>
      <w:tr w:rsidR="00B83354" w:rsidRPr="00B142C3" w14:paraId="668523BE" w14:textId="77777777" w:rsidTr="00BD2DE2">
        <w:trPr>
          <w:trHeight w:val="440"/>
        </w:trPr>
        <w:tc>
          <w:tcPr>
            <w:tcW w:w="1901" w:type="dxa"/>
            <w:gridSpan w:val="3"/>
            <w:tcBorders>
              <w:top w:val="single" w:sz="4" w:space="0" w:color="auto"/>
              <w:left w:val="single" w:sz="4" w:space="0" w:color="auto"/>
              <w:bottom w:val="single" w:sz="4" w:space="0" w:color="auto"/>
              <w:right w:val="single" w:sz="4" w:space="0" w:color="auto"/>
            </w:tcBorders>
            <w:vAlign w:val="center"/>
          </w:tcPr>
          <w:p w14:paraId="209CC815" w14:textId="77777777" w:rsidR="00B83354" w:rsidRPr="00B142C3" w:rsidRDefault="00B83354" w:rsidP="00BD2DE2">
            <w:pPr>
              <w:spacing w:line="240" w:lineRule="auto"/>
              <w:jc w:val="center"/>
              <w:rPr>
                <w:rFonts w:cs="Times New Roman"/>
                <w:iCs/>
              </w:rPr>
            </w:pPr>
            <w:r w:rsidRPr="00B142C3">
              <w:rPr>
                <w:rFonts w:cs="Times New Roman"/>
                <w:iCs/>
              </w:rPr>
              <w:t xml:space="preserve">IV for RCTs </w:t>
            </w:r>
            <w:sdt>
              <w:sdtPr>
                <w:rPr>
                  <w:rFonts w:cs="Times New Roman"/>
                  <w:iCs/>
                  <w:color w:val="000000"/>
                </w:rPr>
                <w:tag w:val="MENDELEY_CITATION_72d949b4-1fcd-4931-852c-da21f3f57123"/>
                <w:id w:val="517199608"/>
                <w:placeholder>
                  <w:docPart w:val="D69E3F54B41547D8A6353695082F624A"/>
                </w:placeholder>
              </w:sdtPr>
              <w:sdtEndPr/>
              <w:sdtContent>
                <w:r w:rsidRPr="00B142C3">
                  <w:rPr>
                    <w:rFonts w:cs="Times New Roman"/>
                    <w:iCs/>
                    <w:color w:val="000000"/>
                  </w:rPr>
                  <w:t>(67)</w:t>
                </w:r>
              </w:sdtContent>
            </w:sdt>
          </w:p>
        </w:tc>
        <w:tc>
          <w:tcPr>
            <w:tcW w:w="3084" w:type="dxa"/>
            <w:gridSpan w:val="5"/>
            <w:tcBorders>
              <w:top w:val="single" w:sz="4" w:space="0" w:color="auto"/>
              <w:left w:val="single" w:sz="4" w:space="0" w:color="auto"/>
              <w:bottom w:val="single" w:sz="4" w:space="0" w:color="auto"/>
              <w:right w:val="single" w:sz="4" w:space="0" w:color="auto"/>
            </w:tcBorders>
            <w:vAlign w:val="center"/>
          </w:tcPr>
          <w:p w14:paraId="39B49CAE" w14:textId="77777777" w:rsidR="00B83354" w:rsidRPr="00B142C3" w:rsidRDefault="00B83354" w:rsidP="00BD2DE2">
            <w:pPr>
              <w:spacing w:line="240" w:lineRule="auto"/>
              <w:jc w:val="center"/>
              <w:rPr>
                <w:rFonts w:cs="Times New Roman"/>
                <w:iCs/>
              </w:rPr>
            </w:pPr>
            <w:r w:rsidRPr="00B142C3">
              <w:rPr>
                <w:rFonts w:cs="Times New Roman"/>
                <w:iCs/>
              </w:rPr>
              <w:t xml:space="preserve">IV for NRTs </w:t>
            </w:r>
            <w:sdt>
              <w:sdtPr>
                <w:rPr>
                  <w:rFonts w:cs="Times New Roman"/>
                  <w:iCs/>
                  <w:color w:val="000000"/>
                </w:rPr>
                <w:tag w:val="MENDELEY_CITATION_c92faa84-b85c-4bf1-8edf-5d394faef37d"/>
                <w:id w:val="-10763448"/>
                <w:placeholder>
                  <w:docPart w:val="D69E3F54B41547D8A6353695082F624A"/>
                </w:placeholder>
              </w:sdtPr>
              <w:sdtEndPr/>
              <w:sdtContent>
                <w:r w:rsidRPr="00B142C3">
                  <w:rPr>
                    <w:rFonts w:cs="Times New Roman"/>
                    <w:iCs/>
                    <w:color w:val="000000"/>
                  </w:rPr>
                  <w:t>(27)</w:t>
                </w:r>
              </w:sdtContent>
            </w:sdt>
          </w:p>
        </w:tc>
        <w:tc>
          <w:tcPr>
            <w:tcW w:w="1868" w:type="dxa"/>
            <w:gridSpan w:val="2"/>
            <w:vMerge/>
            <w:tcBorders>
              <w:left w:val="single" w:sz="4" w:space="0" w:color="auto"/>
              <w:bottom w:val="single" w:sz="4" w:space="0" w:color="auto"/>
              <w:right w:val="single" w:sz="4" w:space="0" w:color="auto"/>
            </w:tcBorders>
            <w:vAlign w:val="center"/>
          </w:tcPr>
          <w:p w14:paraId="60EB8AE3" w14:textId="77777777" w:rsidR="00B83354" w:rsidRPr="00B142C3" w:rsidRDefault="00B83354" w:rsidP="00BD2DE2">
            <w:pPr>
              <w:spacing w:line="240" w:lineRule="auto"/>
              <w:jc w:val="center"/>
              <w:rPr>
                <w:rFonts w:cs="Times New Roman"/>
                <w:iCs/>
              </w:rPr>
            </w:pPr>
          </w:p>
        </w:tc>
        <w:tc>
          <w:tcPr>
            <w:tcW w:w="2113" w:type="dxa"/>
            <w:gridSpan w:val="3"/>
            <w:vMerge/>
            <w:tcBorders>
              <w:left w:val="single" w:sz="4" w:space="0" w:color="auto"/>
              <w:right w:val="single" w:sz="4" w:space="0" w:color="auto"/>
            </w:tcBorders>
            <w:vAlign w:val="center"/>
          </w:tcPr>
          <w:p w14:paraId="473C11D6" w14:textId="77777777" w:rsidR="00B83354" w:rsidRPr="00B142C3" w:rsidRDefault="00B83354" w:rsidP="00BD2DE2">
            <w:pPr>
              <w:spacing w:line="240" w:lineRule="auto"/>
              <w:jc w:val="center"/>
              <w:rPr>
                <w:rFonts w:cs="Times New Roman"/>
                <w:iCs/>
              </w:rPr>
            </w:pPr>
          </w:p>
        </w:tc>
      </w:tr>
      <w:tr w:rsidR="00B83354" w:rsidRPr="00B142C3" w14:paraId="326C1402" w14:textId="77777777" w:rsidTr="00BD2DE2">
        <w:trPr>
          <w:trHeight w:val="1073"/>
        </w:trPr>
        <w:tc>
          <w:tcPr>
            <w:tcW w:w="1901" w:type="dxa"/>
            <w:gridSpan w:val="3"/>
            <w:tcBorders>
              <w:top w:val="single" w:sz="4" w:space="0" w:color="auto"/>
              <w:left w:val="single" w:sz="4" w:space="0" w:color="auto"/>
              <w:bottom w:val="single" w:sz="4" w:space="0" w:color="auto"/>
              <w:right w:val="single" w:sz="4" w:space="0" w:color="auto"/>
            </w:tcBorders>
            <w:vAlign w:val="center"/>
          </w:tcPr>
          <w:p w14:paraId="1CB92A89" w14:textId="77777777" w:rsidR="00B83354" w:rsidRPr="00B142C3" w:rsidRDefault="00B83354" w:rsidP="00BD2DE2">
            <w:pPr>
              <w:spacing w:line="240" w:lineRule="auto"/>
              <w:jc w:val="center"/>
              <w:rPr>
                <w:rFonts w:cs="Times New Roman"/>
                <w:iCs/>
                <w:sz w:val="16"/>
                <w:szCs w:val="16"/>
              </w:rPr>
            </w:pPr>
            <w:r w:rsidRPr="00B142C3">
              <w:rPr>
                <w:rFonts w:cs="Times New Roman"/>
                <w:iCs/>
                <w:sz w:val="16"/>
                <w:szCs w:val="16"/>
              </w:rPr>
              <w:t xml:space="preserve">For going from certainty in individual studies to body of evidence, they refer to </w:t>
            </w:r>
            <w:proofErr w:type="spellStart"/>
            <w:r w:rsidRPr="00B142C3">
              <w:rPr>
                <w:rFonts w:cs="Times New Roman"/>
                <w:iCs/>
                <w:sz w:val="16"/>
                <w:szCs w:val="16"/>
              </w:rPr>
              <w:t>IQWiG’s</w:t>
            </w:r>
            <w:proofErr w:type="spellEnd"/>
            <w:r w:rsidRPr="00B142C3">
              <w:rPr>
                <w:rFonts w:cs="Times New Roman"/>
                <w:iCs/>
                <w:sz w:val="16"/>
                <w:szCs w:val="16"/>
              </w:rPr>
              <w:t xml:space="preserve"> process of certainty.</w:t>
            </w:r>
          </w:p>
        </w:tc>
        <w:tc>
          <w:tcPr>
            <w:tcW w:w="3084" w:type="dxa"/>
            <w:gridSpan w:val="5"/>
            <w:tcBorders>
              <w:top w:val="single" w:sz="4" w:space="0" w:color="auto"/>
              <w:left w:val="single" w:sz="4" w:space="0" w:color="auto"/>
              <w:bottom w:val="single" w:sz="4" w:space="0" w:color="auto"/>
              <w:right w:val="single" w:sz="4" w:space="0" w:color="auto"/>
            </w:tcBorders>
            <w:vAlign w:val="center"/>
          </w:tcPr>
          <w:p w14:paraId="06A17C93" w14:textId="77777777" w:rsidR="00B83354" w:rsidRPr="00B142C3" w:rsidRDefault="00B83354" w:rsidP="00BD2DE2">
            <w:pPr>
              <w:spacing w:line="240" w:lineRule="auto"/>
              <w:jc w:val="center"/>
              <w:rPr>
                <w:rFonts w:cs="Times New Roman"/>
                <w:iCs/>
                <w:sz w:val="16"/>
                <w:szCs w:val="16"/>
              </w:rPr>
            </w:pPr>
            <w:r w:rsidRPr="00B142C3">
              <w:rPr>
                <w:rFonts w:cs="Times New Roman"/>
                <w:iCs/>
                <w:sz w:val="16"/>
                <w:szCs w:val="16"/>
              </w:rPr>
              <w:t xml:space="preserve">The 8 domains of GRADE are referred to with a special focus in the d </w:t>
            </w:r>
            <w:proofErr w:type="spellStart"/>
            <w:r w:rsidRPr="00B142C3">
              <w:rPr>
                <w:rFonts w:cs="Times New Roman"/>
                <w:iCs/>
                <w:sz w:val="16"/>
                <w:szCs w:val="16"/>
              </w:rPr>
              <w:t>omains</w:t>
            </w:r>
            <w:proofErr w:type="spellEnd"/>
            <w:r w:rsidRPr="00B142C3">
              <w:rPr>
                <w:rFonts w:cs="Times New Roman"/>
                <w:iCs/>
                <w:sz w:val="16"/>
                <w:szCs w:val="16"/>
              </w:rPr>
              <w:t xml:space="preserve"> that grade upwards, specifically </w:t>
            </w:r>
            <w:r w:rsidRPr="00B142C3">
              <w:rPr>
                <w:rFonts w:cs="Times New Roman"/>
                <w:b/>
                <w:bCs/>
                <w:iCs/>
                <w:color w:val="FFD966" w:themeColor="accent4" w:themeTint="99"/>
                <w:sz w:val="16"/>
                <w:szCs w:val="16"/>
              </w:rPr>
              <w:sym w:font="Wingdings" w:char="F0F1"/>
            </w:r>
            <w:proofErr w:type="spellStart"/>
            <w:r w:rsidRPr="00B142C3">
              <w:rPr>
                <w:rFonts w:cs="Times New Roman"/>
                <w:b/>
                <w:bCs/>
                <w:iCs/>
                <w:color w:val="FFD966" w:themeColor="accent4" w:themeTint="99"/>
                <w:sz w:val="16"/>
                <w:szCs w:val="16"/>
              </w:rPr>
              <w:t>LaE</w:t>
            </w:r>
            <w:proofErr w:type="spellEnd"/>
          </w:p>
        </w:tc>
        <w:tc>
          <w:tcPr>
            <w:tcW w:w="1868" w:type="dxa"/>
            <w:gridSpan w:val="2"/>
            <w:tcBorders>
              <w:top w:val="single" w:sz="4" w:space="0" w:color="auto"/>
              <w:left w:val="single" w:sz="4" w:space="0" w:color="auto"/>
              <w:bottom w:val="single" w:sz="4" w:space="0" w:color="auto"/>
              <w:right w:val="single" w:sz="4" w:space="0" w:color="auto"/>
            </w:tcBorders>
            <w:vAlign w:val="center"/>
          </w:tcPr>
          <w:p w14:paraId="7C34CCB8" w14:textId="77777777" w:rsidR="00B83354" w:rsidRPr="00B142C3" w:rsidRDefault="00B83354" w:rsidP="00BD2DE2">
            <w:pPr>
              <w:spacing w:line="240" w:lineRule="auto"/>
              <w:jc w:val="center"/>
              <w:rPr>
                <w:rFonts w:cs="Times New Roman"/>
                <w:iCs/>
                <w:sz w:val="16"/>
                <w:szCs w:val="16"/>
              </w:rPr>
            </w:pPr>
            <w:r w:rsidRPr="00B142C3">
              <w:rPr>
                <w:rFonts w:cs="Times New Roman"/>
                <w:iCs/>
                <w:sz w:val="16"/>
                <w:szCs w:val="16"/>
              </w:rPr>
              <w:t xml:space="preserve">The guidelines of AHRQ are followed on assessing applicability. </w:t>
            </w:r>
          </w:p>
        </w:tc>
        <w:tc>
          <w:tcPr>
            <w:tcW w:w="2113" w:type="dxa"/>
            <w:gridSpan w:val="3"/>
            <w:vMerge/>
            <w:tcBorders>
              <w:left w:val="single" w:sz="4" w:space="0" w:color="auto"/>
              <w:bottom w:val="single" w:sz="4" w:space="0" w:color="auto"/>
              <w:right w:val="single" w:sz="4" w:space="0" w:color="auto"/>
            </w:tcBorders>
            <w:vAlign w:val="center"/>
          </w:tcPr>
          <w:p w14:paraId="109EAD53" w14:textId="77777777" w:rsidR="00B83354" w:rsidRPr="00B142C3" w:rsidRDefault="00B83354" w:rsidP="00BD2DE2">
            <w:pPr>
              <w:spacing w:line="240" w:lineRule="auto"/>
              <w:jc w:val="center"/>
              <w:rPr>
                <w:rFonts w:cs="Times New Roman"/>
                <w:iCs/>
                <w:sz w:val="16"/>
                <w:szCs w:val="16"/>
              </w:rPr>
            </w:pPr>
          </w:p>
        </w:tc>
      </w:tr>
      <w:tr w:rsidR="00B83354" w:rsidRPr="00B142C3" w14:paraId="65DD045C" w14:textId="77777777" w:rsidTr="00BD2DE2">
        <w:trPr>
          <w:trHeight w:val="58"/>
        </w:trPr>
        <w:tc>
          <w:tcPr>
            <w:tcW w:w="1901" w:type="dxa"/>
            <w:gridSpan w:val="3"/>
            <w:tcBorders>
              <w:top w:val="single" w:sz="4" w:space="0" w:color="auto"/>
              <w:left w:val="single" w:sz="4" w:space="0" w:color="auto"/>
              <w:bottom w:val="nil"/>
              <w:right w:val="single" w:sz="4" w:space="0" w:color="auto"/>
            </w:tcBorders>
            <w:vAlign w:val="center"/>
          </w:tcPr>
          <w:p w14:paraId="774855CF" w14:textId="77777777" w:rsidR="00B83354" w:rsidRPr="00B142C3" w:rsidRDefault="00B83354" w:rsidP="00BD2DE2">
            <w:pPr>
              <w:spacing w:line="240" w:lineRule="auto"/>
              <w:jc w:val="center"/>
              <w:rPr>
                <w:rFonts w:cs="Times New Roman"/>
                <w:iCs/>
                <w:sz w:val="16"/>
                <w:szCs w:val="16"/>
              </w:rPr>
            </w:pPr>
          </w:p>
        </w:tc>
        <w:tc>
          <w:tcPr>
            <w:tcW w:w="1248" w:type="dxa"/>
            <w:gridSpan w:val="2"/>
            <w:tcBorders>
              <w:top w:val="single" w:sz="4" w:space="0" w:color="auto"/>
              <w:left w:val="single" w:sz="4" w:space="0" w:color="auto"/>
              <w:bottom w:val="nil"/>
              <w:right w:val="single" w:sz="4" w:space="0" w:color="auto"/>
            </w:tcBorders>
            <w:vAlign w:val="center"/>
          </w:tcPr>
          <w:p w14:paraId="2D10D22C" w14:textId="77777777" w:rsidR="00B83354" w:rsidRPr="00B142C3" w:rsidRDefault="00B83354" w:rsidP="00BD2DE2">
            <w:pPr>
              <w:spacing w:line="240" w:lineRule="auto"/>
              <w:jc w:val="center"/>
              <w:rPr>
                <w:rFonts w:cs="Times New Roman"/>
                <w:iCs/>
                <w:sz w:val="16"/>
                <w:szCs w:val="16"/>
              </w:rPr>
            </w:pPr>
            <w:r w:rsidRPr="00B142C3">
              <w:rPr>
                <w:noProof/>
                <w:sz w:val="12"/>
                <w:szCs w:val="12"/>
              </w:rPr>
              <w:t>As general scope of the guideline</w:t>
            </w:r>
          </w:p>
        </w:tc>
        <w:tc>
          <w:tcPr>
            <w:tcW w:w="1836" w:type="dxa"/>
            <w:gridSpan w:val="3"/>
            <w:tcBorders>
              <w:top w:val="single" w:sz="4" w:space="0" w:color="auto"/>
              <w:left w:val="single" w:sz="4" w:space="0" w:color="auto"/>
              <w:bottom w:val="nil"/>
              <w:right w:val="single" w:sz="4" w:space="0" w:color="auto"/>
            </w:tcBorders>
            <w:vAlign w:val="center"/>
          </w:tcPr>
          <w:p w14:paraId="795BB214" w14:textId="77777777" w:rsidR="00B83354" w:rsidRPr="00B142C3" w:rsidRDefault="00B83354" w:rsidP="00BD2DE2">
            <w:pPr>
              <w:spacing w:line="240" w:lineRule="auto"/>
              <w:jc w:val="center"/>
              <w:rPr>
                <w:rFonts w:cs="Times New Roman"/>
                <w:iCs/>
                <w:sz w:val="16"/>
                <w:szCs w:val="16"/>
              </w:rPr>
            </w:pPr>
            <w:r w:rsidRPr="00B142C3">
              <w:rPr>
                <w:noProof/>
                <w:sz w:val="12"/>
                <w:szCs w:val="12"/>
              </w:rPr>
              <w:t>In the context of GRADE</w:t>
            </w:r>
          </w:p>
        </w:tc>
        <w:tc>
          <w:tcPr>
            <w:tcW w:w="1868" w:type="dxa"/>
            <w:gridSpan w:val="2"/>
            <w:tcBorders>
              <w:top w:val="single" w:sz="4" w:space="0" w:color="auto"/>
              <w:left w:val="single" w:sz="4" w:space="0" w:color="auto"/>
              <w:bottom w:val="nil"/>
              <w:right w:val="single" w:sz="4" w:space="0" w:color="auto"/>
            </w:tcBorders>
            <w:vAlign w:val="center"/>
          </w:tcPr>
          <w:p w14:paraId="4DCBB023" w14:textId="77777777" w:rsidR="00B83354" w:rsidRPr="00B142C3" w:rsidRDefault="00B83354" w:rsidP="00BD2DE2">
            <w:pPr>
              <w:spacing w:line="240" w:lineRule="auto"/>
              <w:jc w:val="center"/>
              <w:rPr>
                <w:rFonts w:cs="Times New Roman"/>
                <w:iCs/>
                <w:sz w:val="16"/>
                <w:szCs w:val="16"/>
              </w:rPr>
            </w:pPr>
          </w:p>
        </w:tc>
        <w:tc>
          <w:tcPr>
            <w:tcW w:w="2113" w:type="dxa"/>
            <w:gridSpan w:val="3"/>
            <w:tcBorders>
              <w:top w:val="single" w:sz="4" w:space="0" w:color="auto"/>
              <w:left w:val="single" w:sz="4" w:space="0" w:color="auto"/>
              <w:bottom w:val="nil"/>
              <w:right w:val="single" w:sz="4" w:space="0" w:color="auto"/>
            </w:tcBorders>
            <w:vAlign w:val="center"/>
          </w:tcPr>
          <w:p w14:paraId="1A3106C2" w14:textId="77777777" w:rsidR="00B83354" w:rsidRPr="00B142C3" w:rsidRDefault="00B83354" w:rsidP="00BD2DE2">
            <w:pPr>
              <w:spacing w:line="240" w:lineRule="auto"/>
              <w:jc w:val="center"/>
              <w:rPr>
                <w:rFonts w:cs="Times New Roman"/>
                <w:iCs/>
                <w:sz w:val="16"/>
                <w:szCs w:val="16"/>
              </w:rPr>
            </w:pPr>
            <w:proofErr w:type="gramStart"/>
            <w:r w:rsidRPr="00B142C3">
              <w:rPr>
                <w:rFonts w:cs="Times New Roman"/>
                <w:iCs/>
                <w:sz w:val="16"/>
                <w:szCs w:val="16"/>
              </w:rPr>
              <w:t>Domains  referred</w:t>
            </w:r>
            <w:proofErr w:type="gramEnd"/>
            <w:r w:rsidRPr="00B142C3">
              <w:rPr>
                <w:rFonts w:cs="Times New Roman"/>
                <w:iCs/>
                <w:sz w:val="16"/>
                <w:szCs w:val="16"/>
              </w:rPr>
              <w:t xml:space="preserve"> to outside the context of GRADE</w:t>
            </w:r>
          </w:p>
        </w:tc>
      </w:tr>
      <w:tr w:rsidR="00B83354" w:rsidRPr="00B142C3" w14:paraId="57E5E43B" w14:textId="77777777" w:rsidTr="00BD2DE2">
        <w:trPr>
          <w:trHeight w:val="440"/>
        </w:trPr>
        <w:tc>
          <w:tcPr>
            <w:tcW w:w="633" w:type="dxa"/>
            <w:tcBorders>
              <w:top w:val="nil"/>
              <w:left w:val="single" w:sz="4" w:space="0" w:color="auto"/>
              <w:bottom w:val="single" w:sz="4" w:space="0" w:color="auto"/>
              <w:right w:val="nil"/>
            </w:tcBorders>
            <w:vAlign w:val="center"/>
          </w:tcPr>
          <w:p w14:paraId="6AFD2CFD" w14:textId="77777777" w:rsidR="00B83354" w:rsidRPr="00B142C3" w:rsidRDefault="00B83354" w:rsidP="00BD2DE2">
            <w:pPr>
              <w:spacing w:line="240" w:lineRule="auto"/>
              <w:jc w:val="center"/>
              <w:rPr>
                <w:rFonts w:cs="Times New Roman"/>
                <w:iCs/>
                <w:color w:val="FFFFFF" w:themeColor="background1"/>
              </w:rPr>
            </w:pPr>
            <w:r w:rsidRPr="00B142C3">
              <w:rPr>
                <w:noProof/>
                <w:color w:val="FFFFFF" w:themeColor="background1"/>
                <w:lang w:val="nl-NL" w:eastAsia="nl-NL"/>
              </w:rPr>
              <mc:AlternateContent>
                <mc:Choice Requires="wps">
                  <w:drawing>
                    <wp:inline distT="0" distB="0" distL="0" distR="0" wp14:anchorId="155ED2B9" wp14:editId="71C6AFF0">
                      <wp:extent cx="252000" cy="252000"/>
                      <wp:effectExtent l="0" t="0" r="0" b="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B546C28" w14:textId="77777777" w:rsidR="00BD2DE2" w:rsidRPr="005F59B2" w:rsidRDefault="00BD2DE2" w:rsidP="00B83354">
                                  <w:pPr>
                                    <w:spacing w:after="0"/>
                                    <w:jc w:val="center"/>
                                    <w:rPr>
                                      <w:b/>
                                      <w:bCs/>
                                      <w:spacing w:val="6"/>
                                      <w:sz w:val="12"/>
                                      <w:szCs w:val="12"/>
                                      <w:lang w:val="en-US"/>
                                    </w:rPr>
                                  </w:pPr>
                                  <w:r w:rsidRPr="005F59B2">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155ED2B9" id="Oval 68" o:spid="_x0000_s1047"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" fillcolor="#c00000" stroked="f" strokeweight="1pt">
                      <v:stroke joinstyle="miter"/>
                      <v:textbox inset="0,0,0,0">
                        <w:txbxContent>
                          <w:p w14:paraId="2B546C28" w14:textId="77777777" w:rsidR="00BD2DE2" w:rsidRPr="005F59B2" w:rsidRDefault="00BD2DE2" w:rsidP="00B83354">
                            <w:pPr>
                              <w:spacing w:after="0"/>
                              <w:jc w:val="center"/>
                              <w:rPr>
                                <w:b/>
                                <w:bCs/>
                                <w:spacing w:val="6"/>
                                <w:sz w:val="12"/>
                                <w:szCs w:val="12"/>
                                <w:lang w:val="en-US"/>
                              </w:rPr>
                            </w:pPr>
                            <w:r w:rsidRPr="005F59B2">
                              <w:rPr>
                                <w:b/>
                                <w:bCs/>
                                <w:spacing w:val="6"/>
                                <w:sz w:val="12"/>
                                <w:szCs w:val="12"/>
                                <w:lang w:val="en-US"/>
                              </w:rPr>
                              <w:t>RoB</w:t>
                            </w:r>
                          </w:p>
                        </w:txbxContent>
                      </v:textbox>
                      <w10:anchorlock/>
                    </v:oval>
                  </w:pict>
                </mc:Fallback>
              </mc:AlternateContent>
            </w:r>
          </w:p>
        </w:tc>
        <w:tc>
          <w:tcPr>
            <w:tcW w:w="634" w:type="dxa"/>
            <w:tcBorders>
              <w:top w:val="nil"/>
              <w:left w:val="nil"/>
              <w:bottom w:val="single" w:sz="4" w:space="0" w:color="auto"/>
              <w:right w:val="nil"/>
            </w:tcBorders>
            <w:vAlign w:val="center"/>
          </w:tcPr>
          <w:p w14:paraId="0DB3D183" w14:textId="77777777" w:rsidR="00B83354" w:rsidRPr="00B142C3" w:rsidRDefault="00B83354" w:rsidP="00BD2DE2">
            <w:pPr>
              <w:spacing w:line="240" w:lineRule="auto"/>
              <w:jc w:val="center"/>
              <w:rPr>
                <w:rFonts w:cs="Times New Roman"/>
                <w:iCs/>
                <w:color w:val="FFFFFF" w:themeColor="background1"/>
              </w:rPr>
            </w:pPr>
            <w:r w:rsidRPr="00B142C3">
              <w:rPr>
                <w:noProof/>
                <w:color w:val="FFFFFF" w:themeColor="background1"/>
                <w:lang w:val="nl-NL" w:eastAsia="nl-NL"/>
              </w:rPr>
              <mc:AlternateContent>
                <mc:Choice Requires="wps">
                  <w:drawing>
                    <wp:inline distT="0" distB="0" distL="0" distR="0" wp14:anchorId="6E5874E2" wp14:editId="5288F51E">
                      <wp:extent cx="252000" cy="252000"/>
                      <wp:effectExtent l="0" t="0" r="0" b="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CF82D0"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PuB</w:t>
                                  </w:r>
                                </w:p>
                              </w:txbxContent>
                            </wps:txbx>
                            <wps:bodyPr rot="0" vert="horz" wrap="square" lIns="0" tIns="0" rIns="0" bIns="0" anchor="ctr" anchorCtr="0" upright="1">
                              <a:noAutofit/>
                            </wps:bodyPr>
                          </wps:wsp>
                        </a:graphicData>
                      </a:graphic>
                    </wp:inline>
                  </w:drawing>
                </mc:Choice>
                <mc:Fallback>
                  <w:pict>
                    <v:oval w14:anchorId="6E5874E2" id="Oval 69" o:spid="_x0000_s1048"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" fillcolor="#7f7f7f" stroked="f" strokeweight="1pt">
                      <v:stroke joinstyle="miter"/>
                      <v:textbox inset="0,0,0,0">
                        <w:txbxContent>
                          <w:p w14:paraId="25CF82D0"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PuB</w:t>
                            </w:r>
                          </w:p>
                        </w:txbxContent>
                      </v:textbox>
                      <w10:anchorlock/>
                    </v:oval>
                  </w:pict>
                </mc:Fallback>
              </mc:AlternateContent>
            </w:r>
          </w:p>
        </w:tc>
        <w:tc>
          <w:tcPr>
            <w:tcW w:w="634" w:type="dxa"/>
            <w:tcBorders>
              <w:top w:val="nil"/>
              <w:left w:val="nil"/>
              <w:bottom w:val="single" w:sz="4" w:space="0" w:color="auto"/>
              <w:right w:val="single" w:sz="4" w:space="0" w:color="auto"/>
            </w:tcBorders>
            <w:vAlign w:val="center"/>
          </w:tcPr>
          <w:p w14:paraId="46793BC6" w14:textId="77777777" w:rsidR="00B83354" w:rsidRPr="00B142C3" w:rsidRDefault="00B83354" w:rsidP="00BD2DE2">
            <w:pPr>
              <w:spacing w:line="240" w:lineRule="auto"/>
              <w:jc w:val="center"/>
              <w:rPr>
                <w:rFonts w:cs="Times New Roman"/>
                <w:iCs/>
                <w:color w:val="FFFFFF" w:themeColor="background1"/>
              </w:rPr>
            </w:pPr>
            <w:r w:rsidRPr="00B142C3">
              <w:rPr>
                <w:noProof/>
                <w:color w:val="FFFFFF" w:themeColor="background1"/>
                <w:lang w:val="nl-NL" w:eastAsia="nl-NL"/>
              </w:rPr>
              <mc:AlternateContent>
                <mc:Choice Requires="wps">
                  <w:drawing>
                    <wp:inline distT="0" distB="0" distL="0" distR="0" wp14:anchorId="6B3052D7" wp14:editId="37E7053B">
                      <wp:extent cx="252000" cy="252000"/>
                      <wp:effectExtent l="0" t="0" r="0" b="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rgbClr val="E281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2D0D37"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InC</w:t>
                                  </w:r>
                                </w:p>
                              </w:txbxContent>
                            </wps:txbx>
                            <wps:bodyPr rot="0" vert="horz" wrap="square" lIns="0" tIns="0" rIns="0" bIns="0" anchor="ctr" anchorCtr="0" upright="1">
                              <a:noAutofit/>
                            </wps:bodyPr>
                          </wps:wsp>
                        </a:graphicData>
                      </a:graphic>
                    </wp:inline>
                  </w:drawing>
                </mc:Choice>
                <mc:Fallback>
                  <w:pict>
                    <v:oval w14:anchorId="6B3052D7" id="Oval 70" o:spid="_x0000_s1049"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" fillcolor="#e28100" stroked="f" strokeweight="1pt">
                      <v:stroke joinstyle="miter"/>
                      <v:textbox inset="0,0,0,0">
                        <w:txbxContent>
                          <w:p w14:paraId="602D0D37"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InC</w:t>
                            </w:r>
                          </w:p>
                        </w:txbxContent>
                      </v:textbox>
                      <w10:anchorlock/>
                    </v:oval>
                  </w:pict>
                </mc:Fallback>
              </mc:AlternateContent>
            </w:r>
          </w:p>
        </w:tc>
        <w:tc>
          <w:tcPr>
            <w:tcW w:w="636" w:type="dxa"/>
            <w:tcBorders>
              <w:top w:val="nil"/>
              <w:left w:val="single" w:sz="4" w:space="0" w:color="auto"/>
              <w:bottom w:val="single" w:sz="4" w:space="0" w:color="auto"/>
              <w:right w:val="nil"/>
            </w:tcBorders>
            <w:vAlign w:val="center"/>
          </w:tcPr>
          <w:p w14:paraId="33F6E2B6" w14:textId="77777777" w:rsidR="00B83354" w:rsidRPr="00B142C3" w:rsidRDefault="00B83354" w:rsidP="00BD2DE2">
            <w:pPr>
              <w:spacing w:line="240" w:lineRule="auto"/>
              <w:jc w:val="center"/>
              <w:rPr>
                <w:rFonts w:cs="Times New Roman"/>
                <w:iCs/>
                <w:color w:val="FFFFFF" w:themeColor="background1"/>
              </w:rPr>
            </w:pPr>
            <w:r w:rsidRPr="00B142C3">
              <w:rPr>
                <w:noProof/>
                <w:lang w:val="nl-NL" w:eastAsia="nl-NL"/>
              </w:rPr>
              <mc:AlternateContent>
                <mc:Choice Requires="wps">
                  <w:drawing>
                    <wp:inline distT="0" distB="0" distL="0" distR="0" wp14:anchorId="34C07D7A" wp14:editId="579A9161">
                      <wp:extent cx="252095" cy="252095"/>
                      <wp:effectExtent l="9525" t="9525" r="5080" b="508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125023"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34C07D7A" id="Oval 71" o:spid="_x0000_s1050"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" fillcolor="#c00000" stroked="f" strokeweight="1pt">
                      <v:stroke joinstyle="miter"/>
                      <v:textbox inset="0,0,0,0">
                        <w:txbxContent>
                          <w:p w14:paraId="0D125023"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c>
          <w:tcPr>
            <w:tcW w:w="612" w:type="dxa"/>
            <w:tcBorders>
              <w:top w:val="nil"/>
              <w:left w:val="nil"/>
              <w:bottom w:val="single" w:sz="4" w:space="0" w:color="auto"/>
              <w:right w:val="single" w:sz="4" w:space="0" w:color="auto"/>
            </w:tcBorders>
            <w:vAlign w:val="center"/>
          </w:tcPr>
          <w:p w14:paraId="21643A68" w14:textId="77777777" w:rsidR="00B83354" w:rsidRPr="00B142C3" w:rsidRDefault="00B83354" w:rsidP="00BD2DE2">
            <w:pPr>
              <w:spacing w:line="240" w:lineRule="auto"/>
              <w:jc w:val="center"/>
              <w:rPr>
                <w:rFonts w:cs="Times New Roman"/>
                <w:iCs/>
                <w:color w:val="FFFFFF" w:themeColor="background1"/>
              </w:rPr>
            </w:pPr>
            <w:r w:rsidRPr="00B142C3">
              <w:rPr>
                <w:noProof/>
                <w:color w:val="FFFFFF" w:themeColor="background1"/>
                <w:lang w:val="nl-NL" w:eastAsia="nl-NL"/>
              </w:rPr>
              <mc:AlternateContent>
                <mc:Choice Requires="wps">
                  <w:drawing>
                    <wp:inline distT="0" distB="0" distL="0" distR="0" wp14:anchorId="5FC80AD5" wp14:editId="185469FE">
                      <wp:extent cx="252000" cy="252000"/>
                      <wp:effectExtent l="0" t="0" r="0" b="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ysClr val="windowText" lastClr="000000">
                                  <a:lumMod val="50000"/>
                                  <a:lumOff val="5000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F32F1D"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PuB</w:t>
                                  </w:r>
                                </w:p>
                              </w:txbxContent>
                            </wps:txbx>
                            <wps:bodyPr rot="0" vert="horz" wrap="square" lIns="0" tIns="0" rIns="0" bIns="0" anchor="ctr" anchorCtr="0" upright="1">
                              <a:noAutofit/>
                            </wps:bodyPr>
                          </wps:wsp>
                        </a:graphicData>
                      </a:graphic>
                    </wp:inline>
                  </w:drawing>
                </mc:Choice>
                <mc:Fallback>
                  <w:pict>
                    <v:oval w14:anchorId="5FC80AD5" id="Oval 72" o:spid="_x0000_s1051"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" fillcolor="#7f7f7f" stroked="f" strokeweight="1pt">
                      <v:stroke joinstyle="miter"/>
                      <v:textbox inset="0,0,0,0">
                        <w:txbxContent>
                          <w:p w14:paraId="11F32F1D"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PuB</w:t>
                            </w:r>
                          </w:p>
                        </w:txbxContent>
                      </v:textbox>
                      <w10:anchorlock/>
                    </v:oval>
                  </w:pict>
                </mc:Fallback>
              </mc:AlternateContent>
            </w:r>
          </w:p>
        </w:tc>
        <w:tc>
          <w:tcPr>
            <w:tcW w:w="612" w:type="dxa"/>
            <w:tcBorders>
              <w:top w:val="nil"/>
              <w:left w:val="single" w:sz="4" w:space="0" w:color="auto"/>
              <w:bottom w:val="single" w:sz="4" w:space="0" w:color="auto"/>
              <w:right w:val="nil"/>
            </w:tcBorders>
            <w:vAlign w:val="center"/>
          </w:tcPr>
          <w:p w14:paraId="1D217CE7" w14:textId="77777777" w:rsidR="00B83354" w:rsidRPr="00B142C3" w:rsidRDefault="00B83354" w:rsidP="00BD2DE2">
            <w:pPr>
              <w:spacing w:line="240" w:lineRule="auto"/>
              <w:jc w:val="center"/>
              <w:rPr>
                <w:rFonts w:cs="Times New Roman"/>
                <w:iCs/>
                <w:color w:val="FFFFFF" w:themeColor="background1"/>
              </w:rPr>
            </w:pPr>
            <w:r w:rsidRPr="00B142C3">
              <w:rPr>
                <w:noProof/>
                <w:lang w:val="nl-NL" w:eastAsia="nl-NL"/>
              </w:rPr>
              <mc:AlternateContent>
                <mc:Choice Requires="wps">
                  <w:drawing>
                    <wp:inline distT="0" distB="0" distL="0" distR="0" wp14:anchorId="7972FC3A" wp14:editId="4B433DCC">
                      <wp:extent cx="252000" cy="252000"/>
                      <wp:effectExtent l="0" t="0" r="0" b="0"/>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rect">
                                <a:avLst/>
                              </a:prstGeom>
                              <a:solidFill>
                                <a:srgbClr val="FFC000">
                                  <a:lumMod val="60000"/>
                                  <a:lumOff val="4000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6F5C4F" w14:textId="77777777" w:rsidR="00BD2DE2" w:rsidRPr="005F59B2" w:rsidRDefault="00BD2DE2" w:rsidP="00B83354">
                                  <w:pPr>
                                    <w:spacing w:after="0"/>
                                    <w:jc w:val="center"/>
                                    <w:rPr>
                                      <w:b/>
                                      <w:bCs/>
                                      <w:color w:val="FFFFFF" w:themeColor="background1"/>
                                      <w:spacing w:val="6"/>
                                      <w:sz w:val="14"/>
                                      <w:szCs w:val="14"/>
                                      <w:lang w:val="en-US"/>
                                    </w:rPr>
                                  </w:pPr>
                                  <w:r w:rsidRPr="005F59B2">
                                    <w:rPr>
                                      <w:b/>
                                      <w:bCs/>
                                      <w:color w:val="FFFFFF" w:themeColor="background1"/>
                                      <w:spacing w:val="6"/>
                                      <w:sz w:val="14"/>
                                      <w:szCs w:val="14"/>
                                      <w:lang w:val="en-US"/>
                                    </w:rPr>
                                    <w:t>LaE</w:t>
                                  </w:r>
                                </w:p>
                              </w:txbxContent>
                            </wps:txbx>
                            <wps:bodyPr rot="0" vert="horz" wrap="square" lIns="0" tIns="0" rIns="0" bIns="0" anchor="ctr" anchorCtr="0" upright="1">
                              <a:noAutofit/>
                            </wps:bodyPr>
                          </wps:wsp>
                        </a:graphicData>
                      </a:graphic>
                    </wp:inline>
                  </w:drawing>
                </mc:Choice>
                <mc:Fallback>
                  <w:pict>
                    <v:rect w14:anchorId="7972FC3A" id="Rectangle 73" o:spid="_x0000_s1052"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" fillcolor="#ffd966" stroked="f" strokeweight="1pt">
                      <v:textbox inset="0,0,0,0">
                        <w:txbxContent>
                          <w:p w14:paraId="2E6F5C4F" w14:textId="77777777" w:rsidR="00BD2DE2" w:rsidRPr="005F59B2" w:rsidRDefault="00BD2DE2" w:rsidP="00B83354">
                            <w:pPr>
                              <w:spacing w:after="0"/>
                              <w:jc w:val="center"/>
                              <w:rPr>
                                <w:b/>
                                <w:bCs/>
                                <w:color w:val="FFFFFF" w:themeColor="background1"/>
                                <w:spacing w:val="6"/>
                                <w:sz w:val="14"/>
                                <w:szCs w:val="14"/>
                                <w:lang w:val="en-US"/>
                              </w:rPr>
                            </w:pPr>
                            <w:r w:rsidRPr="005F59B2">
                              <w:rPr>
                                <w:b/>
                                <w:bCs/>
                                <w:color w:val="FFFFFF" w:themeColor="background1"/>
                                <w:spacing w:val="6"/>
                                <w:sz w:val="14"/>
                                <w:szCs w:val="14"/>
                                <w:lang w:val="en-US"/>
                              </w:rPr>
                              <w:t>LaE</w:t>
                            </w:r>
                          </w:p>
                        </w:txbxContent>
                      </v:textbox>
                      <w10:anchorlock/>
                    </v:rect>
                  </w:pict>
                </mc:Fallback>
              </mc:AlternateContent>
            </w:r>
          </w:p>
        </w:tc>
        <w:tc>
          <w:tcPr>
            <w:tcW w:w="612" w:type="dxa"/>
            <w:tcBorders>
              <w:top w:val="nil"/>
              <w:left w:val="nil"/>
              <w:bottom w:val="single" w:sz="4" w:space="0" w:color="auto"/>
              <w:right w:val="nil"/>
            </w:tcBorders>
            <w:vAlign w:val="center"/>
          </w:tcPr>
          <w:p w14:paraId="28C16A95" w14:textId="77777777" w:rsidR="00B83354" w:rsidRPr="00B142C3" w:rsidRDefault="00B83354" w:rsidP="00BD2DE2">
            <w:pPr>
              <w:spacing w:line="240" w:lineRule="auto"/>
              <w:jc w:val="center"/>
              <w:rPr>
                <w:rFonts w:cs="Times New Roman"/>
                <w:iCs/>
                <w:color w:val="FFFFFF" w:themeColor="background1"/>
              </w:rPr>
            </w:pPr>
            <w:r w:rsidRPr="00B142C3">
              <w:rPr>
                <w:noProof/>
                <w:lang w:val="nl-NL" w:eastAsia="nl-NL"/>
              </w:rPr>
              <mc:AlternateContent>
                <mc:Choice Requires="wps">
                  <w:drawing>
                    <wp:inline distT="0" distB="0" distL="0" distR="0" wp14:anchorId="6DA69758" wp14:editId="2B08FBD0">
                      <wp:extent cx="252000" cy="252000"/>
                      <wp:effectExtent l="0" t="0" r="0" b="0"/>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rect">
                                <a:avLst/>
                              </a:prstGeom>
                              <a:solidFill>
                                <a:srgbClr val="7030A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F972C9" w14:textId="77777777" w:rsidR="00BD2DE2" w:rsidRPr="005F59B2" w:rsidRDefault="00BD2DE2" w:rsidP="00B83354">
                                  <w:pPr>
                                    <w:spacing w:after="0"/>
                                    <w:jc w:val="center"/>
                                    <w:rPr>
                                      <w:b/>
                                      <w:bCs/>
                                      <w:color w:val="FFFFFF" w:themeColor="background1"/>
                                      <w:spacing w:val="6"/>
                                      <w:sz w:val="14"/>
                                      <w:szCs w:val="14"/>
                                      <w:lang w:val="en-US"/>
                                    </w:rPr>
                                  </w:pPr>
                                  <w:r w:rsidRPr="005905DC">
                                    <w:rPr>
                                      <w:b/>
                                      <w:bCs/>
                                      <w:color w:val="FFFFFF" w:themeColor="background1"/>
                                      <w:spacing w:val="6"/>
                                      <w:sz w:val="14"/>
                                      <w:szCs w:val="14"/>
                                      <w:lang w:val="en-US"/>
                                    </w:rPr>
                                    <w:t>DoR</w:t>
                                  </w:r>
                                </w:p>
                              </w:txbxContent>
                            </wps:txbx>
                            <wps:bodyPr rot="0" vert="horz" wrap="square" lIns="0" tIns="0" rIns="0" bIns="0" anchor="ctr" anchorCtr="0" upright="1">
                              <a:noAutofit/>
                            </wps:bodyPr>
                          </wps:wsp>
                        </a:graphicData>
                      </a:graphic>
                    </wp:inline>
                  </w:drawing>
                </mc:Choice>
                <mc:Fallback>
                  <w:pict>
                    <v:rect w14:anchorId="6DA69758" id="Rectangle 74" o:spid="_x0000_s1053"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" fillcolor="#7030a0" stroked="f" strokeweight="1pt">
                      <v:textbox inset="0,0,0,0">
                        <w:txbxContent>
                          <w:p w14:paraId="6CF972C9" w14:textId="77777777" w:rsidR="00BD2DE2" w:rsidRPr="005F59B2" w:rsidRDefault="00BD2DE2" w:rsidP="00B83354">
                            <w:pPr>
                              <w:spacing w:after="0"/>
                              <w:jc w:val="center"/>
                              <w:rPr>
                                <w:b/>
                                <w:bCs/>
                                <w:color w:val="FFFFFF" w:themeColor="background1"/>
                                <w:spacing w:val="6"/>
                                <w:sz w:val="14"/>
                                <w:szCs w:val="14"/>
                                <w:lang w:val="en-US"/>
                              </w:rPr>
                            </w:pPr>
                            <w:r w:rsidRPr="005905DC">
                              <w:rPr>
                                <w:b/>
                                <w:bCs/>
                                <w:color w:val="FFFFFF" w:themeColor="background1"/>
                                <w:spacing w:val="6"/>
                                <w:sz w:val="14"/>
                                <w:szCs w:val="14"/>
                                <w:lang w:val="en-US"/>
                              </w:rPr>
                              <w:t>DoR</w:t>
                            </w:r>
                          </w:p>
                        </w:txbxContent>
                      </v:textbox>
                      <w10:anchorlock/>
                    </v:rect>
                  </w:pict>
                </mc:Fallback>
              </mc:AlternateContent>
            </w:r>
          </w:p>
        </w:tc>
        <w:tc>
          <w:tcPr>
            <w:tcW w:w="612" w:type="dxa"/>
            <w:tcBorders>
              <w:top w:val="nil"/>
              <w:left w:val="nil"/>
              <w:bottom w:val="single" w:sz="4" w:space="0" w:color="auto"/>
              <w:right w:val="single" w:sz="4" w:space="0" w:color="auto"/>
            </w:tcBorders>
            <w:vAlign w:val="center"/>
          </w:tcPr>
          <w:p w14:paraId="1F22A69B" w14:textId="77777777" w:rsidR="00B83354" w:rsidRPr="00B142C3" w:rsidRDefault="00B83354" w:rsidP="00BD2DE2">
            <w:pPr>
              <w:spacing w:line="240" w:lineRule="auto"/>
              <w:jc w:val="center"/>
              <w:rPr>
                <w:rFonts w:cs="Times New Roman"/>
                <w:iCs/>
                <w:color w:val="FFFFFF" w:themeColor="background1"/>
              </w:rPr>
            </w:pPr>
            <w:r w:rsidRPr="00B142C3">
              <w:rPr>
                <w:noProof/>
                <w:lang w:val="nl-NL" w:eastAsia="nl-NL"/>
              </w:rPr>
              <mc:AlternateContent>
                <mc:Choice Requires="wps">
                  <w:drawing>
                    <wp:inline distT="0" distB="0" distL="0" distR="0" wp14:anchorId="12B12352" wp14:editId="30A4C294">
                      <wp:extent cx="252000" cy="252000"/>
                      <wp:effectExtent l="0" t="0" r="0" b="0"/>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rect">
                                <a:avLst/>
                              </a:prstGeom>
                              <a:solidFill>
                                <a:sysClr val="windowText" lastClr="000000">
                                  <a:lumMod val="95000"/>
                                  <a:lumOff val="5000"/>
                                </a:sys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27BAF6" w14:textId="77777777" w:rsidR="00BD2DE2" w:rsidRDefault="00BD2DE2" w:rsidP="00B83354">
                                  <w:pPr>
                                    <w:spacing w:after="0"/>
                                    <w:jc w:val="center"/>
                                    <w:rPr>
                                      <w:b/>
                                      <w:bCs/>
                                      <w:spacing w:val="6"/>
                                      <w:sz w:val="14"/>
                                      <w:szCs w:val="14"/>
                                      <w:lang w:val="en-US"/>
                                    </w:rPr>
                                  </w:pPr>
                                  <w:r>
                                    <w:rPr>
                                      <w:b/>
                                      <w:bCs/>
                                      <w:spacing w:val="6"/>
                                      <w:sz w:val="14"/>
                                      <w:szCs w:val="14"/>
                                      <w:lang w:val="en-US"/>
                                    </w:rPr>
                                    <w:t>PlC</w:t>
                                  </w:r>
                                </w:p>
                              </w:txbxContent>
                            </wps:txbx>
                            <wps:bodyPr rot="0" vert="horz" wrap="square" lIns="0" tIns="0" rIns="0" bIns="0" anchor="ctr" anchorCtr="0" upright="1">
                              <a:noAutofit/>
                            </wps:bodyPr>
                          </wps:wsp>
                        </a:graphicData>
                      </a:graphic>
                    </wp:inline>
                  </w:drawing>
                </mc:Choice>
                <mc:Fallback>
                  <w:pict>
                    <v:rect w14:anchorId="12B12352" id="Rectangle 75" o:spid="_x0000_s1054"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" fillcolor="#0d0d0d" stroked="f" strokeweight="1pt">
                      <v:textbox inset="0,0,0,0">
                        <w:txbxContent>
                          <w:p w14:paraId="2627BAF6" w14:textId="77777777" w:rsidR="00BD2DE2" w:rsidRDefault="00BD2DE2" w:rsidP="00B83354">
                            <w:pPr>
                              <w:spacing w:after="0"/>
                              <w:jc w:val="center"/>
                              <w:rPr>
                                <w:b/>
                                <w:bCs/>
                                <w:spacing w:val="6"/>
                                <w:sz w:val="14"/>
                                <w:szCs w:val="14"/>
                                <w:lang w:val="en-US"/>
                              </w:rPr>
                            </w:pPr>
                            <w:r>
                              <w:rPr>
                                <w:b/>
                                <w:bCs/>
                                <w:spacing w:val="6"/>
                                <w:sz w:val="14"/>
                                <w:szCs w:val="14"/>
                                <w:lang w:val="en-US"/>
                              </w:rPr>
                              <w:t>PlC</w:t>
                            </w:r>
                          </w:p>
                        </w:txbxContent>
                      </v:textbox>
                      <w10:anchorlock/>
                    </v:rect>
                  </w:pict>
                </mc:Fallback>
              </mc:AlternateContent>
            </w:r>
          </w:p>
        </w:tc>
        <w:tc>
          <w:tcPr>
            <w:tcW w:w="950" w:type="dxa"/>
            <w:tcBorders>
              <w:top w:val="nil"/>
              <w:left w:val="single" w:sz="4" w:space="0" w:color="auto"/>
              <w:bottom w:val="single" w:sz="4" w:space="0" w:color="auto"/>
              <w:right w:val="nil"/>
            </w:tcBorders>
            <w:vAlign w:val="center"/>
          </w:tcPr>
          <w:p w14:paraId="0F5E3EEF" w14:textId="77777777" w:rsidR="00B83354" w:rsidRPr="00B142C3" w:rsidRDefault="00B83354" w:rsidP="00BD2DE2">
            <w:pPr>
              <w:spacing w:line="240" w:lineRule="auto"/>
              <w:jc w:val="center"/>
              <w:rPr>
                <w:rFonts w:cs="Times New Roman"/>
                <w:iCs/>
                <w:color w:val="FFFFFF" w:themeColor="background1"/>
              </w:rPr>
            </w:pPr>
            <w:r w:rsidRPr="00B142C3">
              <w:rPr>
                <w:noProof/>
                <w:color w:val="FFFFFF" w:themeColor="background1"/>
                <w:lang w:val="nl-NL" w:eastAsia="nl-NL"/>
              </w:rPr>
              <mc:AlternateContent>
                <mc:Choice Requires="wps">
                  <w:drawing>
                    <wp:inline distT="0" distB="0" distL="0" distR="0" wp14:anchorId="3BC96DAD" wp14:editId="39814B62">
                      <wp:extent cx="252000" cy="252000"/>
                      <wp:effectExtent l="0" t="0" r="0" b="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rgbClr val="E281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B58B8DD"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InC</w:t>
                                  </w:r>
                                </w:p>
                              </w:txbxContent>
                            </wps:txbx>
                            <wps:bodyPr rot="0" vert="horz" wrap="square" lIns="0" tIns="0" rIns="0" bIns="0" anchor="ctr" anchorCtr="0" upright="1">
                              <a:noAutofit/>
                            </wps:bodyPr>
                          </wps:wsp>
                        </a:graphicData>
                      </a:graphic>
                    </wp:inline>
                  </w:drawing>
                </mc:Choice>
                <mc:Fallback>
                  <w:pict>
                    <v:oval w14:anchorId="3BC96DAD" id="Oval 76" o:spid="_x0000_s1055"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" fillcolor="#e28100" stroked="f" strokeweight="1pt">
                      <v:stroke joinstyle="miter"/>
                      <v:textbox inset="0,0,0,0">
                        <w:txbxContent>
                          <w:p w14:paraId="6B58B8DD"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InC</w:t>
                            </w:r>
                          </w:p>
                        </w:txbxContent>
                      </v:textbox>
                      <w10:anchorlock/>
                    </v:oval>
                  </w:pict>
                </mc:Fallback>
              </mc:AlternateContent>
            </w:r>
          </w:p>
        </w:tc>
        <w:tc>
          <w:tcPr>
            <w:tcW w:w="918" w:type="dxa"/>
            <w:tcBorders>
              <w:top w:val="nil"/>
              <w:left w:val="nil"/>
              <w:bottom w:val="single" w:sz="4" w:space="0" w:color="auto"/>
              <w:right w:val="single" w:sz="4" w:space="0" w:color="auto"/>
            </w:tcBorders>
            <w:vAlign w:val="center"/>
          </w:tcPr>
          <w:p w14:paraId="2DA11A43" w14:textId="77777777" w:rsidR="00B83354" w:rsidRPr="00B142C3" w:rsidRDefault="00B83354" w:rsidP="00BD2DE2">
            <w:pPr>
              <w:spacing w:line="240" w:lineRule="auto"/>
              <w:jc w:val="center"/>
              <w:rPr>
                <w:rFonts w:cs="Times New Roman"/>
                <w:iCs/>
                <w:color w:val="FFFFFF" w:themeColor="background1"/>
              </w:rPr>
            </w:pPr>
            <w:r w:rsidRPr="00B142C3">
              <w:rPr>
                <w:rFonts w:eastAsia="Calibri" w:cs="Times New Roman"/>
                <w:noProof/>
                <w:color w:val="FFFFFF" w:themeColor="background1"/>
                <w:lang w:val="nl-NL" w:eastAsia="nl-NL"/>
              </w:rPr>
              <mc:AlternateContent>
                <mc:Choice Requires="wps">
                  <w:drawing>
                    <wp:inline distT="0" distB="0" distL="0" distR="0" wp14:anchorId="3035B7A8" wp14:editId="17D385B2">
                      <wp:extent cx="252000" cy="252000"/>
                      <wp:effectExtent l="0" t="0" r="0" b="0"/>
                      <wp:docPr id="7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rgbClr val="4472C4">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2E0739"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InD</w:t>
                                  </w:r>
                                </w:p>
                              </w:txbxContent>
                            </wps:txbx>
                            <wps:bodyPr rot="0" vert="horz" wrap="square" lIns="0" tIns="0" rIns="0" bIns="0" anchor="ctr" anchorCtr="0" upright="1">
                              <a:noAutofit/>
                            </wps:bodyPr>
                          </wps:wsp>
                        </a:graphicData>
                      </a:graphic>
                    </wp:inline>
                  </w:drawing>
                </mc:Choice>
                <mc:Fallback>
                  <w:pict>
                    <v:oval w14:anchorId="3035B7A8" id="Oval 45" o:spid="_x0000_s1056"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" fillcolor="#4472c4" stroked="f" strokeweight="1pt">
                      <v:stroke joinstyle="miter"/>
                      <v:textbox inset="0,0,0,0">
                        <w:txbxContent>
                          <w:p w14:paraId="642E0739"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InD</w:t>
                            </w:r>
                          </w:p>
                        </w:txbxContent>
                      </v:textbox>
                      <w10:anchorlock/>
                    </v:oval>
                  </w:pict>
                </mc:Fallback>
              </mc:AlternateContent>
            </w:r>
          </w:p>
        </w:tc>
        <w:tc>
          <w:tcPr>
            <w:tcW w:w="705" w:type="dxa"/>
            <w:tcBorders>
              <w:top w:val="nil"/>
              <w:left w:val="single" w:sz="4" w:space="0" w:color="auto"/>
              <w:bottom w:val="single" w:sz="4" w:space="0" w:color="auto"/>
              <w:right w:val="nil"/>
            </w:tcBorders>
            <w:vAlign w:val="center"/>
          </w:tcPr>
          <w:p w14:paraId="1879421A" w14:textId="77777777" w:rsidR="00B83354" w:rsidRPr="00B142C3" w:rsidRDefault="00B83354" w:rsidP="00BD2DE2">
            <w:pPr>
              <w:spacing w:line="240" w:lineRule="auto"/>
              <w:jc w:val="center"/>
              <w:rPr>
                <w:rFonts w:eastAsia="Calibri" w:cs="Times New Roman"/>
                <w:noProof/>
                <w:color w:val="FFFFFF" w:themeColor="background1"/>
              </w:rPr>
            </w:pPr>
            <w:r w:rsidRPr="00B142C3">
              <w:rPr>
                <w:noProof/>
                <w:lang w:val="nl-NL" w:eastAsia="nl-NL"/>
              </w:rPr>
              <mc:AlternateContent>
                <mc:Choice Requires="wps">
                  <w:drawing>
                    <wp:inline distT="0" distB="0" distL="0" distR="0" wp14:anchorId="28BCB317" wp14:editId="6A2F4063">
                      <wp:extent cx="252095" cy="252095"/>
                      <wp:effectExtent l="9525" t="9525" r="5080" b="508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C0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2D3E1B"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wps:txbx>
                            <wps:bodyPr rot="0" vert="horz" wrap="square" lIns="0" tIns="0" rIns="0" bIns="0" anchor="ctr" anchorCtr="0" upright="1">
                              <a:noAutofit/>
                            </wps:bodyPr>
                          </wps:wsp>
                        </a:graphicData>
                      </a:graphic>
                    </wp:inline>
                  </w:drawing>
                </mc:Choice>
                <mc:Fallback>
                  <w:pict>
                    <v:oval w14:anchorId="28BCB317" id="Oval 78" o:spid="_x0000_s1057"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" fillcolor="#c00000" stroked="f" strokeweight="1pt">
                      <v:stroke joinstyle="miter"/>
                      <v:textbox inset="0,0,0,0">
                        <w:txbxContent>
                          <w:p w14:paraId="7B2D3E1B" w14:textId="77777777" w:rsidR="00BD2DE2" w:rsidRDefault="00BD2DE2" w:rsidP="00B83354">
                            <w:pPr>
                              <w:spacing w:after="0"/>
                              <w:jc w:val="center"/>
                              <w:rPr>
                                <w:b/>
                                <w:bCs/>
                                <w:spacing w:val="6"/>
                                <w:sz w:val="12"/>
                                <w:szCs w:val="12"/>
                                <w:lang w:val="en-US"/>
                              </w:rPr>
                            </w:pPr>
                            <w:r>
                              <w:rPr>
                                <w:b/>
                                <w:bCs/>
                                <w:spacing w:val="6"/>
                                <w:sz w:val="12"/>
                                <w:szCs w:val="12"/>
                                <w:lang w:val="en-US"/>
                              </w:rPr>
                              <w:t>RoB</w:t>
                            </w:r>
                          </w:p>
                        </w:txbxContent>
                      </v:textbox>
                      <w10:anchorlock/>
                    </v:oval>
                  </w:pict>
                </mc:Fallback>
              </mc:AlternateContent>
            </w:r>
          </w:p>
        </w:tc>
        <w:tc>
          <w:tcPr>
            <w:tcW w:w="704" w:type="dxa"/>
            <w:tcBorders>
              <w:top w:val="nil"/>
              <w:left w:val="nil"/>
              <w:bottom w:val="single" w:sz="4" w:space="0" w:color="auto"/>
              <w:right w:val="nil"/>
            </w:tcBorders>
            <w:vAlign w:val="center"/>
          </w:tcPr>
          <w:p w14:paraId="7EE9970A" w14:textId="77777777" w:rsidR="00B83354" w:rsidRPr="00B142C3" w:rsidRDefault="00B83354" w:rsidP="00BD2DE2">
            <w:pPr>
              <w:spacing w:line="240" w:lineRule="auto"/>
              <w:jc w:val="center"/>
              <w:rPr>
                <w:rFonts w:eastAsia="Calibri" w:cs="Times New Roman"/>
                <w:noProof/>
                <w:color w:val="FFFFFF" w:themeColor="background1"/>
              </w:rPr>
            </w:pPr>
            <w:r w:rsidRPr="00B142C3">
              <w:rPr>
                <w:rFonts w:eastAsia="Calibri" w:cs="Times New Roman"/>
                <w:noProof/>
                <w:color w:val="FFFFFF" w:themeColor="background1"/>
                <w:lang w:val="nl-NL" w:eastAsia="nl-NL"/>
              </w:rPr>
              <mc:AlternateContent>
                <mc:Choice Requires="wps">
                  <w:drawing>
                    <wp:inline distT="0" distB="0" distL="0" distR="0" wp14:anchorId="31C5F74C" wp14:editId="12ACF694">
                      <wp:extent cx="252000" cy="252000"/>
                      <wp:effectExtent l="0" t="0" r="0" b="0"/>
                      <wp:docPr id="7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rgbClr val="4472C4">
                                  <a:lumMod val="100000"/>
                                  <a:lumOff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35BB90"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InD</w:t>
                                  </w:r>
                                </w:p>
                              </w:txbxContent>
                            </wps:txbx>
                            <wps:bodyPr rot="0" vert="horz" wrap="square" lIns="0" tIns="0" rIns="0" bIns="0" anchor="ctr" anchorCtr="0" upright="1">
                              <a:noAutofit/>
                            </wps:bodyPr>
                          </wps:wsp>
                        </a:graphicData>
                      </a:graphic>
                    </wp:inline>
                  </w:drawing>
                </mc:Choice>
                <mc:Fallback>
                  <w:pict>
                    <v:oval w14:anchorId="31C5F74C" id="_x0000_s1058"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" fillcolor="#4472c4" stroked="f" strokeweight="1pt">
                      <v:stroke joinstyle="miter"/>
                      <v:textbox inset="0,0,0,0">
                        <w:txbxContent>
                          <w:p w14:paraId="5635BB90" w14:textId="77777777" w:rsidR="00BD2DE2" w:rsidRPr="005F59B2" w:rsidRDefault="00BD2DE2" w:rsidP="00B83354">
                            <w:pPr>
                              <w:spacing w:after="0"/>
                              <w:jc w:val="center"/>
                              <w:rPr>
                                <w:b/>
                                <w:bCs/>
                                <w:color w:val="FFFFFF" w:themeColor="background1"/>
                                <w:spacing w:val="6"/>
                                <w:sz w:val="12"/>
                                <w:szCs w:val="12"/>
                                <w:lang w:val="en-US"/>
                              </w:rPr>
                            </w:pPr>
                            <w:r w:rsidRPr="005F59B2">
                              <w:rPr>
                                <w:b/>
                                <w:bCs/>
                                <w:color w:val="FFFFFF" w:themeColor="background1"/>
                                <w:spacing w:val="6"/>
                                <w:sz w:val="12"/>
                                <w:szCs w:val="12"/>
                                <w:lang w:val="en-US"/>
                              </w:rPr>
                              <w:t>InD</w:t>
                            </w:r>
                          </w:p>
                        </w:txbxContent>
                      </v:textbox>
                      <w10:anchorlock/>
                    </v:oval>
                  </w:pict>
                </mc:Fallback>
              </mc:AlternateContent>
            </w:r>
          </w:p>
        </w:tc>
        <w:tc>
          <w:tcPr>
            <w:tcW w:w="704" w:type="dxa"/>
            <w:tcBorders>
              <w:top w:val="nil"/>
              <w:left w:val="nil"/>
              <w:bottom w:val="single" w:sz="4" w:space="0" w:color="auto"/>
              <w:right w:val="single" w:sz="4" w:space="0" w:color="auto"/>
            </w:tcBorders>
            <w:vAlign w:val="center"/>
          </w:tcPr>
          <w:p w14:paraId="6254524B" w14:textId="77777777" w:rsidR="00B83354" w:rsidRPr="00B142C3" w:rsidRDefault="00B83354" w:rsidP="00BD2DE2">
            <w:pPr>
              <w:spacing w:line="240" w:lineRule="auto"/>
              <w:jc w:val="center"/>
              <w:rPr>
                <w:rFonts w:eastAsia="Calibri" w:cs="Times New Roman"/>
                <w:noProof/>
                <w:color w:val="FFFFFF" w:themeColor="background1"/>
              </w:rPr>
            </w:pPr>
            <w:r w:rsidRPr="00B142C3">
              <w:rPr>
                <w:rFonts w:cs="Times New Roman"/>
                <w:bCs/>
                <w:noProof/>
                <w:lang w:val="nl-NL" w:eastAsia="nl-NL"/>
              </w:rPr>
              <mc:AlternateContent>
                <mc:Choice Requires="wps">
                  <w:drawing>
                    <wp:inline distT="0" distB="0" distL="0" distR="0" wp14:anchorId="107C48B0" wp14:editId="0AFD2EE7">
                      <wp:extent cx="252000" cy="252000"/>
                      <wp:effectExtent l="0" t="0" r="0" b="0"/>
                      <wp:docPr id="80" name="Oval 80"/>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007E39"/>
                              </a:solidFill>
                              <a:ln w="12700" cap="flat" cmpd="sng" algn="ctr">
                                <a:noFill/>
                                <a:prstDash val="solid"/>
                                <a:miter lim="800000"/>
                              </a:ln>
                              <a:effectLst/>
                            </wps:spPr>
                            <wps:txbx>
                              <w:txbxContent>
                                <w:p w14:paraId="76BC6995" w14:textId="77777777" w:rsidR="00BD2DE2" w:rsidRPr="00011F1C" w:rsidRDefault="00BD2DE2" w:rsidP="00B83354">
                                  <w:pPr>
                                    <w:spacing w:after="0"/>
                                    <w:jc w:val="center"/>
                                    <w:rPr>
                                      <w:b/>
                                      <w:bCs/>
                                      <w:color w:val="FFFFFF" w:themeColor="background1"/>
                                      <w:spacing w:val="6"/>
                                      <w:sz w:val="12"/>
                                      <w:szCs w:val="12"/>
                                      <w:lang w:val="en-US"/>
                                    </w:rPr>
                                  </w:pPr>
                                  <w:r w:rsidRPr="00011F1C">
                                    <w:rPr>
                                      <w:b/>
                                      <w:bCs/>
                                      <w:color w:val="FFFFFF" w:themeColor="background1"/>
                                      <w:spacing w:val="6"/>
                                      <w:sz w:val="12"/>
                                      <w:szCs w:val="12"/>
                                      <w:lang w:val="en-US"/>
                                    </w:rPr>
                                    <w:t>ImP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07C48B0" id="Oval 80" o:spid="_x0000_s1059" style="width:19.8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" fillcolor="#007e39" stroked="f" strokeweight="1pt">
                      <v:stroke joinstyle="miter"/>
                      <v:textbox inset="0,0,0,0">
                        <w:txbxContent>
                          <w:p w14:paraId="76BC6995" w14:textId="77777777" w:rsidR="00BD2DE2" w:rsidRPr="00011F1C" w:rsidRDefault="00BD2DE2" w:rsidP="00B83354">
                            <w:pPr>
                              <w:spacing w:after="0"/>
                              <w:jc w:val="center"/>
                              <w:rPr>
                                <w:b/>
                                <w:bCs/>
                                <w:color w:val="FFFFFF" w:themeColor="background1"/>
                                <w:spacing w:val="6"/>
                                <w:sz w:val="12"/>
                                <w:szCs w:val="12"/>
                                <w:lang w:val="en-US"/>
                              </w:rPr>
                            </w:pPr>
                            <w:r w:rsidRPr="00011F1C">
                              <w:rPr>
                                <w:b/>
                                <w:bCs/>
                                <w:color w:val="FFFFFF" w:themeColor="background1"/>
                                <w:spacing w:val="6"/>
                                <w:sz w:val="12"/>
                                <w:szCs w:val="12"/>
                                <w:lang w:val="en-US"/>
                              </w:rPr>
                              <w:t>ImP</w:t>
                            </w:r>
                          </w:p>
                        </w:txbxContent>
                      </v:textbox>
                      <w10:anchorlock/>
                    </v:oval>
                  </w:pict>
                </mc:Fallback>
              </mc:AlternateContent>
            </w:r>
          </w:p>
        </w:tc>
      </w:tr>
    </w:tbl>
    <w:p w14:paraId="2971953C" w14:textId="77777777" w:rsidR="00B83354" w:rsidRPr="00B142C3" w:rsidRDefault="00B83354" w:rsidP="00B83354">
      <w:pPr>
        <w:jc w:val="both"/>
        <w:rPr>
          <w:rFonts w:cs="Times New Roman"/>
          <w:b/>
          <w:bCs/>
          <w:iCs/>
        </w:rPr>
      </w:pPr>
    </w:p>
    <w:p w14:paraId="0576E48F" w14:textId="77777777" w:rsidR="00B83354" w:rsidRPr="00B142C3" w:rsidRDefault="00B83354" w:rsidP="00B83354">
      <w:pPr>
        <w:spacing w:line="259" w:lineRule="auto"/>
        <w:rPr>
          <w:rFonts w:cs="Times New Roman"/>
          <w:b/>
          <w:bCs/>
          <w:iCs/>
        </w:rPr>
      </w:pPr>
      <w:r w:rsidRPr="00B142C3">
        <w:rPr>
          <w:rFonts w:cs="Times New Roman"/>
          <w:b/>
          <w:bCs/>
          <w:iCs/>
        </w:rPr>
        <w:br w:type="page"/>
      </w:r>
    </w:p>
    <w:p w14:paraId="3D2AF98C" w14:textId="77777777" w:rsidR="00B83354" w:rsidRPr="00B142C3" w:rsidRDefault="00B83354" w:rsidP="00B83354">
      <w:pPr>
        <w:pStyle w:val="Heading2"/>
      </w:pPr>
      <w:bookmarkStart w:id="3" w:name="_Toc46847652"/>
      <w:r w:rsidRPr="00B142C3">
        <w:lastRenderedPageBreak/>
        <w:t xml:space="preserve">Appendix 2 – </w:t>
      </w:r>
      <w:r w:rsidRPr="00B142C3">
        <w:rPr>
          <w:lang w:val="en-US"/>
        </w:rPr>
        <w:t xml:space="preserve">About </w:t>
      </w:r>
      <w:r w:rsidRPr="00B142C3">
        <w:t>GRADE</w:t>
      </w:r>
      <w:bookmarkEnd w:id="3"/>
    </w:p>
    <w:p w14:paraId="34B44128" w14:textId="77777777" w:rsidR="00B83354" w:rsidRPr="00B142C3" w:rsidRDefault="00B83354" w:rsidP="00B83354">
      <w:pPr>
        <w:pStyle w:val="Heading3"/>
      </w:pPr>
      <w:r w:rsidRPr="00B142C3">
        <w:t>A summary of GRADE</w:t>
      </w:r>
    </w:p>
    <w:p w14:paraId="02347872" w14:textId="77777777" w:rsidR="00B83354" w:rsidRPr="00B142C3" w:rsidRDefault="00B83354" w:rsidP="00B83354">
      <w:pPr>
        <w:ind w:firstLine="720"/>
        <w:jc w:val="both"/>
        <w:rPr>
          <w:rFonts w:cs="Times New Roman"/>
          <w:bCs/>
        </w:rPr>
      </w:pPr>
      <w:r w:rsidRPr="00B142C3">
        <w:rPr>
          <w:rFonts w:cs="Times New Roman"/>
        </w:rPr>
        <w:t xml:space="preserve">In the core of the GRADE framework lies </w:t>
      </w:r>
      <w:r w:rsidRPr="00B142C3">
        <w:rPr>
          <w:rFonts w:cs="Times New Roman"/>
          <w:bCs/>
        </w:rPr>
        <w:t xml:space="preserve">the </w:t>
      </w:r>
      <w:r w:rsidRPr="00B142C3">
        <w:rPr>
          <w:rFonts w:cs="Times New Roman"/>
          <w:bCs/>
          <w:lang w:val="en-US"/>
        </w:rPr>
        <w:t xml:space="preserve">‘outcome centric’ </w:t>
      </w:r>
      <w:sdt>
        <w:sdtPr>
          <w:rPr>
            <w:rFonts w:cs="Times New Roman"/>
            <w:bCs/>
            <w:color w:val="000000"/>
            <w:lang w:val="en-US"/>
          </w:rPr>
          <w:tag w:val="MENDELEY_CITATION_f131c5dc-c83e-4bbe-bb92-574d713eff37"/>
          <w:id w:val="1309665161"/>
          <w:placeholder>
            <w:docPart w:val="AF45B5B7A7BC43EF892B04C895DED03B"/>
          </w:placeholder>
        </w:sdtPr>
        <w:sdtEndPr/>
        <w:sdtContent>
          <w:r w:rsidRPr="00B142C3">
            <w:rPr>
              <w:rFonts w:cs="Times New Roman"/>
              <w:bCs/>
              <w:color w:val="000000"/>
              <w:lang w:val="en-US"/>
            </w:rPr>
            <w:t>(45)</w:t>
          </w:r>
        </w:sdtContent>
      </w:sdt>
      <w:r w:rsidRPr="00B142C3">
        <w:rPr>
          <w:rFonts w:cs="Times New Roman"/>
          <w:bCs/>
          <w:lang w:val="en-US"/>
        </w:rPr>
        <w:t xml:space="preserve"> approach </w:t>
      </w:r>
      <w:r w:rsidRPr="00B142C3">
        <w:rPr>
          <w:rFonts w:cs="Times New Roman"/>
          <w:bCs/>
          <w:color w:val="000000"/>
          <w:lang w:val="en-US"/>
        </w:rPr>
        <w:t>towards ‘certainty of evidence’</w:t>
      </w:r>
      <w:r w:rsidRPr="00B142C3">
        <w:rPr>
          <w:rFonts w:cs="Times New Roman"/>
          <w:bCs/>
          <w:lang w:val="en-US"/>
        </w:rPr>
        <w:t>, meaning that certainty is not interpreted as a standalone value that solely depends on the studies themselves, but as one referring to the body of evidence available for each outcome. As a result, for GRADE the quality of a body of evidence varies across outcomes, as does the body of evidence itself as different studies might be included every time depending on the outcome. In a setting where recommendations are being made, like HTA, a method to extract an overall rating across all outcomes is also provided.</w:t>
      </w:r>
      <w:r w:rsidRPr="00B142C3">
        <w:rPr>
          <w:rFonts w:cs="Times New Roman"/>
          <w:bCs/>
        </w:rPr>
        <w:t xml:space="preserve"> </w:t>
      </w:r>
    </w:p>
    <w:p w14:paraId="31FD69E2" w14:textId="41043669" w:rsidR="00B83354" w:rsidRPr="00B142C3" w:rsidRDefault="00B83354" w:rsidP="00B83354">
      <w:pPr>
        <w:ind w:firstLine="720"/>
        <w:jc w:val="both"/>
        <w:rPr>
          <w:rFonts w:cs="Times New Roman"/>
          <w:bCs/>
        </w:rPr>
      </w:pPr>
      <w:r w:rsidRPr="00B142C3">
        <w:rPr>
          <w:rFonts w:cs="Times New Roman"/>
          <w:bCs/>
          <w:lang w:val="en-US"/>
        </w:rPr>
        <w:t>It should be clear that u</w:t>
      </w:r>
      <w:proofErr w:type="spellStart"/>
      <w:r w:rsidRPr="00B142C3">
        <w:rPr>
          <w:rFonts w:cs="Times New Roman"/>
          <w:bCs/>
        </w:rPr>
        <w:t>nder</w:t>
      </w:r>
      <w:proofErr w:type="spellEnd"/>
      <w:r w:rsidRPr="00B142C3">
        <w:rPr>
          <w:rFonts w:cs="Times New Roman"/>
          <w:bCs/>
        </w:rPr>
        <w:t xml:space="preserve"> the ‘certainty (or quality) of evidence’ term defined by GRADE, lie all the domains (5+3) that affect the grading of a body of evidence, either downwards (5) or upwards (3) on a four-level scale (very low, low, moderate, high). The domains that rate down the ranking are risk of bias, imprecision, inconsistency, </w:t>
      </w:r>
      <w:proofErr w:type="gramStart"/>
      <w:r w:rsidRPr="00B142C3">
        <w:rPr>
          <w:rFonts w:cs="Times New Roman"/>
          <w:bCs/>
        </w:rPr>
        <w:t>indirectness</w:t>
      </w:r>
      <w:proofErr w:type="gramEnd"/>
      <w:r w:rsidRPr="00B142C3">
        <w:rPr>
          <w:rFonts w:cs="Times New Roman"/>
          <w:bCs/>
        </w:rPr>
        <w:t xml:space="preserve"> and publication bias whereas the ones that cause rating it up are large magnitude of effect, a dose response gradient and influence of residual plausible confounding</w:t>
      </w:r>
      <w:sdt>
        <w:sdtPr>
          <w:rPr>
            <w:rFonts w:cs="Times New Roman"/>
            <w:bCs/>
            <w:color w:val="000000"/>
          </w:rPr>
          <w:tag w:val="MENDELEY_CITATION_08f3dba5-e0c9-4ab5-be5a-dd34088f1c2f"/>
          <w:id w:val="1039393040"/>
          <w:placeholder>
            <w:docPart w:val="AF45B5B7A7BC43EF892B04C895DED03B"/>
          </w:placeholder>
        </w:sdtPr>
        <w:sdtEndPr/>
        <w:sdtContent>
          <w:r w:rsidRPr="00B142C3">
            <w:rPr>
              <w:rFonts w:cs="Times New Roman"/>
              <w:bCs/>
              <w:color w:val="000000"/>
            </w:rPr>
            <w:t>(71)</w:t>
          </w:r>
        </w:sdtContent>
      </w:sdt>
      <w:r w:rsidR="004E38B2">
        <w:rPr>
          <w:rFonts w:cs="Times New Roman"/>
          <w:bCs/>
        </w:rPr>
        <w:t>.</w:t>
      </w:r>
    </w:p>
    <w:p w14:paraId="61D3CCFB" w14:textId="77777777" w:rsidR="00B83354" w:rsidRDefault="00B83354" w:rsidP="00B83354">
      <w:pPr>
        <w:ind w:firstLine="720"/>
        <w:jc w:val="both"/>
        <w:rPr>
          <w:rFonts w:cs="Times New Roman"/>
          <w:bCs/>
          <w:color w:val="000000"/>
        </w:rPr>
      </w:pPr>
      <w:r w:rsidRPr="00B142C3">
        <w:rPr>
          <w:rFonts w:cs="Times New Roman"/>
          <w:bCs/>
        </w:rPr>
        <w:t xml:space="preserve">Rating up mainly concerns observational studies and non-randomised experimental or interventional designs </w:t>
      </w:r>
      <w:r w:rsidRPr="00B142C3">
        <w:rPr>
          <w:rFonts w:cs="Times New Roman"/>
          <w:bCs/>
          <w:color w:val="000000"/>
        </w:rPr>
        <w:t xml:space="preserve">which start from the grade of ‘low’ (2/4). RCTs start from the grade of ‘high’. Deviations from the above rule exist in some applications </w:t>
      </w:r>
      <w:sdt>
        <w:sdtPr>
          <w:rPr>
            <w:rFonts w:cs="Times New Roman"/>
            <w:bCs/>
            <w:color w:val="000000"/>
          </w:rPr>
          <w:tag w:val="MENDELEY_CITATION_8fe6813d-3243-4439-a40f-35acb9d4b9fe"/>
          <w:id w:val="878898274"/>
          <w:placeholder>
            <w:docPart w:val="AF45B5B7A7BC43EF892B04C895DED03B"/>
          </w:placeholder>
        </w:sdtPr>
        <w:sdtEndPr/>
        <w:sdtContent>
          <w:r w:rsidRPr="00B142C3">
            <w:rPr>
              <w:rFonts w:cs="Times New Roman"/>
              <w:bCs/>
              <w:color w:val="000000"/>
            </w:rPr>
            <w:t>(72)</w:t>
          </w:r>
        </w:sdtContent>
      </w:sdt>
      <w:r w:rsidRPr="00B142C3">
        <w:rPr>
          <w:rFonts w:cs="Times New Roman"/>
          <w:bCs/>
          <w:color w:val="000000"/>
        </w:rPr>
        <w:t xml:space="preserve">, where ‘extremely serious’ </w:t>
      </w:r>
      <w:sdt>
        <w:sdtPr>
          <w:rPr>
            <w:rFonts w:cs="Times New Roman"/>
            <w:bCs/>
            <w:color w:val="000000"/>
          </w:rPr>
          <w:tag w:val="MENDELEY_CITATION_29a17d6b-a373-4b91-9579-e99867642dfa"/>
          <w:id w:val="-1628541033"/>
          <w:placeholder>
            <w:docPart w:val="AF45B5B7A7BC43EF892B04C895DED03B"/>
          </w:placeholder>
        </w:sdtPr>
        <w:sdtEndPr/>
        <w:sdtContent>
          <w:r w:rsidRPr="00B142C3">
            <w:rPr>
              <w:rFonts w:cs="Times New Roman"/>
              <w:bCs/>
              <w:color w:val="000000"/>
            </w:rPr>
            <w:t>(73)</w:t>
          </w:r>
        </w:sdtContent>
      </w:sdt>
      <w:r w:rsidRPr="00B142C3">
        <w:rPr>
          <w:rFonts w:cs="Times New Roman"/>
          <w:bCs/>
          <w:color w:val="000000"/>
        </w:rPr>
        <w:t xml:space="preserve"> concerns may </w:t>
      </w:r>
      <w:proofErr w:type="gramStart"/>
      <w:r w:rsidRPr="00B142C3">
        <w:rPr>
          <w:rFonts w:cs="Times New Roman"/>
          <w:bCs/>
          <w:color w:val="000000"/>
        </w:rPr>
        <w:t>exist</w:t>
      </w:r>
      <w:proofErr w:type="gramEnd"/>
      <w:r w:rsidRPr="00B142C3">
        <w:rPr>
          <w:rFonts w:cs="Times New Roman"/>
          <w:bCs/>
          <w:color w:val="000000"/>
        </w:rPr>
        <w:t xml:space="preserve"> and non-randomised studies start from the ‘high’ level (cf. Table </w:t>
      </w:r>
      <w:r>
        <w:rPr>
          <w:rFonts w:cs="Times New Roman"/>
          <w:bCs/>
          <w:color w:val="000000"/>
        </w:rPr>
        <w:t>3</w:t>
      </w:r>
      <w:r w:rsidRPr="00B142C3">
        <w:rPr>
          <w:rFonts w:cs="Times New Roman"/>
          <w:bCs/>
          <w:color w:val="000000"/>
        </w:rPr>
        <w:t xml:space="preserve">, </w:t>
      </w:r>
      <w:proofErr w:type="spellStart"/>
      <w:r w:rsidRPr="00B142C3">
        <w:rPr>
          <w:rFonts w:cs="Times New Roman"/>
          <w:bCs/>
          <w:color w:val="000000"/>
        </w:rPr>
        <w:t>RoB</w:t>
      </w:r>
      <w:proofErr w:type="spellEnd"/>
      <w:r w:rsidRPr="00B142C3">
        <w:rPr>
          <w:rFonts w:cs="Times New Roman"/>
          <w:bCs/>
          <w:color w:val="000000"/>
        </w:rPr>
        <w:t>).</w:t>
      </w:r>
    </w:p>
    <w:p w14:paraId="156BADC6" w14:textId="77777777" w:rsidR="00B83354" w:rsidRDefault="00B83354" w:rsidP="00B83354">
      <w:pPr>
        <w:spacing w:line="259" w:lineRule="auto"/>
        <w:rPr>
          <w:rFonts w:cs="Times New Roman"/>
          <w:bCs/>
          <w:color w:val="000000"/>
        </w:rPr>
      </w:pPr>
      <w:r>
        <w:rPr>
          <w:rFonts w:cs="Times New Roman"/>
          <w:bCs/>
          <w:color w:val="000000"/>
        </w:rPr>
        <w:br w:type="page"/>
      </w:r>
    </w:p>
    <w:p w14:paraId="5EF650AE" w14:textId="77777777" w:rsidR="00B83354" w:rsidRPr="00B142C3" w:rsidRDefault="00B83354" w:rsidP="00B83354">
      <w:pPr>
        <w:ind w:firstLine="720"/>
        <w:jc w:val="both"/>
        <w:rPr>
          <w:rFonts w:cs="Times New Roman"/>
        </w:rPr>
      </w:pPr>
    </w:p>
    <w:tbl>
      <w:tblPr>
        <w:tblStyle w:val="TableGrid"/>
        <w:tblW w:w="9634" w:type="dxa"/>
        <w:tblLayout w:type="fixed"/>
        <w:tblLook w:val="04A0" w:firstRow="1" w:lastRow="0" w:firstColumn="1" w:lastColumn="0" w:noHBand="0" w:noVBand="1"/>
      </w:tblPr>
      <w:tblGrid>
        <w:gridCol w:w="916"/>
        <w:gridCol w:w="1631"/>
        <w:gridCol w:w="3827"/>
        <w:gridCol w:w="1064"/>
        <w:gridCol w:w="1102"/>
        <w:gridCol w:w="1094"/>
      </w:tblGrid>
      <w:tr w:rsidR="00B83354" w:rsidRPr="00B142C3" w14:paraId="175B1755" w14:textId="77777777" w:rsidTr="00BD2DE2">
        <w:trPr>
          <w:trHeight w:val="191"/>
        </w:trPr>
        <w:tc>
          <w:tcPr>
            <w:tcW w:w="9634" w:type="dxa"/>
            <w:gridSpan w:val="6"/>
          </w:tcPr>
          <w:p w14:paraId="2A82158E" w14:textId="77777777" w:rsidR="00B83354" w:rsidRDefault="00B83354" w:rsidP="00BD2DE2">
            <w:pPr>
              <w:spacing w:line="240" w:lineRule="auto"/>
              <w:jc w:val="center"/>
              <w:rPr>
                <w:rFonts w:cs="Times New Roman"/>
              </w:rPr>
            </w:pPr>
            <w:r w:rsidRPr="00B142C3">
              <w:rPr>
                <w:rFonts w:cs="Times New Roman"/>
                <w:b/>
                <w:bCs/>
              </w:rPr>
              <w:t>Table</w:t>
            </w:r>
            <w:r>
              <w:rPr>
                <w:rFonts w:cs="Times New Roman"/>
                <w:b/>
                <w:bCs/>
              </w:rPr>
              <w:t xml:space="preserve"> 3</w:t>
            </w:r>
            <w:r w:rsidRPr="00B142C3">
              <w:rPr>
                <w:rFonts w:cs="Times New Roman"/>
                <w:b/>
                <w:bCs/>
              </w:rPr>
              <w:t>.</w:t>
            </w:r>
            <w:r w:rsidRPr="00B142C3">
              <w:rPr>
                <w:rFonts w:cs="Times New Roman"/>
              </w:rPr>
              <w:t xml:space="preserve"> </w:t>
            </w:r>
          </w:p>
          <w:p w14:paraId="5B81A31B" w14:textId="77777777" w:rsidR="00B83354" w:rsidRPr="00B142C3" w:rsidRDefault="00B83354" w:rsidP="00BD2DE2">
            <w:pPr>
              <w:spacing w:line="240" w:lineRule="auto"/>
              <w:jc w:val="center"/>
              <w:rPr>
                <w:rFonts w:cs="Times New Roman"/>
                <w:b/>
                <w:bCs/>
              </w:rPr>
            </w:pPr>
            <w:r>
              <w:rPr>
                <w:rFonts w:cs="Times New Roman"/>
              </w:rPr>
              <w:t>T</w:t>
            </w:r>
            <w:r w:rsidRPr="00B142C3">
              <w:rPr>
                <w:rFonts w:cs="Times New Roman"/>
              </w:rPr>
              <w:t xml:space="preserve">he GRADE domains for rating down the </w:t>
            </w:r>
            <w:proofErr w:type="spellStart"/>
            <w:r w:rsidRPr="00B142C3">
              <w:rPr>
                <w:rFonts w:cs="Times New Roman"/>
              </w:rPr>
              <w:t>QoE</w:t>
            </w:r>
            <w:proofErr w:type="spellEnd"/>
            <w:r w:rsidRPr="00B142C3">
              <w:rPr>
                <w:rFonts w:cs="Times New Roman"/>
              </w:rPr>
              <w:t xml:space="preserve"> and their meaning</w:t>
            </w:r>
          </w:p>
        </w:tc>
      </w:tr>
      <w:tr w:rsidR="00B83354" w:rsidRPr="00B142C3" w14:paraId="6B7D6585" w14:textId="77777777" w:rsidTr="00BD2DE2">
        <w:trPr>
          <w:trHeight w:val="191"/>
        </w:trPr>
        <w:tc>
          <w:tcPr>
            <w:tcW w:w="916" w:type="dxa"/>
            <w:tcBorders>
              <w:right w:val="nil"/>
            </w:tcBorders>
            <w:vAlign w:val="center"/>
          </w:tcPr>
          <w:p w14:paraId="1C9AC729" w14:textId="77777777" w:rsidR="00B83354" w:rsidRPr="00B142C3" w:rsidRDefault="00B83354" w:rsidP="00BD2DE2">
            <w:pPr>
              <w:spacing w:line="240" w:lineRule="auto"/>
              <w:jc w:val="center"/>
              <w:rPr>
                <w:rFonts w:cs="Times New Roman"/>
                <w:bCs/>
              </w:rPr>
            </w:pPr>
            <w:proofErr w:type="spellStart"/>
            <w:r w:rsidRPr="00B142C3">
              <w:rPr>
                <w:rFonts w:cs="Times New Roman"/>
                <w:bCs/>
              </w:rPr>
              <w:t>Color</w:t>
            </w:r>
            <w:proofErr w:type="spellEnd"/>
            <w:r w:rsidRPr="00B142C3">
              <w:rPr>
                <w:rFonts w:cs="Times New Roman"/>
                <w:bCs/>
              </w:rPr>
              <w:t xml:space="preserve"> coding</w:t>
            </w:r>
          </w:p>
        </w:tc>
        <w:tc>
          <w:tcPr>
            <w:tcW w:w="1631" w:type="dxa"/>
            <w:tcBorders>
              <w:left w:val="nil"/>
            </w:tcBorders>
            <w:vAlign w:val="center"/>
          </w:tcPr>
          <w:p w14:paraId="78D73AF8" w14:textId="77777777" w:rsidR="00B83354" w:rsidRPr="00B142C3" w:rsidRDefault="00B83354" w:rsidP="00BD2DE2">
            <w:pPr>
              <w:spacing w:line="240" w:lineRule="auto"/>
              <w:jc w:val="center"/>
              <w:rPr>
                <w:rFonts w:cs="Times New Roman"/>
                <w:bCs/>
              </w:rPr>
            </w:pPr>
            <w:r w:rsidRPr="00B142C3">
              <w:rPr>
                <w:rFonts w:cs="Times New Roman"/>
                <w:bCs/>
              </w:rPr>
              <w:t>Domain set by GRADE</w:t>
            </w:r>
          </w:p>
        </w:tc>
        <w:tc>
          <w:tcPr>
            <w:tcW w:w="3827" w:type="dxa"/>
            <w:vAlign w:val="center"/>
          </w:tcPr>
          <w:p w14:paraId="73FE3C71" w14:textId="77777777" w:rsidR="00B83354" w:rsidRPr="00B142C3" w:rsidRDefault="00B83354" w:rsidP="00BD2DE2">
            <w:pPr>
              <w:spacing w:line="240" w:lineRule="auto"/>
              <w:jc w:val="center"/>
              <w:rPr>
                <w:rFonts w:cs="Times New Roman"/>
                <w:bCs/>
              </w:rPr>
            </w:pPr>
            <w:r w:rsidRPr="00B142C3">
              <w:rPr>
                <w:rFonts w:cs="Times New Roman"/>
                <w:bCs/>
              </w:rPr>
              <w:t>Explanation by GRADE</w:t>
            </w:r>
          </w:p>
        </w:tc>
        <w:tc>
          <w:tcPr>
            <w:tcW w:w="1064" w:type="dxa"/>
            <w:vAlign w:val="center"/>
          </w:tcPr>
          <w:p w14:paraId="7B61C118" w14:textId="77777777" w:rsidR="00B83354" w:rsidRPr="00B142C3" w:rsidRDefault="00B83354" w:rsidP="00BD2DE2">
            <w:pPr>
              <w:spacing w:line="240" w:lineRule="auto"/>
              <w:jc w:val="center"/>
              <w:rPr>
                <w:rFonts w:cs="Times New Roman"/>
                <w:bCs/>
              </w:rPr>
            </w:pPr>
            <w:r w:rsidRPr="00B142C3">
              <w:rPr>
                <w:rFonts w:cs="Times New Roman"/>
                <w:bCs/>
              </w:rPr>
              <w:t xml:space="preserve">Visual Representation </w:t>
            </w:r>
            <w:sdt>
              <w:sdtPr>
                <w:rPr>
                  <w:rFonts w:cs="Times New Roman"/>
                  <w:bCs/>
                  <w:color w:val="000000"/>
                </w:rPr>
                <w:tag w:val="MENDELEY_CITATION_b10750fd-857b-4392-bd6b-63c412ec9747"/>
                <w:id w:val="1113172826"/>
                <w:placeholder>
                  <w:docPart w:val="13DF8173798247A3AAB58FE3D4B3D94F"/>
                </w:placeholder>
              </w:sdtPr>
              <w:sdtEndPr/>
              <w:sdtContent>
                <w:r w:rsidRPr="00B142C3">
                  <w:rPr>
                    <w:rFonts w:cs="Times New Roman"/>
                    <w:bCs/>
                    <w:color w:val="000000"/>
                  </w:rPr>
                  <w:t>(72)</w:t>
                </w:r>
              </w:sdtContent>
            </w:sdt>
          </w:p>
        </w:tc>
        <w:tc>
          <w:tcPr>
            <w:tcW w:w="1102" w:type="dxa"/>
            <w:vAlign w:val="center"/>
          </w:tcPr>
          <w:p w14:paraId="7039B445" w14:textId="77777777" w:rsidR="00B83354" w:rsidRPr="00B142C3" w:rsidRDefault="00B83354" w:rsidP="00BD2DE2">
            <w:pPr>
              <w:spacing w:line="240" w:lineRule="auto"/>
              <w:jc w:val="center"/>
              <w:rPr>
                <w:rFonts w:cs="Times New Roman"/>
                <w:bCs/>
              </w:rPr>
            </w:pPr>
            <w:r w:rsidRPr="00B142C3">
              <w:rPr>
                <w:rFonts w:cs="Times New Roman"/>
                <w:bCs/>
              </w:rPr>
              <w:t xml:space="preserve">Effect on certainty of evidence </w:t>
            </w:r>
          </w:p>
        </w:tc>
        <w:tc>
          <w:tcPr>
            <w:tcW w:w="1094" w:type="dxa"/>
            <w:vAlign w:val="center"/>
          </w:tcPr>
          <w:p w14:paraId="70C5B353" w14:textId="77777777" w:rsidR="00B83354" w:rsidRPr="00B142C3" w:rsidRDefault="00B83354" w:rsidP="00BD2DE2">
            <w:pPr>
              <w:spacing w:line="240" w:lineRule="auto"/>
              <w:jc w:val="center"/>
              <w:rPr>
                <w:rFonts w:cs="Times New Roman"/>
                <w:bCs/>
              </w:rPr>
            </w:pPr>
            <w:r w:rsidRPr="00B142C3">
              <w:rPr>
                <w:rFonts w:cs="Times New Roman"/>
                <w:bCs/>
              </w:rPr>
              <w:t>Magnitude of effect</w:t>
            </w:r>
          </w:p>
        </w:tc>
      </w:tr>
      <w:tr w:rsidR="00B83354" w:rsidRPr="00B142C3" w14:paraId="0FE7764A" w14:textId="77777777" w:rsidTr="00BD2DE2">
        <w:trPr>
          <w:trHeight w:val="466"/>
        </w:trPr>
        <w:tc>
          <w:tcPr>
            <w:tcW w:w="916" w:type="dxa"/>
            <w:tcBorders>
              <w:right w:val="nil"/>
            </w:tcBorders>
            <w:vAlign w:val="center"/>
          </w:tcPr>
          <w:p w14:paraId="44AC8E96"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mc:AlternateContent>
                <mc:Choice Requires="wps">
                  <w:drawing>
                    <wp:inline distT="0" distB="0" distL="0" distR="0" wp14:anchorId="2DFD18C7" wp14:editId="61AC615C">
                      <wp:extent cx="328442" cy="328442"/>
                      <wp:effectExtent l="0" t="0" r="0" b="0"/>
                      <wp:docPr id="81" name="Oval 81"/>
                      <wp:cNvGraphicFramePr/>
                      <a:graphic xmlns:a="http://schemas.openxmlformats.org/drawingml/2006/main">
                        <a:graphicData uri="http://schemas.microsoft.com/office/word/2010/wordprocessingShape">
                          <wps:wsp>
                            <wps:cNvSpPr/>
                            <wps:spPr>
                              <a:xfrm>
                                <a:off x="0" y="0"/>
                                <a:ext cx="328442" cy="328442"/>
                              </a:xfrm>
                              <a:prstGeom prst="ellipse">
                                <a:avLst/>
                              </a:prstGeom>
                              <a:solidFill>
                                <a:srgbClr val="C00000"/>
                              </a:solidFill>
                              <a:ln w="12700" cap="flat" cmpd="sng" algn="ctr">
                                <a:noFill/>
                                <a:prstDash val="solid"/>
                                <a:miter lim="800000"/>
                              </a:ln>
                              <a:effectLst/>
                            </wps:spPr>
                            <wps:txbx>
                              <w:txbxContent>
                                <w:p w14:paraId="5E3F760B" w14:textId="77777777" w:rsidR="00BD2DE2" w:rsidRPr="008C62AA" w:rsidRDefault="00BD2DE2" w:rsidP="00B83354">
                                  <w:pPr>
                                    <w:spacing w:after="0"/>
                                    <w:jc w:val="center"/>
                                    <w:rPr>
                                      <w:b/>
                                      <w:bCs/>
                                      <w:spacing w:val="6"/>
                                      <w:sz w:val="14"/>
                                      <w:szCs w:val="14"/>
                                      <w:lang w:val="en-US"/>
                                    </w:rPr>
                                  </w:pPr>
                                  <w:r w:rsidRPr="008C62AA">
                                    <w:rPr>
                                      <w:b/>
                                      <w:bCs/>
                                      <w:spacing w:val="6"/>
                                      <w:sz w:val="14"/>
                                      <w:szCs w:val="14"/>
                                      <w:lang w:val="en-US"/>
                                    </w:rPr>
                                    <w:t>RoB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DFD18C7" id="Oval 81" o:spid="_x0000_s1060"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" fillcolor="#c00000" stroked="f" strokeweight="1pt">
                      <v:stroke joinstyle="miter"/>
                      <v:textbox inset="0,0,0,0">
                        <w:txbxContent>
                          <w:p w14:paraId="5E3F760B" w14:textId="77777777" w:rsidR="00BD2DE2" w:rsidRPr="008C62AA" w:rsidRDefault="00BD2DE2" w:rsidP="00B83354">
                            <w:pPr>
                              <w:spacing w:after="0"/>
                              <w:jc w:val="center"/>
                              <w:rPr>
                                <w:b/>
                                <w:bCs/>
                                <w:spacing w:val="6"/>
                                <w:sz w:val="14"/>
                                <w:szCs w:val="14"/>
                                <w:lang w:val="en-US"/>
                              </w:rPr>
                            </w:pPr>
                            <w:r w:rsidRPr="008C62AA">
                              <w:rPr>
                                <w:b/>
                                <w:bCs/>
                                <w:spacing w:val="6"/>
                                <w:sz w:val="14"/>
                                <w:szCs w:val="14"/>
                                <w:lang w:val="en-US"/>
                              </w:rPr>
                              <w:t>RoB</w:t>
                            </w:r>
                          </w:p>
                        </w:txbxContent>
                      </v:textbox>
                      <w10:anchorlock/>
                    </v:oval>
                  </w:pict>
                </mc:Fallback>
              </mc:AlternateContent>
            </w:r>
          </w:p>
        </w:tc>
        <w:tc>
          <w:tcPr>
            <w:tcW w:w="1631" w:type="dxa"/>
            <w:tcBorders>
              <w:left w:val="nil"/>
            </w:tcBorders>
            <w:vAlign w:val="center"/>
          </w:tcPr>
          <w:p w14:paraId="2AE6E04B" w14:textId="77777777" w:rsidR="00B83354" w:rsidRPr="00B142C3" w:rsidRDefault="00B83354" w:rsidP="00BD2DE2">
            <w:pPr>
              <w:spacing w:line="240" w:lineRule="auto"/>
              <w:rPr>
                <w:rFonts w:cs="Times New Roman"/>
                <w:bCs/>
              </w:rPr>
            </w:pPr>
            <w:r w:rsidRPr="00B142C3">
              <w:rPr>
                <w:rFonts w:cs="Times New Roman"/>
                <w:bCs/>
              </w:rPr>
              <w:t>Risk of bias</w:t>
            </w:r>
          </w:p>
          <w:p w14:paraId="763761E1" w14:textId="77777777" w:rsidR="00B83354" w:rsidRPr="00B142C3" w:rsidRDefault="00B83354" w:rsidP="00BD2DE2">
            <w:pPr>
              <w:spacing w:line="240" w:lineRule="auto"/>
              <w:rPr>
                <w:rFonts w:cs="Times New Roman"/>
                <w:bCs/>
              </w:rPr>
            </w:pPr>
            <w:r w:rsidRPr="00B142C3">
              <w:rPr>
                <w:rFonts w:cs="Times New Roman"/>
                <w:bCs/>
              </w:rPr>
              <w:t>(</w:t>
            </w:r>
            <w:proofErr w:type="gramStart"/>
            <w:r w:rsidRPr="00B142C3">
              <w:rPr>
                <w:rFonts w:cs="Times New Roman"/>
                <w:bCs/>
              </w:rPr>
              <w:t>study</w:t>
            </w:r>
            <w:proofErr w:type="gramEnd"/>
            <w:r w:rsidRPr="00B142C3">
              <w:rPr>
                <w:rFonts w:cs="Times New Roman"/>
                <w:bCs/>
              </w:rPr>
              <w:t xml:space="preserve"> limitations)</w:t>
            </w:r>
          </w:p>
        </w:tc>
        <w:tc>
          <w:tcPr>
            <w:tcW w:w="3827" w:type="dxa"/>
            <w:vAlign w:val="center"/>
          </w:tcPr>
          <w:p w14:paraId="45B2DD43" w14:textId="77777777" w:rsidR="00B83354" w:rsidRPr="00B142C3" w:rsidRDefault="00B83354" w:rsidP="00BD2DE2">
            <w:pPr>
              <w:spacing w:line="240" w:lineRule="auto"/>
              <w:rPr>
                <w:rFonts w:cs="Times New Roman"/>
                <w:bCs/>
              </w:rPr>
            </w:pPr>
            <w:r w:rsidRPr="00B142C3">
              <w:rPr>
                <w:rFonts w:cs="Times New Roman"/>
                <w:bCs/>
              </w:rPr>
              <w:t xml:space="preserve">Also referred to as problems with (internal) validity by others. Regards study design or conduct. </w:t>
            </w:r>
            <w:sdt>
              <w:sdtPr>
                <w:rPr>
                  <w:rFonts w:cs="Times New Roman"/>
                  <w:bCs/>
                  <w:color w:val="000000"/>
                </w:rPr>
                <w:tag w:val="MENDELEY_CITATION_3e612918-896e-4127-9d75-9da56a88c796"/>
                <w:id w:val="1376278310"/>
                <w:placeholder>
                  <w:docPart w:val="CE10FB0ED189499790E2F1C202BB6A94"/>
                </w:placeholder>
              </w:sdtPr>
              <w:sdtEndPr/>
              <w:sdtContent>
                <w:r w:rsidRPr="00B142C3">
                  <w:rPr>
                    <w:rFonts w:cs="Times New Roman"/>
                    <w:bCs/>
                    <w:color w:val="000000"/>
                  </w:rPr>
                  <w:t>(72,74)</w:t>
                </w:r>
              </w:sdtContent>
            </w:sdt>
          </w:p>
        </w:tc>
        <w:tc>
          <w:tcPr>
            <w:tcW w:w="1064" w:type="dxa"/>
            <w:vAlign w:val="center"/>
          </w:tcPr>
          <w:p w14:paraId="79DF3C29"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2D1FE2CF" wp14:editId="3B4CF79D">
                  <wp:extent cx="360000" cy="360000"/>
                  <wp:effectExtent l="0" t="0" r="2540" b="2540"/>
                  <wp:docPr id="90" name="Picture 9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o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0413F586" w14:textId="77777777" w:rsidR="00B83354" w:rsidRPr="00B142C3" w:rsidRDefault="00B83354" w:rsidP="00BD2DE2">
            <w:pPr>
              <w:spacing w:line="240" w:lineRule="auto"/>
              <w:jc w:val="center"/>
              <w:rPr>
                <w:rFonts w:cs="Times New Roman"/>
                <w:bCs/>
              </w:rPr>
            </w:pPr>
            <w:r w:rsidRPr="00B142C3">
              <w:rPr>
                <w:rFonts w:cs="Times New Roman"/>
                <w:bCs/>
              </w:rPr>
              <w:t>Rating down</w:t>
            </w:r>
          </w:p>
          <w:p w14:paraId="0CBEB647" w14:textId="77777777" w:rsidR="00B83354" w:rsidRPr="00B142C3" w:rsidRDefault="00B83354" w:rsidP="00BD2DE2">
            <w:pPr>
              <w:spacing w:line="240" w:lineRule="auto"/>
              <w:jc w:val="center"/>
              <w:rPr>
                <w:rFonts w:cs="Times New Roman"/>
                <w:bCs/>
              </w:rPr>
            </w:pPr>
            <w:r w:rsidRPr="00B142C3">
              <w:rPr>
                <w:rFonts w:cs="Times New Roman"/>
                <w:bCs/>
              </w:rPr>
              <w:sym w:font="Wingdings" w:char="F0F2"/>
            </w:r>
          </w:p>
        </w:tc>
        <w:tc>
          <w:tcPr>
            <w:tcW w:w="1094" w:type="dxa"/>
            <w:vAlign w:val="center"/>
          </w:tcPr>
          <w:p w14:paraId="0B6375CC" w14:textId="77777777" w:rsidR="00B83354" w:rsidRPr="00B142C3" w:rsidRDefault="00B83354" w:rsidP="00BD2DE2">
            <w:pPr>
              <w:spacing w:line="240" w:lineRule="auto"/>
              <w:jc w:val="center"/>
              <w:rPr>
                <w:rFonts w:cs="Times New Roman"/>
                <w:bCs/>
              </w:rPr>
            </w:pPr>
            <w:r w:rsidRPr="00B142C3">
              <w:rPr>
                <w:rFonts w:cs="Times New Roman"/>
                <w:bCs/>
              </w:rPr>
              <w:t>-1, -2 or -3</w:t>
            </w:r>
          </w:p>
          <w:p w14:paraId="01AAC8D6" w14:textId="77777777" w:rsidR="00B83354" w:rsidRPr="00B142C3" w:rsidRDefault="00B83354" w:rsidP="00BD2DE2">
            <w:pPr>
              <w:spacing w:line="240" w:lineRule="auto"/>
              <w:jc w:val="center"/>
              <w:rPr>
                <w:rFonts w:cs="Times New Roman"/>
                <w:bCs/>
              </w:rPr>
            </w:pPr>
            <w:r w:rsidRPr="00B142C3">
              <w:rPr>
                <w:rFonts w:cs="Times New Roman"/>
                <w:bCs/>
              </w:rPr>
              <w:t>levels</w:t>
            </w:r>
          </w:p>
        </w:tc>
      </w:tr>
      <w:tr w:rsidR="00B83354" w:rsidRPr="00B142C3" w14:paraId="2F2AC45B" w14:textId="77777777" w:rsidTr="00BD2DE2">
        <w:trPr>
          <w:trHeight w:val="466"/>
        </w:trPr>
        <w:tc>
          <w:tcPr>
            <w:tcW w:w="916" w:type="dxa"/>
            <w:tcBorders>
              <w:right w:val="nil"/>
            </w:tcBorders>
            <w:vAlign w:val="center"/>
          </w:tcPr>
          <w:p w14:paraId="3DB19F5F"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mc:AlternateContent>
                <mc:Choice Requires="wps">
                  <w:drawing>
                    <wp:inline distT="0" distB="0" distL="0" distR="0" wp14:anchorId="12C428C4" wp14:editId="0A5C9BCE">
                      <wp:extent cx="328442" cy="328442"/>
                      <wp:effectExtent l="0" t="0" r="0" b="0"/>
                      <wp:docPr id="82" name="Oval 82"/>
                      <wp:cNvGraphicFramePr/>
                      <a:graphic xmlns:a="http://schemas.openxmlformats.org/drawingml/2006/main">
                        <a:graphicData uri="http://schemas.microsoft.com/office/word/2010/wordprocessingShape">
                          <wps:wsp>
                            <wps:cNvSpPr/>
                            <wps:spPr>
                              <a:xfrm>
                                <a:off x="0" y="0"/>
                                <a:ext cx="328442" cy="328442"/>
                              </a:xfrm>
                              <a:prstGeom prst="ellipse">
                                <a:avLst/>
                              </a:prstGeom>
                              <a:solidFill>
                                <a:srgbClr val="007E39"/>
                              </a:solidFill>
                              <a:ln w="12700" cap="flat" cmpd="sng" algn="ctr">
                                <a:noFill/>
                                <a:prstDash val="solid"/>
                                <a:miter lim="800000"/>
                              </a:ln>
                              <a:effectLst/>
                            </wps:spPr>
                            <wps:txbx>
                              <w:txbxContent>
                                <w:p w14:paraId="7C3F354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ImP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2C428C4" id="Oval 82" o:spid="_x0000_s1061"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" fillcolor="#007e39" stroked="f" strokeweight="1pt">
                      <v:stroke joinstyle="miter"/>
                      <v:textbox inset="0,0,0,0">
                        <w:txbxContent>
                          <w:p w14:paraId="7C3F354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ImP</w:t>
                            </w:r>
                          </w:p>
                        </w:txbxContent>
                      </v:textbox>
                      <w10:anchorlock/>
                    </v:oval>
                  </w:pict>
                </mc:Fallback>
              </mc:AlternateContent>
            </w:r>
          </w:p>
        </w:tc>
        <w:tc>
          <w:tcPr>
            <w:tcW w:w="1631" w:type="dxa"/>
            <w:tcBorders>
              <w:left w:val="nil"/>
            </w:tcBorders>
            <w:vAlign w:val="center"/>
          </w:tcPr>
          <w:p w14:paraId="623BC99D" w14:textId="77777777" w:rsidR="00B83354" w:rsidRPr="00B142C3" w:rsidRDefault="00B83354" w:rsidP="00BD2DE2">
            <w:pPr>
              <w:spacing w:line="240" w:lineRule="auto"/>
              <w:rPr>
                <w:rFonts w:cs="Times New Roman"/>
                <w:bCs/>
              </w:rPr>
            </w:pPr>
            <w:r w:rsidRPr="00B142C3">
              <w:rPr>
                <w:rFonts w:cs="Times New Roman"/>
                <w:bCs/>
              </w:rPr>
              <w:t>Imprecision</w:t>
            </w:r>
          </w:p>
          <w:p w14:paraId="2AB27E87" w14:textId="77777777" w:rsidR="00B83354" w:rsidRPr="00B142C3" w:rsidRDefault="00B83354" w:rsidP="00BD2DE2">
            <w:pPr>
              <w:spacing w:line="240" w:lineRule="auto"/>
              <w:rPr>
                <w:rFonts w:cs="Times New Roman"/>
                <w:bCs/>
              </w:rPr>
            </w:pPr>
            <w:r w:rsidRPr="00B142C3">
              <w:rPr>
                <w:rFonts w:cs="Times New Roman"/>
                <w:bCs/>
              </w:rPr>
              <w:t>(</w:t>
            </w:r>
            <w:proofErr w:type="gramStart"/>
            <w:r w:rsidRPr="00B142C3">
              <w:rPr>
                <w:rFonts w:cs="Times New Roman"/>
                <w:bCs/>
              </w:rPr>
              <w:t>random</w:t>
            </w:r>
            <w:proofErr w:type="gramEnd"/>
            <w:r w:rsidRPr="00B142C3">
              <w:rPr>
                <w:rFonts w:cs="Times New Roman"/>
                <w:bCs/>
              </w:rPr>
              <w:t xml:space="preserve"> error)</w:t>
            </w:r>
          </w:p>
        </w:tc>
        <w:tc>
          <w:tcPr>
            <w:tcW w:w="3827" w:type="dxa"/>
            <w:vAlign w:val="center"/>
          </w:tcPr>
          <w:p w14:paraId="1CACC980" w14:textId="77777777" w:rsidR="00B83354" w:rsidRPr="00B142C3" w:rsidRDefault="00B83354" w:rsidP="00BD2DE2">
            <w:pPr>
              <w:spacing w:line="240" w:lineRule="auto"/>
              <w:rPr>
                <w:rFonts w:cs="Times New Roman"/>
                <w:bCs/>
              </w:rPr>
            </w:pPr>
            <w:r w:rsidRPr="00B142C3">
              <w:rPr>
                <w:rFonts w:cs="Times New Roman"/>
                <w:bCs/>
              </w:rPr>
              <w:t xml:space="preserve">Regards how narrow the CIs are (sample size &amp; number of events) and whether ‘they cross a clinical decision threshold that dictates recommending versus not recommending the intervention’. </w:t>
            </w:r>
            <w:sdt>
              <w:sdtPr>
                <w:rPr>
                  <w:rFonts w:cs="Times New Roman"/>
                  <w:bCs/>
                  <w:color w:val="000000"/>
                </w:rPr>
                <w:tag w:val="MENDELEY_CITATION_77bb3787-b003-499b-b4b5-9db13bef1c83"/>
                <w:id w:val="-728918798"/>
                <w:placeholder>
                  <w:docPart w:val="CE10FB0ED189499790E2F1C202BB6A94"/>
                </w:placeholder>
              </w:sdtPr>
              <w:sdtEndPr/>
              <w:sdtContent>
                <w:r w:rsidRPr="00B142C3">
                  <w:rPr>
                    <w:rFonts w:cs="Times New Roman"/>
                    <w:bCs/>
                    <w:color w:val="000000"/>
                  </w:rPr>
                  <w:t>(75)</w:t>
                </w:r>
              </w:sdtContent>
            </w:sdt>
          </w:p>
        </w:tc>
        <w:tc>
          <w:tcPr>
            <w:tcW w:w="1064" w:type="dxa"/>
            <w:vAlign w:val="center"/>
          </w:tcPr>
          <w:p w14:paraId="2BBAFFC7"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1DD1F4F2" wp14:editId="1AAEA9DB">
                  <wp:extent cx="360000" cy="360000"/>
                  <wp:effectExtent l="0" t="0" r="2540" b="2540"/>
                  <wp:docPr id="91" name="Picture 9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3FF34BB0" w14:textId="77777777" w:rsidR="00B83354" w:rsidRPr="00B142C3" w:rsidRDefault="00B83354" w:rsidP="00BD2DE2">
            <w:pPr>
              <w:spacing w:line="240" w:lineRule="auto"/>
              <w:jc w:val="center"/>
              <w:rPr>
                <w:rFonts w:cs="Times New Roman"/>
                <w:bCs/>
              </w:rPr>
            </w:pPr>
            <w:r w:rsidRPr="00B142C3">
              <w:rPr>
                <w:rFonts w:cs="Times New Roman"/>
                <w:bCs/>
              </w:rPr>
              <w:t>Rating down</w:t>
            </w:r>
          </w:p>
          <w:p w14:paraId="73AB62F8" w14:textId="77777777" w:rsidR="00B83354" w:rsidRPr="00B142C3" w:rsidRDefault="00B83354" w:rsidP="00BD2DE2">
            <w:pPr>
              <w:spacing w:line="240" w:lineRule="auto"/>
              <w:jc w:val="center"/>
              <w:rPr>
                <w:rFonts w:cs="Times New Roman"/>
                <w:bCs/>
              </w:rPr>
            </w:pPr>
            <w:r w:rsidRPr="00B142C3">
              <w:rPr>
                <w:rFonts w:cs="Times New Roman"/>
                <w:bCs/>
              </w:rPr>
              <w:sym w:font="Wingdings" w:char="F0F2"/>
            </w:r>
          </w:p>
        </w:tc>
        <w:tc>
          <w:tcPr>
            <w:tcW w:w="1094" w:type="dxa"/>
            <w:vAlign w:val="center"/>
          </w:tcPr>
          <w:p w14:paraId="1100C19A" w14:textId="77777777" w:rsidR="00B83354" w:rsidRPr="00B142C3" w:rsidRDefault="00B83354" w:rsidP="00BD2DE2">
            <w:pPr>
              <w:spacing w:line="240" w:lineRule="auto"/>
              <w:jc w:val="center"/>
              <w:rPr>
                <w:rFonts w:cs="Times New Roman"/>
                <w:bCs/>
              </w:rPr>
            </w:pPr>
            <w:r w:rsidRPr="00B142C3">
              <w:rPr>
                <w:rFonts w:cs="Times New Roman"/>
                <w:bCs/>
              </w:rPr>
              <w:t>-1 or -2</w:t>
            </w:r>
          </w:p>
          <w:p w14:paraId="650FEE03" w14:textId="77777777" w:rsidR="00B83354" w:rsidRPr="00B142C3" w:rsidRDefault="00B83354" w:rsidP="00BD2DE2">
            <w:pPr>
              <w:spacing w:line="240" w:lineRule="auto"/>
              <w:jc w:val="center"/>
              <w:rPr>
                <w:rFonts w:cs="Times New Roman"/>
                <w:bCs/>
              </w:rPr>
            </w:pPr>
            <w:r w:rsidRPr="00B142C3">
              <w:rPr>
                <w:rFonts w:cs="Times New Roman"/>
                <w:bCs/>
              </w:rPr>
              <w:t>levels</w:t>
            </w:r>
          </w:p>
        </w:tc>
      </w:tr>
      <w:tr w:rsidR="00B83354" w:rsidRPr="00B142C3" w14:paraId="5713501F" w14:textId="77777777" w:rsidTr="00BD2DE2">
        <w:trPr>
          <w:trHeight w:val="466"/>
        </w:trPr>
        <w:tc>
          <w:tcPr>
            <w:tcW w:w="916" w:type="dxa"/>
            <w:tcBorders>
              <w:right w:val="nil"/>
            </w:tcBorders>
            <w:vAlign w:val="center"/>
          </w:tcPr>
          <w:p w14:paraId="16BB93AE"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mc:AlternateContent>
                <mc:Choice Requires="wps">
                  <w:drawing>
                    <wp:inline distT="0" distB="0" distL="0" distR="0" wp14:anchorId="39B6E40A" wp14:editId="3857374A">
                      <wp:extent cx="328442" cy="328442"/>
                      <wp:effectExtent l="0" t="0" r="0" b="0"/>
                      <wp:docPr id="83" name="Oval 83"/>
                      <wp:cNvGraphicFramePr/>
                      <a:graphic xmlns:a="http://schemas.openxmlformats.org/drawingml/2006/main">
                        <a:graphicData uri="http://schemas.microsoft.com/office/word/2010/wordprocessingShape">
                          <wps:wsp>
                            <wps:cNvSpPr/>
                            <wps:spPr>
                              <a:xfrm>
                                <a:off x="0" y="0"/>
                                <a:ext cx="328442" cy="328442"/>
                              </a:xfrm>
                              <a:prstGeom prst="ellipse">
                                <a:avLst/>
                              </a:prstGeom>
                              <a:solidFill>
                                <a:srgbClr val="E28100"/>
                              </a:solidFill>
                              <a:ln w="12700" cap="flat" cmpd="sng" algn="ctr">
                                <a:noFill/>
                                <a:prstDash val="solid"/>
                                <a:miter lim="800000"/>
                              </a:ln>
                              <a:effectLst/>
                            </wps:spPr>
                            <wps:txbx>
                              <w:txbxContent>
                                <w:p w14:paraId="1F5C5514"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InC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9B6E40A" id="Oval 83" o:spid="_x0000_s1062"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" fillcolor="#e28100" stroked="f" strokeweight="1pt">
                      <v:stroke joinstyle="miter"/>
                      <v:textbox inset="0,0,0,0">
                        <w:txbxContent>
                          <w:p w14:paraId="1F5C5514"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InC</w:t>
                            </w:r>
                          </w:p>
                        </w:txbxContent>
                      </v:textbox>
                      <w10:anchorlock/>
                    </v:oval>
                  </w:pict>
                </mc:Fallback>
              </mc:AlternateContent>
            </w:r>
          </w:p>
        </w:tc>
        <w:tc>
          <w:tcPr>
            <w:tcW w:w="1631" w:type="dxa"/>
            <w:tcBorders>
              <w:left w:val="nil"/>
            </w:tcBorders>
            <w:vAlign w:val="center"/>
          </w:tcPr>
          <w:p w14:paraId="351D2BAA" w14:textId="77777777" w:rsidR="00B83354" w:rsidRPr="00B142C3" w:rsidRDefault="00B83354" w:rsidP="00BD2DE2">
            <w:pPr>
              <w:spacing w:line="240" w:lineRule="auto"/>
              <w:rPr>
                <w:rFonts w:cs="Times New Roman"/>
                <w:bCs/>
              </w:rPr>
            </w:pPr>
            <w:r w:rsidRPr="00B142C3">
              <w:rPr>
                <w:rFonts w:cs="Times New Roman"/>
                <w:bCs/>
              </w:rPr>
              <w:t>Inconsistency</w:t>
            </w:r>
          </w:p>
        </w:tc>
        <w:tc>
          <w:tcPr>
            <w:tcW w:w="3827" w:type="dxa"/>
            <w:vAlign w:val="center"/>
          </w:tcPr>
          <w:p w14:paraId="3B20EE1A" w14:textId="77777777" w:rsidR="00B83354" w:rsidRPr="00B142C3" w:rsidRDefault="00B83354" w:rsidP="00BD2DE2">
            <w:pPr>
              <w:spacing w:line="240" w:lineRule="auto"/>
              <w:jc w:val="both"/>
              <w:rPr>
                <w:rFonts w:cs="Times New Roman"/>
                <w:bCs/>
                <w:lang w:val="en-US"/>
              </w:rPr>
            </w:pPr>
            <w:r w:rsidRPr="00B142C3">
              <w:rPr>
                <w:rFonts w:cs="Times New Roman"/>
                <w:bCs/>
              </w:rPr>
              <w:t xml:space="preserve">Regards differences in the magnitude of effect (heterogeneity) and direction of the effect. </w:t>
            </w:r>
            <w:sdt>
              <w:sdtPr>
                <w:rPr>
                  <w:rFonts w:cs="Times New Roman"/>
                  <w:bCs/>
                  <w:color w:val="000000"/>
                </w:rPr>
                <w:tag w:val="MENDELEY_CITATION_6154c26f-1a79-4c64-80ba-f41a3866b6b0"/>
                <w:id w:val="-820269326"/>
                <w:placeholder>
                  <w:docPart w:val="CE10FB0ED189499790E2F1C202BB6A94"/>
                </w:placeholder>
              </w:sdtPr>
              <w:sdtEndPr/>
              <w:sdtContent>
                <w:r w:rsidRPr="00B142C3">
                  <w:rPr>
                    <w:rFonts w:cs="Times New Roman"/>
                    <w:bCs/>
                    <w:color w:val="000000"/>
                  </w:rPr>
                  <w:t>(76)</w:t>
                </w:r>
              </w:sdtContent>
            </w:sdt>
          </w:p>
        </w:tc>
        <w:tc>
          <w:tcPr>
            <w:tcW w:w="1064" w:type="dxa"/>
            <w:vAlign w:val="center"/>
          </w:tcPr>
          <w:p w14:paraId="795B3103"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04F0DBB1" wp14:editId="2728C58E">
                  <wp:extent cx="360000" cy="360000"/>
                  <wp:effectExtent l="0" t="0" r="2540" b="0"/>
                  <wp:docPr id="92" name="Picture 9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nC.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3A742A90" w14:textId="77777777" w:rsidR="00B83354" w:rsidRPr="00B142C3" w:rsidRDefault="00B83354" w:rsidP="00BD2DE2">
            <w:pPr>
              <w:spacing w:line="240" w:lineRule="auto"/>
              <w:jc w:val="center"/>
              <w:rPr>
                <w:rFonts w:cs="Times New Roman"/>
                <w:bCs/>
              </w:rPr>
            </w:pPr>
            <w:r w:rsidRPr="00B142C3">
              <w:rPr>
                <w:rFonts w:cs="Times New Roman"/>
                <w:bCs/>
              </w:rPr>
              <w:t>Rating down</w:t>
            </w:r>
          </w:p>
          <w:p w14:paraId="1591B480" w14:textId="77777777" w:rsidR="00B83354" w:rsidRPr="00B142C3" w:rsidRDefault="00B83354" w:rsidP="00BD2DE2">
            <w:pPr>
              <w:spacing w:line="240" w:lineRule="auto"/>
              <w:jc w:val="center"/>
              <w:rPr>
                <w:rFonts w:cs="Times New Roman"/>
                <w:bCs/>
              </w:rPr>
            </w:pPr>
            <w:r w:rsidRPr="00B142C3">
              <w:rPr>
                <w:rFonts w:cs="Times New Roman"/>
                <w:bCs/>
              </w:rPr>
              <w:sym w:font="Wingdings" w:char="F0F2"/>
            </w:r>
          </w:p>
        </w:tc>
        <w:tc>
          <w:tcPr>
            <w:tcW w:w="1094" w:type="dxa"/>
            <w:vAlign w:val="center"/>
          </w:tcPr>
          <w:p w14:paraId="11C65258" w14:textId="77777777" w:rsidR="00B83354" w:rsidRPr="00B142C3" w:rsidRDefault="00B83354" w:rsidP="00BD2DE2">
            <w:pPr>
              <w:spacing w:line="240" w:lineRule="auto"/>
              <w:jc w:val="center"/>
              <w:rPr>
                <w:rFonts w:cs="Times New Roman"/>
                <w:bCs/>
              </w:rPr>
            </w:pPr>
            <w:r w:rsidRPr="00B142C3">
              <w:rPr>
                <w:rFonts w:cs="Times New Roman"/>
                <w:bCs/>
              </w:rPr>
              <w:t>-1 or -2</w:t>
            </w:r>
          </w:p>
          <w:p w14:paraId="0051A428" w14:textId="77777777" w:rsidR="00B83354" w:rsidRPr="00B142C3" w:rsidRDefault="00B83354" w:rsidP="00BD2DE2">
            <w:pPr>
              <w:spacing w:line="240" w:lineRule="auto"/>
              <w:jc w:val="center"/>
              <w:rPr>
                <w:rFonts w:cs="Times New Roman"/>
                <w:bCs/>
              </w:rPr>
            </w:pPr>
            <w:r w:rsidRPr="00B142C3">
              <w:rPr>
                <w:rFonts w:cs="Times New Roman"/>
                <w:bCs/>
              </w:rPr>
              <w:t>levels</w:t>
            </w:r>
          </w:p>
        </w:tc>
      </w:tr>
      <w:tr w:rsidR="00B83354" w:rsidRPr="00B142C3" w14:paraId="4E593911" w14:textId="77777777" w:rsidTr="00BD2DE2">
        <w:trPr>
          <w:trHeight w:val="466"/>
        </w:trPr>
        <w:tc>
          <w:tcPr>
            <w:tcW w:w="916" w:type="dxa"/>
            <w:tcBorders>
              <w:right w:val="nil"/>
            </w:tcBorders>
            <w:vAlign w:val="center"/>
          </w:tcPr>
          <w:p w14:paraId="1AF59AF2"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mc:AlternateContent>
                <mc:Choice Requires="wps">
                  <w:drawing>
                    <wp:inline distT="0" distB="0" distL="0" distR="0" wp14:anchorId="622FB186" wp14:editId="5ABA52D2">
                      <wp:extent cx="328442" cy="328442"/>
                      <wp:effectExtent l="0" t="0" r="0" b="0"/>
                      <wp:docPr id="84" name="Oval 84"/>
                      <wp:cNvGraphicFramePr/>
                      <a:graphic xmlns:a="http://schemas.openxmlformats.org/drawingml/2006/main">
                        <a:graphicData uri="http://schemas.microsoft.com/office/word/2010/wordprocessingShape">
                          <wps:wsp>
                            <wps:cNvSpPr/>
                            <wps:spPr>
                              <a:xfrm>
                                <a:off x="0" y="0"/>
                                <a:ext cx="328442" cy="328442"/>
                              </a:xfrm>
                              <a:prstGeom prst="ellipse">
                                <a:avLst/>
                              </a:prstGeom>
                              <a:solidFill>
                                <a:srgbClr val="4472C4"/>
                              </a:solidFill>
                              <a:ln w="12700" cap="flat" cmpd="sng" algn="ctr">
                                <a:noFill/>
                                <a:prstDash val="solid"/>
                                <a:miter lim="800000"/>
                              </a:ln>
                              <a:effectLst/>
                            </wps:spPr>
                            <wps:txbx>
                              <w:txbxContent>
                                <w:p w14:paraId="7AB0C45F"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22FB186" id="Oval 84" o:spid="_x0000_s1063"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" fillcolor="#4472c4" stroked="f" strokeweight="1pt">
                      <v:stroke joinstyle="miter"/>
                      <v:textbox inset="0,0,0,0">
                        <w:txbxContent>
                          <w:p w14:paraId="7AB0C45F"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InD</w:t>
                            </w:r>
                          </w:p>
                        </w:txbxContent>
                      </v:textbox>
                      <w10:anchorlock/>
                    </v:oval>
                  </w:pict>
                </mc:Fallback>
              </mc:AlternateContent>
            </w:r>
          </w:p>
        </w:tc>
        <w:tc>
          <w:tcPr>
            <w:tcW w:w="1631" w:type="dxa"/>
            <w:tcBorders>
              <w:left w:val="nil"/>
            </w:tcBorders>
            <w:vAlign w:val="center"/>
          </w:tcPr>
          <w:p w14:paraId="5B45E412" w14:textId="77777777" w:rsidR="00B83354" w:rsidRPr="00B142C3" w:rsidRDefault="00B83354" w:rsidP="00BD2DE2">
            <w:pPr>
              <w:spacing w:line="240" w:lineRule="auto"/>
              <w:rPr>
                <w:rFonts w:cs="Times New Roman"/>
                <w:bCs/>
              </w:rPr>
            </w:pPr>
            <w:r w:rsidRPr="00B142C3">
              <w:rPr>
                <w:rFonts w:cs="Times New Roman"/>
                <w:bCs/>
              </w:rPr>
              <w:t>Indirectness</w:t>
            </w:r>
          </w:p>
        </w:tc>
        <w:tc>
          <w:tcPr>
            <w:tcW w:w="3827" w:type="dxa"/>
            <w:vAlign w:val="center"/>
          </w:tcPr>
          <w:p w14:paraId="234B5C2F" w14:textId="77777777" w:rsidR="00B83354" w:rsidRPr="00B142C3" w:rsidRDefault="00B83354" w:rsidP="00BD2DE2">
            <w:pPr>
              <w:spacing w:line="240" w:lineRule="auto"/>
              <w:jc w:val="both"/>
              <w:rPr>
                <w:rFonts w:cs="Times New Roman"/>
                <w:bCs/>
                <w:lang w:val="en-US"/>
              </w:rPr>
            </w:pPr>
            <w:r w:rsidRPr="00B142C3">
              <w:rPr>
                <w:rFonts w:cs="Times New Roman"/>
                <w:bCs/>
                <w:lang w:val="en-US"/>
              </w:rPr>
              <w:t xml:space="preserve">Regards the applicability (different populations or interventions), surrogate outcomes and indirect comparisons. </w:t>
            </w:r>
            <w:sdt>
              <w:sdtPr>
                <w:rPr>
                  <w:rFonts w:cs="Times New Roman"/>
                  <w:bCs/>
                  <w:color w:val="000000"/>
                  <w:lang w:val="en-US"/>
                </w:rPr>
                <w:tag w:val="MENDELEY_CITATION_a7b376ec-7866-4870-bc25-b7f7da40185f"/>
                <w:id w:val="1337257743"/>
                <w:placeholder>
                  <w:docPart w:val="CE10FB0ED189499790E2F1C202BB6A94"/>
                </w:placeholder>
              </w:sdtPr>
              <w:sdtEndPr/>
              <w:sdtContent>
                <w:r w:rsidRPr="00B142C3">
                  <w:rPr>
                    <w:rFonts w:cs="Times New Roman"/>
                    <w:bCs/>
                    <w:color w:val="000000"/>
                    <w:lang w:val="en-US"/>
                  </w:rPr>
                  <w:t>(77)</w:t>
                </w:r>
              </w:sdtContent>
            </w:sdt>
          </w:p>
        </w:tc>
        <w:tc>
          <w:tcPr>
            <w:tcW w:w="1064" w:type="dxa"/>
            <w:vAlign w:val="center"/>
          </w:tcPr>
          <w:p w14:paraId="1D1C4228"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390826C5" wp14:editId="08C41D4D">
                  <wp:extent cx="360000" cy="360000"/>
                  <wp:effectExtent l="0" t="0" r="2540" b="0"/>
                  <wp:docPr id="93" name="Picture 9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n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6022AC28" w14:textId="77777777" w:rsidR="00B83354" w:rsidRPr="00B142C3" w:rsidRDefault="00B83354" w:rsidP="00BD2DE2">
            <w:pPr>
              <w:spacing w:line="240" w:lineRule="auto"/>
              <w:jc w:val="center"/>
              <w:rPr>
                <w:rFonts w:cs="Times New Roman"/>
                <w:bCs/>
              </w:rPr>
            </w:pPr>
            <w:r w:rsidRPr="00B142C3">
              <w:rPr>
                <w:rFonts w:cs="Times New Roman"/>
                <w:bCs/>
              </w:rPr>
              <w:t>Rating down</w:t>
            </w:r>
          </w:p>
          <w:p w14:paraId="2D335A24" w14:textId="77777777" w:rsidR="00B83354" w:rsidRPr="00B142C3" w:rsidRDefault="00B83354" w:rsidP="00BD2DE2">
            <w:pPr>
              <w:spacing w:line="240" w:lineRule="auto"/>
              <w:jc w:val="center"/>
              <w:rPr>
                <w:rFonts w:cs="Times New Roman"/>
                <w:bCs/>
                <w:lang w:val="en-US"/>
              </w:rPr>
            </w:pPr>
            <w:r w:rsidRPr="00B142C3">
              <w:rPr>
                <w:rFonts w:cs="Times New Roman"/>
                <w:bCs/>
              </w:rPr>
              <w:sym w:font="Wingdings" w:char="F0F2"/>
            </w:r>
          </w:p>
        </w:tc>
        <w:tc>
          <w:tcPr>
            <w:tcW w:w="1094" w:type="dxa"/>
            <w:vAlign w:val="center"/>
          </w:tcPr>
          <w:p w14:paraId="2615E83A" w14:textId="77777777" w:rsidR="00B83354" w:rsidRPr="00B142C3" w:rsidRDefault="00B83354" w:rsidP="00BD2DE2">
            <w:pPr>
              <w:spacing w:line="240" w:lineRule="auto"/>
              <w:jc w:val="center"/>
              <w:rPr>
                <w:rFonts w:cs="Times New Roman"/>
                <w:bCs/>
              </w:rPr>
            </w:pPr>
            <w:r w:rsidRPr="00B142C3">
              <w:rPr>
                <w:rFonts w:cs="Times New Roman"/>
                <w:bCs/>
              </w:rPr>
              <w:t>-1 or -2</w:t>
            </w:r>
          </w:p>
          <w:p w14:paraId="317AC80C" w14:textId="77777777" w:rsidR="00B83354" w:rsidRPr="00B142C3" w:rsidRDefault="00B83354" w:rsidP="00BD2DE2">
            <w:pPr>
              <w:spacing w:line="240" w:lineRule="auto"/>
              <w:jc w:val="center"/>
              <w:rPr>
                <w:rFonts w:cs="Times New Roman"/>
                <w:bCs/>
              </w:rPr>
            </w:pPr>
            <w:r w:rsidRPr="00B142C3">
              <w:rPr>
                <w:rFonts w:cs="Times New Roman"/>
                <w:bCs/>
              </w:rPr>
              <w:t>levels</w:t>
            </w:r>
          </w:p>
        </w:tc>
      </w:tr>
      <w:tr w:rsidR="00B83354" w:rsidRPr="00B142C3" w14:paraId="53798D96" w14:textId="77777777" w:rsidTr="00BD2DE2">
        <w:trPr>
          <w:trHeight w:val="466"/>
        </w:trPr>
        <w:tc>
          <w:tcPr>
            <w:tcW w:w="916" w:type="dxa"/>
            <w:tcBorders>
              <w:right w:val="nil"/>
            </w:tcBorders>
            <w:vAlign w:val="center"/>
          </w:tcPr>
          <w:p w14:paraId="4FEF30AB"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mc:AlternateContent>
                <mc:Choice Requires="wps">
                  <w:drawing>
                    <wp:inline distT="0" distB="0" distL="0" distR="0" wp14:anchorId="66A4BC42" wp14:editId="58D70D09">
                      <wp:extent cx="328442" cy="328442"/>
                      <wp:effectExtent l="0" t="0" r="0" b="0"/>
                      <wp:docPr id="85" name="Oval 85"/>
                      <wp:cNvGraphicFramePr/>
                      <a:graphic xmlns:a="http://schemas.openxmlformats.org/drawingml/2006/main">
                        <a:graphicData uri="http://schemas.microsoft.com/office/word/2010/wordprocessingShape">
                          <wps:wsp>
                            <wps:cNvSpPr/>
                            <wps:spPr>
                              <a:xfrm>
                                <a:off x="0" y="0"/>
                                <a:ext cx="328442" cy="328442"/>
                              </a:xfrm>
                              <a:prstGeom prst="ellipse">
                                <a:avLst/>
                              </a:prstGeom>
                              <a:solidFill>
                                <a:sysClr val="windowText" lastClr="000000">
                                  <a:lumMod val="50000"/>
                                  <a:lumOff val="50000"/>
                                </a:sysClr>
                              </a:solidFill>
                              <a:ln w="12700" cap="flat" cmpd="sng" algn="ctr">
                                <a:noFill/>
                                <a:prstDash val="solid"/>
                                <a:miter lim="800000"/>
                              </a:ln>
                              <a:effectLst/>
                            </wps:spPr>
                            <wps:txbx>
                              <w:txbxContent>
                                <w:p w14:paraId="1002D33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PuB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6A4BC42" id="Oval 85" o:spid="_x0000_s1064"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" fillcolor="#7f7f7f" stroked="f" strokeweight="1pt">
                      <v:stroke joinstyle="miter"/>
                      <v:textbox inset="0,0,0,0">
                        <w:txbxContent>
                          <w:p w14:paraId="1002D33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PuB</w:t>
                            </w:r>
                          </w:p>
                        </w:txbxContent>
                      </v:textbox>
                      <w10:anchorlock/>
                    </v:oval>
                  </w:pict>
                </mc:Fallback>
              </mc:AlternateContent>
            </w:r>
          </w:p>
        </w:tc>
        <w:tc>
          <w:tcPr>
            <w:tcW w:w="1631" w:type="dxa"/>
            <w:tcBorders>
              <w:left w:val="nil"/>
            </w:tcBorders>
            <w:vAlign w:val="center"/>
          </w:tcPr>
          <w:p w14:paraId="262AF4C0" w14:textId="77777777" w:rsidR="00B83354" w:rsidRPr="00B142C3" w:rsidRDefault="00B83354" w:rsidP="00BD2DE2">
            <w:pPr>
              <w:spacing w:line="240" w:lineRule="auto"/>
              <w:rPr>
                <w:rFonts w:cs="Times New Roman"/>
                <w:bCs/>
              </w:rPr>
            </w:pPr>
            <w:r w:rsidRPr="00B142C3">
              <w:rPr>
                <w:rFonts w:cs="Times New Roman"/>
                <w:bCs/>
              </w:rPr>
              <w:t>Publication Bias</w:t>
            </w:r>
          </w:p>
        </w:tc>
        <w:tc>
          <w:tcPr>
            <w:tcW w:w="3827" w:type="dxa"/>
            <w:vAlign w:val="center"/>
          </w:tcPr>
          <w:p w14:paraId="58FC416A" w14:textId="77777777" w:rsidR="00B83354" w:rsidRPr="00B142C3" w:rsidRDefault="00B83354" w:rsidP="00BD2DE2">
            <w:pPr>
              <w:spacing w:line="240" w:lineRule="auto"/>
              <w:jc w:val="both"/>
              <w:rPr>
                <w:rFonts w:cs="Times New Roman"/>
                <w:bCs/>
                <w:lang w:val="en-US"/>
              </w:rPr>
            </w:pPr>
            <w:r w:rsidRPr="00B142C3">
              <w:rPr>
                <w:rFonts w:cs="Times New Roman"/>
                <w:bCs/>
                <w:lang w:val="en-US"/>
              </w:rPr>
              <w:t xml:space="preserve">Regards cases when studies are left out leading to a downwards (positive studies left out) or an upwards (negative studies left out) bias in the estimate of effect. </w:t>
            </w:r>
            <w:sdt>
              <w:sdtPr>
                <w:rPr>
                  <w:rFonts w:cs="Times New Roman"/>
                  <w:bCs/>
                  <w:color w:val="000000"/>
                  <w:lang w:val="en-US"/>
                </w:rPr>
                <w:tag w:val="MENDELEY_CITATION_49db71dc-050e-4f1e-8e69-0c0715fd43d8"/>
                <w:id w:val="-79211682"/>
                <w:placeholder>
                  <w:docPart w:val="CE10FB0ED189499790E2F1C202BB6A94"/>
                </w:placeholder>
              </w:sdtPr>
              <w:sdtEndPr/>
              <w:sdtContent>
                <w:r w:rsidRPr="00B142C3">
                  <w:rPr>
                    <w:rFonts w:cs="Times New Roman"/>
                    <w:bCs/>
                    <w:color w:val="000000"/>
                    <w:lang w:val="en-US"/>
                  </w:rPr>
                  <w:t>(78)</w:t>
                </w:r>
              </w:sdtContent>
            </w:sdt>
          </w:p>
        </w:tc>
        <w:tc>
          <w:tcPr>
            <w:tcW w:w="1064" w:type="dxa"/>
            <w:vAlign w:val="center"/>
          </w:tcPr>
          <w:p w14:paraId="60666D47"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4D1C0309" wp14:editId="46AD5845">
                  <wp:extent cx="360000" cy="360000"/>
                  <wp:effectExtent l="0" t="0" r="2540" b="0"/>
                  <wp:docPr id="94" name="Picture 94" descr="A picture containing flow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u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547B1A9A" w14:textId="77777777" w:rsidR="00B83354" w:rsidRPr="00B142C3" w:rsidRDefault="00B83354" w:rsidP="00BD2DE2">
            <w:pPr>
              <w:spacing w:line="240" w:lineRule="auto"/>
              <w:jc w:val="center"/>
              <w:rPr>
                <w:rFonts w:cs="Times New Roman"/>
                <w:bCs/>
              </w:rPr>
            </w:pPr>
            <w:r w:rsidRPr="00B142C3">
              <w:rPr>
                <w:rFonts w:cs="Times New Roman"/>
                <w:bCs/>
              </w:rPr>
              <w:t>Rating down</w:t>
            </w:r>
          </w:p>
          <w:p w14:paraId="11B86FAC" w14:textId="77777777" w:rsidR="00B83354" w:rsidRPr="00B142C3" w:rsidRDefault="00B83354" w:rsidP="00BD2DE2">
            <w:pPr>
              <w:spacing w:line="240" w:lineRule="auto"/>
              <w:jc w:val="center"/>
              <w:rPr>
                <w:rFonts w:cs="Times New Roman"/>
                <w:bCs/>
                <w:lang w:val="en-US"/>
              </w:rPr>
            </w:pPr>
            <w:r w:rsidRPr="00B142C3">
              <w:rPr>
                <w:rFonts w:cs="Times New Roman"/>
                <w:bCs/>
              </w:rPr>
              <w:sym w:font="Wingdings" w:char="F0F2"/>
            </w:r>
          </w:p>
        </w:tc>
        <w:tc>
          <w:tcPr>
            <w:tcW w:w="1094" w:type="dxa"/>
            <w:vAlign w:val="center"/>
          </w:tcPr>
          <w:p w14:paraId="6BA0D846" w14:textId="77777777" w:rsidR="00B83354" w:rsidRPr="00B142C3" w:rsidRDefault="00B83354" w:rsidP="00BD2DE2">
            <w:pPr>
              <w:spacing w:line="240" w:lineRule="auto"/>
              <w:jc w:val="center"/>
              <w:rPr>
                <w:rFonts w:cs="Times New Roman"/>
                <w:bCs/>
              </w:rPr>
            </w:pPr>
            <w:r w:rsidRPr="00B142C3">
              <w:rPr>
                <w:rFonts w:cs="Times New Roman"/>
                <w:bCs/>
              </w:rPr>
              <w:t>-1 or -2</w:t>
            </w:r>
          </w:p>
          <w:p w14:paraId="1495D784" w14:textId="77777777" w:rsidR="00B83354" w:rsidRPr="00B142C3" w:rsidRDefault="00B83354" w:rsidP="00BD2DE2">
            <w:pPr>
              <w:spacing w:line="240" w:lineRule="auto"/>
              <w:jc w:val="center"/>
              <w:rPr>
                <w:rFonts w:cs="Times New Roman"/>
                <w:bCs/>
              </w:rPr>
            </w:pPr>
            <w:r w:rsidRPr="00B142C3">
              <w:rPr>
                <w:rFonts w:cs="Times New Roman"/>
                <w:bCs/>
              </w:rPr>
              <w:t>levels</w:t>
            </w:r>
          </w:p>
        </w:tc>
      </w:tr>
      <w:tr w:rsidR="00B83354" w:rsidRPr="00B142C3" w14:paraId="1E87F042" w14:textId="77777777" w:rsidTr="00BD2DE2">
        <w:trPr>
          <w:trHeight w:val="466"/>
        </w:trPr>
        <w:tc>
          <w:tcPr>
            <w:tcW w:w="916" w:type="dxa"/>
            <w:tcBorders>
              <w:right w:val="nil"/>
            </w:tcBorders>
            <w:vAlign w:val="center"/>
          </w:tcPr>
          <w:p w14:paraId="79399AE4" w14:textId="77777777" w:rsidR="00B83354" w:rsidRPr="00B142C3" w:rsidRDefault="00B83354" w:rsidP="00BD2DE2">
            <w:pPr>
              <w:spacing w:line="240" w:lineRule="auto"/>
              <w:jc w:val="center"/>
              <w:rPr>
                <w:rFonts w:cs="Times New Roman"/>
                <w:bCs/>
                <w:noProof/>
              </w:rPr>
            </w:pPr>
            <w:r w:rsidRPr="00B142C3">
              <w:rPr>
                <w:rFonts w:cs="Times New Roman"/>
                <w:bCs/>
                <w:noProof/>
                <w:sz w:val="14"/>
                <w:szCs w:val="14"/>
                <w:lang w:val="nl-NL" w:eastAsia="nl-NL"/>
              </w:rPr>
              <mc:AlternateContent>
                <mc:Choice Requires="wps">
                  <w:drawing>
                    <wp:inline distT="0" distB="0" distL="0" distR="0" wp14:anchorId="03202D68" wp14:editId="047A9633">
                      <wp:extent cx="328442" cy="328442"/>
                      <wp:effectExtent l="0" t="0" r="0" b="0"/>
                      <wp:docPr id="86" name="Rectangle 86"/>
                      <wp:cNvGraphicFramePr/>
                      <a:graphic xmlns:a="http://schemas.openxmlformats.org/drawingml/2006/main">
                        <a:graphicData uri="http://schemas.microsoft.com/office/word/2010/wordprocessingShape">
                          <wps:wsp>
                            <wps:cNvSpPr/>
                            <wps:spPr>
                              <a:xfrm>
                                <a:off x="0" y="0"/>
                                <a:ext cx="328442" cy="328442"/>
                              </a:xfrm>
                              <a:prstGeom prst="rect">
                                <a:avLst/>
                              </a:prstGeom>
                              <a:solidFill>
                                <a:srgbClr val="FFC000">
                                  <a:lumMod val="60000"/>
                                  <a:lumOff val="40000"/>
                                </a:srgbClr>
                              </a:solidFill>
                              <a:ln w="12700" cap="flat" cmpd="sng" algn="ctr">
                                <a:noFill/>
                                <a:prstDash val="solid"/>
                                <a:miter lim="800000"/>
                              </a:ln>
                              <a:effectLst/>
                            </wps:spPr>
                            <wps:txbx>
                              <w:txbxContent>
                                <w:p w14:paraId="0C852F45"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LaE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3202D68" id="Rectangle 86" o:spid="_x0000_s1065"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" fillcolor="#ffd966" stroked="f" strokeweight="1pt">
                      <v:textbox inset="0,0,0,0">
                        <w:txbxContent>
                          <w:p w14:paraId="0C852F45"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LaE</w:t>
                            </w:r>
                          </w:p>
                        </w:txbxContent>
                      </v:textbox>
                      <w10:anchorlock/>
                    </v:rect>
                  </w:pict>
                </mc:Fallback>
              </mc:AlternateContent>
            </w:r>
          </w:p>
        </w:tc>
        <w:tc>
          <w:tcPr>
            <w:tcW w:w="1631" w:type="dxa"/>
            <w:tcBorders>
              <w:left w:val="nil"/>
            </w:tcBorders>
            <w:vAlign w:val="center"/>
          </w:tcPr>
          <w:p w14:paraId="31F81025" w14:textId="77777777" w:rsidR="00B83354" w:rsidRPr="00B142C3" w:rsidRDefault="00B83354" w:rsidP="00BD2DE2">
            <w:pPr>
              <w:spacing w:line="240" w:lineRule="auto"/>
              <w:rPr>
                <w:rFonts w:cs="Times New Roman"/>
                <w:bCs/>
              </w:rPr>
            </w:pPr>
            <w:r w:rsidRPr="00B142C3">
              <w:rPr>
                <w:rFonts w:cs="Times New Roman"/>
                <w:bCs/>
              </w:rPr>
              <w:t>Large effect</w:t>
            </w:r>
          </w:p>
        </w:tc>
        <w:tc>
          <w:tcPr>
            <w:tcW w:w="3827" w:type="dxa"/>
            <w:vAlign w:val="center"/>
          </w:tcPr>
          <w:p w14:paraId="149023E6" w14:textId="77777777" w:rsidR="00B83354" w:rsidRPr="00B142C3" w:rsidRDefault="00B83354" w:rsidP="00BD2DE2">
            <w:pPr>
              <w:spacing w:line="240" w:lineRule="auto"/>
              <w:jc w:val="both"/>
              <w:rPr>
                <w:rFonts w:cs="Times New Roman"/>
                <w:bCs/>
                <w:lang w:val="en-US"/>
              </w:rPr>
            </w:pPr>
            <w:r w:rsidRPr="00B142C3">
              <w:rPr>
                <w:rFonts w:cs="Times New Roman"/>
                <w:bCs/>
                <w:lang w:val="en-US"/>
              </w:rPr>
              <w:t xml:space="preserve">Refers to cases of ‘extreme confidence in effectiveness’. </w:t>
            </w:r>
            <w:sdt>
              <w:sdtPr>
                <w:rPr>
                  <w:rFonts w:cs="Times New Roman"/>
                  <w:bCs/>
                  <w:color w:val="000000"/>
                  <w:lang w:val="en-US"/>
                </w:rPr>
                <w:tag w:val="MENDELEY_CITATION_c23438bc-d777-4e6e-9703-882ba447a6d0"/>
                <w:id w:val="934563079"/>
                <w:placeholder>
                  <w:docPart w:val="14C40BD0D4044C7DB766FFFCFF934479"/>
                </w:placeholder>
              </w:sdtPr>
              <w:sdtEndPr/>
              <w:sdtContent>
                <w:r w:rsidRPr="00B142C3">
                  <w:rPr>
                    <w:rFonts w:cs="Times New Roman"/>
                    <w:bCs/>
                    <w:color w:val="000000"/>
                    <w:lang w:val="en-US"/>
                  </w:rPr>
                  <w:t>(79)</w:t>
                </w:r>
              </w:sdtContent>
            </w:sdt>
          </w:p>
        </w:tc>
        <w:tc>
          <w:tcPr>
            <w:tcW w:w="1064" w:type="dxa"/>
            <w:vAlign w:val="center"/>
          </w:tcPr>
          <w:p w14:paraId="78BDFAD4"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6DE0C478" wp14:editId="62DE2B4A">
                  <wp:extent cx="360000" cy="360000"/>
                  <wp:effectExtent l="0" t="0" r="2540" b="2540"/>
                  <wp:docPr id="95" name="Picture 9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a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2B4C93C6" w14:textId="77777777" w:rsidR="00B83354" w:rsidRPr="00B142C3" w:rsidRDefault="00B83354" w:rsidP="00BD2DE2">
            <w:pPr>
              <w:spacing w:line="240" w:lineRule="auto"/>
              <w:jc w:val="center"/>
              <w:rPr>
                <w:rFonts w:cs="Times New Roman"/>
                <w:bCs/>
              </w:rPr>
            </w:pPr>
            <w:r w:rsidRPr="00B142C3">
              <w:rPr>
                <w:rFonts w:cs="Times New Roman"/>
                <w:bCs/>
              </w:rPr>
              <w:t>Rating up</w:t>
            </w:r>
          </w:p>
          <w:p w14:paraId="33CDD70A" w14:textId="77777777" w:rsidR="00B83354" w:rsidRPr="00B142C3" w:rsidRDefault="00B83354" w:rsidP="00BD2DE2">
            <w:pPr>
              <w:spacing w:line="240" w:lineRule="auto"/>
              <w:jc w:val="center"/>
              <w:rPr>
                <w:rFonts w:cs="Times New Roman"/>
                <w:bCs/>
                <w:lang w:val="en-US"/>
              </w:rPr>
            </w:pPr>
            <w:r w:rsidRPr="00B142C3">
              <w:rPr>
                <w:rFonts w:cs="Times New Roman"/>
                <w:bCs/>
              </w:rPr>
              <w:sym w:font="Wingdings" w:char="F0F1"/>
            </w:r>
          </w:p>
        </w:tc>
        <w:tc>
          <w:tcPr>
            <w:tcW w:w="1094" w:type="dxa"/>
            <w:vAlign w:val="center"/>
          </w:tcPr>
          <w:p w14:paraId="7ABF78BD" w14:textId="77777777" w:rsidR="00B83354" w:rsidRPr="00B142C3" w:rsidRDefault="00B83354" w:rsidP="00BD2DE2">
            <w:pPr>
              <w:spacing w:line="240" w:lineRule="auto"/>
              <w:jc w:val="center"/>
              <w:rPr>
                <w:rFonts w:cs="Times New Roman"/>
                <w:bCs/>
              </w:rPr>
            </w:pPr>
            <w:r w:rsidRPr="00B142C3">
              <w:rPr>
                <w:rFonts w:cs="Times New Roman"/>
                <w:bCs/>
              </w:rPr>
              <w:t>+1 or +2 levels</w:t>
            </w:r>
          </w:p>
        </w:tc>
      </w:tr>
      <w:tr w:rsidR="00B83354" w:rsidRPr="00B142C3" w14:paraId="5EB53FC7" w14:textId="77777777" w:rsidTr="00BD2DE2">
        <w:trPr>
          <w:trHeight w:val="466"/>
        </w:trPr>
        <w:tc>
          <w:tcPr>
            <w:tcW w:w="916" w:type="dxa"/>
            <w:tcBorders>
              <w:right w:val="nil"/>
            </w:tcBorders>
            <w:vAlign w:val="center"/>
          </w:tcPr>
          <w:p w14:paraId="6018E8B8" w14:textId="77777777" w:rsidR="00B83354" w:rsidRPr="00B142C3" w:rsidRDefault="00B83354" w:rsidP="00BD2DE2">
            <w:pPr>
              <w:spacing w:line="240" w:lineRule="auto"/>
              <w:jc w:val="center"/>
              <w:rPr>
                <w:rFonts w:cs="Times New Roman"/>
                <w:bCs/>
                <w:noProof/>
              </w:rPr>
            </w:pPr>
            <w:r w:rsidRPr="00B142C3">
              <w:rPr>
                <w:rFonts w:cs="Times New Roman"/>
                <w:bCs/>
                <w:noProof/>
                <w:sz w:val="14"/>
                <w:szCs w:val="14"/>
                <w:lang w:val="nl-NL" w:eastAsia="nl-NL"/>
              </w:rPr>
              <mc:AlternateContent>
                <mc:Choice Requires="wps">
                  <w:drawing>
                    <wp:inline distT="0" distB="0" distL="0" distR="0" wp14:anchorId="002FA29C" wp14:editId="3E7DDD4A">
                      <wp:extent cx="328442" cy="328442"/>
                      <wp:effectExtent l="0" t="0" r="0" b="0"/>
                      <wp:docPr id="87" name="Rectangle 87"/>
                      <wp:cNvGraphicFramePr/>
                      <a:graphic xmlns:a="http://schemas.openxmlformats.org/drawingml/2006/main">
                        <a:graphicData uri="http://schemas.microsoft.com/office/word/2010/wordprocessingShape">
                          <wps:wsp>
                            <wps:cNvSpPr/>
                            <wps:spPr>
                              <a:xfrm>
                                <a:off x="0" y="0"/>
                                <a:ext cx="328442" cy="328442"/>
                              </a:xfrm>
                              <a:prstGeom prst="rect">
                                <a:avLst/>
                              </a:prstGeom>
                              <a:solidFill>
                                <a:srgbClr val="7030A0"/>
                              </a:solidFill>
                              <a:ln w="12700" cap="flat" cmpd="sng" algn="ctr">
                                <a:noFill/>
                                <a:prstDash val="solid"/>
                                <a:miter lim="800000"/>
                              </a:ln>
                              <a:effectLst/>
                            </wps:spPr>
                            <wps:txbx>
                              <w:txbxContent>
                                <w:p w14:paraId="187A811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DoR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2FA29C" id="Rectangle 87" o:spid="_x0000_s1066"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" fillcolor="#7030a0" stroked="f" strokeweight="1pt">
                      <v:textbox inset="0,0,0,0">
                        <w:txbxContent>
                          <w:p w14:paraId="187A8113" w14:textId="77777777" w:rsidR="00BD2DE2" w:rsidRPr="00DC7796" w:rsidRDefault="00BD2DE2" w:rsidP="00B83354">
                            <w:pPr>
                              <w:spacing w:after="0"/>
                              <w:jc w:val="center"/>
                              <w:rPr>
                                <w:b/>
                                <w:bCs/>
                                <w:color w:val="FFFFFF" w:themeColor="background1"/>
                                <w:spacing w:val="6"/>
                                <w:sz w:val="14"/>
                                <w:szCs w:val="14"/>
                                <w:lang w:val="en-US"/>
                              </w:rPr>
                            </w:pPr>
                            <w:r w:rsidRPr="00DC7796">
                              <w:rPr>
                                <w:b/>
                                <w:bCs/>
                                <w:color w:val="FFFFFF" w:themeColor="background1"/>
                                <w:spacing w:val="6"/>
                                <w:sz w:val="14"/>
                                <w:szCs w:val="14"/>
                                <w:lang w:val="en-US"/>
                              </w:rPr>
                              <w:t>DoR</w:t>
                            </w:r>
                          </w:p>
                        </w:txbxContent>
                      </v:textbox>
                      <w10:anchorlock/>
                    </v:rect>
                  </w:pict>
                </mc:Fallback>
              </mc:AlternateContent>
            </w:r>
          </w:p>
        </w:tc>
        <w:tc>
          <w:tcPr>
            <w:tcW w:w="1631" w:type="dxa"/>
            <w:tcBorders>
              <w:left w:val="nil"/>
            </w:tcBorders>
            <w:vAlign w:val="center"/>
          </w:tcPr>
          <w:p w14:paraId="36A4C565" w14:textId="77777777" w:rsidR="00B83354" w:rsidRPr="00B142C3" w:rsidRDefault="00B83354" w:rsidP="00BD2DE2">
            <w:pPr>
              <w:spacing w:line="240" w:lineRule="auto"/>
              <w:rPr>
                <w:rFonts w:cs="Times New Roman"/>
                <w:bCs/>
              </w:rPr>
            </w:pPr>
            <w:r w:rsidRPr="00B142C3">
              <w:rPr>
                <w:rFonts w:cs="Times New Roman"/>
                <w:bCs/>
              </w:rPr>
              <w:t xml:space="preserve">Dose response gradient </w:t>
            </w:r>
          </w:p>
        </w:tc>
        <w:tc>
          <w:tcPr>
            <w:tcW w:w="3827" w:type="dxa"/>
            <w:vAlign w:val="center"/>
          </w:tcPr>
          <w:p w14:paraId="6A357267" w14:textId="77777777" w:rsidR="00B83354" w:rsidRPr="00B142C3" w:rsidRDefault="00B83354" w:rsidP="00BD2DE2">
            <w:pPr>
              <w:spacing w:line="240" w:lineRule="auto"/>
              <w:jc w:val="both"/>
              <w:rPr>
                <w:rFonts w:cs="Times New Roman"/>
                <w:bCs/>
                <w:lang w:val="en-US"/>
              </w:rPr>
            </w:pPr>
            <w:r w:rsidRPr="00B142C3">
              <w:rPr>
                <w:rFonts w:cs="Times New Roman"/>
                <w:bCs/>
                <w:lang w:val="en-US"/>
              </w:rPr>
              <w:t xml:space="preserve">A long-recognized important factor for establishing a cause-effect relationship. </w:t>
            </w:r>
            <w:sdt>
              <w:sdtPr>
                <w:rPr>
                  <w:rFonts w:cs="Times New Roman"/>
                  <w:bCs/>
                  <w:color w:val="000000"/>
                  <w:lang w:val="en-US"/>
                </w:rPr>
                <w:tag w:val="MENDELEY_CITATION_b20d0a67-fc5d-47c0-b591-df879f4a9fd8"/>
                <w:id w:val="-1617356641"/>
                <w:placeholder>
                  <w:docPart w:val="14C40BD0D4044C7DB766FFFCFF934479"/>
                </w:placeholder>
              </w:sdtPr>
              <w:sdtEndPr/>
              <w:sdtContent>
                <w:r w:rsidRPr="00B142C3">
                  <w:rPr>
                    <w:rFonts w:cs="Times New Roman"/>
                    <w:bCs/>
                    <w:color w:val="000000"/>
                    <w:lang w:val="en-US"/>
                  </w:rPr>
                  <w:t>(79)</w:t>
                </w:r>
              </w:sdtContent>
            </w:sdt>
          </w:p>
        </w:tc>
        <w:tc>
          <w:tcPr>
            <w:tcW w:w="1064" w:type="dxa"/>
            <w:vAlign w:val="center"/>
          </w:tcPr>
          <w:p w14:paraId="1F72DAE5"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7D9F3693" wp14:editId="5FFD93B2">
                  <wp:extent cx="360000" cy="360000"/>
                  <wp:effectExtent l="0" t="0" r="2540" b="0"/>
                  <wp:docPr id="96" name="Picture 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1444583D" w14:textId="77777777" w:rsidR="00B83354" w:rsidRPr="00B142C3" w:rsidRDefault="00B83354" w:rsidP="00BD2DE2">
            <w:pPr>
              <w:spacing w:line="240" w:lineRule="auto"/>
              <w:jc w:val="center"/>
              <w:rPr>
                <w:rFonts w:cs="Times New Roman"/>
                <w:bCs/>
              </w:rPr>
            </w:pPr>
            <w:r w:rsidRPr="00B142C3">
              <w:rPr>
                <w:rFonts w:cs="Times New Roman"/>
                <w:bCs/>
              </w:rPr>
              <w:t>Rating up</w:t>
            </w:r>
          </w:p>
          <w:p w14:paraId="1CF9D5DB" w14:textId="77777777" w:rsidR="00B83354" w:rsidRPr="00B142C3" w:rsidRDefault="00B83354" w:rsidP="00BD2DE2">
            <w:pPr>
              <w:spacing w:line="240" w:lineRule="auto"/>
              <w:jc w:val="center"/>
              <w:rPr>
                <w:rFonts w:cs="Times New Roman"/>
                <w:bCs/>
                <w:lang w:val="en-US"/>
              </w:rPr>
            </w:pPr>
            <w:r w:rsidRPr="00B142C3">
              <w:rPr>
                <w:rFonts w:cs="Times New Roman"/>
                <w:bCs/>
              </w:rPr>
              <w:sym w:font="Wingdings" w:char="F0F1"/>
            </w:r>
          </w:p>
        </w:tc>
        <w:tc>
          <w:tcPr>
            <w:tcW w:w="1094" w:type="dxa"/>
            <w:vAlign w:val="center"/>
          </w:tcPr>
          <w:p w14:paraId="378E0727" w14:textId="77777777" w:rsidR="00B83354" w:rsidRPr="00B142C3" w:rsidRDefault="00B83354" w:rsidP="00BD2DE2">
            <w:pPr>
              <w:spacing w:line="240" w:lineRule="auto"/>
              <w:jc w:val="center"/>
              <w:rPr>
                <w:rFonts w:cs="Times New Roman"/>
                <w:bCs/>
              </w:rPr>
            </w:pPr>
            <w:r w:rsidRPr="00B142C3">
              <w:rPr>
                <w:rFonts w:cs="Times New Roman"/>
                <w:bCs/>
              </w:rPr>
              <w:t>+1 level</w:t>
            </w:r>
          </w:p>
        </w:tc>
      </w:tr>
      <w:tr w:rsidR="00B83354" w:rsidRPr="00B142C3" w14:paraId="693FE092" w14:textId="77777777" w:rsidTr="00BD2DE2">
        <w:trPr>
          <w:trHeight w:val="466"/>
        </w:trPr>
        <w:tc>
          <w:tcPr>
            <w:tcW w:w="916" w:type="dxa"/>
            <w:tcBorders>
              <w:right w:val="nil"/>
            </w:tcBorders>
            <w:vAlign w:val="center"/>
          </w:tcPr>
          <w:p w14:paraId="6A5CA29C" w14:textId="77777777" w:rsidR="00B83354" w:rsidRPr="00B142C3" w:rsidRDefault="00B83354" w:rsidP="00BD2DE2">
            <w:pPr>
              <w:spacing w:line="240" w:lineRule="auto"/>
              <w:jc w:val="center"/>
              <w:rPr>
                <w:rFonts w:cs="Times New Roman"/>
                <w:bCs/>
                <w:noProof/>
              </w:rPr>
            </w:pPr>
            <w:r w:rsidRPr="00B142C3">
              <w:rPr>
                <w:rFonts w:cs="Times New Roman"/>
                <w:bCs/>
                <w:noProof/>
                <w:sz w:val="14"/>
                <w:szCs w:val="14"/>
                <w:lang w:val="nl-NL" w:eastAsia="nl-NL"/>
              </w:rPr>
              <mc:AlternateContent>
                <mc:Choice Requires="wps">
                  <w:drawing>
                    <wp:inline distT="0" distB="0" distL="0" distR="0" wp14:anchorId="1E17FBE4" wp14:editId="192726B5">
                      <wp:extent cx="328442" cy="328442"/>
                      <wp:effectExtent l="0" t="0" r="0" b="0"/>
                      <wp:docPr id="88" name="Rectangle 88"/>
                      <wp:cNvGraphicFramePr/>
                      <a:graphic xmlns:a="http://schemas.openxmlformats.org/drawingml/2006/main">
                        <a:graphicData uri="http://schemas.microsoft.com/office/word/2010/wordprocessingShape">
                          <wps:wsp>
                            <wps:cNvSpPr/>
                            <wps:spPr>
                              <a:xfrm>
                                <a:off x="0" y="0"/>
                                <a:ext cx="328442" cy="328442"/>
                              </a:xfrm>
                              <a:prstGeom prst="rect">
                                <a:avLst/>
                              </a:prstGeom>
                              <a:solidFill>
                                <a:sysClr val="windowText" lastClr="000000">
                                  <a:lumMod val="95000"/>
                                  <a:lumOff val="5000"/>
                                </a:sysClr>
                              </a:solidFill>
                              <a:ln w="12700" cap="flat" cmpd="sng" algn="ctr">
                                <a:noFill/>
                                <a:prstDash val="solid"/>
                                <a:miter lim="800000"/>
                              </a:ln>
                              <a:effectLst/>
                            </wps:spPr>
                            <wps:txbx>
                              <w:txbxContent>
                                <w:p w14:paraId="28936D4A" w14:textId="77777777" w:rsidR="00BD2DE2" w:rsidRPr="008C62AA" w:rsidRDefault="00BD2DE2" w:rsidP="00B83354">
                                  <w:pPr>
                                    <w:spacing w:after="0"/>
                                    <w:jc w:val="center"/>
                                    <w:rPr>
                                      <w:b/>
                                      <w:bCs/>
                                      <w:spacing w:val="6"/>
                                      <w:sz w:val="14"/>
                                      <w:szCs w:val="14"/>
                                      <w:lang w:val="en-US"/>
                                    </w:rPr>
                                  </w:pPr>
                                  <w:r>
                                    <w:rPr>
                                      <w:b/>
                                      <w:bCs/>
                                      <w:spacing w:val="6"/>
                                      <w:sz w:val="14"/>
                                      <w:szCs w:val="14"/>
                                      <w:lang w:val="en-US"/>
                                    </w:rPr>
                                    <w:t>PlC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E17FBE4" id="Rectangle 88" o:spid="_x0000_s1067" style="width:25.85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" fillcolor="#0d0d0d" stroked="f" strokeweight="1pt">
                      <v:textbox inset="0,0,0,0">
                        <w:txbxContent>
                          <w:p w14:paraId="28936D4A" w14:textId="77777777" w:rsidR="00BD2DE2" w:rsidRPr="008C62AA" w:rsidRDefault="00BD2DE2" w:rsidP="00B83354">
                            <w:pPr>
                              <w:spacing w:after="0"/>
                              <w:jc w:val="center"/>
                              <w:rPr>
                                <w:b/>
                                <w:bCs/>
                                <w:spacing w:val="6"/>
                                <w:sz w:val="14"/>
                                <w:szCs w:val="14"/>
                                <w:lang w:val="en-US"/>
                              </w:rPr>
                            </w:pPr>
                            <w:r>
                              <w:rPr>
                                <w:b/>
                                <w:bCs/>
                                <w:spacing w:val="6"/>
                                <w:sz w:val="14"/>
                                <w:szCs w:val="14"/>
                                <w:lang w:val="en-US"/>
                              </w:rPr>
                              <w:t>PlC</w:t>
                            </w:r>
                          </w:p>
                        </w:txbxContent>
                      </v:textbox>
                      <w10:anchorlock/>
                    </v:rect>
                  </w:pict>
                </mc:Fallback>
              </mc:AlternateContent>
            </w:r>
          </w:p>
        </w:tc>
        <w:tc>
          <w:tcPr>
            <w:tcW w:w="1631" w:type="dxa"/>
            <w:tcBorders>
              <w:left w:val="nil"/>
            </w:tcBorders>
            <w:vAlign w:val="center"/>
          </w:tcPr>
          <w:p w14:paraId="7ED73B65" w14:textId="77777777" w:rsidR="00B83354" w:rsidRPr="00B142C3" w:rsidRDefault="00B83354" w:rsidP="00BD2DE2">
            <w:pPr>
              <w:spacing w:line="240" w:lineRule="auto"/>
              <w:rPr>
                <w:rFonts w:cs="Times New Roman"/>
                <w:bCs/>
              </w:rPr>
            </w:pPr>
            <w:r w:rsidRPr="00B142C3">
              <w:rPr>
                <w:rFonts w:cs="Times New Roman"/>
                <w:bCs/>
              </w:rPr>
              <w:t>Plausible confounding</w:t>
            </w:r>
          </w:p>
        </w:tc>
        <w:tc>
          <w:tcPr>
            <w:tcW w:w="3827" w:type="dxa"/>
            <w:vAlign w:val="center"/>
          </w:tcPr>
          <w:p w14:paraId="220E9425" w14:textId="77777777" w:rsidR="00B83354" w:rsidRPr="00B142C3" w:rsidRDefault="00B83354" w:rsidP="00BD2DE2">
            <w:pPr>
              <w:spacing w:line="240" w:lineRule="auto"/>
              <w:jc w:val="both"/>
              <w:rPr>
                <w:rFonts w:cs="Times New Roman"/>
                <w:bCs/>
                <w:lang w:val="en-US"/>
              </w:rPr>
            </w:pPr>
            <w:r w:rsidRPr="00B142C3">
              <w:rPr>
                <w:rFonts w:cs="Times New Roman"/>
                <w:bCs/>
                <w:lang w:val="en-US"/>
              </w:rPr>
              <w:t xml:space="preserve">Also ‘residual confounding or </w:t>
            </w:r>
            <w:proofErr w:type="gramStart"/>
            <w:r w:rsidRPr="00B142C3">
              <w:rPr>
                <w:rFonts w:cs="Times New Roman"/>
                <w:bCs/>
                <w:lang w:val="en-US"/>
              </w:rPr>
              <w:t>biases’</w:t>
            </w:r>
            <w:proofErr w:type="gramEnd"/>
            <w:r w:rsidRPr="00B142C3">
              <w:rPr>
                <w:rFonts w:cs="Times New Roman"/>
                <w:bCs/>
                <w:lang w:val="en-US"/>
              </w:rPr>
              <w:t xml:space="preserve">. Regards cases when the final effect might be larger than the data suggest </w:t>
            </w:r>
            <w:sdt>
              <w:sdtPr>
                <w:rPr>
                  <w:rFonts w:cs="Times New Roman"/>
                  <w:bCs/>
                  <w:color w:val="000000"/>
                  <w:lang w:val="en-US"/>
                </w:rPr>
                <w:tag w:val="MENDELEY_CITATION_e67894c4-6d7c-425a-acc4-a374539b141a"/>
                <w:id w:val="-1896497960"/>
                <w:placeholder>
                  <w:docPart w:val="14C40BD0D4044C7DB766FFFCFF934479"/>
                </w:placeholder>
              </w:sdtPr>
              <w:sdtEndPr/>
              <w:sdtContent>
                <w:r w:rsidRPr="00B142C3">
                  <w:rPr>
                    <w:rFonts w:cs="Times New Roman"/>
                    <w:bCs/>
                    <w:color w:val="000000"/>
                    <w:lang w:val="en-US"/>
                  </w:rPr>
                  <w:t>(79)</w:t>
                </w:r>
              </w:sdtContent>
            </w:sdt>
          </w:p>
        </w:tc>
        <w:tc>
          <w:tcPr>
            <w:tcW w:w="1064" w:type="dxa"/>
            <w:vAlign w:val="center"/>
          </w:tcPr>
          <w:p w14:paraId="24560C0F" w14:textId="77777777" w:rsidR="00B83354" w:rsidRPr="00B142C3" w:rsidRDefault="00B83354" w:rsidP="00BD2DE2">
            <w:pPr>
              <w:spacing w:line="240" w:lineRule="auto"/>
              <w:jc w:val="center"/>
              <w:rPr>
                <w:rFonts w:cs="Times New Roman"/>
                <w:bCs/>
              </w:rPr>
            </w:pPr>
            <w:r w:rsidRPr="00B142C3">
              <w:rPr>
                <w:rFonts w:cs="Times New Roman"/>
                <w:bCs/>
                <w:noProof/>
                <w:lang w:val="nl-NL" w:eastAsia="nl-NL"/>
              </w:rPr>
              <w:drawing>
                <wp:inline distT="0" distB="0" distL="0" distR="0" wp14:anchorId="0E04AF2B" wp14:editId="64C0CE0D">
                  <wp:extent cx="360000" cy="360000"/>
                  <wp:effectExtent l="0" t="0" r="2540" b="2540"/>
                  <wp:docPr id="97" name="Picture 97"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lC.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102" w:type="dxa"/>
            <w:vAlign w:val="center"/>
          </w:tcPr>
          <w:p w14:paraId="14197345" w14:textId="77777777" w:rsidR="00B83354" w:rsidRPr="00B142C3" w:rsidRDefault="00B83354" w:rsidP="00BD2DE2">
            <w:pPr>
              <w:spacing w:line="240" w:lineRule="auto"/>
              <w:jc w:val="center"/>
              <w:rPr>
                <w:rFonts w:cs="Times New Roman"/>
                <w:bCs/>
              </w:rPr>
            </w:pPr>
            <w:r w:rsidRPr="00B142C3">
              <w:rPr>
                <w:rFonts w:cs="Times New Roman"/>
                <w:bCs/>
              </w:rPr>
              <w:t>Rating up</w:t>
            </w:r>
          </w:p>
          <w:p w14:paraId="2F67CD0C" w14:textId="77777777" w:rsidR="00B83354" w:rsidRPr="00B142C3" w:rsidRDefault="00B83354" w:rsidP="00BD2DE2">
            <w:pPr>
              <w:spacing w:line="240" w:lineRule="auto"/>
              <w:jc w:val="center"/>
              <w:rPr>
                <w:rFonts w:cs="Times New Roman"/>
                <w:bCs/>
                <w:lang w:val="en-US"/>
              </w:rPr>
            </w:pPr>
            <w:r w:rsidRPr="00B142C3">
              <w:rPr>
                <w:rFonts w:cs="Times New Roman"/>
                <w:bCs/>
              </w:rPr>
              <w:sym w:font="Wingdings" w:char="F0F1"/>
            </w:r>
          </w:p>
        </w:tc>
        <w:tc>
          <w:tcPr>
            <w:tcW w:w="1094" w:type="dxa"/>
            <w:vAlign w:val="center"/>
          </w:tcPr>
          <w:p w14:paraId="3C321AEE" w14:textId="77777777" w:rsidR="00B83354" w:rsidRPr="00B142C3" w:rsidRDefault="00B83354" w:rsidP="00BD2DE2">
            <w:pPr>
              <w:spacing w:line="240" w:lineRule="auto"/>
              <w:jc w:val="center"/>
              <w:rPr>
                <w:rFonts w:cs="Times New Roman"/>
                <w:bCs/>
              </w:rPr>
            </w:pPr>
            <w:r w:rsidRPr="00B142C3">
              <w:rPr>
                <w:rFonts w:cs="Times New Roman"/>
                <w:bCs/>
              </w:rPr>
              <w:t>+1 level</w:t>
            </w:r>
          </w:p>
        </w:tc>
      </w:tr>
    </w:tbl>
    <w:p w14:paraId="52971F26" w14:textId="77777777" w:rsidR="00B83354" w:rsidRDefault="00B83354" w:rsidP="00B83354">
      <w:pPr>
        <w:ind w:firstLine="720"/>
        <w:jc w:val="both"/>
        <w:rPr>
          <w:rFonts w:cs="Times New Roman"/>
          <w:bCs/>
          <w:lang w:val="en-US"/>
        </w:rPr>
      </w:pPr>
    </w:p>
    <w:p w14:paraId="0A92D40B" w14:textId="77777777" w:rsidR="00B83354" w:rsidRPr="00B142C3" w:rsidRDefault="00B83354" w:rsidP="00B83354">
      <w:pPr>
        <w:ind w:firstLine="720"/>
        <w:jc w:val="both"/>
        <w:rPr>
          <w:rFonts w:cs="Times New Roman"/>
          <w:bCs/>
        </w:rPr>
      </w:pPr>
      <w:r w:rsidRPr="00B142C3">
        <w:rPr>
          <w:rFonts w:cs="Times New Roman"/>
          <w:bCs/>
          <w:lang w:val="en-US"/>
        </w:rPr>
        <w:t xml:space="preserve">Certainty, </w:t>
      </w:r>
      <w:proofErr w:type="gramStart"/>
      <w:r w:rsidRPr="00B142C3">
        <w:rPr>
          <w:rFonts w:cs="Times New Roman"/>
          <w:bCs/>
          <w:lang w:val="en-US"/>
        </w:rPr>
        <w:t>quality</w:t>
      </w:r>
      <w:proofErr w:type="gramEnd"/>
      <w:r w:rsidRPr="00B142C3">
        <w:rPr>
          <w:rFonts w:cs="Times New Roman"/>
          <w:bCs/>
          <w:lang w:val="en-US"/>
        </w:rPr>
        <w:t xml:space="preserve"> or strength of evidence should not be confused with ‘strength of recommendation’, which is ranked on a two-level scale as either weak or strong. Although moderate or high ‘quality of evidence’ ratings are associated with strong recommendations, GRADE gives examples indicating that this is not always the case </w:t>
      </w:r>
      <w:sdt>
        <w:sdtPr>
          <w:rPr>
            <w:rFonts w:cs="Times New Roman"/>
            <w:bCs/>
            <w:color w:val="000000"/>
            <w:lang w:val="en-US"/>
          </w:rPr>
          <w:tag w:val="MENDELEY_CITATION_c2b90c47-08b9-4b7e-91c2-5437d9a758c6"/>
          <w:id w:val="805666641"/>
          <w:placeholder>
            <w:docPart w:val="AF45B5B7A7BC43EF892B04C895DED03B"/>
          </w:placeholder>
        </w:sdtPr>
        <w:sdtEndPr/>
        <w:sdtContent>
          <w:r w:rsidRPr="00B142C3">
            <w:rPr>
              <w:rFonts w:cs="Times New Roman"/>
              <w:bCs/>
              <w:color w:val="000000"/>
              <w:lang w:val="en-US"/>
            </w:rPr>
            <w:t>(80)</w:t>
          </w:r>
        </w:sdtContent>
      </w:sdt>
      <w:r w:rsidRPr="00B142C3">
        <w:rPr>
          <w:rFonts w:cs="Times New Roman"/>
          <w:bCs/>
          <w:lang w:val="en-US"/>
        </w:rPr>
        <w:t>.</w:t>
      </w:r>
      <w:r w:rsidRPr="00B142C3">
        <w:rPr>
          <w:rFonts w:cs="Times New Roman"/>
          <w:bCs/>
        </w:rPr>
        <w:t xml:space="preserve"> ‘Certainty of net benefit’ was also recently introduced (in a non-guideline paper) for clinical guidelines preparation </w:t>
      </w:r>
      <w:sdt>
        <w:sdtPr>
          <w:rPr>
            <w:rFonts w:cs="Times New Roman"/>
            <w:bCs/>
            <w:color w:val="000000"/>
          </w:rPr>
          <w:tag w:val="MENDELEY_CITATION_65600b8f-79ea-431f-b0ea-2d8209b09c73"/>
          <w:id w:val="-292519969"/>
          <w:placeholder>
            <w:docPart w:val="AF45B5B7A7BC43EF892B04C895DED03B"/>
          </w:placeholder>
        </w:sdtPr>
        <w:sdtEndPr/>
        <w:sdtContent>
          <w:r w:rsidRPr="00B142C3">
            <w:rPr>
              <w:rFonts w:cs="Times New Roman"/>
              <w:bCs/>
              <w:color w:val="000000"/>
            </w:rPr>
            <w:t>(81)</w:t>
          </w:r>
        </w:sdtContent>
      </w:sdt>
      <w:r w:rsidRPr="00B142C3">
        <w:rPr>
          <w:rFonts w:cs="Times New Roman"/>
          <w:bCs/>
        </w:rPr>
        <w:t>.</w:t>
      </w:r>
      <w:r w:rsidRPr="00B142C3">
        <w:rPr>
          <w:rFonts w:cs="Times New Roman"/>
          <w:b/>
          <w:bCs/>
          <w:iCs/>
        </w:rPr>
        <w:br w:type="page"/>
      </w:r>
    </w:p>
    <w:p w14:paraId="3DDD584D" w14:textId="77777777" w:rsidR="00B83354" w:rsidRPr="00B142C3" w:rsidRDefault="00B83354" w:rsidP="00B83354">
      <w:pPr>
        <w:pStyle w:val="Heading2"/>
        <w:rPr>
          <w:lang w:val="en-US"/>
        </w:rPr>
      </w:pPr>
      <w:bookmarkStart w:id="4" w:name="_Toc46847653"/>
      <w:r>
        <w:rPr>
          <w:lang w:val="en-US"/>
        </w:rPr>
        <w:lastRenderedPageBreak/>
        <w:t>References (Appendix 1 &amp; 2)</w:t>
      </w:r>
      <w:bookmarkEnd w:id="4"/>
    </w:p>
    <w:sdt>
      <w:sdtPr>
        <w:rPr>
          <w:rFonts w:cs="Times New Roman"/>
          <w:b/>
          <w:bCs/>
          <w:lang w:val="en-US"/>
        </w:rPr>
        <w:tag w:val="MENDELEY_BIBLIOGRAPHY"/>
        <w:id w:val="406812249"/>
        <w:placeholder>
          <w:docPart w:val="D69E3F54B41547D8A6353695082F624A"/>
        </w:placeholder>
      </w:sdtPr>
      <w:sdtEndPr/>
      <w:sdtContent>
        <w:p w14:paraId="6F91658D" w14:textId="77777777" w:rsidR="00B83354" w:rsidRPr="00B142C3" w:rsidRDefault="00B83354" w:rsidP="00B83354">
          <w:pPr>
            <w:autoSpaceDE w:val="0"/>
            <w:autoSpaceDN w:val="0"/>
            <w:spacing w:line="259" w:lineRule="auto"/>
            <w:ind w:hanging="640"/>
            <w:rPr>
              <w:rFonts w:eastAsia="Times New Roman"/>
              <w:sz w:val="24"/>
              <w:szCs w:val="24"/>
            </w:rPr>
          </w:pPr>
          <w:r w:rsidRPr="00B142C3">
            <w:rPr>
              <w:rFonts w:eastAsia="Times New Roman"/>
            </w:rPr>
            <w:t xml:space="preserve">1.         Angelis A, Lange A, Kanavos P. Using health technology assessment to assess the value of new medicines: results of a systematic review and expert consultation across eight European countries. European Journal of Health Economics. 2018;19(1):123–52. </w:t>
          </w:r>
        </w:p>
        <w:p w14:paraId="37F1BB6C"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         G-BA. The benefit assessment of medicinal products in accordance with the German Social Code, Book Five (SGB V), section 35a [Internet]. [cited 2019 Oct 1]. Available from: https://www.g-ba.de/english/benefitassessment/</w:t>
          </w:r>
        </w:p>
        <w:p w14:paraId="4FAFF8F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         Institute for Quality and Efficiency in Healthcare (</w:t>
          </w:r>
          <w:proofErr w:type="spellStart"/>
          <w:r w:rsidRPr="00B142C3">
            <w:rPr>
              <w:rFonts w:eastAsia="Times New Roman"/>
            </w:rPr>
            <w:t>IQWiG</w:t>
          </w:r>
          <w:proofErr w:type="spellEnd"/>
          <w:r w:rsidRPr="00B142C3">
            <w:rPr>
              <w:rFonts w:eastAsia="Times New Roman"/>
            </w:rPr>
            <w:t>). General Methods - Version 5.0 [Internet]. Köln (Germany); 2017. Available from: https://www.iqwig.de/download/General-Methods_Version-5-0.pdf</w:t>
          </w:r>
        </w:p>
        <w:p w14:paraId="2CEF410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4.         Institute for Quality and Efficiency in Healthcare (</w:t>
          </w:r>
          <w:proofErr w:type="spellStart"/>
          <w:r w:rsidRPr="00B142C3">
            <w:rPr>
              <w:rFonts w:eastAsia="Times New Roman"/>
            </w:rPr>
            <w:t>IQWiG</w:t>
          </w:r>
          <w:proofErr w:type="spellEnd"/>
          <w:r w:rsidRPr="00B142C3">
            <w:rPr>
              <w:rFonts w:eastAsia="Times New Roman"/>
            </w:rPr>
            <w:t xml:space="preserve">). Larotrectinib </w:t>
          </w:r>
          <w:proofErr w:type="gramStart"/>
          <w:r w:rsidRPr="00B142C3">
            <w:rPr>
              <w:rFonts w:eastAsia="Times New Roman"/>
            </w:rPr>
            <w:t>( solid</w:t>
          </w:r>
          <w:proofErr w:type="gramEnd"/>
          <w:r w:rsidRPr="00B142C3">
            <w:rPr>
              <w:rFonts w:eastAsia="Times New Roman"/>
            </w:rPr>
            <w:t xml:space="preserve"> tumours with neurotrophic tyrosine receptor kinase [NTRK] gene fusion) – Benefit assessment according to § 35a - English Extract [Internet]. Köln (Germany); 2020. Available from: https://iqwig.de/download/A19-90_Larotrectinib_Extract-of-dossier-assessment_V1-0.pdf</w:t>
          </w:r>
        </w:p>
        <w:p w14:paraId="719E517A"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         Institute for Quality and Efficiency in Healthcare (</w:t>
          </w:r>
          <w:proofErr w:type="spellStart"/>
          <w:r w:rsidRPr="00B142C3">
            <w:rPr>
              <w:rFonts w:eastAsia="Times New Roman"/>
            </w:rPr>
            <w:t>IQWiG</w:t>
          </w:r>
          <w:proofErr w:type="spellEnd"/>
          <w:r w:rsidRPr="00B142C3">
            <w:rPr>
              <w:rFonts w:eastAsia="Times New Roman"/>
            </w:rPr>
            <w:t>). Ibrutinib (chronic lymphocytic leukaemia) – Benefit assessment according to § 35a - English Extract [Internet]. Köln (Germany); 2019. Available from: https://iqwig.de/download/A19-77_Ibrutinib_Extract-of-dossier-assessment_V2-0.pdf</w:t>
          </w:r>
        </w:p>
        <w:p w14:paraId="61A8AE6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         Institute for Quality and Efficiency in Healthcare (</w:t>
          </w:r>
          <w:proofErr w:type="spellStart"/>
          <w:r w:rsidRPr="00B142C3">
            <w:rPr>
              <w:rFonts w:eastAsia="Times New Roman"/>
            </w:rPr>
            <w:t>IQWiG</w:t>
          </w:r>
          <w:proofErr w:type="spellEnd"/>
          <w:r w:rsidRPr="00B142C3">
            <w:rPr>
              <w:rFonts w:eastAsia="Times New Roman"/>
            </w:rPr>
            <w:t>). Ivacaftor (cystic fibrosis, 12 to &lt; 24 months, with gating mutations) - Benefit assessment according to §35a Social Code Book V - English Extract [Internet]. Köln (Germany); 2019. Available from: https://iqwig.de/download/A19-69_Ivacaftor_Extract-of-dossier-assessment_V1-0.pdf</w:t>
          </w:r>
        </w:p>
        <w:p w14:paraId="1F3793A4"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7.         </w:t>
          </w:r>
          <w:proofErr w:type="spellStart"/>
          <w:r w:rsidRPr="00B142C3">
            <w:rPr>
              <w:rFonts w:eastAsia="Times New Roman"/>
            </w:rPr>
            <w:t>Schünemann</w:t>
          </w:r>
          <w:proofErr w:type="spellEnd"/>
          <w:r w:rsidRPr="00B142C3">
            <w:rPr>
              <w:rFonts w:eastAsia="Times New Roman"/>
            </w:rPr>
            <w:t xml:space="preserve"> H, </w:t>
          </w:r>
          <w:proofErr w:type="spellStart"/>
          <w:r w:rsidRPr="00B142C3">
            <w:rPr>
              <w:rFonts w:eastAsia="Times New Roman"/>
            </w:rPr>
            <w:t>Brozek</w:t>
          </w:r>
          <w:proofErr w:type="spellEnd"/>
          <w:r w:rsidRPr="00B142C3">
            <w:rPr>
              <w:rFonts w:eastAsia="Times New Roman"/>
            </w:rPr>
            <w:t xml:space="preserve"> J, </w:t>
          </w:r>
          <w:proofErr w:type="spellStart"/>
          <w:r w:rsidRPr="00B142C3">
            <w:rPr>
              <w:rFonts w:eastAsia="Times New Roman"/>
            </w:rPr>
            <w:t>Guyatt</w:t>
          </w:r>
          <w:proofErr w:type="spellEnd"/>
          <w:r w:rsidRPr="00B142C3">
            <w:rPr>
              <w:rFonts w:eastAsia="Times New Roman"/>
            </w:rPr>
            <w:t xml:space="preserve"> G, </w:t>
          </w:r>
          <w:proofErr w:type="spellStart"/>
          <w:r w:rsidRPr="00B142C3">
            <w:rPr>
              <w:rFonts w:eastAsia="Times New Roman"/>
            </w:rPr>
            <w:t>Oxman</w:t>
          </w:r>
          <w:proofErr w:type="spellEnd"/>
          <w:r w:rsidRPr="00B142C3">
            <w:rPr>
              <w:rFonts w:eastAsia="Times New Roman"/>
            </w:rPr>
            <w:t xml:space="preserve"> A. GRADE Handbook [Internet]. 2013. p. 1–103. Available from: http://gdt.guidelinedevelopment.org/app/handbook/handbook.html#h.2uab3znt2cji%5Cnhttp://tech.cochrane.org/gradepro</w:t>
          </w:r>
        </w:p>
        <w:p w14:paraId="3227B57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8.         </w:t>
          </w:r>
          <w:proofErr w:type="spellStart"/>
          <w:r w:rsidRPr="00B142C3">
            <w:rPr>
              <w:rFonts w:eastAsia="Times New Roman"/>
            </w:rPr>
            <w:t>Ollendorf</w:t>
          </w:r>
          <w:proofErr w:type="spellEnd"/>
          <w:r w:rsidRPr="00B142C3">
            <w:rPr>
              <w:rFonts w:eastAsia="Times New Roman"/>
            </w:rPr>
            <w:t xml:space="preserve"> DA, Pearson SD. ICER Evidence Rating Matrix: A User’s Guide [Internet]. 2020. Available from: http://icer-review.org/wp-content/uploads/2020/01/ICER_EBM_Matrix_User_Guide_013120.pdf</w:t>
          </w:r>
        </w:p>
        <w:p w14:paraId="3869B3F5"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9.         U.S. Preventive Services Task Force. Procedure Manual. 2015;(December). Available from: https://www.uspreventiveservicestaskforce.org/Home/GetFile/6/319/procedure-manual2017_update/pdf</w:t>
          </w:r>
        </w:p>
        <w:p w14:paraId="4A297F0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10.        Krist AH, Wolff TA, Jonas DE, Harris RP, LeFevre ML, Kemper AR, et al. </w:t>
          </w:r>
          <w:r w:rsidRPr="00B142C3">
            <w:rPr>
              <w:rFonts w:eastAsia="Times New Roman"/>
            </w:rPr>
            <w:t>Update on the Methods of the U.S. Preventive Services Task Force: Methods for Understanding Certainty and Net Benefit When Making Recommendations. American Journal of Preventive Medicine [Internet]. 2018;54(1</w:t>
          </w:r>
          <w:proofErr w:type="gramStart"/>
          <w:r w:rsidRPr="00B142C3">
            <w:rPr>
              <w:rFonts w:eastAsia="Times New Roman"/>
            </w:rPr>
            <w:t>):S</w:t>
          </w:r>
          <w:proofErr w:type="gramEnd"/>
          <w:r w:rsidRPr="00B142C3">
            <w:rPr>
              <w:rFonts w:eastAsia="Times New Roman"/>
            </w:rPr>
            <w:t>11–8. Available from: http://dx.doi.org/10.1016/j.amepre.2017.09.011</w:t>
          </w:r>
        </w:p>
        <w:p w14:paraId="34FB95F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11.        Institute for Clinical and Economic Review (ICER). Acute Treatments for Migraine - Final Evidence Report [Internet]. 2020. Available from: https://icer-review.org/wp-content/uploads/2019/06/ICER_Acute-Migraine_Final-Evidence-Report_022520.pdf</w:t>
          </w:r>
        </w:p>
        <w:p w14:paraId="32B453A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12.        Institute for Clinical and Economic Review (ICER). Additive Therapies for Cardiovascular Disease: Effectiveness and Value - Final Evidence Report [Internet]. 2019. Available from: https://icer-review.org/wp-content/uploads/2019/02/ICER_CVD_Final_Evidence_Report_101719.pdf</w:t>
          </w:r>
        </w:p>
        <w:p w14:paraId="4AFA3FB4"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lastRenderedPageBreak/>
            <w:t xml:space="preserve">13.        Institute for Clinical and Economic Review (ICER). Duchenne Muscular </w:t>
          </w:r>
          <w:proofErr w:type="gramStart"/>
          <w:r w:rsidRPr="00B142C3">
            <w:rPr>
              <w:rFonts w:eastAsia="Times New Roman"/>
            </w:rPr>
            <w:t>Dystrophy :</w:t>
          </w:r>
          <w:proofErr w:type="gramEnd"/>
          <w:r w:rsidRPr="00B142C3">
            <w:rPr>
              <w:rFonts w:eastAsia="Times New Roman"/>
            </w:rPr>
            <w:t xml:space="preserve"> Effectiveness and Value Director of Health Economics - Final Evidence Report [Internet]. 2019. Available from: https://icer-review.org/wp-content/uploads/2018/12/ICER_DMD-Final-Report_081519.pdf</w:t>
          </w:r>
        </w:p>
        <w:p w14:paraId="7D6AB6E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14.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Pricing and Reimbursement of drugs and HTA policies in France [Internet]. 2014. Available from: http://www.has-sante.fr/portail/upload/docs/application/pdf/2014-03/pricing_reimbursement_of_drugs_and_hta_policies_in_france.pdf</w:t>
          </w:r>
        </w:p>
        <w:p w14:paraId="01F7A5F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15.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Medicinal products assessment. Transparency Committee Doctrine. Principles of medicinal products assessment and appraisal for reimbursement purposes. [Internet]. Saint-Denis (France); 2018. Available from: https://www.has-sante.fr/upload/docs/application/pdf/2019-07/doctrine_de_la_commission_de_la_transparence_-_version_anglaise.pdf</w:t>
          </w:r>
        </w:p>
        <w:p w14:paraId="14A5E94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16.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Transparency Committee Opinion Summary - </w:t>
          </w:r>
          <w:proofErr w:type="spellStart"/>
          <w:r w:rsidRPr="00B142C3">
            <w:rPr>
              <w:rFonts w:eastAsia="Times New Roman"/>
            </w:rPr>
            <w:t>Slenyto</w:t>
          </w:r>
          <w:proofErr w:type="spellEnd"/>
          <w:r w:rsidRPr="00B142C3">
            <w:rPr>
              <w:rFonts w:eastAsia="Times New Roman"/>
            </w:rPr>
            <w:t xml:space="preserve"> (melatonin) (English translation) [Internet]. Saint-Denis (France); Available from: https://www.has-sante.fr/upload/docs/application/pdf/2019-11/slenyto_summary_ct17549.pdf</w:t>
          </w:r>
        </w:p>
        <w:p w14:paraId="3BF3947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17.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w:t>
          </w:r>
          <w:proofErr w:type="spellStart"/>
          <w:r w:rsidRPr="00B142C3">
            <w:rPr>
              <w:rFonts w:eastAsia="Times New Roman"/>
            </w:rPr>
            <w:t>Commision</w:t>
          </w:r>
          <w:proofErr w:type="spellEnd"/>
          <w:r w:rsidRPr="00B142C3">
            <w:rPr>
              <w:rFonts w:eastAsia="Times New Roman"/>
            </w:rPr>
            <w:t xml:space="preserve"> de la </w:t>
          </w:r>
          <w:proofErr w:type="spellStart"/>
          <w:r w:rsidRPr="00B142C3">
            <w:rPr>
              <w:rFonts w:eastAsia="Times New Roman"/>
            </w:rPr>
            <w:t>Transparence</w:t>
          </w:r>
          <w:proofErr w:type="spellEnd"/>
          <w:r w:rsidRPr="00B142C3">
            <w:rPr>
              <w:rFonts w:eastAsia="Times New Roman"/>
            </w:rPr>
            <w:t xml:space="preserve"> - Transcription - </w:t>
          </w:r>
          <w:proofErr w:type="spellStart"/>
          <w:r w:rsidRPr="00B142C3">
            <w:rPr>
              <w:rFonts w:eastAsia="Times New Roman"/>
            </w:rPr>
            <w:t>Slenyto</w:t>
          </w:r>
          <w:proofErr w:type="spellEnd"/>
          <w:r w:rsidRPr="00B142C3">
            <w:rPr>
              <w:rFonts w:eastAsia="Times New Roman"/>
            </w:rPr>
            <w:t xml:space="preserve"> (melatonin) [Internet]. Saint-Denis (France); 2019. Available from: https://www.has-sante.fr/upload/docs/application/pdf/2019-08/slenyto_12062019_transcription_ct17549.pdf</w:t>
          </w:r>
        </w:p>
        <w:p w14:paraId="0A92E515"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18.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w:t>
          </w:r>
          <w:proofErr w:type="spellStart"/>
          <w:r w:rsidRPr="00B142C3">
            <w:rPr>
              <w:rFonts w:eastAsia="Times New Roman"/>
            </w:rPr>
            <w:t>Commision</w:t>
          </w:r>
          <w:proofErr w:type="spellEnd"/>
          <w:r w:rsidRPr="00B142C3">
            <w:rPr>
              <w:rFonts w:eastAsia="Times New Roman"/>
            </w:rPr>
            <w:t xml:space="preserve"> de la </w:t>
          </w:r>
          <w:proofErr w:type="spellStart"/>
          <w:r w:rsidRPr="00B142C3">
            <w:rPr>
              <w:rFonts w:eastAsia="Times New Roman"/>
            </w:rPr>
            <w:t>Transparence</w:t>
          </w:r>
          <w:proofErr w:type="spellEnd"/>
          <w:r w:rsidRPr="00B142C3">
            <w:rPr>
              <w:rFonts w:eastAsia="Times New Roman"/>
            </w:rPr>
            <w:t xml:space="preserve"> - Avis - </w:t>
          </w:r>
          <w:proofErr w:type="spellStart"/>
          <w:r w:rsidRPr="00B142C3">
            <w:rPr>
              <w:rFonts w:eastAsia="Times New Roman"/>
            </w:rPr>
            <w:t>Slenyto</w:t>
          </w:r>
          <w:proofErr w:type="spellEnd"/>
          <w:r w:rsidRPr="00B142C3">
            <w:rPr>
              <w:rFonts w:eastAsia="Times New Roman"/>
            </w:rPr>
            <w:t xml:space="preserve"> (melatonin) [Internet]. Saint-Denis (France); 2019. Available from: https://www.has-sante.fr/upload/docs/evamed/CT-17549_SLENYTO_PIC_INS_Avis2_CT17549.pdf</w:t>
          </w:r>
        </w:p>
        <w:p w14:paraId="406B204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19.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Transparency Committee Opinion Summary - </w:t>
          </w:r>
          <w:proofErr w:type="spellStart"/>
          <w:r w:rsidRPr="00B142C3">
            <w:rPr>
              <w:rFonts w:eastAsia="Times New Roman"/>
            </w:rPr>
            <w:t>Caddera</w:t>
          </w:r>
          <w:proofErr w:type="spellEnd"/>
          <w:r w:rsidRPr="00B142C3">
            <w:rPr>
              <w:rFonts w:eastAsia="Times New Roman"/>
            </w:rPr>
            <w:t xml:space="preserve"> (calcium chloride dihydrate) (English translation) [Internet]. Saint-Denis (France); 2019. Available from: https://www.has-sante.fr/upload/docs/application/pdf/2019-11/caddera_summary_ct17578.pdf</w:t>
          </w:r>
        </w:p>
        <w:p w14:paraId="68C2593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20.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Commission de la </w:t>
          </w:r>
          <w:proofErr w:type="spellStart"/>
          <w:r w:rsidRPr="00B142C3">
            <w:rPr>
              <w:rFonts w:eastAsia="Times New Roman"/>
            </w:rPr>
            <w:t>Transparence</w:t>
          </w:r>
          <w:proofErr w:type="spellEnd"/>
          <w:r w:rsidRPr="00B142C3">
            <w:rPr>
              <w:rFonts w:eastAsia="Times New Roman"/>
            </w:rPr>
            <w:t xml:space="preserve"> - Avis - </w:t>
          </w:r>
          <w:proofErr w:type="spellStart"/>
          <w:r w:rsidRPr="00B142C3">
            <w:rPr>
              <w:rFonts w:eastAsia="Times New Roman"/>
            </w:rPr>
            <w:t>Caddera</w:t>
          </w:r>
          <w:proofErr w:type="spellEnd"/>
          <w:r w:rsidRPr="00B142C3">
            <w:rPr>
              <w:rFonts w:eastAsia="Times New Roman"/>
            </w:rPr>
            <w:t xml:space="preserve"> (calcium chloride dihydrate) [Internet]. Saint-Denis (France); 2019. Available from: https://www.has-sante.fr/upload/docs/evamed/CT-17578_CADDERA_PIC_INS_Avis1_CT17578.pdf</w:t>
          </w:r>
        </w:p>
        <w:p w14:paraId="02E4DAB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21.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Commission de la </w:t>
          </w:r>
          <w:proofErr w:type="spellStart"/>
          <w:r w:rsidRPr="00B142C3">
            <w:rPr>
              <w:rFonts w:eastAsia="Times New Roman"/>
            </w:rPr>
            <w:t>Transparence</w:t>
          </w:r>
          <w:proofErr w:type="spellEnd"/>
          <w:r w:rsidRPr="00B142C3">
            <w:rPr>
              <w:rFonts w:eastAsia="Times New Roman"/>
            </w:rPr>
            <w:t xml:space="preserve"> - Avis - </w:t>
          </w:r>
          <w:proofErr w:type="spellStart"/>
          <w:r w:rsidRPr="00B142C3">
            <w:rPr>
              <w:rFonts w:eastAsia="Times New Roman"/>
            </w:rPr>
            <w:t>Pifeltro</w:t>
          </w:r>
          <w:proofErr w:type="spellEnd"/>
          <w:r w:rsidRPr="00B142C3">
            <w:rPr>
              <w:rFonts w:eastAsia="Times New Roman"/>
            </w:rPr>
            <w:t xml:space="preserve"> (</w:t>
          </w:r>
          <w:proofErr w:type="spellStart"/>
          <w:r w:rsidRPr="00B142C3">
            <w:rPr>
              <w:rFonts w:eastAsia="Times New Roman"/>
            </w:rPr>
            <w:t>doravirine</w:t>
          </w:r>
          <w:proofErr w:type="spellEnd"/>
          <w:r w:rsidRPr="00B142C3">
            <w:rPr>
              <w:rFonts w:eastAsia="Times New Roman"/>
            </w:rPr>
            <w:t>) [Internet]. Saint-Denis (France); 2019. Available from: https://www.has-sante.fr/upload/docs/application/pdf/2019-05/pifeltro_synthese_ct17495.pdf</w:t>
          </w:r>
        </w:p>
        <w:p w14:paraId="20A7422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22.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Transparency Committee Opinion Summary - </w:t>
          </w:r>
          <w:proofErr w:type="spellStart"/>
          <w:r w:rsidRPr="00B142C3">
            <w:rPr>
              <w:rFonts w:eastAsia="Times New Roman"/>
            </w:rPr>
            <w:t>Pifeltro</w:t>
          </w:r>
          <w:proofErr w:type="spellEnd"/>
          <w:r w:rsidRPr="00B142C3">
            <w:rPr>
              <w:rFonts w:eastAsia="Times New Roman"/>
            </w:rPr>
            <w:t xml:space="preserve"> (</w:t>
          </w:r>
          <w:proofErr w:type="spellStart"/>
          <w:r w:rsidRPr="00B142C3">
            <w:rPr>
              <w:rFonts w:eastAsia="Times New Roman"/>
            </w:rPr>
            <w:t>doravirine</w:t>
          </w:r>
          <w:proofErr w:type="spellEnd"/>
          <w:r w:rsidRPr="00B142C3">
            <w:rPr>
              <w:rFonts w:eastAsia="Times New Roman"/>
            </w:rPr>
            <w:t>) (English translation) [Internet]. Saint-Denis (France); 2019. Available from: https://www.has-sante.fr/upload/docs/application/pdf/2019-08/pifeltro_summary_ct17495.pdf</w:t>
          </w:r>
        </w:p>
        <w:p w14:paraId="4BA170F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23.        Haute </w:t>
          </w:r>
          <w:proofErr w:type="spellStart"/>
          <w:r w:rsidRPr="00B142C3">
            <w:rPr>
              <w:rFonts w:eastAsia="Times New Roman"/>
            </w:rPr>
            <w:t>Autorité</w:t>
          </w:r>
          <w:proofErr w:type="spellEnd"/>
          <w:r w:rsidRPr="00B142C3">
            <w:rPr>
              <w:rFonts w:eastAsia="Times New Roman"/>
            </w:rPr>
            <w:t xml:space="preserve"> de </w:t>
          </w:r>
          <w:proofErr w:type="spellStart"/>
          <w:r w:rsidRPr="00B142C3">
            <w:rPr>
              <w:rFonts w:eastAsia="Times New Roman"/>
            </w:rPr>
            <w:t>Santé</w:t>
          </w:r>
          <w:proofErr w:type="spellEnd"/>
          <w:r w:rsidRPr="00B142C3">
            <w:rPr>
              <w:rFonts w:eastAsia="Times New Roman"/>
            </w:rPr>
            <w:t xml:space="preserve"> (HAS). </w:t>
          </w:r>
          <w:proofErr w:type="spellStart"/>
          <w:r w:rsidRPr="00B142C3">
            <w:rPr>
              <w:rFonts w:eastAsia="Times New Roman"/>
            </w:rPr>
            <w:t>Niveau</w:t>
          </w:r>
          <w:proofErr w:type="spellEnd"/>
          <w:r w:rsidRPr="00B142C3">
            <w:rPr>
              <w:rFonts w:eastAsia="Times New Roman"/>
            </w:rPr>
            <w:t xml:space="preserve"> de </w:t>
          </w:r>
          <w:proofErr w:type="spellStart"/>
          <w:r w:rsidRPr="00B142C3">
            <w:rPr>
              <w:rFonts w:eastAsia="Times New Roman"/>
            </w:rPr>
            <w:t>preuve</w:t>
          </w:r>
          <w:proofErr w:type="spellEnd"/>
          <w:r w:rsidRPr="00B142C3">
            <w:rPr>
              <w:rFonts w:eastAsia="Times New Roman"/>
            </w:rPr>
            <w:t xml:space="preserve"> et gradation des </w:t>
          </w:r>
          <w:proofErr w:type="spellStart"/>
          <w:r w:rsidRPr="00B142C3">
            <w:rPr>
              <w:rFonts w:eastAsia="Times New Roman"/>
            </w:rPr>
            <w:t>recommandations</w:t>
          </w:r>
          <w:proofErr w:type="spellEnd"/>
          <w:r w:rsidRPr="00B142C3">
            <w:rPr>
              <w:rFonts w:eastAsia="Times New Roman"/>
            </w:rPr>
            <w:t xml:space="preserve"> de bonne pratique [Internet]. Saint-Denis (France); 2013. Available from: https://www.has-sante.fr/upload/docs/application/pdf/2013-06/etat_des_lieux_niveau_preuve_gradation.pdf</w:t>
          </w:r>
        </w:p>
        <w:p w14:paraId="0B779750"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24.        </w:t>
          </w:r>
          <w:proofErr w:type="spellStart"/>
          <w:r w:rsidRPr="00B142C3">
            <w:rPr>
              <w:rFonts w:eastAsia="Times New Roman"/>
            </w:rPr>
            <w:t>Agence</w:t>
          </w:r>
          <w:proofErr w:type="spellEnd"/>
          <w:r w:rsidRPr="00B142C3">
            <w:rPr>
              <w:rFonts w:eastAsia="Times New Roman"/>
            </w:rPr>
            <w:t xml:space="preserve"> </w:t>
          </w:r>
          <w:proofErr w:type="spellStart"/>
          <w:r w:rsidRPr="00B142C3">
            <w:rPr>
              <w:rFonts w:eastAsia="Times New Roman"/>
            </w:rPr>
            <w:t>Nationale</w:t>
          </w:r>
          <w:proofErr w:type="spellEnd"/>
          <w:r w:rsidRPr="00B142C3">
            <w:rPr>
              <w:rFonts w:eastAsia="Times New Roman"/>
            </w:rPr>
            <w:t xml:space="preserve"> </w:t>
          </w:r>
          <w:proofErr w:type="spellStart"/>
          <w:r w:rsidRPr="00B142C3">
            <w:rPr>
              <w:rFonts w:eastAsia="Times New Roman"/>
            </w:rPr>
            <w:t>d’Accréditation</w:t>
          </w:r>
          <w:proofErr w:type="spellEnd"/>
          <w:r w:rsidRPr="00B142C3">
            <w:rPr>
              <w:rFonts w:eastAsia="Times New Roman"/>
            </w:rPr>
            <w:t xml:space="preserve"> et </w:t>
          </w:r>
          <w:proofErr w:type="spellStart"/>
          <w:r w:rsidRPr="00B142C3">
            <w:rPr>
              <w:rFonts w:eastAsia="Times New Roman"/>
            </w:rPr>
            <w:t>d’Evaluation</w:t>
          </w:r>
          <w:proofErr w:type="spellEnd"/>
          <w:r w:rsidRPr="00B142C3">
            <w:rPr>
              <w:rFonts w:eastAsia="Times New Roman"/>
            </w:rPr>
            <w:t xml:space="preserve"> </w:t>
          </w:r>
          <w:proofErr w:type="spellStart"/>
          <w:r w:rsidRPr="00B142C3">
            <w:rPr>
              <w:rFonts w:eastAsia="Times New Roman"/>
            </w:rPr>
            <w:t>en</w:t>
          </w:r>
          <w:proofErr w:type="spellEnd"/>
          <w:r w:rsidRPr="00B142C3">
            <w:rPr>
              <w:rFonts w:eastAsia="Times New Roman"/>
            </w:rPr>
            <w:t xml:space="preserve"> </w:t>
          </w:r>
          <w:proofErr w:type="spellStart"/>
          <w:r w:rsidRPr="00B142C3">
            <w:rPr>
              <w:rFonts w:eastAsia="Times New Roman"/>
            </w:rPr>
            <w:t>Santé</w:t>
          </w:r>
          <w:proofErr w:type="spellEnd"/>
          <w:r w:rsidRPr="00B142C3">
            <w:rPr>
              <w:rFonts w:eastAsia="Times New Roman"/>
            </w:rPr>
            <w:t xml:space="preserve"> (ANAES). Guide </w:t>
          </w:r>
          <w:proofErr w:type="spellStart"/>
          <w:r w:rsidRPr="00B142C3">
            <w:rPr>
              <w:rFonts w:eastAsia="Times New Roman"/>
            </w:rPr>
            <w:t>d’analyse</w:t>
          </w:r>
          <w:proofErr w:type="spellEnd"/>
          <w:r w:rsidRPr="00B142C3">
            <w:rPr>
              <w:rFonts w:eastAsia="Times New Roman"/>
            </w:rPr>
            <w:t xml:space="preserve"> de la </w:t>
          </w:r>
          <w:proofErr w:type="spellStart"/>
          <w:r w:rsidRPr="00B142C3">
            <w:rPr>
              <w:rFonts w:eastAsia="Times New Roman"/>
            </w:rPr>
            <w:t>littérature</w:t>
          </w:r>
          <w:proofErr w:type="spellEnd"/>
          <w:r w:rsidRPr="00B142C3">
            <w:rPr>
              <w:rFonts w:eastAsia="Times New Roman"/>
            </w:rPr>
            <w:t xml:space="preserve"> et gradation des </w:t>
          </w:r>
          <w:proofErr w:type="spellStart"/>
          <w:r w:rsidRPr="00B142C3">
            <w:rPr>
              <w:rFonts w:eastAsia="Times New Roman"/>
            </w:rPr>
            <w:t>recommandations</w:t>
          </w:r>
          <w:proofErr w:type="spellEnd"/>
          <w:r w:rsidRPr="00B142C3">
            <w:rPr>
              <w:rFonts w:eastAsia="Times New Roman"/>
            </w:rPr>
            <w:t xml:space="preserve"> [Internet]. </w:t>
          </w:r>
          <w:proofErr w:type="spellStart"/>
          <w:r w:rsidRPr="00B142C3">
            <w:rPr>
              <w:rFonts w:eastAsia="Times New Roman"/>
            </w:rPr>
            <w:t>Anaes</w:t>
          </w:r>
          <w:proofErr w:type="spellEnd"/>
          <w:r w:rsidRPr="00B142C3">
            <w:rPr>
              <w:rFonts w:eastAsia="Times New Roman"/>
            </w:rPr>
            <w:t>. Paris; 2000. Available from: https://www.has-sante.fr/upload/docs/application/pdf/analiterat.pdf</w:t>
          </w:r>
        </w:p>
        <w:p w14:paraId="05F49AE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25.        </w:t>
          </w:r>
          <w:proofErr w:type="spellStart"/>
          <w:r w:rsidRPr="00B142C3">
            <w:rPr>
              <w:rFonts w:eastAsia="Times New Roman"/>
            </w:rPr>
            <w:t>Autran</w:t>
          </w:r>
          <w:proofErr w:type="spellEnd"/>
          <w:r w:rsidRPr="00B142C3">
            <w:rPr>
              <w:rFonts w:eastAsia="Times New Roman"/>
            </w:rPr>
            <w:t xml:space="preserve"> B, </w:t>
          </w:r>
          <w:proofErr w:type="spellStart"/>
          <w:r w:rsidRPr="00B142C3">
            <w:rPr>
              <w:rFonts w:eastAsia="Times New Roman"/>
            </w:rPr>
            <w:t>Billette</w:t>
          </w:r>
          <w:proofErr w:type="spellEnd"/>
          <w:r w:rsidRPr="00B142C3">
            <w:rPr>
              <w:rFonts w:eastAsia="Times New Roman"/>
            </w:rPr>
            <w:t xml:space="preserve"> De </w:t>
          </w:r>
          <w:proofErr w:type="spellStart"/>
          <w:r w:rsidRPr="00B142C3">
            <w:rPr>
              <w:rFonts w:eastAsia="Times New Roman"/>
            </w:rPr>
            <w:t>Villemeur</w:t>
          </w:r>
          <w:proofErr w:type="spellEnd"/>
          <w:r w:rsidRPr="00B142C3">
            <w:rPr>
              <w:rFonts w:eastAsia="Times New Roman"/>
            </w:rPr>
            <w:t xml:space="preserve"> A, Buisson Y, </w:t>
          </w:r>
          <w:proofErr w:type="spellStart"/>
          <w:r w:rsidRPr="00B142C3">
            <w:rPr>
              <w:rFonts w:eastAsia="Times New Roman"/>
            </w:rPr>
            <w:t>Chavade</w:t>
          </w:r>
          <w:proofErr w:type="spellEnd"/>
          <w:r w:rsidRPr="00B142C3">
            <w:rPr>
              <w:rFonts w:eastAsia="Times New Roman"/>
            </w:rPr>
            <w:t xml:space="preserve"> D, Floret D, </w:t>
          </w:r>
          <w:proofErr w:type="spellStart"/>
          <w:r w:rsidRPr="00B142C3">
            <w:rPr>
              <w:rFonts w:eastAsia="Times New Roman"/>
            </w:rPr>
            <w:t>Hamers</w:t>
          </w:r>
          <w:proofErr w:type="spellEnd"/>
          <w:r w:rsidRPr="00B142C3">
            <w:rPr>
              <w:rFonts w:eastAsia="Times New Roman"/>
            </w:rPr>
            <w:t xml:space="preserve"> F, et al. </w:t>
          </w:r>
          <w:proofErr w:type="spellStart"/>
          <w:r w:rsidRPr="00B142C3">
            <w:rPr>
              <w:rFonts w:eastAsia="Times New Roman"/>
            </w:rPr>
            <w:t>Méthodologie</w:t>
          </w:r>
          <w:proofErr w:type="spellEnd"/>
          <w:r w:rsidRPr="00B142C3">
            <w:rPr>
              <w:rFonts w:eastAsia="Times New Roman"/>
            </w:rPr>
            <w:t xml:space="preserve"> de gradation des </w:t>
          </w:r>
          <w:proofErr w:type="spellStart"/>
          <w:r w:rsidRPr="00B142C3">
            <w:rPr>
              <w:rFonts w:eastAsia="Times New Roman"/>
            </w:rPr>
            <w:t>recommandations</w:t>
          </w:r>
          <w:proofErr w:type="spellEnd"/>
          <w:r w:rsidRPr="00B142C3">
            <w:rPr>
              <w:rFonts w:eastAsia="Times New Roman"/>
            </w:rPr>
            <w:t xml:space="preserve"> </w:t>
          </w:r>
          <w:proofErr w:type="spellStart"/>
          <w:r w:rsidRPr="00B142C3">
            <w:rPr>
              <w:rFonts w:eastAsia="Times New Roman"/>
            </w:rPr>
            <w:t>en</w:t>
          </w:r>
          <w:proofErr w:type="spellEnd"/>
          <w:r w:rsidRPr="00B142C3">
            <w:rPr>
              <w:rFonts w:eastAsia="Times New Roman"/>
            </w:rPr>
            <w:t xml:space="preserve"> pratique </w:t>
          </w:r>
          <w:proofErr w:type="spellStart"/>
          <w:r w:rsidRPr="00B142C3">
            <w:rPr>
              <w:rFonts w:eastAsia="Times New Roman"/>
            </w:rPr>
            <w:t>vaccinale</w:t>
          </w:r>
          <w:proofErr w:type="spellEnd"/>
          <w:r w:rsidRPr="00B142C3">
            <w:rPr>
              <w:rFonts w:eastAsia="Times New Roman"/>
            </w:rPr>
            <w:t xml:space="preserve">. 2016. </w:t>
          </w:r>
        </w:p>
        <w:p w14:paraId="13E7444C"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26.        Mestre-</w:t>
          </w:r>
          <w:proofErr w:type="spellStart"/>
          <w:r w:rsidRPr="00B142C3">
            <w:rPr>
              <w:rFonts w:eastAsia="Times New Roman"/>
            </w:rPr>
            <w:t>Ferrandiz</w:t>
          </w:r>
          <w:proofErr w:type="spellEnd"/>
          <w:r w:rsidRPr="00B142C3">
            <w:rPr>
              <w:rFonts w:eastAsia="Times New Roman"/>
            </w:rPr>
            <w:t xml:space="preserve"> J, Puig-</w:t>
          </w:r>
          <w:proofErr w:type="spellStart"/>
          <w:r w:rsidRPr="00B142C3">
            <w:rPr>
              <w:rFonts w:eastAsia="Times New Roman"/>
            </w:rPr>
            <w:t>Peiró</w:t>
          </w:r>
          <w:proofErr w:type="spellEnd"/>
          <w:r w:rsidRPr="00B142C3">
            <w:rPr>
              <w:rFonts w:eastAsia="Times New Roman"/>
            </w:rPr>
            <w:t xml:space="preserve"> R, Towse A. Researching the Relative Efficacy and Relative Effectiveness of Medicines Across Europe: Analysis and implications for the future of HTA in Europe </w:t>
          </w:r>
          <w:r w:rsidRPr="00B142C3">
            <w:rPr>
              <w:rFonts w:eastAsia="Times New Roman"/>
            </w:rPr>
            <w:lastRenderedPageBreak/>
            <w:t>[Internet]. Vol. 44. 2010. Available from: https://www.ohe.org/system/files/private/publications/344 - Researching_the_Relative_25October2010.pdf?download=1</w:t>
          </w:r>
        </w:p>
        <w:p w14:paraId="2A33C9D0"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27.        National Institute for Health and Care (NICE). Guide to the methods of technology appraisal 2013 (PMG9) [Internet]. 2013. Available from: https://www.nice.org.uk/process/pmg9/</w:t>
          </w:r>
        </w:p>
        <w:p w14:paraId="1FD1FEDD"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28.        Centre for Reviews and Dissemination (CRD). CRD’s guidance for undertaking reviews in healthcare [Internet]. CRD, University of York; 2009. Available from: https://www.york.ac.uk/media/crd/Systematic_Reviews.pdf</w:t>
          </w:r>
        </w:p>
        <w:p w14:paraId="562B3701"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29.        National Institute for Health and Care Excellence (NICE). Single technology appraisal: User guide for company evidence submission template (PMG24) [Internet]. 2018. Available from: https://www.nice.org.uk/process/pmg24/</w:t>
          </w:r>
        </w:p>
        <w:p w14:paraId="52EA0F95"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30.        National Institute for Health and Care Excellence (NICE). Lenalidomide with rituximab for previously treated follicular lymphoma [Internet]. 2020. Available from: https://www.nice.org.uk/guidance/ta627</w:t>
          </w:r>
        </w:p>
        <w:p w14:paraId="7864A86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31.        National Institute for Health and Care Excellence (NICE). </w:t>
          </w:r>
          <w:proofErr w:type="spellStart"/>
          <w:r w:rsidRPr="00B142C3">
            <w:rPr>
              <w:rFonts w:eastAsia="Times New Roman"/>
            </w:rPr>
            <w:t>Patiromer</w:t>
          </w:r>
          <w:proofErr w:type="spellEnd"/>
          <w:r w:rsidRPr="00B142C3">
            <w:rPr>
              <w:rFonts w:eastAsia="Times New Roman"/>
            </w:rPr>
            <w:t xml:space="preserve"> for treating </w:t>
          </w:r>
          <w:proofErr w:type="spellStart"/>
          <w:r w:rsidRPr="00B142C3">
            <w:rPr>
              <w:rFonts w:eastAsia="Times New Roman"/>
            </w:rPr>
            <w:t>hyperkalemia</w:t>
          </w:r>
          <w:proofErr w:type="spellEnd"/>
          <w:r w:rsidRPr="00B142C3">
            <w:rPr>
              <w:rFonts w:eastAsia="Times New Roman"/>
            </w:rPr>
            <w:t xml:space="preserve"> [Internet]. 2019. Available from: https://www.nice.org.uk/guidance/ta623</w:t>
          </w:r>
        </w:p>
        <w:p w14:paraId="489CAEF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32.        National Institute for Health and Care Excellence (NICE). </w:t>
          </w:r>
          <w:proofErr w:type="spellStart"/>
          <w:r w:rsidRPr="00B142C3">
            <w:rPr>
              <w:rFonts w:eastAsia="Times New Roman"/>
            </w:rPr>
            <w:t>Sotagliflozin</w:t>
          </w:r>
          <w:proofErr w:type="spellEnd"/>
          <w:r w:rsidRPr="00B142C3">
            <w:rPr>
              <w:rFonts w:eastAsia="Times New Roman"/>
            </w:rPr>
            <w:t xml:space="preserve"> with insulin for treating type 1 diabetes Technology appraisal guidance [Internet]. 2020. Available from: https://www.nice.org.uk/guidance/ta622</w:t>
          </w:r>
        </w:p>
        <w:p w14:paraId="3DF0FAD8"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33.        National Institute for Health and Care Excellence (NICE). Types of technology appraisal recommendation [Internet]. [cited 2020 Mar 30]. Available from: https://www.nice.org.uk/about/what-we-do/our-programmes/nice-guidance/nice-technology-appraisal-guidance/types-of-recommendation</w:t>
          </w:r>
        </w:p>
        <w:p w14:paraId="60D4046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34.        National Institute for Health and Care Excellence (NICE). Developing NICE guidelines: the manual (PMG20) [Internet]. 2014. Available from: http://www.nice.org.uk/article/pmg20</w:t>
          </w:r>
        </w:p>
        <w:p w14:paraId="40B9349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35.        NICE. Methods for the development of NICE public health guidance: Appendix H [Internet]. 2018. Available from: https://www.nice.org.uk/process/pmg20/resources/appendix-h-pdf-2549710190</w:t>
          </w:r>
        </w:p>
        <w:p w14:paraId="1C234A8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36.        Zorginstituut Nederland (ZIN). </w:t>
          </w:r>
          <w:r w:rsidRPr="004B6FE4">
            <w:rPr>
              <w:rFonts w:eastAsia="Times New Roman"/>
              <w:lang w:val="nl-NL"/>
            </w:rPr>
            <w:t xml:space="preserve">Package advice in practice [Internet]. </w:t>
          </w:r>
          <w:r w:rsidRPr="00B142C3">
            <w:rPr>
              <w:rFonts w:eastAsia="Times New Roman"/>
            </w:rPr>
            <w:t>Diemen (The Netherlands); 2017. Available from: https://english.zorginstituutnederland.nl/binaries/zinl-eng/documents/reports/2018/09/05/package-advice-in-practice---deliberations-for-arriving-at-a-fair-package/Package+advice+in+practice+-+Deliberations+for+arriving+at+a+fair+package.pdf</w:t>
          </w:r>
        </w:p>
        <w:p w14:paraId="10EF6721"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37.        Offringa M, Assendelft WJJ, Scholten RJPM. Kritisch beoordelen van een artikel. In: Inleiding in evidence-based medicine [Internet]. Bohn Stafleu van Loghum, onderdeel van Springer Uitgeverij; 2008. p. 54–142. </w:t>
          </w:r>
          <w:r w:rsidRPr="00B142C3">
            <w:rPr>
              <w:rFonts w:eastAsia="Times New Roman"/>
            </w:rPr>
            <w:t>Available from: 10.1007/978-90-313-6636-1_4</w:t>
          </w:r>
        </w:p>
        <w:p w14:paraId="4B540C0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38.        </w:t>
          </w:r>
          <w:proofErr w:type="spellStart"/>
          <w:r w:rsidRPr="00B142C3">
            <w:rPr>
              <w:rFonts w:eastAsia="Times New Roman"/>
            </w:rPr>
            <w:t>Zorginstituut</w:t>
          </w:r>
          <w:proofErr w:type="spellEnd"/>
          <w:r w:rsidRPr="00B142C3">
            <w:rPr>
              <w:rFonts w:eastAsia="Times New Roman"/>
            </w:rPr>
            <w:t xml:space="preserve"> Nederland (ZIN). Assessment of “established medical science and medical practice” (English summary) [Internet]. Diemen (The Netherlands); 2015. Available from: https://english.zorginstituutnederland.nl/binaries/zinl-eng/documents/reports/2015/01/19/assessment-of-established-medical-science-and-medical-practice/Assessment+of+established+medical+science+and+medical+practice.pdf</w:t>
          </w:r>
        </w:p>
        <w:p w14:paraId="725EDE88"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39.        Zorginstituut Nederland (ZIN). Beoordeling stand van de wetenschap en praktijk [Internet]. </w:t>
          </w:r>
          <w:r w:rsidRPr="00B142C3">
            <w:rPr>
              <w:rFonts w:eastAsia="Times New Roman"/>
            </w:rPr>
            <w:t xml:space="preserve">Vol. </w:t>
          </w:r>
          <w:proofErr w:type="spellStart"/>
          <w:r w:rsidRPr="00B142C3">
            <w:rPr>
              <w:rFonts w:eastAsia="Times New Roman"/>
            </w:rPr>
            <w:t>januari</w:t>
          </w:r>
          <w:proofErr w:type="spellEnd"/>
          <w:r w:rsidRPr="00B142C3">
            <w:rPr>
              <w:rFonts w:eastAsia="Times New Roman"/>
            </w:rPr>
            <w:t>. Diemen; 2015. Available from: https://www.zorginstituutnederland.nl/binaries/zinl/documenten/rapport/2015/01/15/beoordeling-stand-van-de-wetenschap-en-praktijk/Beoordeling+stand+van+de+wetenschap+en+praktijk.pdf</w:t>
          </w:r>
        </w:p>
        <w:p w14:paraId="3C8BEDC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40.        Zorginstituut Nederland (ZIN). Farmacotherapeutisch rapport voretigene neparvovec (Luxturna®) bij de behandeling van visusverlies door erfelijke retinale dystrofie met bi-allelische RPE65-mutaties </w:t>
          </w:r>
          <w:r w:rsidRPr="00B142C3">
            <w:rPr>
              <w:rFonts w:eastAsia="Times New Roman"/>
              <w:lang w:val="nl-NL"/>
            </w:rPr>
            <w:lastRenderedPageBreak/>
            <w:t xml:space="preserve">[Internet]. </w:t>
          </w:r>
          <w:r w:rsidRPr="00B142C3">
            <w:rPr>
              <w:rFonts w:eastAsia="Times New Roman"/>
            </w:rPr>
            <w:t>Diemen (The Netherlands); 2019. 6–58. Available from: https://www.zorginstituutnederland.nl/binaries/zinl/documenten/adviezen/2020/02/17/pakketadvies-emicizumab-hemlibra/Pakketadvies+emicizumab+%28Hemlibra®%29.pdf</w:t>
          </w:r>
        </w:p>
        <w:p w14:paraId="5F2D0A1C"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41.        Zorginstituut Nederland (ZIN). </w:t>
          </w:r>
          <w:r w:rsidRPr="004B6FE4">
            <w:rPr>
              <w:rFonts w:eastAsia="Times New Roman"/>
              <w:lang w:val="nl-NL"/>
            </w:rPr>
            <w:t xml:space="preserve">Package advice voretigene neparvovec (Luxturna®) [Internet]. </w:t>
          </w:r>
          <w:r w:rsidRPr="00B142C3">
            <w:rPr>
              <w:rFonts w:eastAsia="Times New Roman"/>
            </w:rPr>
            <w:t>Diemen (The Netherlands); 2020. Available from: https://english.zorginstituutnederland.nl/binaries/zinl-eng/documents/reports/2020/02/17/voretigene-neparvovec-luxturna/Voretigene+neparvovec+%28Luxturna®%29+package+advice.pdf</w:t>
          </w:r>
        </w:p>
        <w:p w14:paraId="5DE9BDD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42.        Zorginstituut Nederland (ZIN). Farmacotherapeutisch rapport emicizumab (Hemlibra®) als routineprofylaxe van bloedingen bij patiënten met ernstige hemofilie A zonder remmers tegen factor VIII [Internet]. </w:t>
          </w:r>
          <w:r w:rsidRPr="00B142C3">
            <w:rPr>
              <w:rFonts w:eastAsia="Times New Roman"/>
            </w:rPr>
            <w:t>Diemen (The Netherlands); 2019. Available from: https://www.zorginstituutnederland.nl/binaries/zinl/documenten/adviezen/2020/02/17/pakketadvies-emicizumab-hemlibra/Pakketadvies+emicizumab+%28Hemlibra®%29.pdf</w:t>
          </w:r>
        </w:p>
        <w:p w14:paraId="6B23FF7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43.        </w:t>
          </w:r>
          <w:proofErr w:type="spellStart"/>
          <w:r w:rsidRPr="00B142C3">
            <w:rPr>
              <w:rFonts w:eastAsia="Times New Roman"/>
            </w:rPr>
            <w:t>Zorginstituut</w:t>
          </w:r>
          <w:proofErr w:type="spellEnd"/>
          <w:r w:rsidRPr="00B142C3">
            <w:rPr>
              <w:rFonts w:eastAsia="Times New Roman"/>
            </w:rPr>
            <w:t xml:space="preserve"> Nederland (ZIN). Package advice </w:t>
          </w:r>
          <w:proofErr w:type="spellStart"/>
          <w:r w:rsidRPr="00B142C3">
            <w:rPr>
              <w:rFonts w:eastAsia="Times New Roman"/>
            </w:rPr>
            <w:t>emicizumab</w:t>
          </w:r>
          <w:proofErr w:type="spellEnd"/>
          <w:r w:rsidRPr="00B142C3">
            <w:rPr>
              <w:rFonts w:eastAsia="Times New Roman"/>
            </w:rPr>
            <w:t xml:space="preserve"> (</w:t>
          </w:r>
          <w:proofErr w:type="spellStart"/>
          <w:r w:rsidRPr="00B142C3">
            <w:rPr>
              <w:rFonts w:eastAsia="Times New Roman"/>
            </w:rPr>
            <w:t>Hemlibra</w:t>
          </w:r>
          <w:proofErr w:type="spellEnd"/>
          <w:r w:rsidRPr="00B142C3">
            <w:rPr>
              <w:rFonts w:eastAsia="Times New Roman"/>
            </w:rPr>
            <w:t xml:space="preserve"> ®) [Internet]. Diemen (The Netherlands); 2020. Available from: https://english.zorginstituutnederland.nl/binaries/zinl-eng/documents/reports/2020/02/17/emicizumab-hemlibra/Emicizumab+%28Hemlibra®%29+package+advice.pdf</w:t>
          </w:r>
        </w:p>
        <w:p w14:paraId="5F0CAB28"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44.        </w:t>
          </w:r>
          <w:proofErr w:type="spellStart"/>
          <w:r w:rsidRPr="00B142C3">
            <w:rPr>
              <w:rFonts w:eastAsia="Times New Roman"/>
            </w:rPr>
            <w:t>Zorginstituut</w:t>
          </w:r>
          <w:proofErr w:type="spellEnd"/>
          <w:r w:rsidRPr="00B142C3">
            <w:rPr>
              <w:rFonts w:eastAsia="Times New Roman"/>
            </w:rPr>
            <w:t xml:space="preserve"> Nederland (ZIN). Relative effectiveness report </w:t>
          </w:r>
          <w:proofErr w:type="spellStart"/>
          <w:r w:rsidRPr="00B142C3">
            <w:rPr>
              <w:rFonts w:eastAsia="Times New Roman"/>
            </w:rPr>
            <w:t>metreleptin</w:t>
          </w:r>
          <w:proofErr w:type="spellEnd"/>
          <w:r w:rsidRPr="00B142C3">
            <w:rPr>
              <w:rFonts w:eastAsia="Times New Roman"/>
            </w:rPr>
            <w:t xml:space="preserve"> (</w:t>
          </w:r>
          <w:proofErr w:type="spellStart"/>
          <w:r w:rsidRPr="00B142C3">
            <w:rPr>
              <w:rFonts w:eastAsia="Times New Roman"/>
            </w:rPr>
            <w:t>Myalepta</w:t>
          </w:r>
          <w:proofErr w:type="spellEnd"/>
          <w:r w:rsidRPr="00B142C3">
            <w:rPr>
              <w:rFonts w:eastAsia="Times New Roman"/>
            </w:rPr>
            <w:t xml:space="preserve"> ®) for treatment of lipodystrophy [Internet]. Diemen (The Netherlands); 2019. Available from: https://english.zorginstituutnederland.nl/binaries/zinl-eng/documents/reports/2019/10/21/metreleptin-myalepta-for-treatment-of-lipodystrophy/Metreleptin+%28Myalepta®%29+for+treatment+of+lipodystrophy.pdf</w:t>
          </w:r>
        </w:p>
        <w:p w14:paraId="040F1472" w14:textId="77777777" w:rsidR="00B83354" w:rsidRPr="004B6FE4" w:rsidRDefault="00B83354" w:rsidP="00B83354">
          <w:pPr>
            <w:autoSpaceDE w:val="0"/>
            <w:autoSpaceDN w:val="0"/>
            <w:spacing w:line="259" w:lineRule="auto"/>
            <w:ind w:hanging="640"/>
            <w:rPr>
              <w:rFonts w:eastAsia="Times New Roman"/>
              <w:lang w:val="nl-NL"/>
            </w:rPr>
          </w:pPr>
          <w:r w:rsidRPr="00B142C3">
            <w:rPr>
              <w:rFonts w:eastAsia="Times New Roman"/>
            </w:rPr>
            <w:t>45.        </w:t>
          </w:r>
          <w:proofErr w:type="spellStart"/>
          <w:r w:rsidRPr="00B142C3">
            <w:rPr>
              <w:rFonts w:eastAsia="Times New Roman"/>
            </w:rPr>
            <w:t>Guyatt</w:t>
          </w:r>
          <w:proofErr w:type="spellEnd"/>
          <w:r w:rsidRPr="00B142C3">
            <w:rPr>
              <w:rFonts w:eastAsia="Times New Roman"/>
            </w:rPr>
            <w:t xml:space="preserve"> G, </w:t>
          </w:r>
          <w:proofErr w:type="spellStart"/>
          <w:r w:rsidRPr="00B142C3">
            <w:rPr>
              <w:rFonts w:eastAsia="Times New Roman"/>
            </w:rPr>
            <w:t>Oxman</w:t>
          </w:r>
          <w:proofErr w:type="spellEnd"/>
          <w:r w:rsidRPr="00B142C3">
            <w:rPr>
              <w:rFonts w:eastAsia="Times New Roman"/>
            </w:rPr>
            <w:t xml:space="preserve"> AD, </w:t>
          </w:r>
          <w:proofErr w:type="spellStart"/>
          <w:r w:rsidRPr="00B142C3">
            <w:rPr>
              <w:rFonts w:eastAsia="Times New Roman"/>
            </w:rPr>
            <w:t>Akl</w:t>
          </w:r>
          <w:proofErr w:type="spellEnd"/>
          <w:r w:rsidRPr="00B142C3">
            <w:rPr>
              <w:rFonts w:eastAsia="Times New Roman"/>
            </w:rPr>
            <w:t xml:space="preserve"> EA, Kunz R, </w:t>
          </w:r>
          <w:proofErr w:type="spellStart"/>
          <w:r w:rsidRPr="00B142C3">
            <w:rPr>
              <w:rFonts w:eastAsia="Times New Roman"/>
            </w:rPr>
            <w:t>Vist</w:t>
          </w:r>
          <w:proofErr w:type="spellEnd"/>
          <w:r w:rsidRPr="00B142C3">
            <w:rPr>
              <w:rFonts w:eastAsia="Times New Roman"/>
            </w:rPr>
            <w:t xml:space="preserve"> G, </w:t>
          </w:r>
          <w:proofErr w:type="spellStart"/>
          <w:r w:rsidRPr="00B142C3">
            <w:rPr>
              <w:rFonts w:eastAsia="Times New Roman"/>
            </w:rPr>
            <w:t>Brozek</w:t>
          </w:r>
          <w:proofErr w:type="spellEnd"/>
          <w:r w:rsidRPr="00B142C3">
            <w:rPr>
              <w:rFonts w:eastAsia="Times New Roman"/>
            </w:rPr>
            <w:t xml:space="preserve"> J, et al. GRADE guidelines: 1. Introduction - GRADE evidence profiles and summary of findings tables. </w:t>
          </w:r>
          <w:r w:rsidRPr="004B6FE4">
            <w:rPr>
              <w:rFonts w:eastAsia="Times New Roman"/>
              <w:lang w:val="nl-NL"/>
            </w:rPr>
            <w:t xml:space="preserve">Journal of Clinical Epidemiology. 2011;64(4):383–94. </w:t>
          </w:r>
        </w:p>
        <w:p w14:paraId="51901701" w14:textId="77777777" w:rsidR="00B83354" w:rsidRPr="00B142C3" w:rsidRDefault="00B83354" w:rsidP="00B83354">
          <w:pPr>
            <w:autoSpaceDE w:val="0"/>
            <w:autoSpaceDN w:val="0"/>
            <w:spacing w:line="259" w:lineRule="auto"/>
            <w:ind w:hanging="640"/>
            <w:rPr>
              <w:rFonts w:eastAsia="Times New Roman"/>
            </w:rPr>
          </w:pPr>
          <w:r w:rsidRPr="004B6FE4">
            <w:rPr>
              <w:rFonts w:eastAsia="Times New Roman"/>
              <w:lang w:val="nl-NL"/>
            </w:rPr>
            <w:t>46.        </w:t>
          </w:r>
          <w:r w:rsidRPr="00B142C3">
            <w:rPr>
              <w:rFonts w:eastAsia="Times New Roman"/>
              <w:lang w:val="nl-NL"/>
            </w:rPr>
            <w:t xml:space="preserve">Zorginstituut Nederland (ZIN). Criteria voor beoordeling therapeutische waarde [Internet]. </w:t>
          </w:r>
          <w:r w:rsidRPr="0091704C">
            <w:rPr>
              <w:rFonts w:eastAsia="Times New Roman"/>
            </w:rPr>
            <w:t xml:space="preserve">Diemen (The Netherlands); 2014. </w:t>
          </w:r>
          <w:r w:rsidRPr="00B142C3">
            <w:rPr>
              <w:rFonts w:eastAsia="Times New Roman"/>
            </w:rPr>
            <w:t>Available from: https://www.zorginstituutnederland.nl/binaries/zinl/documenten/publicatie/2014/07/01/criteria-voor-beoordeling-therapeutische-waarde/Criteria+voor+beoordeling+therapeutische+waarde.pdf</w:t>
          </w:r>
        </w:p>
        <w:p w14:paraId="1FCF670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lang w:val="nl-NL"/>
            </w:rPr>
            <w:t xml:space="preserve">47.        de Boer J, Pasman P. Procedure beoordeling extramurale geneesmiddelen [Internet]. </w:t>
          </w:r>
          <w:r w:rsidRPr="00B142C3">
            <w:rPr>
              <w:rFonts w:eastAsia="Times New Roman"/>
            </w:rPr>
            <w:t>Diemen (The Netherlands); 2018. Available from: https://www.zorginstituutnederland.nl/binaries/zinl/documenten/rapport/2016/09/09/procedure-beoordeling-extramurale-geneesmiddelen/Procedure+beoordeling+extramurale+geneesmiddelen+%28GVS%29+versie+november+2018.pdf</w:t>
          </w:r>
        </w:p>
        <w:p w14:paraId="72B0D720"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48.        Bai A, Shukla V, </w:t>
          </w:r>
          <w:proofErr w:type="spellStart"/>
          <w:r w:rsidRPr="00B142C3">
            <w:rPr>
              <w:rFonts w:eastAsia="Times New Roman"/>
            </w:rPr>
            <w:t>Bak</w:t>
          </w:r>
          <w:proofErr w:type="spellEnd"/>
          <w:r w:rsidRPr="00B142C3">
            <w:rPr>
              <w:rFonts w:eastAsia="Times New Roman"/>
            </w:rPr>
            <w:t xml:space="preserve"> G, Wells G. Quality Assessment Tools Project Report [Internet]. Ottawa: Canadian Agency for Drugs and Technologies in Health; 2012. Available from: https://www.cadth.ca/media/pdf/QAT_final.pdf</w:t>
          </w:r>
        </w:p>
        <w:p w14:paraId="0539E76E"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49.        West S, King V, Carey T. Systems to rate the strength of scientific evidence. AHRQ Publication No. 02-E016. Rockville, MD: Agency for Healthcare Research and Quality. April 2002</w:t>
          </w:r>
          <w:proofErr w:type="gramStart"/>
          <w:r w:rsidRPr="00B142C3">
            <w:rPr>
              <w:rFonts w:eastAsia="Times New Roman"/>
            </w:rPr>
            <w:t>.;</w:t>
          </w:r>
          <w:proofErr w:type="gramEnd"/>
          <w:r w:rsidRPr="00B142C3">
            <w:rPr>
              <w:rFonts w:eastAsia="Times New Roman"/>
            </w:rPr>
            <w:t xml:space="preserve"> </w:t>
          </w:r>
        </w:p>
        <w:p w14:paraId="197023B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50.        Berkman N, </w:t>
          </w:r>
          <w:proofErr w:type="spellStart"/>
          <w:r w:rsidRPr="00B142C3">
            <w:rPr>
              <w:rFonts w:eastAsia="Times New Roman"/>
            </w:rPr>
            <w:t>Lohr</w:t>
          </w:r>
          <w:proofErr w:type="spellEnd"/>
          <w:r w:rsidRPr="00B142C3">
            <w:rPr>
              <w:rFonts w:eastAsia="Times New Roman"/>
            </w:rPr>
            <w:t xml:space="preserve"> K, Ansari M, McDonagh M, Balk E, Whitlock E, et al. Grading the Strength of a Body of Evidence when Assessing Health Care Interventions for the Effective Health Care Program of the Agency for Healthcare Research and Quality: An Update. Methods Guide for Comparative Effectiveness Reviews [Internet]. AHRQ Publication No. 13(14)-EHC130-EF. Rockville, MD: Agency for Healthcare Research and Quality; 2013. Available from: http://www.effectivehealthcare.ahrq.gov/reports/final.cfm</w:t>
          </w:r>
        </w:p>
        <w:p w14:paraId="7E177C5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lastRenderedPageBreak/>
            <w:t>51.        Canadian Agency for Drugs and Technologies in Health (CADTH). Therapeutic Review Framework and Process [Internet]. 2019. Available from: https://cadth.ca/</w:t>
          </w:r>
        </w:p>
        <w:p w14:paraId="66094940"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52.        Canadian Agency for Drugs and Technologies in Health (CADTH). Procedures for the CADTH Common Drug Review and Interim Plasma Protein Product Review [Internet]. 2020. Available from: https://cadth.ca/</w:t>
          </w:r>
        </w:p>
        <w:p w14:paraId="0D4C190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53.        Canadian Agency for Drugs and Technologies in Health (CADTH). CADTH Common Drug Review - TAFAMIDIS (</w:t>
          </w:r>
          <w:proofErr w:type="spellStart"/>
          <w:r w:rsidRPr="00B142C3">
            <w:rPr>
              <w:rFonts w:eastAsia="Times New Roman"/>
            </w:rPr>
            <w:t>Vyndaqel</w:t>
          </w:r>
          <w:proofErr w:type="spellEnd"/>
          <w:r w:rsidRPr="00B142C3">
            <w:rPr>
              <w:rFonts w:eastAsia="Times New Roman"/>
            </w:rPr>
            <w:t xml:space="preserve">) Clinical Review Report. 2020. </w:t>
          </w:r>
        </w:p>
        <w:p w14:paraId="3B6825C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54.        Canadian Agency for Drugs and Technologies in Health (CADTH). CADTH Common Drug Review- CADTH Canadian Drug Expert Committee Recommendation (Final): </w:t>
          </w:r>
          <w:proofErr w:type="spellStart"/>
          <w:r w:rsidRPr="00B142C3">
            <w:rPr>
              <w:rFonts w:eastAsia="Times New Roman"/>
            </w:rPr>
            <w:t>Tafamidis</w:t>
          </w:r>
          <w:proofErr w:type="spellEnd"/>
          <w:r w:rsidRPr="00B142C3">
            <w:rPr>
              <w:rFonts w:eastAsia="Times New Roman"/>
            </w:rPr>
            <w:t xml:space="preserve"> Meglumine (</w:t>
          </w:r>
          <w:proofErr w:type="spellStart"/>
          <w:r w:rsidRPr="00B142C3">
            <w:rPr>
              <w:rFonts w:eastAsia="Times New Roman"/>
            </w:rPr>
            <w:t>Vyndaqel</w:t>
          </w:r>
          <w:proofErr w:type="spellEnd"/>
          <w:r w:rsidRPr="00B142C3">
            <w:rPr>
              <w:rFonts w:eastAsia="Times New Roman"/>
            </w:rPr>
            <w:t xml:space="preserve"> – Pfizer Canada ULC) [Internet]. 2020. Available from: https://cadth.ca/sites/default/files/cdr/complete/SR0625 </w:t>
          </w:r>
          <w:proofErr w:type="spellStart"/>
          <w:r w:rsidRPr="00B142C3">
            <w:rPr>
              <w:rFonts w:eastAsia="Times New Roman"/>
            </w:rPr>
            <w:t>Vyndaqel</w:t>
          </w:r>
          <w:proofErr w:type="spellEnd"/>
          <w:r w:rsidRPr="00B142C3">
            <w:rPr>
              <w:rFonts w:eastAsia="Times New Roman"/>
            </w:rPr>
            <w:t xml:space="preserve"> - CDEC </w:t>
          </w:r>
          <w:proofErr w:type="gramStart"/>
          <w:r w:rsidRPr="00B142C3">
            <w:rPr>
              <w:rFonts w:eastAsia="Times New Roman"/>
            </w:rPr>
            <w:t>Final  Recommendation</w:t>
          </w:r>
          <w:proofErr w:type="gramEnd"/>
          <w:r w:rsidRPr="00B142C3">
            <w:rPr>
              <w:rFonts w:eastAsia="Times New Roman"/>
            </w:rPr>
            <w:t xml:space="preserve"> February 20%2C 2020 for posting.pdf</w:t>
          </w:r>
        </w:p>
        <w:p w14:paraId="257D80FC"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55.        Canadian Agency for Drugs and Technologies in Health (CADTH). CADTH Common Drug Review- CADTH Canadian Drug Expert Committee Recommendation (Final): Vortioxetine (Trintellix — Lundbeck Canada Inc.) [Internet]. 2020. Available from: https://www.cadth.ca/sites/default/files/cdr/complete/SR0611 Trintellix - Final CDEC Recommendation February 14%2C 2020_For posting.pdf</w:t>
          </w:r>
        </w:p>
        <w:p w14:paraId="5ACA008A"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56.        Canadian Agency for Drugs and Technologies in Health (CADTH). CADTH Common Drug Review - Clinical Review Report Vortioxetine Hydrobromide (Trintellix) [Internet]. 2020. Available from: https://cadth.ca/sites/default/files/cdr/clinical/sr0611-trintellix-clinical-review-report.pdf</w:t>
          </w:r>
        </w:p>
        <w:p w14:paraId="1283826E"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57.        Canadian Agency for Drugs and Technologies in Health (CADTH). CADTH Common Drug Review- CADTH Canadian Drug Expert Committee Recommendation (Final): Upadacitinib (</w:t>
          </w:r>
          <w:proofErr w:type="spellStart"/>
          <w:r w:rsidRPr="00B142C3">
            <w:rPr>
              <w:rFonts w:eastAsia="Times New Roman"/>
            </w:rPr>
            <w:t>Rinvoq</w:t>
          </w:r>
          <w:proofErr w:type="spellEnd"/>
          <w:r w:rsidRPr="00B142C3">
            <w:rPr>
              <w:rFonts w:eastAsia="Times New Roman"/>
            </w:rPr>
            <w:t xml:space="preserve"> — AbbVie) [Internet]. 2020. Available from: https://www.cadth.ca/sites/default/files/cdr/complete/SR0614 </w:t>
          </w:r>
          <w:proofErr w:type="spellStart"/>
          <w:r w:rsidRPr="00B142C3">
            <w:rPr>
              <w:rFonts w:eastAsia="Times New Roman"/>
            </w:rPr>
            <w:t>Rinvoq</w:t>
          </w:r>
          <w:proofErr w:type="spellEnd"/>
          <w:r w:rsidRPr="00B142C3">
            <w:rPr>
              <w:rFonts w:eastAsia="Times New Roman"/>
            </w:rPr>
            <w:t xml:space="preserve"> - CDEC Final Recommendation February 6%2C 2020_for posting.pdf</w:t>
          </w:r>
        </w:p>
        <w:p w14:paraId="5A2F76B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58.        Canadian Agency for Drugs and Technologies in Health (CADTH). CADTH Common Drug Review - Clinical Review Report Upadacitinib (</w:t>
          </w:r>
          <w:proofErr w:type="spellStart"/>
          <w:r w:rsidRPr="00B142C3">
            <w:rPr>
              <w:rFonts w:eastAsia="Times New Roman"/>
            </w:rPr>
            <w:t>Rinvoq</w:t>
          </w:r>
          <w:proofErr w:type="spellEnd"/>
          <w:r w:rsidRPr="00B142C3">
            <w:rPr>
              <w:rFonts w:eastAsia="Times New Roman"/>
            </w:rPr>
            <w:t>) [Internet]. 2020. Available from: https://www.cadth.ca/sites/default/files/cdr/clinical/sr0614-rinvoq-clinical-review-report.pdf</w:t>
          </w:r>
        </w:p>
        <w:p w14:paraId="69E9887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59.        Canadian Agency for Drugs and Technologies in Health (CADTH). Clinical Review Report (Sample Template) [Internet]. CADTH. 2020. Available from: https://www.cadth.ca/sites/default/files/cdr/clinical/SR0430_KalydecoR117H_CL_Report.pdf</w:t>
          </w:r>
        </w:p>
        <w:p w14:paraId="3F253C7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60.        European Network for Health Technology Assessment (</w:t>
          </w:r>
          <w:proofErr w:type="spellStart"/>
          <w:r w:rsidRPr="00B142C3">
            <w:rPr>
              <w:rFonts w:eastAsia="Times New Roman"/>
            </w:rPr>
            <w:t>EUnetHTA</w:t>
          </w:r>
          <w:proofErr w:type="spellEnd"/>
          <w:r w:rsidRPr="00B142C3">
            <w:rPr>
              <w:rFonts w:eastAsia="Times New Roman"/>
            </w:rPr>
            <w:t xml:space="preserve">). </w:t>
          </w:r>
          <w:proofErr w:type="spellStart"/>
          <w:r w:rsidRPr="00B142C3">
            <w:rPr>
              <w:rFonts w:eastAsia="Times New Roman"/>
            </w:rPr>
            <w:t>EUnetHTA</w:t>
          </w:r>
          <w:proofErr w:type="spellEnd"/>
          <w:r w:rsidRPr="00B142C3">
            <w:rPr>
              <w:rFonts w:eastAsia="Times New Roman"/>
            </w:rPr>
            <w:t xml:space="preserve"> Joint Action 2, Work Package 8. HTA Core Model ® version 3.0 (Pdf) [Internet]. 2016. Available from: www.htacoremodel.info/BrowseModel.aspx</w:t>
          </w:r>
        </w:p>
        <w:p w14:paraId="128D3EAE"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61.        </w:t>
          </w:r>
          <w:proofErr w:type="spellStart"/>
          <w:r w:rsidRPr="00B142C3">
            <w:rPr>
              <w:rFonts w:eastAsia="Times New Roman"/>
            </w:rPr>
            <w:t>Sawaya</w:t>
          </w:r>
          <w:proofErr w:type="spellEnd"/>
          <w:r w:rsidRPr="00B142C3">
            <w:rPr>
              <w:rFonts w:eastAsia="Times New Roman"/>
            </w:rPr>
            <w:t xml:space="preserve"> G, </w:t>
          </w:r>
          <w:proofErr w:type="spellStart"/>
          <w:r w:rsidRPr="00B142C3">
            <w:rPr>
              <w:rFonts w:eastAsia="Times New Roman"/>
            </w:rPr>
            <w:t>Guirguis</w:t>
          </w:r>
          <w:proofErr w:type="spellEnd"/>
          <w:r w:rsidRPr="00B142C3">
            <w:rPr>
              <w:rFonts w:eastAsia="Times New Roman"/>
            </w:rPr>
            <w:t xml:space="preserve">-Blake J, LeFevre M, Harris R, </w:t>
          </w:r>
          <w:proofErr w:type="spellStart"/>
          <w:r w:rsidRPr="00B142C3">
            <w:rPr>
              <w:rFonts w:eastAsia="Times New Roman"/>
            </w:rPr>
            <w:t>Petitti</w:t>
          </w:r>
          <w:proofErr w:type="spellEnd"/>
          <w:r w:rsidRPr="00B142C3">
            <w:rPr>
              <w:rFonts w:eastAsia="Times New Roman"/>
            </w:rPr>
            <w:t xml:space="preserve"> D. Update on the Methods of the U.S. Preventive Services Task Force: Estimating Certainty and Magnitude of Net Benefit. Annals of Internal Medicine. 2007;147(2):871–5. </w:t>
          </w:r>
        </w:p>
        <w:p w14:paraId="4FAA5B7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62.        </w:t>
          </w:r>
          <w:proofErr w:type="spellStart"/>
          <w:r w:rsidRPr="00B142C3">
            <w:rPr>
              <w:rFonts w:eastAsia="Times New Roman"/>
            </w:rPr>
            <w:t>Ollendorf</w:t>
          </w:r>
          <w:proofErr w:type="spellEnd"/>
          <w:r w:rsidRPr="00B142C3">
            <w:rPr>
              <w:rFonts w:eastAsia="Times New Roman"/>
            </w:rPr>
            <w:t xml:space="preserve"> DA, Pearson SD. </w:t>
          </w:r>
          <w:proofErr w:type="gramStart"/>
          <w:r w:rsidRPr="00B142C3">
            <w:rPr>
              <w:rFonts w:eastAsia="Times New Roman"/>
            </w:rPr>
            <w:t>An integrated evidence</w:t>
          </w:r>
          <w:proofErr w:type="gramEnd"/>
          <w:r w:rsidRPr="00B142C3">
            <w:rPr>
              <w:rFonts w:eastAsia="Times New Roman"/>
            </w:rPr>
            <w:t xml:space="preserve"> rating to frame comparative effectiveness assessments for decision makers. Medical Care. 2010;48(6 SUPPL.):145–52. </w:t>
          </w:r>
        </w:p>
        <w:p w14:paraId="5583142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63.        </w:t>
          </w:r>
          <w:proofErr w:type="spellStart"/>
          <w:r w:rsidRPr="00B142C3">
            <w:rPr>
              <w:rFonts w:eastAsia="Times New Roman"/>
            </w:rPr>
            <w:t>Autoridade</w:t>
          </w:r>
          <w:proofErr w:type="spellEnd"/>
          <w:r w:rsidRPr="00B142C3">
            <w:rPr>
              <w:rFonts w:eastAsia="Times New Roman"/>
            </w:rPr>
            <w:t xml:space="preserve"> Nacional do </w:t>
          </w:r>
          <w:proofErr w:type="spellStart"/>
          <w:r w:rsidRPr="00B142C3">
            <w:rPr>
              <w:rFonts w:eastAsia="Times New Roman"/>
            </w:rPr>
            <w:t>Medicamento</w:t>
          </w:r>
          <w:proofErr w:type="spellEnd"/>
          <w:r w:rsidRPr="00B142C3">
            <w:rPr>
              <w:rFonts w:eastAsia="Times New Roman"/>
            </w:rPr>
            <w:t xml:space="preserve"> e </w:t>
          </w:r>
          <w:proofErr w:type="spellStart"/>
          <w:r w:rsidRPr="00B142C3">
            <w:rPr>
              <w:rFonts w:eastAsia="Times New Roman"/>
            </w:rPr>
            <w:t>Produtos</w:t>
          </w:r>
          <w:proofErr w:type="spellEnd"/>
          <w:r w:rsidRPr="00B142C3">
            <w:rPr>
              <w:rFonts w:eastAsia="Times New Roman"/>
            </w:rPr>
            <w:t xml:space="preserve"> de </w:t>
          </w:r>
          <w:proofErr w:type="spellStart"/>
          <w:r w:rsidRPr="00B142C3">
            <w:rPr>
              <w:rFonts w:eastAsia="Times New Roman"/>
            </w:rPr>
            <w:t>Saude</w:t>
          </w:r>
          <w:proofErr w:type="spellEnd"/>
          <w:r w:rsidRPr="00B142C3">
            <w:rPr>
              <w:rFonts w:eastAsia="Times New Roman"/>
            </w:rPr>
            <w:t xml:space="preserve"> - Portugal, National Centre for Pharmacoeconomics - Ireland. Relative effectiveness assessment of pharmaceutical technologies. Siponimod for the treatment of adult patients with secondary progressive multiple sclerosis (SPMS) with active disease evidenced by relapses or imaging features of inflammatory activity. Jo. Diemen, (The Netherlands); 2020. </w:t>
          </w:r>
        </w:p>
        <w:p w14:paraId="20A82F8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lastRenderedPageBreak/>
            <w:t>64.        Ministry of Health of the Republic of Croatia (MIZ Croatia) - Croatia, Agency for Health Technology Assessment and Tariff System (</w:t>
          </w:r>
          <w:proofErr w:type="spellStart"/>
          <w:r w:rsidRPr="00B142C3">
            <w:rPr>
              <w:rFonts w:eastAsia="Times New Roman"/>
            </w:rPr>
            <w:t>AOTMiT</w:t>
          </w:r>
          <w:proofErr w:type="spellEnd"/>
          <w:r w:rsidRPr="00B142C3">
            <w:rPr>
              <w:rFonts w:eastAsia="Times New Roman"/>
            </w:rPr>
            <w:t xml:space="preserve">) - Poland, Dental and Pharmaceutical Benefits Agency (TLV). Ustekinumab for the treatment of adult patients with moderately to severely active ulcerative colitis (UC) who have had an inadequate response </w:t>
          </w:r>
          <w:proofErr w:type="gramStart"/>
          <w:r w:rsidRPr="00B142C3">
            <w:rPr>
              <w:rFonts w:eastAsia="Times New Roman"/>
            </w:rPr>
            <w:t>with,</w:t>
          </w:r>
          <w:proofErr w:type="gramEnd"/>
          <w:r w:rsidRPr="00B142C3">
            <w:rPr>
              <w:rFonts w:eastAsia="Times New Roman"/>
            </w:rPr>
            <w:t xml:space="preserve"> lost response to, or were intolerant to either conventional therapy or have medical contraindications(...). </w:t>
          </w:r>
          <w:proofErr w:type="spellStart"/>
          <w:r w:rsidRPr="00B142C3">
            <w:rPr>
              <w:rFonts w:eastAsia="Times New Roman"/>
            </w:rPr>
            <w:t>EUnetHTA</w:t>
          </w:r>
          <w:proofErr w:type="spellEnd"/>
          <w:r w:rsidRPr="00B142C3">
            <w:rPr>
              <w:rFonts w:eastAsia="Times New Roman"/>
            </w:rPr>
            <w:t xml:space="preserve"> Project ID: PTJA07. 2019</w:t>
          </w:r>
          <w:proofErr w:type="gramStart"/>
          <w:r w:rsidRPr="00B142C3">
            <w:rPr>
              <w:rFonts w:eastAsia="Times New Roman"/>
            </w:rPr>
            <w:t>.;</w:t>
          </w:r>
          <w:proofErr w:type="gramEnd"/>
          <w:r w:rsidRPr="00B142C3">
            <w:rPr>
              <w:rFonts w:eastAsia="Times New Roman"/>
            </w:rPr>
            <w:t xml:space="preserve"> </w:t>
          </w:r>
        </w:p>
        <w:p w14:paraId="6F33F2FB"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65.        Finnish Medicines Agency (FIMEA) - Finland, Spanish Agency of Medicine and Sanitary Products (AEMPS) - Spain, Association of Austrian Social Insurance Institutions (DVSV) - Austria. Relative Effectiveness Assessment of pharmaceutical technologies. Brolucizumab for the treatment of adults with neovascular (wet) age-related macular degeneration (AMD). Joint Assessment. Diemen (The Netherlands): </w:t>
          </w:r>
          <w:proofErr w:type="spellStart"/>
          <w:r w:rsidRPr="00B142C3">
            <w:rPr>
              <w:rFonts w:eastAsia="Times New Roman"/>
            </w:rPr>
            <w:t>EUnetHTA</w:t>
          </w:r>
          <w:proofErr w:type="spellEnd"/>
          <w:r w:rsidRPr="00B142C3">
            <w:rPr>
              <w:rFonts w:eastAsia="Times New Roman"/>
            </w:rPr>
            <w:t xml:space="preserve"> Report No.: PTJA09. 2020. Available from: https //</w:t>
          </w:r>
          <w:proofErr w:type="gramStart"/>
          <w:r w:rsidRPr="00B142C3">
            <w:rPr>
              <w:rFonts w:eastAsia="Times New Roman"/>
            </w:rPr>
            <w:t>www.eunethta.eu;</w:t>
          </w:r>
          <w:proofErr w:type="gramEnd"/>
          <w:r w:rsidRPr="00B142C3">
            <w:rPr>
              <w:rFonts w:eastAsia="Times New Roman"/>
            </w:rPr>
            <w:t xml:space="preserve"> </w:t>
          </w:r>
        </w:p>
        <w:p w14:paraId="36FD7614"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66.        European Network for Health Technology Assessment (</w:t>
          </w:r>
          <w:proofErr w:type="spellStart"/>
          <w:r w:rsidRPr="00B142C3">
            <w:rPr>
              <w:rFonts w:eastAsia="Times New Roman"/>
            </w:rPr>
            <w:t>EUnetHTA</w:t>
          </w:r>
          <w:proofErr w:type="spellEnd"/>
          <w:r w:rsidRPr="00B142C3">
            <w:rPr>
              <w:rFonts w:eastAsia="Times New Roman"/>
            </w:rPr>
            <w:t>). Levels of evidence: Internal validity of randomised controlled trials [Internet]. 2015. Available from: https://www.eunethta.eu/wp-content/uploads/2018/01/16_WP7-SG3-GL-int_val_RCTs_amend2015.pdf</w:t>
          </w:r>
        </w:p>
        <w:p w14:paraId="34A7B08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67.        European Network for Health Technology Assessment (</w:t>
          </w:r>
          <w:proofErr w:type="spellStart"/>
          <w:r w:rsidRPr="00B142C3">
            <w:rPr>
              <w:rFonts w:eastAsia="Times New Roman"/>
            </w:rPr>
            <w:t>EUnetHTA</w:t>
          </w:r>
          <w:proofErr w:type="spellEnd"/>
          <w:r w:rsidRPr="00B142C3">
            <w:rPr>
              <w:rFonts w:eastAsia="Times New Roman"/>
            </w:rPr>
            <w:t>). Internal validity of non-randomised studies (NRS) on interventions [Internet]. 2015. Available from: https://www.eunethta.eu/wp-content/uploads/2018/01/Internal-validity-of-non-randomised-studies-NRS-on-interventions_Guideline_Final-Jul-2015_0.pdf</w:t>
          </w:r>
        </w:p>
        <w:p w14:paraId="202B63DD"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68.        European Network for Health Technology Assessment (</w:t>
          </w:r>
          <w:proofErr w:type="spellStart"/>
          <w:r w:rsidRPr="00B142C3">
            <w:rPr>
              <w:rFonts w:eastAsia="Times New Roman"/>
            </w:rPr>
            <w:t>EUnetHTA</w:t>
          </w:r>
          <w:proofErr w:type="spellEnd"/>
          <w:r w:rsidRPr="00B142C3">
            <w:rPr>
              <w:rFonts w:eastAsia="Times New Roman"/>
            </w:rPr>
            <w:t>). Levels of evidence: Applicability of evidence for the context of a relative effectiveness assessment [Internet]. 2015. Available from: https://www.eunethta.eu/wp-content/uploads/2018/01/Levels-of-Evidence-Applicability-of-evidence-for-the-context-of-a-relative-effectiveness-assessment_Amended-JA1-Guideline_Final-Nov-2015.pdf</w:t>
          </w:r>
        </w:p>
        <w:p w14:paraId="3BA2D9B2"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69.        Atkins D, Chang S, </w:t>
          </w:r>
          <w:proofErr w:type="spellStart"/>
          <w:r w:rsidRPr="00B142C3">
            <w:rPr>
              <w:rFonts w:eastAsia="Times New Roman"/>
            </w:rPr>
            <w:t>Gartlehner</w:t>
          </w:r>
          <w:proofErr w:type="spellEnd"/>
          <w:r w:rsidRPr="00B142C3">
            <w:rPr>
              <w:rFonts w:eastAsia="Times New Roman"/>
            </w:rPr>
            <w:t xml:space="preserve"> G, Buckley D, Whitlock E, Berliner E, et al. Assessing the Applicability of Studies When Comparing Medical Interventions. AHRQ Publication No.11-EHCO19-EF. </w:t>
          </w:r>
          <w:proofErr w:type="gramStart"/>
          <w:r w:rsidRPr="00B142C3">
            <w:rPr>
              <w:rFonts w:eastAsia="Times New Roman"/>
            </w:rPr>
            <w:t>2011;</w:t>
          </w:r>
          <w:proofErr w:type="gramEnd"/>
          <w:r w:rsidRPr="00B142C3">
            <w:rPr>
              <w:rFonts w:eastAsia="Times New Roman"/>
            </w:rPr>
            <w:t xml:space="preserve"> </w:t>
          </w:r>
        </w:p>
        <w:p w14:paraId="71865548"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70.        European Network for Health Technology Assessment (</w:t>
          </w:r>
          <w:proofErr w:type="spellStart"/>
          <w:r w:rsidRPr="00B142C3">
            <w:rPr>
              <w:rFonts w:eastAsia="Times New Roman"/>
            </w:rPr>
            <w:t>EUnetHTA</w:t>
          </w:r>
          <w:proofErr w:type="spellEnd"/>
          <w:r w:rsidRPr="00B142C3">
            <w:rPr>
              <w:rFonts w:eastAsia="Times New Roman"/>
            </w:rPr>
            <w:t>). Comparators &amp; Comparisons: Direct and indirect comparisons [Internet]. 2015. Available from: https://eunethta.eu/wp-content/uploads/2018/01/Comparators-Comparisons-Direct-and-indirect-comparisons_Amended-JA1-Guideline_Final-Nov-2015.pdf</w:t>
          </w:r>
        </w:p>
        <w:p w14:paraId="4982A045"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71.        </w:t>
          </w:r>
          <w:proofErr w:type="spellStart"/>
          <w:r w:rsidRPr="00B142C3">
            <w:rPr>
              <w:rFonts w:eastAsia="Times New Roman"/>
            </w:rPr>
            <w:t>Balshem</w:t>
          </w:r>
          <w:proofErr w:type="spellEnd"/>
          <w:r w:rsidRPr="00B142C3">
            <w:rPr>
              <w:rFonts w:eastAsia="Times New Roman"/>
            </w:rPr>
            <w:t xml:space="preserve"> H, Helfand M, </w:t>
          </w:r>
          <w:proofErr w:type="spellStart"/>
          <w:r w:rsidRPr="00B142C3">
            <w:rPr>
              <w:rFonts w:eastAsia="Times New Roman"/>
            </w:rPr>
            <w:t>Schünemann</w:t>
          </w:r>
          <w:proofErr w:type="spellEnd"/>
          <w:r w:rsidRPr="00B142C3">
            <w:rPr>
              <w:rFonts w:eastAsia="Times New Roman"/>
            </w:rPr>
            <w:t xml:space="preserve"> HJ, </w:t>
          </w:r>
          <w:proofErr w:type="spellStart"/>
          <w:r w:rsidRPr="00B142C3">
            <w:rPr>
              <w:rFonts w:eastAsia="Times New Roman"/>
            </w:rPr>
            <w:t>Oxman</w:t>
          </w:r>
          <w:proofErr w:type="spellEnd"/>
          <w:r w:rsidRPr="00B142C3">
            <w:rPr>
              <w:rFonts w:eastAsia="Times New Roman"/>
            </w:rPr>
            <w:t xml:space="preserve"> AD, Kunz R, </w:t>
          </w:r>
          <w:proofErr w:type="spellStart"/>
          <w:r w:rsidRPr="00B142C3">
            <w:rPr>
              <w:rFonts w:eastAsia="Times New Roman"/>
            </w:rPr>
            <w:t>Brozek</w:t>
          </w:r>
          <w:proofErr w:type="spellEnd"/>
          <w:r w:rsidRPr="00B142C3">
            <w:rPr>
              <w:rFonts w:eastAsia="Times New Roman"/>
            </w:rPr>
            <w:t xml:space="preserve"> J, et al. GRADE guidelines: 3. Rating the quality of evidence. Journal of Clinical Epidemiology. 2011;64(4):401–6. </w:t>
          </w:r>
        </w:p>
        <w:p w14:paraId="334B4D4F"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72.        </w:t>
          </w:r>
          <w:proofErr w:type="spellStart"/>
          <w:r w:rsidRPr="00B142C3">
            <w:rPr>
              <w:rFonts w:eastAsia="Times New Roman"/>
            </w:rPr>
            <w:t>Schünemann</w:t>
          </w:r>
          <w:proofErr w:type="spellEnd"/>
          <w:r w:rsidRPr="00B142C3">
            <w:rPr>
              <w:rFonts w:eastAsia="Times New Roman"/>
            </w:rPr>
            <w:t xml:space="preserve"> HJ, </w:t>
          </w:r>
          <w:proofErr w:type="spellStart"/>
          <w:r w:rsidRPr="00B142C3">
            <w:rPr>
              <w:rFonts w:eastAsia="Times New Roman"/>
            </w:rPr>
            <w:t>Cuello</w:t>
          </w:r>
          <w:proofErr w:type="spellEnd"/>
          <w:r w:rsidRPr="00B142C3">
            <w:rPr>
              <w:rFonts w:eastAsia="Times New Roman"/>
            </w:rPr>
            <w:t xml:space="preserve"> C, </w:t>
          </w:r>
          <w:proofErr w:type="spellStart"/>
          <w:r w:rsidRPr="00B142C3">
            <w:rPr>
              <w:rFonts w:eastAsia="Times New Roman"/>
            </w:rPr>
            <w:t>Akl</w:t>
          </w:r>
          <w:proofErr w:type="spellEnd"/>
          <w:r w:rsidRPr="00B142C3">
            <w:rPr>
              <w:rFonts w:eastAsia="Times New Roman"/>
            </w:rPr>
            <w:t xml:space="preserve"> EA, Mustafa RA, </w:t>
          </w:r>
          <w:proofErr w:type="spellStart"/>
          <w:r w:rsidRPr="00B142C3">
            <w:rPr>
              <w:rFonts w:eastAsia="Times New Roman"/>
            </w:rPr>
            <w:t>Meerpohl</w:t>
          </w:r>
          <w:proofErr w:type="spellEnd"/>
          <w:r w:rsidRPr="00B142C3">
            <w:rPr>
              <w:rFonts w:eastAsia="Times New Roman"/>
            </w:rPr>
            <w:t xml:space="preserve"> JJ, Thayer K, et al. GRADE guidelines: 18. How ROBINS-I and other tools to assess risk of bias in nonrandomized studies should be used to rate the certainty of a body of evidence. Journal of Clinical Epidemiology. 2019;111(2019):105–14. </w:t>
          </w:r>
        </w:p>
        <w:p w14:paraId="6AE1AC2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73.        Piggott T, Morgan RL, </w:t>
          </w:r>
          <w:proofErr w:type="spellStart"/>
          <w:r w:rsidRPr="00B142C3">
            <w:rPr>
              <w:rFonts w:eastAsia="Times New Roman"/>
            </w:rPr>
            <w:t>Cuello</w:t>
          </w:r>
          <w:proofErr w:type="spellEnd"/>
          <w:r w:rsidRPr="00B142C3">
            <w:rPr>
              <w:rFonts w:eastAsia="Times New Roman"/>
            </w:rPr>
            <w:t xml:space="preserve">-Garcia CA, </w:t>
          </w:r>
          <w:proofErr w:type="spellStart"/>
          <w:r w:rsidRPr="00B142C3">
            <w:rPr>
              <w:rFonts w:eastAsia="Times New Roman"/>
            </w:rPr>
            <w:t>Santesso</w:t>
          </w:r>
          <w:proofErr w:type="spellEnd"/>
          <w:r w:rsidRPr="00B142C3">
            <w:rPr>
              <w:rFonts w:eastAsia="Times New Roman"/>
            </w:rPr>
            <w:t xml:space="preserve"> N, Mustafa RA, </w:t>
          </w:r>
          <w:proofErr w:type="spellStart"/>
          <w:r w:rsidRPr="00B142C3">
            <w:rPr>
              <w:rFonts w:eastAsia="Times New Roman"/>
            </w:rPr>
            <w:t>Meerpohl</w:t>
          </w:r>
          <w:proofErr w:type="spellEnd"/>
          <w:r w:rsidRPr="00B142C3">
            <w:rPr>
              <w:rFonts w:eastAsia="Times New Roman"/>
            </w:rPr>
            <w:t xml:space="preserve"> JJ, et al. Grading of Recommendations Assessment, Development, and Evaluations (GRADE) notes: extremely serious, GRADE’s terminology for rating down by three levels. Journal of Clinical Epidemiology. </w:t>
          </w:r>
          <w:proofErr w:type="gramStart"/>
          <w:r w:rsidRPr="00B142C3">
            <w:rPr>
              <w:rFonts w:eastAsia="Times New Roman"/>
            </w:rPr>
            <w:t>2020;120:116</w:t>
          </w:r>
          <w:proofErr w:type="gramEnd"/>
          <w:r w:rsidRPr="00B142C3">
            <w:rPr>
              <w:rFonts w:eastAsia="Times New Roman"/>
            </w:rPr>
            <w:t xml:space="preserve">–20. </w:t>
          </w:r>
        </w:p>
        <w:p w14:paraId="6E968047"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74.        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w:t>
          </w:r>
          <w:proofErr w:type="spellStart"/>
          <w:r w:rsidRPr="00B142C3">
            <w:rPr>
              <w:rFonts w:eastAsia="Times New Roman"/>
            </w:rPr>
            <w:t>Vist</w:t>
          </w:r>
          <w:proofErr w:type="spellEnd"/>
          <w:r w:rsidRPr="00B142C3">
            <w:rPr>
              <w:rFonts w:eastAsia="Times New Roman"/>
            </w:rPr>
            <w:t xml:space="preserve"> G, Kunz R, </w:t>
          </w:r>
          <w:proofErr w:type="spellStart"/>
          <w:r w:rsidRPr="00B142C3">
            <w:rPr>
              <w:rFonts w:eastAsia="Times New Roman"/>
            </w:rPr>
            <w:t>Brozek</w:t>
          </w:r>
          <w:proofErr w:type="spellEnd"/>
          <w:r w:rsidRPr="00B142C3">
            <w:rPr>
              <w:rFonts w:eastAsia="Times New Roman"/>
            </w:rPr>
            <w:t xml:space="preserve"> J, Alonso-</w:t>
          </w:r>
          <w:proofErr w:type="spellStart"/>
          <w:r w:rsidRPr="00B142C3">
            <w:rPr>
              <w:rFonts w:eastAsia="Times New Roman"/>
            </w:rPr>
            <w:t>Coello</w:t>
          </w:r>
          <w:proofErr w:type="spellEnd"/>
          <w:r w:rsidRPr="00B142C3">
            <w:rPr>
              <w:rFonts w:eastAsia="Times New Roman"/>
            </w:rPr>
            <w:t xml:space="preserve"> P, et al. GRADE guidelines: 4. Rating the quality of evidence - Study limitations (risk of bias). Journal of Clinical Epidemiology. 2011;64(4):407–15. </w:t>
          </w:r>
        </w:p>
        <w:p w14:paraId="1EC4067A"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75.        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Kunz R, </w:t>
          </w:r>
          <w:proofErr w:type="spellStart"/>
          <w:r w:rsidRPr="00B142C3">
            <w:rPr>
              <w:rFonts w:eastAsia="Times New Roman"/>
            </w:rPr>
            <w:t>Brozek</w:t>
          </w:r>
          <w:proofErr w:type="spellEnd"/>
          <w:r w:rsidRPr="00B142C3">
            <w:rPr>
              <w:rFonts w:eastAsia="Times New Roman"/>
            </w:rPr>
            <w:t xml:space="preserve"> J, Alonso-</w:t>
          </w:r>
          <w:proofErr w:type="spellStart"/>
          <w:r w:rsidRPr="00B142C3">
            <w:rPr>
              <w:rFonts w:eastAsia="Times New Roman"/>
            </w:rPr>
            <w:t>Coello</w:t>
          </w:r>
          <w:proofErr w:type="spellEnd"/>
          <w:r w:rsidRPr="00B142C3">
            <w:rPr>
              <w:rFonts w:eastAsia="Times New Roman"/>
            </w:rPr>
            <w:t xml:space="preserve"> P, Rind D, et al. GRADE guidelines 6. Rating the quality of evidence - Imprecision. Journal of Clinical Epidemiology. 2011;64(12):1283–93. </w:t>
          </w:r>
        </w:p>
        <w:p w14:paraId="61393256"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lastRenderedPageBreak/>
            <w:t>76.        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Kunz R, Woodcock J, </w:t>
          </w:r>
          <w:proofErr w:type="spellStart"/>
          <w:r w:rsidRPr="00B142C3">
            <w:rPr>
              <w:rFonts w:eastAsia="Times New Roman"/>
            </w:rPr>
            <w:t>Brozek</w:t>
          </w:r>
          <w:proofErr w:type="spellEnd"/>
          <w:r w:rsidRPr="00B142C3">
            <w:rPr>
              <w:rFonts w:eastAsia="Times New Roman"/>
            </w:rPr>
            <w:t xml:space="preserve"> J, Helfand M, et al. GRADE guidelines: 7. Rating the quality of evidence - Inconsistency. Journal of Clinical Epidemiology. 2011;64(12):1294–302. </w:t>
          </w:r>
        </w:p>
        <w:p w14:paraId="6A4CFA09"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77.        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Kunz R, Woodcock J, </w:t>
          </w:r>
          <w:proofErr w:type="spellStart"/>
          <w:r w:rsidRPr="00B142C3">
            <w:rPr>
              <w:rFonts w:eastAsia="Times New Roman"/>
            </w:rPr>
            <w:t>Brozek</w:t>
          </w:r>
          <w:proofErr w:type="spellEnd"/>
          <w:r w:rsidRPr="00B142C3">
            <w:rPr>
              <w:rFonts w:eastAsia="Times New Roman"/>
            </w:rPr>
            <w:t xml:space="preserve"> J, Helfand M, et al. GRADE guidelines: 8. Rating the quality of evidence - Indirectness. Journal of Clinical Epidemiology. 2011;64(12):1303–10. </w:t>
          </w:r>
        </w:p>
        <w:p w14:paraId="26212195"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78.        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w:t>
          </w:r>
          <w:proofErr w:type="spellStart"/>
          <w:r w:rsidRPr="00B142C3">
            <w:rPr>
              <w:rFonts w:eastAsia="Times New Roman"/>
            </w:rPr>
            <w:t>Montori</w:t>
          </w:r>
          <w:proofErr w:type="spellEnd"/>
          <w:r w:rsidRPr="00B142C3">
            <w:rPr>
              <w:rFonts w:eastAsia="Times New Roman"/>
            </w:rPr>
            <w:t xml:space="preserve"> V, </w:t>
          </w:r>
          <w:proofErr w:type="spellStart"/>
          <w:r w:rsidRPr="00B142C3">
            <w:rPr>
              <w:rFonts w:eastAsia="Times New Roman"/>
            </w:rPr>
            <w:t>Vist</w:t>
          </w:r>
          <w:proofErr w:type="spellEnd"/>
          <w:r w:rsidRPr="00B142C3">
            <w:rPr>
              <w:rFonts w:eastAsia="Times New Roman"/>
            </w:rPr>
            <w:t xml:space="preserve"> G, Kunz R, </w:t>
          </w:r>
          <w:proofErr w:type="spellStart"/>
          <w:r w:rsidRPr="00B142C3">
            <w:rPr>
              <w:rFonts w:eastAsia="Times New Roman"/>
            </w:rPr>
            <w:t>Brozek</w:t>
          </w:r>
          <w:proofErr w:type="spellEnd"/>
          <w:r w:rsidRPr="00B142C3">
            <w:rPr>
              <w:rFonts w:eastAsia="Times New Roman"/>
            </w:rPr>
            <w:t xml:space="preserve"> J, et al. GRADE guidelines: 5. Rating the quality of evidence - Publication bias. Journal of Clinical Epidemiology. 2011;64(12):1277–82. </w:t>
          </w:r>
        </w:p>
        <w:p w14:paraId="601223B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79.        </w:t>
          </w:r>
          <w:proofErr w:type="spellStart"/>
          <w:r w:rsidRPr="00B142C3">
            <w:rPr>
              <w:rFonts w:eastAsia="Times New Roman"/>
            </w:rPr>
            <w:t>Guyatt</w:t>
          </w:r>
          <w:proofErr w:type="spellEnd"/>
          <w:r w:rsidRPr="00B142C3">
            <w:rPr>
              <w:rFonts w:eastAsia="Times New Roman"/>
            </w:rPr>
            <w:t xml:space="preserve"> GH, </w:t>
          </w:r>
          <w:proofErr w:type="spellStart"/>
          <w:r w:rsidRPr="00B142C3">
            <w:rPr>
              <w:rFonts w:eastAsia="Times New Roman"/>
            </w:rPr>
            <w:t>Oxman</w:t>
          </w:r>
          <w:proofErr w:type="spellEnd"/>
          <w:r w:rsidRPr="00B142C3">
            <w:rPr>
              <w:rFonts w:eastAsia="Times New Roman"/>
            </w:rPr>
            <w:t xml:space="preserve"> AD, Sultan S, </w:t>
          </w:r>
          <w:proofErr w:type="spellStart"/>
          <w:r w:rsidRPr="00B142C3">
            <w:rPr>
              <w:rFonts w:eastAsia="Times New Roman"/>
            </w:rPr>
            <w:t>Glasziou</w:t>
          </w:r>
          <w:proofErr w:type="spellEnd"/>
          <w:r w:rsidRPr="00B142C3">
            <w:rPr>
              <w:rFonts w:eastAsia="Times New Roman"/>
            </w:rPr>
            <w:t xml:space="preserve"> P, </w:t>
          </w:r>
          <w:proofErr w:type="spellStart"/>
          <w:r w:rsidRPr="00B142C3">
            <w:rPr>
              <w:rFonts w:eastAsia="Times New Roman"/>
            </w:rPr>
            <w:t>Akl</w:t>
          </w:r>
          <w:proofErr w:type="spellEnd"/>
          <w:r w:rsidRPr="00B142C3">
            <w:rPr>
              <w:rFonts w:eastAsia="Times New Roman"/>
            </w:rPr>
            <w:t xml:space="preserve"> EA, Alonso-</w:t>
          </w:r>
          <w:proofErr w:type="spellStart"/>
          <w:r w:rsidRPr="00B142C3">
            <w:rPr>
              <w:rFonts w:eastAsia="Times New Roman"/>
            </w:rPr>
            <w:t>Coello</w:t>
          </w:r>
          <w:proofErr w:type="spellEnd"/>
          <w:r w:rsidRPr="00B142C3">
            <w:rPr>
              <w:rFonts w:eastAsia="Times New Roman"/>
            </w:rPr>
            <w:t xml:space="preserve"> P, et al. GRADE guidelines: 9. Rating up the quality of evidence. Journal of Clinical Epidemiology. 2011;64(12):1311–6. </w:t>
          </w:r>
        </w:p>
        <w:p w14:paraId="32F06A50"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 xml:space="preserve">80.        Andrews JC, </w:t>
          </w:r>
          <w:proofErr w:type="spellStart"/>
          <w:r w:rsidRPr="00B142C3">
            <w:rPr>
              <w:rFonts w:eastAsia="Times New Roman"/>
            </w:rPr>
            <w:t>Schünemann</w:t>
          </w:r>
          <w:proofErr w:type="spellEnd"/>
          <w:r w:rsidRPr="00B142C3">
            <w:rPr>
              <w:rFonts w:eastAsia="Times New Roman"/>
            </w:rPr>
            <w:t xml:space="preserve"> HJ, </w:t>
          </w:r>
          <w:proofErr w:type="spellStart"/>
          <w:r w:rsidRPr="00B142C3">
            <w:rPr>
              <w:rFonts w:eastAsia="Times New Roman"/>
            </w:rPr>
            <w:t>Oxman</w:t>
          </w:r>
          <w:proofErr w:type="spellEnd"/>
          <w:r w:rsidRPr="00B142C3">
            <w:rPr>
              <w:rFonts w:eastAsia="Times New Roman"/>
            </w:rPr>
            <w:t xml:space="preserve"> AD, </w:t>
          </w:r>
          <w:proofErr w:type="spellStart"/>
          <w:r w:rsidRPr="00B142C3">
            <w:rPr>
              <w:rFonts w:eastAsia="Times New Roman"/>
            </w:rPr>
            <w:t>Pottie</w:t>
          </w:r>
          <w:proofErr w:type="spellEnd"/>
          <w:r w:rsidRPr="00B142C3">
            <w:rPr>
              <w:rFonts w:eastAsia="Times New Roman"/>
            </w:rPr>
            <w:t xml:space="preserve"> K, </w:t>
          </w:r>
          <w:proofErr w:type="spellStart"/>
          <w:r w:rsidRPr="00B142C3">
            <w:rPr>
              <w:rFonts w:eastAsia="Times New Roman"/>
            </w:rPr>
            <w:t>Meerpohl</w:t>
          </w:r>
          <w:proofErr w:type="spellEnd"/>
          <w:r w:rsidRPr="00B142C3">
            <w:rPr>
              <w:rFonts w:eastAsia="Times New Roman"/>
            </w:rPr>
            <w:t xml:space="preserve"> JJ, </w:t>
          </w:r>
          <w:proofErr w:type="spellStart"/>
          <w:r w:rsidRPr="00B142C3">
            <w:rPr>
              <w:rFonts w:eastAsia="Times New Roman"/>
            </w:rPr>
            <w:t>Coello</w:t>
          </w:r>
          <w:proofErr w:type="spellEnd"/>
          <w:r w:rsidRPr="00B142C3">
            <w:rPr>
              <w:rFonts w:eastAsia="Times New Roman"/>
            </w:rPr>
            <w:t xml:space="preserve"> PA, et al. GRADE guidelines: 15. Going from evidence to recommendation - Determinants of a recommendation’s direction and strength. Journal of Clinical Epidemiology. 2013;66(7):726–35. </w:t>
          </w:r>
        </w:p>
        <w:p w14:paraId="4C2B4233" w14:textId="77777777" w:rsidR="00B83354" w:rsidRPr="00B142C3" w:rsidRDefault="00B83354" w:rsidP="00B83354">
          <w:pPr>
            <w:autoSpaceDE w:val="0"/>
            <w:autoSpaceDN w:val="0"/>
            <w:spacing w:line="259" w:lineRule="auto"/>
            <w:ind w:hanging="640"/>
            <w:rPr>
              <w:rFonts w:eastAsia="Times New Roman"/>
            </w:rPr>
          </w:pPr>
          <w:r w:rsidRPr="00B142C3">
            <w:rPr>
              <w:rFonts w:eastAsia="Times New Roman"/>
            </w:rPr>
            <w:t>81.        </w:t>
          </w:r>
          <w:proofErr w:type="spellStart"/>
          <w:r w:rsidRPr="00B142C3">
            <w:rPr>
              <w:rFonts w:eastAsia="Times New Roman"/>
            </w:rPr>
            <w:t>Alper</w:t>
          </w:r>
          <w:proofErr w:type="spellEnd"/>
          <w:r w:rsidRPr="00B142C3">
            <w:rPr>
              <w:rFonts w:eastAsia="Times New Roman"/>
            </w:rPr>
            <w:t xml:space="preserve"> BS, </w:t>
          </w:r>
          <w:proofErr w:type="spellStart"/>
          <w:r w:rsidRPr="00B142C3">
            <w:rPr>
              <w:rFonts w:eastAsia="Times New Roman"/>
            </w:rPr>
            <w:t>Oettgen</w:t>
          </w:r>
          <w:proofErr w:type="spellEnd"/>
          <w:r w:rsidRPr="00B142C3">
            <w:rPr>
              <w:rFonts w:eastAsia="Times New Roman"/>
            </w:rPr>
            <w:t xml:space="preserve"> P, </w:t>
          </w:r>
          <w:proofErr w:type="spellStart"/>
          <w:r w:rsidRPr="00B142C3">
            <w:rPr>
              <w:rFonts w:eastAsia="Times New Roman"/>
            </w:rPr>
            <w:t>Kunnamo</w:t>
          </w:r>
          <w:proofErr w:type="spellEnd"/>
          <w:r w:rsidRPr="00B142C3">
            <w:rPr>
              <w:rFonts w:eastAsia="Times New Roman"/>
            </w:rPr>
            <w:t xml:space="preserve"> I, </w:t>
          </w:r>
          <w:proofErr w:type="spellStart"/>
          <w:r w:rsidRPr="00B142C3">
            <w:rPr>
              <w:rFonts w:eastAsia="Times New Roman"/>
            </w:rPr>
            <w:t>Iorio</w:t>
          </w:r>
          <w:proofErr w:type="spellEnd"/>
          <w:r w:rsidRPr="00B142C3">
            <w:rPr>
              <w:rFonts w:eastAsia="Times New Roman"/>
            </w:rPr>
            <w:t xml:space="preserve"> A, Ansari MT, Murad MH, et al. Defining certainty of net benefit: A GRADE concept paper. BMJ Open. 2019;9(6):1–8. </w:t>
          </w:r>
        </w:p>
        <w:p w14:paraId="32976EC7" w14:textId="77777777" w:rsidR="00B83354" w:rsidRPr="00B142C3" w:rsidRDefault="00B83354" w:rsidP="00B83354">
          <w:pPr>
            <w:spacing w:after="60"/>
            <w:jc w:val="both"/>
            <w:rPr>
              <w:rFonts w:cs="Times New Roman"/>
              <w:b/>
              <w:bCs/>
              <w:lang w:val="en-US"/>
            </w:rPr>
          </w:pPr>
          <w:r w:rsidRPr="00B142C3">
            <w:rPr>
              <w:rFonts w:eastAsia="Times New Roman"/>
            </w:rPr>
            <w:t> </w:t>
          </w:r>
        </w:p>
      </w:sdtContent>
    </w:sdt>
    <w:p w14:paraId="638C82AC" w14:textId="72469556" w:rsidR="00BD2DE2" w:rsidRPr="000E77E8" w:rsidRDefault="00BD2DE2" w:rsidP="000E77E8">
      <w:pPr>
        <w:jc w:val="both"/>
        <w:rPr>
          <w:rFonts w:cs="Times New Roman"/>
          <w:b/>
          <w:bCs/>
          <w:sz w:val="32"/>
          <w:szCs w:val="32"/>
        </w:rPr>
      </w:pPr>
    </w:p>
    <w:sectPr w:rsidR="00BD2DE2" w:rsidRPr="000E77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7836" w14:textId="77777777" w:rsidR="006D3638" w:rsidRDefault="006D3638" w:rsidP="00B83354">
      <w:pPr>
        <w:spacing w:after="0" w:line="240" w:lineRule="auto"/>
      </w:pPr>
      <w:r>
        <w:separator/>
      </w:r>
    </w:p>
  </w:endnote>
  <w:endnote w:type="continuationSeparator" w:id="0">
    <w:p w14:paraId="5F33CC2E" w14:textId="77777777" w:rsidR="006D3638" w:rsidRDefault="006D3638" w:rsidP="00B8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5511" w14:textId="77777777" w:rsidR="006D3638" w:rsidRDefault="006D3638" w:rsidP="00B83354">
      <w:pPr>
        <w:spacing w:after="0" w:line="240" w:lineRule="auto"/>
      </w:pPr>
      <w:r>
        <w:separator/>
      </w:r>
    </w:p>
  </w:footnote>
  <w:footnote w:type="continuationSeparator" w:id="0">
    <w:p w14:paraId="0AC6500D" w14:textId="77777777" w:rsidR="006D3638" w:rsidRDefault="006D3638" w:rsidP="00B83354">
      <w:pPr>
        <w:spacing w:after="0" w:line="240" w:lineRule="auto"/>
      </w:pPr>
      <w:r>
        <w:continuationSeparator/>
      </w:r>
    </w:p>
  </w:footnote>
  <w:footnote w:id="1">
    <w:p w14:paraId="5AB39618" w14:textId="77777777" w:rsidR="00BD2DE2" w:rsidRPr="00432DE2" w:rsidRDefault="00BD2DE2" w:rsidP="00B83354">
      <w:pPr>
        <w:pStyle w:val="FootnoteText"/>
        <w:rPr>
          <w:rFonts w:cs="Times New Roman"/>
          <w:sz w:val="21"/>
          <w:szCs w:val="21"/>
          <w:shd w:val="clear" w:color="auto" w:fill="FFFFFF"/>
        </w:rPr>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 3.3 \ </w:t>
      </w:r>
      <w:r w:rsidRPr="00432DE2">
        <w:rPr>
          <w:rFonts w:ascii="Cambria Math" w:hAnsi="Cambria Math" w:cs="Cambria Math"/>
          <w:sz w:val="21"/>
          <w:szCs w:val="21"/>
          <w:shd w:val="clear" w:color="auto" w:fill="FFFFFF"/>
        </w:rPr>
        <w:t>▸</w:t>
      </w:r>
      <w:r>
        <w:rPr>
          <w:rFonts w:cs="Times New Roman"/>
          <w:sz w:val="21"/>
          <w:szCs w:val="21"/>
          <w:shd w:val="clear" w:color="auto" w:fill="FFFFFF"/>
        </w:rPr>
        <w:t>Sufficient CB</w:t>
      </w:r>
    </w:p>
  </w:footnote>
  <w:footnote w:id="2">
    <w:p w14:paraId="36920C22" w14:textId="77777777" w:rsidR="00BD2DE2" w:rsidRPr="001E4F54" w:rsidRDefault="00BD2DE2" w:rsidP="00B83354">
      <w:pPr>
        <w:pStyle w:val="FootnoteText"/>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5.2.6 </w:t>
      </w:r>
      <w:sdt>
        <w:sdtPr>
          <w:rPr>
            <w:rFonts w:cs="Times New Roman"/>
            <w:color w:val="000000"/>
            <w:sz w:val="21"/>
            <w:szCs w:val="21"/>
            <w:shd w:val="clear" w:color="auto" w:fill="FFFFFF"/>
          </w:rPr>
          <w:tag w:val="MENDELEY_CITATION_3239108e-53fa-4104-8701-ace9f88f648a"/>
          <w:id w:val="1230046917"/>
          <w:placeholder>
            <w:docPart w:val="7BD259A72BEF4C1EB8CC9F4499851450"/>
          </w:placeholder>
        </w:sdtPr>
        <w:sdtEndPr/>
        <w:sdtContent>
          <w:r w:rsidRPr="005F1174">
            <w:rPr>
              <w:rFonts w:cs="Times New Roman"/>
              <w:color w:val="000000"/>
              <w:sz w:val="21"/>
              <w:szCs w:val="21"/>
              <w:shd w:val="clear" w:color="auto" w:fill="FFFFFF"/>
            </w:rPr>
            <w:t>(27)</w:t>
          </w:r>
        </w:sdtContent>
      </w:sdt>
    </w:p>
  </w:footnote>
  <w:footnote w:id="3">
    <w:p w14:paraId="1BE84008" w14:textId="77777777" w:rsidR="00BD2DE2" w:rsidRPr="00A57AE0" w:rsidRDefault="00BD2DE2" w:rsidP="00B83354">
      <w:pPr>
        <w:pStyle w:val="FootnoteText"/>
        <w:jc w:val="both"/>
        <w:rPr>
          <w:lang w:val="en-US"/>
        </w:rPr>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5.2.1 </w:t>
      </w:r>
      <w:sdt>
        <w:sdtPr>
          <w:rPr>
            <w:rFonts w:cs="Times New Roman"/>
            <w:color w:val="000000"/>
            <w:sz w:val="21"/>
            <w:szCs w:val="21"/>
            <w:shd w:val="clear" w:color="auto" w:fill="FFFFFF"/>
          </w:rPr>
          <w:tag w:val="MENDELEY_CITATION_5bab07f7-3f98-4119-ada8-657d1f5fb982"/>
          <w:id w:val="662974503"/>
          <w:placeholder>
            <w:docPart w:val="1BAE5B81819B4DC3840A0118813A9C4A"/>
          </w:placeholder>
        </w:sdtPr>
        <w:sdtEndPr/>
        <w:sdtContent>
          <w:r w:rsidRPr="005F1174">
            <w:rPr>
              <w:rFonts w:cs="Times New Roman"/>
              <w:color w:val="000000"/>
              <w:sz w:val="21"/>
              <w:szCs w:val="21"/>
              <w:shd w:val="clear" w:color="auto" w:fill="FFFFFF"/>
            </w:rPr>
            <w:t>(27)</w:t>
          </w:r>
        </w:sdtContent>
      </w:sdt>
    </w:p>
  </w:footnote>
  <w:footnote w:id="4">
    <w:p w14:paraId="37ED37EB" w14:textId="77777777" w:rsidR="00BD2DE2" w:rsidRPr="002C47DB" w:rsidRDefault="00BD2DE2" w:rsidP="00B83354">
      <w:pPr>
        <w:pStyle w:val="FootnoteText"/>
        <w:rPr>
          <w:lang w:val="en-US"/>
        </w:rPr>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3.2 </w:t>
      </w:r>
      <w:sdt>
        <w:sdtPr>
          <w:rPr>
            <w:rFonts w:cs="Times New Roman"/>
            <w:color w:val="000000"/>
            <w:sz w:val="21"/>
            <w:szCs w:val="21"/>
            <w:shd w:val="clear" w:color="auto" w:fill="FFFFFF"/>
          </w:rPr>
          <w:tag w:val="MENDELEY_CITATION_a0ea1535-5613-48a4-8bf2-a2072122e688"/>
          <w:id w:val="2037540804"/>
          <w:placeholder>
            <w:docPart w:val="D69E3F54B41547D8A6353695082F624A"/>
          </w:placeholder>
        </w:sdtPr>
        <w:sdtEndPr/>
        <w:sdtContent>
          <w:r w:rsidRPr="005F1174">
            <w:rPr>
              <w:rFonts w:cs="Times New Roman"/>
              <w:color w:val="000000"/>
              <w:sz w:val="21"/>
              <w:szCs w:val="21"/>
              <w:shd w:val="clear" w:color="auto" w:fill="FFFFFF"/>
            </w:rPr>
            <w:t>(27)</w:t>
          </w:r>
        </w:sdtContent>
      </w:sdt>
    </w:p>
  </w:footnote>
  <w:footnote w:id="5">
    <w:p w14:paraId="2286F103" w14:textId="77777777" w:rsidR="00BD2DE2" w:rsidRPr="002C47DB" w:rsidRDefault="00BD2DE2" w:rsidP="00B83354">
      <w:pPr>
        <w:pStyle w:val="FootnoteText"/>
      </w:pPr>
      <w:r>
        <w:rPr>
          <w:rStyle w:val="FootnoteReference"/>
        </w:rPr>
        <w:footnoteRef/>
      </w:r>
      <w:r>
        <w:t xml:space="preserve"> </w:t>
      </w:r>
      <w:r w:rsidRPr="00A57AE0">
        <w:rPr>
          <w:rFonts w:cs="Times New Roman"/>
          <w:sz w:val="21"/>
          <w:szCs w:val="21"/>
          <w:shd w:val="clear" w:color="auto" w:fill="FFFFFF"/>
        </w:rPr>
        <w:t>§</w:t>
      </w:r>
      <w:r>
        <w:t xml:space="preserve">5.2.10 </w:t>
      </w:r>
      <w:sdt>
        <w:sdtPr>
          <w:rPr>
            <w:color w:val="000000"/>
          </w:rPr>
          <w:tag w:val="MENDELEY_CITATION_725c4fdf-5e69-44c1-84b0-b31eeb4c8509"/>
          <w:id w:val="932016400"/>
          <w:placeholder>
            <w:docPart w:val="D69E3F54B41547D8A6353695082F624A"/>
          </w:placeholder>
        </w:sdtPr>
        <w:sdtEndPr/>
        <w:sdtContent>
          <w:r w:rsidRPr="005F1174">
            <w:rPr>
              <w:color w:val="000000"/>
            </w:rPr>
            <w:t>(29)</w:t>
          </w:r>
        </w:sdtContent>
      </w:sdt>
    </w:p>
  </w:footnote>
  <w:footnote w:id="6">
    <w:p w14:paraId="2DD8D43C" w14:textId="77777777" w:rsidR="00BD2DE2" w:rsidRDefault="00BD2DE2" w:rsidP="00B83354">
      <w:pPr>
        <w:pStyle w:val="FootnoteText"/>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 2.5 </w:t>
      </w:r>
      <w:sdt>
        <w:sdtPr>
          <w:rPr>
            <w:rFonts w:cs="Times New Roman"/>
            <w:color w:val="000000"/>
            <w:sz w:val="21"/>
            <w:szCs w:val="21"/>
            <w:shd w:val="clear" w:color="auto" w:fill="FFFFFF"/>
          </w:rPr>
          <w:tag w:val="MENDELEY_CITATION_08180aa1-10ef-43ee-8c84-ba331df96dea"/>
          <w:id w:val="1007479173"/>
          <w:placeholder>
            <w:docPart w:val="AA5FF2E8917D4B8895D311D0FFA191DB"/>
          </w:placeholder>
        </w:sdtPr>
        <w:sdtEndPr/>
        <w:sdtContent>
          <w:r w:rsidRPr="005F1174">
            <w:rPr>
              <w:rFonts w:cs="Times New Roman"/>
              <w:color w:val="000000"/>
              <w:sz w:val="21"/>
              <w:szCs w:val="21"/>
              <w:shd w:val="clear" w:color="auto" w:fill="FFFFFF"/>
            </w:rPr>
            <w:t>(34)</w:t>
          </w:r>
        </w:sdtContent>
      </w:sdt>
    </w:p>
  </w:footnote>
  <w:footnote w:id="7">
    <w:p w14:paraId="7252DAF5" w14:textId="77777777" w:rsidR="00BD2DE2" w:rsidRPr="003F1E60" w:rsidRDefault="00BD2DE2" w:rsidP="00B83354">
      <w:pPr>
        <w:pStyle w:val="FootnoteText"/>
        <w:rPr>
          <w:lang w:val="en-US"/>
        </w:rPr>
      </w:pPr>
      <w:r>
        <w:rPr>
          <w:rStyle w:val="FootnoteReference"/>
        </w:rPr>
        <w:footnoteRef/>
      </w:r>
      <w:r>
        <w:t xml:space="preserve"> </w:t>
      </w:r>
      <w:r>
        <w:rPr>
          <w:lang w:val="en-US"/>
        </w:rPr>
        <w:t>NICE defines guidelines as ‘</w:t>
      </w:r>
      <w:r w:rsidRPr="003F1E60">
        <w:rPr>
          <w:lang w:val="en-US"/>
        </w:rPr>
        <w:t>evidence-based recommendations for health and care in England</w:t>
      </w:r>
      <w:r>
        <w:rPr>
          <w:lang w:val="en-US"/>
        </w:rPr>
        <w:t>’. This is a different process to that of ‘technology appraisal’.</w:t>
      </w:r>
    </w:p>
  </w:footnote>
  <w:footnote w:id="8">
    <w:p w14:paraId="6FA6EF0C" w14:textId="77777777" w:rsidR="00BD2DE2" w:rsidRPr="00A57AE0" w:rsidRDefault="00BD2DE2" w:rsidP="00B83354">
      <w:pPr>
        <w:pStyle w:val="FootnoteText"/>
        <w:jc w:val="both"/>
        <w:rPr>
          <w:lang w:val="en-US"/>
        </w:rPr>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6.4 \ Evidence Statements </w:t>
      </w:r>
      <w:sdt>
        <w:sdtPr>
          <w:rPr>
            <w:rFonts w:cs="Times New Roman"/>
            <w:color w:val="000000"/>
            <w:sz w:val="21"/>
            <w:szCs w:val="21"/>
            <w:shd w:val="clear" w:color="auto" w:fill="FFFFFF"/>
          </w:rPr>
          <w:tag w:val="MENDELEY_CITATION_3d33a947-1275-4df6-977e-3e1155c6b5f5"/>
          <w:id w:val="-185977548"/>
          <w:placeholder>
            <w:docPart w:val="D69E3F54B41547D8A6353695082F624A"/>
          </w:placeholder>
        </w:sdtPr>
        <w:sdtEndPr/>
        <w:sdtContent>
          <w:r w:rsidRPr="005F1174">
            <w:rPr>
              <w:rFonts w:cs="Times New Roman"/>
              <w:color w:val="000000"/>
              <w:sz w:val="21"/>
              <w:szCs w:val="21"/>
              <w:shd w:val="clear" w:color="auto" w:fill="FFFFFF"/>
            </w:rPr>
            <w:t>(34)</w:t>
          </w:r>
        </w:sdtContent>
      </w:sdt>
    </w:p>
  </w:footnote>
  <w:footnote w:id="9">
    <w:p w14:paraId="722D9DE9" w14:textId="77777777" w:rsidR="00BD2DE2" w:rsidRPr="00541A5F" w:rsidRDefault="00BD2DE2" w:rsidP="00B83354">
      <w:pPr>
        <w:pStyle w:val="FootnoteText"/>
        <w:jc w:val="both"/>
        <w:rPr>
          <w:rFonts w:cs="Times New Roman"/>
          <w:lang w:val="en-US"/>
        </w:rPr>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6.4 \ </w:t>
      </w:r>
      <w:r w:rsidRPr="00541A5F">
        <w:rPr>
          <w:rFonts w:cs="Times New Roman"/>
        </w:rPr>
        <w:t>Structure and content of evidence statements</w:t>
      </w:r>
      <w:r>
        <w:rPr>
          <w:rFonts w:cs="Times New Roman"/>
        </w:rPr>
        <w:t xml:space="preserve"> </w:t>
      </w:r>
      <w:sdt>
        <w:sdtPr>
          <w:rPr>
            <w:rFonts w:cs="Times New Roman"/>
            <w:color w:val="000000"/>
          </w:rPr>
          <w:tag w:val="MENDELEY_CITATION_e31961a3-f362-4129-9939-24b793193b08"/>
          <w:id w:val="-1165468296"/>
          <w:placeholder>
            <w:docPart w:val="D69E3F54B41547D8A6353695082F624A"/>
          </w:placeholder>
        </w:sdtPr>
        <w:sdtEndPr/>
        <w:sdtContent>
          <w:r w:rsidRPr="005F1174">
            <w:rPr>
              <w:rFonts w:cs="Times New Roman"/>
              <w:color w:val="000000"/>
            </w:rPr>
            <w:t>(39)</w:t>
          </w:r>
        </w:sdtContent>
      </w:sdt>
    </w:p>
  </w:footnote>
  <w:footnote w:id="10">
    <w:p w14:paraId="5B0FEBE7" w14:textId="77777777" w:rsidR="00BD2DE2" w:rsidRPr="00C60E11" w:rsidRDefault="00BD2DE2" w:rsidP="00B83354">
      <w:pPr>
        <w:pStyle w:val="FootnoteText"/>
      </w:pPr>
      <w:r>
        <w:rPr>
          <w:rStyle w:val="FootnoteReference"/>
        </w:rPr>
        <w:footnoteRef/>
      </w:r>
      <w:r>
        <w:t xml:space="preserve"> </w:t>
      </w:r>
      <w:r w:rsidRPr="00A57AE0">
        <w:rPr>
          <w:rFonts w:cs="Times New Roman"/>
          <w:sz w:val="21"/>
          <w:szCs w:val="21"/>
          <w:shd w:val="clear" w:color="auto" w:fill="FFFFFF"/>
        </w:rPr>
        <w:t>§</w:t>
      </w:r>
      <w:r>
        <w:rPr>
          <w:rFonts w:cs="Times New Roman"/>
          <w:sz w:val="21"/>
          <w:szCs w:val="21"/>
          <w:shd w:val="clear" w:color="auto" w:fill="FFFFFF"/>
        </w:rPr>
        <w:t xml:space="preserve">3.2.1 </w:t>
      </w:r>
      <w:sdt>
        <w:sdtPr>
          <w:rPr>
            <w:rFonts w:cs="Times New Roman"/>
            <w:color w:val="000000"/>
            <w:sz w:val="21"/>
            <w:szCs w:val="21"/>
            <w:shd w:val="clear" w:color="auto" w:fill="FFFFFF"/>
          </w:rPr>
          <w:tag w:val="MENDELEY_CITATION_59887624-dc4b-417b-8502-db0f10cd3891"/>
          <w:id w:val="539788870"/>
          <w:placeholder>
            <w:docPart w:val="DBFE02238C274A6FAEB0EFE47B26EF5E"/>
          </w:placeholder>
        </w:sdtPr>
        <w:sdtEndPr/>
        <w:sdtContent>
          <w:r w:rsidRPr="005F1174">
            <w:rPr>
              <w:rFonts w:cs="Times New Roman"/>
              <w:color w:val="000000"/>
              <w:sz w:val="21"/>
              <w:szCs w:val="21"/>
              <w:shd w:val="clear" w:color="auto" w:fill="FFFFFF"/>
            </w:rPr>
            <w:t>(39)</w:t>
          </w:r>
        </w:sdtContent>
      </w:sdt>
    </w:p>
  </w:footnote>
  <w:footnote w:id="11">
    <w:p w14:paraId="0CD9EB4A" w14:textId="77777777" w:rsidR="00BD2DE2" w:rsidRPr="00A57AE0" w:rsidRDefault="00BD2DE2" w:rsidP="00B83354">
      <w:pPr>
        <w:pStyle w:val="FootnoteText"/>
        <w:jc w:val="both"/>
        <w:rPr>
          <w:rFonts w:cs="Times New Roman"/>
          <w:lang w:val="en-US"/>
        </w:rPr>
      </w:pPr>
      <w:r w:rsidRPr="00A57AE0">
        <w:rPr>
          <w:rStyle w:val="FootnoteReference"/>
          <w:rFonts w:cs="Times New Roman"/>
        </w:rPr>
        <w:footnoteRef/>
      </w:r>
      <w:r w:rsidRPr="00A57AE0">
        <w:rPr>
          <w:rFonts w:cs="Times New Roman"/>
        </w:rPr>
        <w:t xml:space="preserve"> </w:t>
      </w:r>
      <w:r w:rsidRPr="00A57AE0">
        <w:rPr>
          <w:rFonts w:cs="Times New Roman"/>
          <w:sz w:val="21"/>
          <w:szCs w:val="21"/>
          <w:shd w:val="clear" w:color="auto" w:fill="FFFFFF"/>
        </w:rPr>
        <w:t>§</w:t>
      </w:r>
      <w:r w:rsidRPr="00A57AE0">
        <w:rPr>
          <w:rFonts w:cs="Times New Roman"/>
          <w:color w:val="3C4043"/>
          <w:sz w:val="21"/>
          <w:szCs w:val="21"/>
          <w:shd w:val="clear" w:color="auto" w:fill="FFFFFF"/>
        </w:rPr>
        <w:t>3.3.</w:t>
      </w:r>
      <w:r>
        <w:rPr>
          <w:rFonts w:cs="Times New Roman"/>
          <w:color w:val="3C4043"/>
          <w:sz w:val="21"/>
          <w:szCs w:val="21"/>
          <w:shd w:val="clear" w:color="auto" w:fill="FFFFFF"/>
        </w:rPr>
        <w:t xml:space="preserve">2 </w:t>
      </w:r>
      <w:sdt>
        <w:sdtPr>
          <w:rPr>
            <w:rFonts w:cs="Times New Roman"/>
            <w:color w:val="000000"/>
            <w:sz w:val="21"/>
            <w:szCs w:val="21"/>
            <w:shd w:val="clear" w:color="auto" w:fill="FFFFFF"/>
          </w:rPr>
          <w:tag w:val="MENDELEY_CITATION_8bf5fc70-ba57-47d8-a9e9-ccf22d20f297"/>
          <w:id w:val="1279684371"/>
          <w:placeholder>
            <w:docPart w:val="D69E3F54B41547D8A6353695082F624A"/>
          </w:placeholder>
        </w:sdtPr>
        <w:sdtEndPr/>
        <w:sdtContent>
          <w:r w:rsidRPr="005F1174">
            <w:rPr>
              <w:rFonts w:cs="Times New Roman"/>
              <w:color w:val="000000"/>
              <w:sz w:val="21"/>
              <w:szCs w:val="21"/>
              <w:shd w:val="clear" w:color="auto" w:fill="FFFFFF"/>
            </w:rPr>
            <w:t>(38)</w:t>
          </w:r>
        </w:sdtContent>
      </w:sdt>
    </w:p>
  </w:footnote>
  <w:footnote w:id="12">
    <w:p w14:paraId="1F243EB7" w14:textId="77777777" w:rsidR="00BD2DE2" w:rsidRPr="00436D69" w:rsidRDefault="00BD2DE2" w:rsidP="00B83354">
      <w:pPr>
        <w:pStyle w:val="FootnoteText"/>
        <w:jc w:val="both"/>
        <w:rPr>
          <w:lang w:val="en-US"/>
        </w:rPr>
      </w:pPr>
      <w:r>
        <w:rPr>
          <w:rStyle w:val="FootnoteReference"/>
        </w:rPr>
        <w:footnoteRef/>
      </w:r>
      <w:r>
        <w:rPr>
          <w:rFonts w:cs="Times New Roman"/>
          <w:sz w:val="21"/>
          <w:szCs w:val="21"/>
          <w:shd w:val="clear" w:color="auto" w:fill="FFFFFF"/>
        </w:rPr>
        <w:t xml:space="preserve"> </w:t>
      </w:r>
      <w:r w:rsidRPr="00A57AE0">
        <w:rPr>
          <w:rFonts w:cs="Times New Roman"/>
          <w:sz w:val="21"/>
          <w:szCs w:val="21"/>
          <w:shd w:val="clear" w:color="auto" w:fill="FFFFFF"/>
        </w:rPr>
        <w:t>§</w:t>
      </w:r>
      <w:r>
        <w:rPr>
          <w:rFonts w:cs="Times New Roman"/>
          <w:sz w:val="21"/>
          <w:szCs w:val="21"/>
          <w:shd w:val="clear" w:color="auto" w:fill="FFFFFF"/>
        </w:rPr>
        <w:t xml:space="preserve"> Fixed EBM Steps \ Step 3: Determining the final assessment/conclusion </w:t>
      </w:r>
      <w:sdt>
        <w:sdtPr>
          <w:rPr>
            <w:rFonts w:cs="Times New Roman"/>
            <w:color w:val="000000"/>
            <w:sz w:val="21"/>
            <w:szCs w:val="21"/>
            <w:shd w:val="clear" w:color="auto" w:fill="FFFFFF"/>
          </w:rPr>
          <w:tag w:val="MENDELEY_CITATION_9d1698fd-20a9-4efe-8b27-3703dd01bcdd"/>
          <w:id w:val="-1661768948"/>
          <w:placeholder>
            <w:docPart w:val="D69E3F54B41547D8A6353695082F624A"/>
          </w:placeholder>
        </w:sdtPr>
        <w:sdtEndPr/>
        <w:sdtContent>
          <w:r w:rsidRPr="005F1174">
            <w:rPr>
              <w:rFonts w:cs="Times New Roman"/>
              <w:color w:val="000000"/>
              <w:sz w:val="21"/>
              <w:szCs w:val="21"/>
              <w:shd w:val="clear" w:color="auto" w:fill="FFFFFF"/>
            </w:rPr>
            <w:t>(48)</w:t>
          </w:r>
        </w:sdtContent>
      </w:sdt>
    </w:p>
  </w:footnote>
  <w:footnote w:id="13">
    <w:p w14:paraId="44FB342F" w14:textId="77777777" w:rsidR="00BD2DE2" w:rsidRPr="000469AF" w:rsidRDefault="00BD2DE2" w:rsidP="00B83354">
      <w:pPr>
        <w:pStyle w:val="FootnoteText"/>
        <w:jc w:val="both"/>
        <w:rPr>
          <w:lang w:val="en-US"/>
        </w:rPr>
      </w:pPr>
      <w:r>
        <w:rPr>
          <w:rStyle w:val="FootnoteReference"/>
        </w:rPr>
        <w:footnoteRef/>
      </w:r>
      <w:r>
        <w:t xml:space="preserve"> </w:t>
      </w:r>
      <w:r w:rsidRPr="00A57AE0">
        <w:rPr>
          <w:rFonts w:cs="Times New Roman"/>
          <w:sz w:val="21"/>
          <w:szCs w:val="21"/>
          <w:shd w:val="clear" w:color="auto" w:fill="FFFFFF"/>
        </w:rPr>
        <w:t>§</w:t>
      </w:r>
      <w:r>
        <w:rPr>
          <w:rFonts w:cs="Times New Roman"/>
          <w:iCs/>
          <w:color w:val="000000"/>
          <w:lang w:val="en-US"/>
        </w:rPr>
        <w:t xml:space="preserve"> ‘Methodology’ section \ ‘Tools for Critical Appraisals’, ‘Analyzing and Synthesizing Evidence’ &amp; ‘Reporting and Interpreting’ </w:t>
      </w:r>
      <w:sdt>
        <w:sdtPr>
          <w:rPr>
            <w:rFonts w:cs="Times New Roman"/>
            <w:iCs/>
            <w:color w:val="000000"/>
            <w:lang w:val="en-US"/>
          </w:rPr>
          <w:tag w:val="MENDELEY_CITATION_e1519836-ade5-441b-8f8c-17978a02668f"/>
          <w:id w:val="1375581629"/>
          <w:placeholder>
            <w:docPart w:val="D69E3F54B41547D8A6353695082F624A"/>
          </w:placeholder>
        </w:sdtPr>
        <w:sdtEndPr/>
        <w:sdtContent>
          <w:r w:rsidRPr="005F1174">
            <w:rPr>
              <w:rFonts w:cs="Times New Roman"/>
              <w:iCs/>
              <w:color w:val="000000"/>
              <w:lang w:val="en-US"/>
            </w:rPr>
            <w:t>(60)</w:t>
          </w:r>
        </w:sdtContent>
      </w:sdt>
      <w:r>
        <w:rPr>
          <w:rFonts w:cs="Times New Roman"/>
          <w:iCs/>
          <w:color w:val="00000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2CC"/>
    <w:multiLevelType w:val="hybridMultilevel"/>
    <w:tmpl w:val="E22407AC"/>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0C7"/>
    <w:multiLevelType w:val="hybridMultilevel"/>
    <w:tmpl w:val="FAD46010"/>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77616"/>
    <w:multiLevelType w:val="hybridMultilevel"/>
    <w:tmpl w:val="DD62B4B6"/>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B36FD"/>
    <w:multiLevelType w:val="hybridMultilevel"/>
    <w:tmpl w:val="ACFCB3B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324962FC"/>
    <w:multiLevelType w:val="hybridMultilevel"/>
    <w:tmpl w:val="5EDC87B0"/>
    <w:lvl w:ilvl="0" w:tplc="77B029E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3B0A28FD"/>
    <w:multiLevelType w:val="hybridMultilevel"/>
    <w:tmpl w:val="9CCE35A6"/>
    <w:lvl w:ilvl="0" w:tplc="BD68D7B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1511D0"/>
    <w:multiLevelType w:val="hybridMultilevel"/>
    <w:tmpl w:val="1ACC79A4"/>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47BFB"/>
    <w:multiLevelType w:val="hybridMultilevel"/>
    <w:tmpl w:val="613469EE"/>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27337"/>
    <w:multiLevelType w:val="hybridMultilevel"/>
    <w:tmpl w:val="C708F93C"/>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56025"/>
    <w:multiLevelType w:val="hybridMultilevel"/>
    <w:tmpl w:val="5180FB2C"/>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C1158"/>
    <w:multiLevelType w:val="hybridMultilevel"/>
    <w:tmpl w:val="4204EA96"/>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F4D5A"/>
    <w:multiLevelType w:val="hybridMultilevel"/>
    <w:tmpl w:val="91B4274A"/>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A6D7E"/>
    <w:multiLevelType w:val="hybridMultilevel"/>
    <w:tmpl w:val="4EE074F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8C5C1C4A">
      <w:start w:val="1"/>
      <mc:AlternateContent>
        <mc:Choice Requires="w14">
          <w:numFmt w:val="custom" w:format="α, β, γ, ..."/>
        </mc:Choice>
        <mc:Fallback>
          <w:numFmt w:val="decimal"/>
        </mc:Fallback>
      </mc:AlternateContent>
      <w:lvlText w:val="%3."/>
      <w:lvlJc w:val="left"/>
      <w:pPr>
        <w:ind w:left="18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643D6"/>
    <w:multiLevelType w:val="hybridMultilevel"/>
    <w:tmpl w:val="3C4A570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6DEC3BE9"/>
    <w:multiLevelType w:val="hybridMultilevel"/>
    <w:tmpl w:val="3382504A"/>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638E6"/>
    <w:multiLevelType w:val="hybridMultilevel"/>
    <w:tmpl w:val="40BCF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9A181B"/>
    <w:multiLevelType w:val="hybridMultilevel"/>
    <w:tmpl w:val="18E424E2"/>
    <w:lvl w:ilvl="0" w:tplc="67F80A1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0"/>
  </w:num>
  <w:num w:numId="6">
    <w:abstractNumId w:val="7"/>
  </w:num>
  <w:num w:numId="7">
    <w:abstractNumId w:val="9"/>
  </w:num>
  <w:num w:numId="8">
    <w:abstractNumId w:val="16"/>
  </w:num>
  <w:num w:numId="9">
    <w:abstractNumId w:val="10"/>
  </w:num>
  <w:num w:numId="10">
    <w:abstractNumId w:val="11"/>
  </w:num>
  <w:num w:numId="11">
    <w:abstractNumId w:val="2"/>
  </w:num>
  <w:num w:numId="12">
    <w:abstractNumId w:val="6"/>
  </w:num>
  <w:num w:numId="13">
    <w:abstractNumId w:val="1"/>
  </w:num>
  <w:num w:numId="14">
    <w:abstractNumId w:val="8"/>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54"/>
    <w:rsid w:val="00027490"/>
    <w:rsid w:val="0007535E"/>
    <w:rsid w:val="000E3273"/>
    <w:rsid w:val="000E77E8"/>
    <w:rsid w:val="00113578"/>
    <w:rsid w:val="00276270"/>
    <w:rsid w:val="003B104A"/>
    <w:rsid w:val="00426AF4"/>
    <w:rsid w:val="004404BE"/>
    <w:rsid w:val="004B6FE4"/>
    <w:rsid w:val="004E38B2"/>
    <w:rsid w:val="00585FD6"/>
    <w:rsid w:val="00655074"/>
    <w:rsid w:val="006D3638"/>
    <w:rsid w:val="006D4317"/>
    <w:rsid w:val="007553D2"/>
    <w:rsid w:val="008229DC"/>
    <w:rsid w:val="00853F7C"/>
    <w:rsid w:val="00AE1BFC"/>
    <w:rsid w:val="00B62317"/>
    <w:rsid w:val="00B83354"/>
    <w:rsid w:val="00B92AA3"/>
    <w:rsid w:val="00BD2DE2"/>
    <w:rsid w:val="00CD48AC"/>
    <w:rsid w:val="00D86534"/>
    <w:rsid w:val="00E03219"/>
    <w:rsid w:val="00EB15AB"/>
    <w:rsid w:val="00FD0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1969"/>
  <w15:chartTrackingRefBased/>
  <w15:docId w15:val="{295A5E33-D0F9-4551-B976-9D5598D8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54"/>
    <w:pPr>
      <w:spacing w:line="360" w:lineRule="auto"/>
    </w:pPr>
    <w:rPr>
      <w:rFonts w:ascii="Times New Roman" w:hAnsi="Times New Roman"/>
      <w:lang w:val="en-GB"/>
    </w:rPr>
  </w:style>
  <w:style w:type="paragraph" w:styleId="Heading1">
    <w:name w:val="heading 1"/>
    <w:basedOn w:val="Normal"/>
    <w:next w:val="Normal"/>
    <w:link w:val="Heading1Char"/>
    <w:uiPriority w:val="9"/>
    <w:qFormat/>
    <w:rsid w:val="00B83354"/>
    <w:pPr>
      <w:keepNext/>
      <w:keepLines/>
      <w:spacing w:before="240" w:after="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83354"/>
    <w:pPr>
      <w:keepNext/>
      <w:keepLines/>
      <w:spacing w:before="2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83354"/>
    <w:pPr>
      <w:keepNext/>
      <w:keepLines/>
      <w:spacing w:before="40" w:after="0"/>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354"/>
    <w:rPr>
      <w:rFonts w:ascii="Times New Roman" w:eastAsiaTheme="majorEastAsia" w:hAnsi="Times New Roman" w:cstheme="majorBidi"/>
      <w:b/>
      <w:sz w:val="24"/>
      <w:szCs w:val="32"/>
      <w:lang w:val="en-GB"/>
    </w:rPr>
  </w:style>
  <w:style w:type="character" w:customStyle="1" w:styleId="Heading2Char">
    <w:name w:val="Heading 2 Char"/>
    <w:basedOn w:val="DefaultParagraphFont"/>
    <w:link w:val="Heading2"/>
    <w:uiPriority w:val="9"/>
    <w:rsid w:val="00B83354"/>
    <w:rPr>
      <w:rFonts w:ascii="Times New Roman" w:eastAsiaTheme="majorEastAsia" w:hAnsi="Times New Roman" w:cstheme="majorBidi"/>
      <w:b/>
      <w:szCs w:val="26"/>
      <w:lang w:val="en-GB"/>
    </w:rPr>
  </w:style>
  <w:style w:type="character" w:customStyle="1" w:styleId="Heading3Char">
    <w:name w:val="Heading 3 Char"/>
    <w:basedOn w:val="DefaultParagraphFont"/>
    <w:link w:val="Heading3"/>
    <w:uiPriority w:val="9"/>
    <w:rsid w:val="00B83354"/>
    <w:rPr>
      <w:rFonts w:ascii="Times New Roman" w:eastAsiaTheme="majorEastAsia" w:hAnsi="Times New Roman" w:cstheme="majorBidi"/>
      <w:i/>
      <w:color w:val="000000" w:themeColor="text1"/>
      <w:szCs w:val="24"/>
      <w:lang w:val="en-GB"/>
    </w:rPr>
  </w:style>
  <w:style w:type="paragraph" w:styleId="Header">
    <w:name w:val="header"/>
    <w:basedOn w:val="Normal"/>
    <w:link w:val="HeaderChar"/>
    <w:uiPriority w:val="99"/>
    <w:unhideWhenUsed/>
    <w:rsid w:val="00B8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54"/>
    <w:rPr>
      <w:rFonts w:ascii="Times New Roman" w:hAnsi="Times New Roman"/>
      <w:lang w:val="en-GB"/>
    </w:rPr>
  </w:style>
  <w:style w:type="paragraph" w:styleId="Footer">
    <w:name w:val="footer"/>
    <w:basedOn w:val="Normal"/>
    <w:link w:val="FooterChar"/>
    <w:uiPriority w:val="99"/>
    <w:unhideWhenUsed/>
    <w:rsid w:val="00B8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54"/>
    <w:rPr>
      <w:rFonts w:ascii="Times New Roman" w:hAnsi="Times New Roman"/>
      <w:lang w:val="en-GB"/>
    </w:rPr>
  </w:style>
  <w:style w:type="paragraph" w:styleId="BalloonText">
    <w:name w:val="Balloon Text"/>
    <w:basedOn w:val="Normal"/>
    <w:link w:val="BalloonTextChar"/>
    <w:uiPriority w:val="99"/>
    <w:semiHidden/>
    <w:unhideWhenUsed/>
    <w:rsid w:val="00B83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54"/>
    <w:rPr>
      <w:rFonts w:ascii="Segoe UI" w:hAnsi="Segoe UI" w:cs="Segoe UI"/>
      <w:sz w:val="18"/>
      <w:szCs w:val="18"/>
      <w:lang w:val="en-GB"/>
    </w:rPr>
  </w:style>
  <w:style w:type="paragraph" w:styleId="TOCHeading">
    <w:name w:val="TOC Heading"/>
    <w:basedOn w:val="Heading1"/>
    <w:next w:val="Normal"/>
    <w:uiPriority w:val="39"/>
    <w:unhideWhenUsed/>
    <w:qFormat/>
    <w:rsid w:val="00B83354"/>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B83354"/>
    <w:pPr>
      <w:spacing w:after="100"/>
    </w:pPr>
  </w:style>
  <w:style w:type="paragraph" w:styleId="TOC2">
    <w:name w:val="toc 2"/>
    <w:basedOn w:val="Normal"/>
    <w:next w:val="Normal"/>
    <w:autoRedefine/>
    <w:uiPriority w:val="39"/>
    <w:unhideWhenUsed/>
    <w:rsid w:val="00B83354"/>
    <w:pPr>
      <w:spacing w:after="100"/>
      <w:ind w:left="220"/>
    </w:pPr>
  </w:style>
  <w:style w:type="character" w:styleId="Hyperlink">
    <w:name w:val="Hyperlink"/>
    <w:basedOn w:val="DefaultParagraphFont"/>
    <w:uiPriority w:val="99"/>
    <w:unhideWhenUsed/>
    <w:rsid w:val="00B83354"/>
    <w:rPr>
      <w:color w:val="0563C1" w:themeColor="hyperlink"/>
      <w:u w:val="single"/>
    </w:rPr>
  </w:style>
  <w:style w:type="character" w:styleId="CommentReference">
    <w:name w:val="annotation reference"/>
    <w:basedOn w:val="DefaultParagraphFont"/>
    <w:uiPriority w:val="99"/>
    <w:semiHidden/>
    <w:unhideWhenUsed/>
    <w:rsid w:val="00B83354"/>
    <w:rPr>
      <w:sz w:val="16"/>
      <w:szCs w:val="16"/>
    </w:rPr>
  </w:style>
  <w:style w:type="paragraph" w:styleId="CommentText">
    <w:name w:val="annotation text"/>
    <w:basedOn w:val="Normal"/>
    <w:link w:val="CommentTextChar"/>
    <w:uiPriority w:val="99"/>
    <w:semiHidden/>
    <w:unhideWhenUsed/>
    <w:rsid w:val="00B83354"/>
    <w:pPr>
      <w:spacing w:line="240" w:lineRule="auto"/>
    </w:pPr>
    <w:rPr>
      <w:sz w:val="20"/>
      <w:szCs w:val="20"/>
    </w:rPr>
  </w:style>
  <w:style w:type="character" w:customStyle="1" w:styleId="CommentTextChar">
    <w:name w:val="Comment Text Char"/>
    <w:basedOn w:val="DefaultParagraphFont"/>
    <w:link w:val="CommentText"/>
    <w:uiPriority w:val="99"/>
    <w:semiHidden/>
    <w:rsid w:val="00B83354"/>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B83354"/>
    <w:rPr>
      <w:b/>
      <w:bCs/>
    </w:rPr>
  </w:style>
  <w:style w:type="character" w:customStyle="1" w:styleId="CommentSubjectChar">
    <w:name w:val="Comment Subject Char"/>
    <w:basedOn w:val="CommentTextChar"/>
    <w:link w:val="CommentSubject"/>
    <w:uiPriority w:val="99"/>
    <w:semiHidden/>
    <w:rsid w:val="00B83354"/>
    <w:rPr>
      <w:rFonts w:ascii="Times New Roman" w:hAnsi="Times New Roman"/>
      <w:b/>
      <w:bCs/>
      <w:sz w:val="20"/>
      <w:szCs w:val="20"/>
      <w:lang w:val="en-GB"/>
    </w:rPr>
  </w:style>
  <w:style w:type="table" w:styleId="PlainTable2">
    <w:name w:val="Plain Table 2"/>
    <w:basedOn w:val="TableNormal"/>
    <w:uiPriority w:val="42"/>
    <w:rsid w:val="00B83354"/>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autoRedefine/>
    <w:uiPriority w:val="39"/>
    <w:unhideWhenUsed/>
    <w:rsid w:val="00B83354"/>
    <w:pPr>
      <w:spacing w:after="100"/>
      <w:ind w:left="440"/>
    </w:pPr>
  </w:style>
  <w:style w:type="numbering" w:customStyle="1" w:styleId="NoList1">
    <w:name w:val="No List1"/>
    <w:next w:val="NoList"/>
    <w:uiPriority w:val="99"/>
    <w:semiHidden/>
    <w:unhideWhenUsed/>
    <w:rsid w:val="00B83354"/>
  </w:style>
  <w:style w:type="table" w:styleId="TableGrid">
    <w:name w:val="Table Grid"/>
    <w:basedOn w:val="TableNormal"/>
    <w:uiPriority w:val="39"/>
    <w:rsid w:val="00B833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354"/>
    <w:pPr>
      <w:spacing w:line="259" w:lineRule="auto"/>
      <w:ind w:left="720"/>
      <w:contextualSpacing/>
    </w:pPr>
  </w:style>
  <w:style w:type="character" w:styleId="PlaceholderText">
    <w:name w:val="Placeholder Text"/>
    <w:basedOn w:val="DefaultParagraphFont"/>
    <w:uiPriority w:val="99"/>
    <w:semiHidden/>
    <w:rsid w:val="00B83354"/>
    <w:rPr>
      <w:color w:val="808080"/>
    </w:rPr>
  </w:style>
  <w:style w:type="character" w:customStyle="1" w:styleId="UnresolvedMention1">
    <w:name w:val="Unresolved Mention1"/>
    <w:basedOn w:val="DefaultParagraphFont"/>
    <w:uiPriority w:val="99"/>
    <w:semiHidden/>
    <w:unhideWhenUsed/>
    <w:rsid w:val="00B83354"/>
    <w:rPr>
      <w:color w:val="605E5C"/>
      <w:shd w:val="clear" w:color="auto" w:fill="E1DFDD"/>
    </w:rPr>
  </w:style>
  <w:style w:type="paragraph" w:styleId="Revision">
    <w:name w:val="Revision"/>
    <w:hidden/>
    <w:uiPriority w:val="99"/>
    <w:semiHidden/>
    <w:rsid w:val="00B83354"/>
    <w:pPr>
      <w:spacing w:after="0" w:line="240" w:lineRule="auto"/>
    </w:pPr>
    <w:rPr>
      <w:rFonts w:ascii="Arial" w:hAnsi="Arial"/>
      <w:lang w:val="en-GB"/>
    </w:rPr>
  </w:style>
  <w:style w:type="paragraph" w:styleId="Caption">
    <w:name w:val="caption"/>
    <w:basedOn w:val="Normal"/>
    <w:next w:val="Normal"/>
    <w:uiPriority w:val="35"/>
    <w:unhideWhenUsed/>
    <w:qFormat/>
    <w:rsid w:val="00B83354"/>
    <w:pPr>
      <w:spacing w:after="200" w:line="240" w:lineRule="auto"/>
    </w:pPr>
    <w:rPr>
      <w:i/>
      <w:iCs/>
      <w:color w:val="44546A" w:themeColor="text2"/>
      <w:sz w:val="18"/>
      <w:szCs w:val="18"/>
    </w:rPr>
  </w:style>
  <w:style w:type="character" w:styleId="Emphasis">
    <w:name w:val="Emphasis"/>
    <w:basedOn w:val="DefaultParagraphFont"/>
    <w:uiPriority w:val="20"/>
    <w:qFormat/>
    <w:rsid w:val="00B83354"/>
    <w:rPr>
      <w:i/>
      <w:iCs/>
    </w:rPr>
  </w:style>
  <w:style w:type="paragraph" w:customStyle="1" w:styleId="Tablereferencestyle">
    <w:name w:val="Table reference style"/>
    <w:basedOn w:val="Normal"/>
    <w:link w:val="TablereferencestyleChar"/>
    <w:rsid w:val="00B83354"/>
    <w:pPr>
      <w:spacing w:after="0" w:line="240" w:lineRule="auto"/>
    </w:pPr>
    <w:rPr>
      <w:rFonts w:cs="Times New Roman"/>
      <w:color w:val="000000"/>
      <w:position w:val="1"/>
      <w:sz w:val="18"/>
      <w:szCs w:val="20"/>
    </w:rPr>
  </w:style>
  <w:style w:type="paragraph" w:styleId="FootnoteText">
    <w:name w:val="footnote text"/>
    <w:basedOn w:val="Normal"/>
    <w:link w:val="FootnoteTextChar"/>
    <w:uiPriority w:val="99"/>
    <w:semiHidden/>
    <w:unhideWhenUsed/>
    <w:rsid w:val="00B83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354"/>
    <w:rPr>
      <w:rFonts w:ascii="Times New Roman" w:hAnsi="Times New Roman"/>
      <w:sz w:val="20"/>
      <w:szCs w:val="20"/>
      <w:lang w:val="en-GB"/>
    </w:rPr>
  </w:style>
  <w:style w:type="character" w:customStyle="1" w:styleId="TablereferencestyleChar">
    <w:name w:val="Table reference style Char"/>
    <w:basedOn w:val="DefaultParagraphFont"/>
    <w:link w:val="Tablereferencestyle"/>
    <w:rsid w:val="00B83354"/>
    <w:rPr>
      <w:rFonts w:ascii="Times New Roman" w:hAnsi="Times New Roman" w:cs="Times New Roman"/>
      <w:color w:val="000000"/>
      <w:position w:val="1"/>
      <w:sz w:val="18"/>
      <w:szCs w:val="20"/>
      <w:lang w:val="en-GB"/>
    </w:rPr>
  </w:style>
  <w:style w:type="character" w:styleId="FootnoteReference">
    <w:name w:val="footnote reference"/>
    <w:basedOn w:val="DefaultParagraphFont"/>
    <w:uiPriority w:val="99"/>
    <w:semiHidden/>
    <w:unhideWhenUsed/>
    <w:rsid w:val="00B83354"/>
    <w:rPr>
      <w:vertAlign w:val="superscript"/>
    </w:rPr>
  </w:style>
  <w:style w:type="paragraph" w:styleId="NoSpacing">
    <w:name w:val="No Spacing"/>
    <w:uiPriority w:val="1"/>
    <w:qFormat/>
    <w:rsid w:val="00B83354"/>
    <w:pPr>
      <w:spacing w:after="0" w:line="240" w:lineRule="auto"/>
    </w:pPr>
    <w:rPr>
      <w:rFonts w:ascii="Times New Roman" w:hAnsi="Times New Roman"/>
      <w:lang w:val="en-GB"/>
    </w:rPr>
  </w:style>
  <w:style w:type="character" w:customStyle="1" w:styleId="UnresolvedMention2">
    <w:name w:val="Unresolved Mention2"/>
    <w:basedOn w:val="DefaultParagraphFont"/>
    <w:uiPriority w:val="99"/>
    <w:semiHidden/>
    <w:unhideWhenUsed/>
    <w:rsid w:val="00B83354"/>
    <w:rPr>
      <w:color w:val="605E5C"/>
      <w:shd w:val="clear" w:color="auto" w:fill="E1DFDD"/>
    </w:rPr>
  </w:style>
  <w:style w:type="numbering" w:customStyle="1" w:styleId="NoList2">
    <w:name w:val="No List2"/>
    <w:next w:val="NoList"/>
    <w:uiPriority w:val="99"/>
    <w:semiHidden/>
    <w:unhideWhenUsed/>
    <w:rsid w:val="00B83354"/>
  </w:style>
  <w:style w:type="character" w:customStyle="1" w:styleId="Onopgelostemelding1">
    <w:name w:val="Onopgeloste melding1"/>
    <w:basedOn w:val="DefaultParagraphFont"/>
    <w:uiPriority w:val="99"/>
    <w:semiHidden/>
    <w:unhideWhenUsed/>
    <w:rsid w:val="00B83354"/>
    <w:rPr>
      <w:color w:val="605E5C"/>
      <w:shd w:val="clear" w:color="auto" w:fill="E1DFDD"/>
    </w:rPr>
  </w:style>
  <w:style w:type="paragraph" w:styleId="EndnoteText">
    <w:name w:val="endnote text"/>
    <w:basedOn w:val="Normal"/>
    <w:link w:val="EndnoteTextChar"/>
    <w:uiPriority w:val="99"/>
    <w:semiHidden/>
    <w:unhideWhenUsed/>
    <w:rsid w:val="00B833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354"/>
    <w:rPr>
      <w:rFonts w:ascii="Times New Roman" w:hAnsi="Times New Roman"/>
      <w:sz w:val="20"/>
      <w:szCs w:val="20"/>
      <w:lang w:val="en-GB"/>
    </w:rPr>
  </w:style>
  <w:style w:type="character" w:styleId="EndnoteReference">
    <w:name w:val="endnote reference"/>
    <w:basedOn w:val="DefaultParagraphFont"/>
    <w:uiPriority w:val="99"/>
    <w:semiHidden/>
    <w:unhideWhenUsed/>
    <w:rsid w:val="00B83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631">
      <w:bodyDiv w:val="1"/>
      <w:marLeft w:val="0"/>
      <w:marRight w:val="0"/>
      <w:marTop w:val="0"/>
      <w:marBottom w:val="0"/>
      <w:divBdr>
        <w:top w:val="none" w:sz="0" w:space="0" w:color="auto"/>
        <w:left w:val="none" w:sz="0" w:space="0" w:color="auto"/>
        <w:bottom w:val="none" w:sz="0" w:space="0" w:color="auto"/>
        <w:right w:val="none" w:sz="0" w:space="0" w:color="auto"/>
      </w:divBdr>
      <w:divsChild>
        <w:div w:id="14208235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71B18C-C439-4BE1-AE2D-327014642E66}" type="doc">
      <dgm:prSet loTypeId="urn:microsoft.com/office/officeart/2005/8/layout/hChevron3" loCatId="process" qsTypeId="urn:microsoft.com/office/officeart/2005/8/quickstyle/simple1" qsCatId="simple" csTypeId="urn:microsoft.com/office/officeart/2005/8/colors/accent0_1" csCatId="mainScheme" phldr="1"/>
      <dgm:spPr/>
      <dgm:t>
        <a:bodyPr/>
        <a:lstStyle/>
        <a:p>
          <a:endParaRPr lang="en-GB"/>
        </a:p>
      </dgm:t>
    </dgm:pt>
    <dgm:pt modelId="{5AFE04FE-A2E3-40AC-A918-27409DD7B1FD}">
      <dgm:prSet phldrT="[Text]"/>
      <dgm:spPr>
        <a:xfrm>
          <a:off x="2411" y="205085"/>
          <a:ext cx="2108299" cy="843319"/>
        </a:xfrm>
        <a:prstGeom prst="homePlat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results:</a:t>
          </a:r>
        </a:p>
        <a:p>
          <a:pPr>
            <a:buNone/>
          </a:pPr>
          <a:r>
            <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Qualitative</a:t>
          </a:r>
        </a:p>
        <a:p>
          <a:pPr>
            <a:buNone/>
          </a:pPr>
          <a:r>
            <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Quantitative</a:t>
          </a:r>
        </a:p>
      </dgm:t>
    </dgm:pt>
    <dgm:pt modelId="{375D3B55-D6C1-4871-B23F-C060CE624D83}" type="parTrans" cxnId="{F7DA8B37-C99F-4A5C-9C07-3DA38D78948A}">
      <dgm:prSet/>
      <dgm:spPr/>
      <dgm:t>
        <a:bodyPr/>
        <a:lstStyle/>
        <a:p>
          <a:endParaRPr lang="en-GB">
            <a:latin typeface="Times New Roman" panose="02020603050405020304" pitchFamily="18" charset="0"/>
            <a:cs typeface="Times New Roman" panose="02020603050405020304" pitchFamily="18" charset="0"/>
          </a:endParaRPr>
        </a:p>
      </dgm:t>
    </dgm:pt>
    <dgm:pt modelId="{07398E8C-67C5-4806-B549-3099EDF16952}" type="sibTrans" cxnId="{F7DA8B37-C99F-4A5C-9C07-3DA38D78948A}">
      <dgm:prSet/>
      <dgm:spPr/>
      <dgm:t>
        <a:bodyPr/>
        <a:lstStyle/>
        <a:p>
          <a:endParaRPr lang="en-GB">
            <a:latin typeface="Times New Roman" panose="02020603050405020304" pitchFamily="18" charset="0"/>
            <a:cs typeface="Times New Roman" panose="02020603050405020304" pitchFamily="18" charset="0"/>
          </a:endParaRPr>
        </a:p>
      </dgm:t>
    </dgm:pt>
    <dgm:pt modelId="{D8BD81CC-DB3E-40E4-952E-8820BB0C8C12}">
      <dgm:prSet phldrT="[Text]"/>
      <dgm:spPr>
        <a:xfrm>
          <a:off x="1689050" y="205085"/>
          <a:ext cx="2108299" cy="843319"/>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conclusions towards an outcome</a:t>
          </a:r>
        </a:p>
      </dgm:t>
    </dgm:pt>
    <dgm:pt modelId="{EAB994FA-12AD-4C1A-BBBA-9837180F4A1E}" type="parTrans" cxnId="{1526F4B1-A3C7-428D-9ACB-4D2373C07CEF}">
      <dgm:prSet/>
      <dgm:spPr/>
      <dgm:t>
        <a:bodyPr/>
        <a:lstStyle/>
        <a:p>
          <a:endParaRPr lang="en-GB">
            <a:latin typeface="Times New Roman" panose="02020603050405020304" pitchFamily="18" charset="0"/>
            <a:cs typeface="Times New Roman" panose="02020603050405020304" pitchFamily="18" charset="0"/>
          </a:endParaRPr>
        </a:p>
      </dgm:t>
    </dgm:pt>
    <dgm:pt modelId="{0A83AF6D-5E76-44F2-AD0A-0EA2486CB12E}" type="sibTrans" cxnId="{1526F4B1-A3C7-428D-9ACB-4D2373C07CEF}">
      <dgm:prSet/>
      <dgm:spPr/>
      <dgm:t>
        <a:bodyPr/>
        <a:lstStyle/>
        <a:p>
          <a:endParaRPr lang="en-GB">
            <a:latin typeface="Times New Roman" panose="02020603050405020304" pitchFamily="18" charset="0"/>
            <a:cs typeface="Times New Roman" panose="02020603050405020304" pitchFamily="18" charset="0"/>
          </a:endParaRPr>
        </a:p>
      </dgm:t>
    </dgm:pt>
    <dgm:pt modelId="{ED2CA6B4-D15E-4294-A222-0BEE7055590F}">
      <dgm:prSet phldrT="[Text]"/>
      <dgm:spPr>
        <a:xfrm>
          <a:off x="3375689" y="205085"/>
          <a:ext cx="2108299" cy="843319"/>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summarizing conclusions</a:t>
          </a:r>
        </a:p>
      </dgm:t>
    </dgm:pt>
    <dgm:pt modelId="{78A04485-8ACF-4326-9C0B-FEC6550E7A82}" type="parTrans" cxnId="{66DB25B9-8633-4A45-8AD8-FF6811594219}">
      <dgm:prSet/>
      <dgm:spPr/>
      <dgm:t>
        <a:bodyPr/>
        <a:lstStyle/>
        <a:p>
          <a:endParaRPr lang="en-GB">
            <a:latin typeface="Times New Roman" panose="02020603050405020304" pitchFamily="18" charset="0"/>
            <a:cs typeface="Times New Roman" panose="02020603050405020304" pitchFamily="18" charset="0"/>
          </a:endParaRPr>
        </a:p>
      </dgm:t>
    </dgm:pt>
    <dgm:pt modelId="{EDB10B47-A011-4811-BCA9-B9625A086828}" type="sibTrans" cxnId="{66DB25B9-8633-4A45-8AD8-FF6811594219}">
      <dgm:prSet/>
      <dgm:spPr/>
      <dgm:t>
        <a:bodyPr/>
        <a:lstStyle/>
        <a:p>
          <a:endParaRPr lang="en-GB">
            <a:latin typeface="Times New Roman" panose="02020603050405020304" pitchFamily="18" charset="0"/>
            <a:cs typeface="Times New Roman" panose="02020603050405020304" pitchFamily="18" charset="0"/>
          </a:endParaRPr>
        </a:p>
      </dgm:t>
    </dgm:pt>
    <dgm:pt modelId="{3DA3B8A3-1AEA-40D2-BAB2-D7F0A57A756D}" type="pres">
      <dgm:prSet presAssocID="{C171B18C-C439-4BE1-AE2D-327014642E66}" presName="Name0" presStyleCnt="0">
        <dgm:presLayoutVars>
          <dgm:dir/>
          <dgm:resizeHandles val="exact"/>
        </dgm:presLayoutVars>
      </dgm:prSet>
      <dgm:spPr/>
    </dgm:pt>
    <dgm:pt modelId="{4E695566-3D03-419E-9EB7-3BC2955F60FB}" type="pres">
      <dgm:prSet presAssocID="{5AFE04FE-A2E3-40AC-A918-27409DD7B1FD}" presName="parTxOnly" presStyleLbl="node1" presStyleIdx="0" presStyleCnt="3">
        <dgm:presLayoutVars>
          <dgm:bulletEnabled val="1"/>
        </dgm:presLayoutVars>
      </dgm:prSet>
      <dgm:spPr/>
    </dgm:pt>
    <dgm:pt modelId="{B6B03B66-CEC2-4236-ACE5-5ADF3E6B5DBC}" type="pres">
      <dgm:prSet presAssocID="{07398E8C-67C5-4806-B549-3099EDF16952}" presName="parSpace" presStyleCnt="0"/>
      <dgm:spPr/>
    </dgm:pt>
    <dgm:pt modelId="{9BB911B9-98D8-4756-8798-EC9B3EC6B598}" type="pres">
      <dgm:prSet presAssocID="{D8BD81CC-DB3E-40E4-952E-8820BB0C8C12}" presName="parTxOnly" presStyleLbl="node1" presStyleIdx="1" presStyleCnt="3">
        <dgm:presLayoutVars>
          <dgm:bulletEnabled val="1"/>
        </dgm:presLayoutVars>
      </dgm:prSet>
      <dgm:spPr/>
    </dgm:pt>
    <dgm:pt modelId="{46D5947D-C498-41AA-BD75-9ACFD62D899A}" type="pres">
      <dgm:prSet presAssocID="{0A83AF6D-5E76-44F2-AD0A-0EA2486CB12E}" presName="parSpace" presStyleCnt="0"/>
      <dgm:spPr/>
    </dgm:pt>
    <dgm:pt modelId="{C6CB6241-2D57-4ED1-B7A1-BBC0AD7F4DBD}" type="pres">
      <dgm:prSet presAssocID="{ED2CA6B4-D15E-4294-A222-0BEE7055590F}" presName="parTxOnly" presStyleLbl="node1" presStyleIdx="2" presStyleCnt="3">
        <dgm:presLayoutVars>
          <dgm:bulletEnabled val="1"/>
        </dgm:presLayoutVars>
      </dgm:prSet>
      <dgm:spPr/>
    </dgm:pt>
  </dgm:ptLst>
  <dgm:cxnLst>
    <dgm:cxn modelId="{C6389F26-7342-4BDB-99B8-3926BA165EDB}" type="presOf" srcId="{D8BD81CC-DB3E-40E4-952E-8820BB0C8C12}" destId="{9BB911B9-98D8-4756-8798-EC9B3EC6B598}" srcOrd="0" destOrd="0" presId="urn:microsoft.com/office/officeart/2005/8/layout/hChevron3"/>
    <dgm:cxn modelId="{F7DA8B37-C99F-4A5C-9C07-3DA38D78948A}" srcId="{C171B18C-C439-4BE1-AE2D-327014642E66}" destId="{5AFE04FE-A2E3-40AC-A918-27409DD7B1FD}" srcOrd="0" destOrd="0" parTransId="{375D3B55-D6C1-4871-B23F-C060CE624D83}" sibTransId="{07398E8C-67C5-4806-B549-3099EDF16952}"/>
    <dgm:cxn modelId="{5A19B965-C9C2-44CA-B6A8-E91242C09CAD}" type="presOf" srcId="{5AFE04FE-A2E3-40AC-A918-27409DD7B1FD}" destId="{4E695566-3D03-419E-9EB7-3BC2955F60FB}" srcOrd="0" destOrd="0" presId="urn:microsoft.com/office/officeart/2005/8/layout/hChevron3"/>
    <dgm:cxn modelId="{7A6EF672-09B0-47E6-87D4-858261B31D06}" type="presOf" srcId="{C171B18C-C439-4BE1-AE2D-327014642E66}" destId="{3DA3B8A3-1AEA-40D2-BAB2-D7F0A57A756D}" srcOrd="0" destOrd="0" presId="urn:microsoft.com/office/officeart/2005/8/layout/hChevron3"/>
    <dgm:cxn modelId="{1526F4B1-A3C7-428D-9ACB-4D2373C07CEF}" srcId="{C171B18C-C439-4BE1-AE2D-327014642E66}" destId="{D8BD81CC-DB3E-40E4-952E-8820BB0C8C12}" srcOrd="1" destOrd="0" parTransId="{EAB994FA-12AD-4C1A-BBBA-9837180F4A1E}" sibTransId="{0A83AF6D-5E76-44F2-AD0A-0EA2486CB12E}"/>
    <dgm:cxn modelId="{66DB25B9-8633-4A45-8AD8-FF6811594219}" srcId="{C171B18C-C439-4BE1-AE2D-327014642E66}" destId="{ED2CA6B4-D15E-4294-A222-0BEE7055590F}" srcOrd="2" destOrd="0" parTransId="{78A04485-8ACF-4326-9C0B-FEC6550E7A82}" sibTransId="{EDB10B47-A011-4811-BCA9-B9625A086828}"/>
    <dgm:cxn modelId="{6C586DCF-02C8-4417-96B0-D44C9C700903}" type="presOf" srcId="{ED2CA6B4-D15E-4294-A222-0BEE7055590F}" destId="{C6CB6241-2D57-4ED1-B7A1-BBC0AD7F4DBD}" srcOrd="0" destOrd="0" presId="urn:microsoft.com/office/officeart/2005/8/layout/hChevron3"/>
    <dgm:cxn modelId="{4801F6B1-F028-40E7-A588-BD1C551D65FB}" type="presParOf" srcId="{3DA3B8A3-1AEA-40D2-BAB2-D7F0A57A756D}" destId="{4E695566-3D03-419E-9EB7-3BC2955F60FB}" srcOrd="0" destOrd="0" presId="urn:microsoft.com/office/officeart/2005/8/layout/hChevron3"/>
    <dgm:cxn modelId="{43BC045C-32C4-4877-848F-8148DCC8DEF7}" type="presParOf" srcId="{3DA3B8A3-1AEA-40D2-BAB2-D7F0A57A756D}" destId="{B6B03B66-CEC2-4236-ACE5-5ADF3E6B5DBC}" srcOrd="1" destOrd="0" presId="urn:microsoft.com/office/officeart/2005/8/layout/hChevron3"/>
    <dgm:cxn modelId="{450EA5D1-C271-4C17-B51C-4B56CD8DA9F7}" type="presParOf" srcId="{3DA3B8A3-1AEA-40D2-BAB2-D7F0A57A756D}" destId="{9BB911B9-98D8-4756-8798-EC9B3EC6B598}" srcOrd="2" destOrd="0" presId="urn:microsoft.com/office/officeart/2005/8/layout/hChevron3"/>
    <dgm:cxn modelId="{EBA44B80-BA5F-4F25-AC10-E2D52C223B5E}" type="presParOf" srcId="{3DA3B8A3-1AEA-40D2-BAB2-D7F0A57A756D}" destId="{46D5947D-C498-41AA-BD75-9ACFD62D899A}" srcOrd="3" destOrd="0" presId="urn:microsoft.com/office/officeart/2005/8/layout/hChevron3"/>
    <dgm:cxn modelId="{945371C5-3115-4643-9842-8F72ABB9A5FA}" type="presParOf" srcId="{3DA3B8A3-1AEA-40D2-BAB2-D7F0A57A756D}" destId="{C6CB6241-2D57-4ED1-B7A1-BBC0AD7F4DBD}" srcOrd="4"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695566-3D03-419E-9EB7-3BC2955F60FB}">
      <dsp:nvSpPr>
        <dsp:cNvPr id="0" name=""/>
        <dsp:cNvSpPr/>
      </dsp:nvSpPr>
      <dsp:spPr>
        <a:xfrm>
          <a:off x="2411" y="205258"/>
          <a:ext cx="2108299" cy="843319"/>
        </a:xfrm>
        <a:prstGeom prst="homePlat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results:</a:t>
          </a:r>
        </a:p>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Qualitative</a:t>
          </a:r>
        </a:p>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Quantitative</a:t>
          </a:r>
        </a:p>
      </dsp:txBody>
      <dsp:txXfrm>
        <a:off x="2411" y="205258"/>
        <a:ext cx="1897469" cy="843319"/>
      </dsp:txXfrm>
    </dsp:sp>
    <dsp:sp modelId="{9BB911B9-98D8-4756-8798-EC9B3EC6B598}">
      <dsp:nvSpPr>
        <dsp:cNvPr id="0" name=""/>
        <dsp:cNvSpPr/>
      </dsp:nvSpPr>
      <dsp:spPr>
        <a:xfrm>
          <a:off x="1689050" y="205258"/>
          <a:ext cx="2108299" cy="843319"/>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conclusions towards an outcome</a:t>
          </a:r>
        </a:p>
      </dsp:txBody>
      <dsp:txXfrm>
        <a:off x="2110710" y="205258"/>
        <a:ext cx="1264980" cy="843319"/>
      </dsp:txXfrm>
    </dsp:sp>
    <dsp:sp modelId="{C6CB6241-2D57-4ED1-B7A1-BBC0AD7F4DBD}">
      <dsp:nvSpPr>
        <dsp:cNvPr id="0" name=""/>
        <dsp:cNvSpPr/>
      </dsp:nvSpPr>
      <dsp:spPr>
        <a:xfrm>
          <a:off x="3375689" y="205258"/>
          <a:ext cx="2108299" cy="843319"/>
        </a:xfrm>
        <a:prstGeom prst="chevron">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Certainty of summarizing conclusions</a:t>
          </a:r>
        </a:p>
      </dsp:txBody>
      <dsp:txXfrm>
        <a:off x="3797349" y="205258"/>
        <a:ext cx="1264980" cy="84331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E3F54B41547D8A6353695082F624A"/>
        <w:category>
          <w:name w:val="Algemeen"/>
          <w:gallery w:val="placeholder"/>
        </w:category>
        <w:types>
          <w:type w:val="bbPlcHdr"/>
        </w:types>
        <w:behaviors>
          <w:behavior w:val="content"/>
        </w:behaviors>
        <w:guid w:val="{1FC06707-994D-418D-90AB-37B8E343A77D}"/>
      </w:docPartPr>
      <w:docPartBody>
        <w:p w:rsidR="00EC3B56" w:rsidRDefault="004C3A4C" w:rsidP="004C3A4C">
          <w:pPr>
            <w:pStyle w:val="D69E3F54B41547D8A6353695082F624A"/>
          </w:pPr>
          <w:r w:rsidRPr="00E2180B">
            <w:rPr>
              <w:rStyle w:val="PlaceholderText"/>
            </w:rPr>
            <w:t>Click or tap here to enter text.</w:t>
          </w:r>
        </w:p>
      </w:docPartBody>
    </w:docPart>
    <w:docPart>
      <w:docPartPr>
        <w:name w:val="B4020FA97E8A4B5EAC53B0C3AD96CE3B"/>
        <w:category>
          <w:name w:val="Algemeen"/>
          <w:gallery w:val="placeholder"/>
        </w:category>
        <w:types>
          <w:type w:val="bbPlcHdr"/>
        </w:types>
        <w:behaviors>
          <w:behavior w:val="content"/>
        </w:behaviors>
        <w:guid w:val="{D1E79DE6-FA74-4692-BAEC-289C532A90DB}"/>
      </w:docPartPr>
      <w:docPartBody>
        <w:p w:rsidR="00EC3B56" w:rsidRDefault="004C3A4C" w:rsidP="004C3A4C">
          <w:pPr>
            <w:pStyle w:val="B4020FA97E8A4B5EAC53B0C3AD96CE3B"/>
          </w:pPr>
          <w:r w:rsidRPr="00E2180B">
            <w:rPr>
              <w:rStyle w:val="PlaceholderText"/>
            </w:rPr>
            <w:t>Click or tap here to enter text.</w:t>
          </w:r>
        </w:p>
      </w:docPartBody>
    </w:docPart>
    <w:docPart>
      <w:docPartPr>
        <w:name w:val="2F9B9B7BD81D423D84E3E31D48166481"/>
        <w:category>
          <w:name w:val="Algemeen"/>
          <w:gallery w:val="placeholder"/>
        </w:category>
        <w:types>
          <w:type w:val="bbPlcHdr"/>
        </w:types>
        <w:behaviors>
          <w:behavior w:val="content"/>
        </w:behaviors>
        <w:guid w:val="{D0D656FB-D9E5-4DA6-9B6E-15983DE6743B}"/>
      </w:docPartPr>
      <w:docPartBody>
        <w:p w:rsidR="00EC3B56" w:rsidRDefault="004C3A4C" w:rsidP="004C3A4C">
          <w:pPr>
            <w:pStyle w:val="2F9B9B7BD81D423D84E3E31D48166481"/>
          </w:pPr>
          <w:r w:rsidRPr="00E2180B">
            <w:rPr>
              <w:rStyle w:val="PlaceholderText"/>
            </w:rPr>
            <w:t>Click or tap here to enter text.</w:t>
          </w:r>
        </w:p>
      </w:docPartBody>
    </w:docPart>
    <w:docPart>
      <w:docPartPr>
        <w:name w:val="0C7AE4FF452044518BB1A0149C46C03C"/>
        <w:category>
          <w:name w:val="Algemeen"/>
          <w:gallery w:val="placeholder"/>
        </w:category>
        <w:types>
          <w:type w:val="bbPlcHdr"/>
        </w:types>
        <w:behaviors>
          <w:behavior w:val="content"/>
        </w:behaviors>
        <w:guid w:val="{82A82FD1-E924-459D-8EE5-2403C84309DE}"/>
      </w:docPartPr>
      <w:docPartBody>
        <w:p w:rsidR="00EC3B56" w:rsidRDefault="004C3A4C" w:rsidP="004C3A4C">
          <w:pPr>
            <w:pStyle w:val="0C7AE4FF452044518BB1A0149C46C03C"/>
          </w:pPr>
          <w:r w:rsidRPr="00E2180B">
            <w:rPr>
              <w:rStyle w:val="PlaceholderText"/>
            </w:rPr>
            <w:t>Click or tap here to enter text.</w:t>
          </w:r>
        </w:p>
      </w:docPartBody>
    </w:docPart>
    <w:docPart>
      <w:docPartPr>
        <w:name w:val="BF5B30E37A6049518E36AA5EEA13A782"/>
        <w:category>
          <w:name w:val="Algemeen"/>
          <w:gallery w:val="placeholder"/>
        </w:category>
        <w:types>
          <w:type w:val="bbPlcHdr"/>
        </w:types>
        <w:behaviors>
          <w:behavior w:val="content"/>
        </w:behaviors>
        <w:guid w:val="{11637C6C-0E2F-4E18-9456-2E02361C13AB}"/>
      </w:docPartPr>
      <w:docPartBody>
        <w:p w:rsidR="00EC3B56" w:rsidRDefault="004C3A4C" w:rsidP="004C3A4C">
          <w:pPr>
            <w:pStyle w:val="BF5B30E37A6049518E36AA5EEA13A782"/>
          </w:pPr>
          <w:r w:rsidRPr="00E2180B">
            <w:rPr>
              <w:rStyle w:val="PlaceholderText"/>
            </w:rPr>
            <w:t>Click or tap here to enter text.</w:t>
          </w:r>
        </w:p>
      </w:docPartBody>
    </w:docPart>
    <w:docPart>
      <w:docPartPr>
        <w:name w:val="DBFE02238C274A6FAEB0EFE47B26EF5E"/>
        <w:category>
          <w:name w:val="Algemeen"/>
          <w:gallery w:val="placeholder"/>
        </w:category>
        <w:types>
          <w:type w:val="bbPlcHdr"/>
        </w:types>
        <w:behaviors>
          <w:behavior w:val="content"/>
        </w:behaviors>
        <w:guid w:val="{22517AB3-A584-4796-AB67-34A6DD3988A4}"/>
      </w:docPartPr>
      <w:docPartBody>
        <w:p w:rsidR="00EC3B56" w:rsidRDefault="004C3A4C" w:rsidP="004C3A4C">
          <w:pPr>
            <w:pStyle w:val="DBFE02238C274A6FAEB0EFE47B26EF5E"/>
          </w:pPr>
          <w:r w:rsidRPr="00E2180B">
            <w:rPr>
              <w:rStyle w:val="PlaceholderText"/>
            </w:rPr>
            <w:t>Click or tap here to enter text.</w:t>
          </w:r>
        </w:p>
      </w:docPartBody>
    </w:docPart>
    <w:docPart>
      <w:docPartPr>
        <w:name w:val="E26472B4FF9B464F824615F0566518E7"/>
        <w:category>
          <w:name w:val="Algemeen"/>
          <w:gallery w:val="placeholder"/>
        </w:category>
        <w:types>
          <w:type w:val="bbPlcHdr"/>
        </w:types>
        <w:behaviors>
          <w:behavior w:val="content"/>
        </w:behaviors>
        <w:guid w:val="{490D6D95-B92E-4839-80AA-E2540F549314}"/>
      </w:docPartPr>
      <w:docPartBody>
        <w:p w:rsidR="00EC3B56" w:rsidRDefault="004C3A4C" w:rsidP="004C3A4C">
          <w:pPr>
            <w:pStyle w:val="E26472B4FF9B464F824615F0566518E7"/>
          </w:pPr>
          <w:r w:rsidRPr="00E2180B">
            <w:rPr>
              <w:rStyle w:val="PlaceholderText"/>
            </w:rPr>
            <w:t>Click or tap here to enter text.</w:t>
          </w:r>
        </w:p>
      </w:docPartBody>
    </w:docPart>
    <w:docPart>
      <w:docPartPr>
        <w:name w:val="A5B1EBF06E5F4FB885C1B26C218FBA07"/>
        <w:category>
          <w:name w:val="Algemeen"/>
          <w:gallery w:val="placeholder"/>
        </w:category>
        <w:types>
          <w:type w:val="bbPlcHdr"/>
        </w:types>
        <w:behaviors>
          <w:behavior w:val="content"/>
        </w:behaviors>
        <w:guid w:val="{447ADDB5-73A8-4C00-B24C-7A47C7BB3611}"/>
      </w:docPartPr>
      <w:docPartBody>
        <w:p w:rsidR="00EC3B56" w:rsidRDefault="004C3A4C" w:rsidP="004C3A4C">
          <w:pPr>
            <w:pStyle w:val="A5B1EBF06E5F4FB885C1B26C218FBA07"/>
          </w:pPr>
          <w:r w:rsidRPr="00E2180B">
            <w:rPr>
              <w:rStyle w:val="PlaceholderText"/>
            </w:rPr>
            <w:t>Click or tap here to enter text.</w:t>
          </w:r>
        </w:p>
      </w:docPartBody>
    </w:docPart>
    <w:docPart>
      <w:docPartPr>
        <w:name w:val="7A9C4E368C4F4645BA7EEF84E7CF0247"/>
        <w:category>
          <w:name w:val="Algemeen"/>
          <w:gallery w:val="placeholder"/>
        </w:category>
        <w:types>
          <w:type w:val="bbPlcHdr"/>
        </w:types>
        <w:behaviors>
          <w:behavior w:val="content"/>
        </w:behaviors>
        <w:guid w:val="{DFE1473E-216A-4585-8AAB-BE55B7873788}"/>
      </w:docPartPr>
      <w:docPartBody>
        <w:p w:rsidR="00EC3B56" w:rsidRDefault="004C3A4C" w:rsidP="004C3A4C">
          <w:pPr>
            <w:pStyle w:val="7A9C4E368C4F4645BA7EEF84E7CF0247"/>
          </w:pPr>
          <w:r w:rsidRPr="00E2180B">
            <w:rPr>
              <w:rStyle w:val="PlaceholderText"/>
            </w:rPr>
            <w:t>Click or tap here to enter text.</w:t>
          </w:r>
        </w:p>
      </w:docPartBody>
    </w:docPart>
    <w:docPart>
      <w:docPartPr>
        <w:name w:val="24D9242288D0450993D1FBA66CF30555"/>
        <w:category>
          <w:name w:val="Algemeen"/>
          <w:gallery w:val="placeholder"/>
        </w:category>
        <w:types>
          <w:type w:val="bbPlcHdr"/>
        </w:types>
        <w:behaviors>
          <w:behavior w:val="content"/>
        </w:behaviors>
        <w:guid w:val="{41FA6344-58B1-499F-B1F2-B12D6F7B72FA}"/>
      </w:docPartPr>
      <w:docPartBody>
        <w:p w:rsidR="00EC3B56" w:rsidRDefault="004C3A4C" w:rsidP="004C3A4C">
          <w:pPr>
            <w:pStyle w:val="24D9242288D0450993D1FBA66CF30555"/>
          </w:pPr>
          <w:r w:rsidRPr="00E2180B">
            <w:rPr>
              <w:rStyle w:val="PlaceholderText"/>
            </w:rPr>
            <w:t>Click or tap here to enter text.</w:t>
          </w:r>
        </w:p>
      </w:docPartBody>
    </w:docPart>
    <w:docPart>
      <w:docPartPr>
        <w:name w:val="2F6F041252F24542B693E393F1C8A01B"/>
        <w:category>
          <w:name w:val="Algemeen"/>
          <w:gallery w:val="placeholder"/>
        </w:category>
        <w:types>
          <w:type w:val="bbPlcHdr"/>
        </w:types>
        <w:behaviors>
          <w:behavior w:val="content"/>
        </w:behaviors>
        <w:guid w:val="{508DCBD9-26F8-498C-90EB-5CCE37323C23}"/>
      </w:docPartPr>
      <w:docPartBody>
        <w:p w:rsidR="00EC3B56" w:rsidRDefault="004C3A4C" w:rsidP="004C3A4C">
          <w:pPr>
            <w:pStyle w:val="2F6F041252F24542B693E393F1C8A01B"/>
          </w:pPr>
          <w:r w:rsidRPr="00E2180B">
            <w:rPr>
              <w:rStyle w:val="PlaceholderText"/>
            </w:rPr>
            <w:t>Click or tap here to enter text.</w:t>
          </w:r>
        </w:p>
      </w:docPartBody>
    </w:docPart>
    <w:docPart>
      <w:docPartPr>
        <w:name w:val="2F7BAB6119924B669CE5D9D550B0B504"/>
        <w:category>
          <w:name w:val="Algemeen"/>
          <w:gallery w:val="placeholder"/>
        </w:category>
        <w:types>
          <w:type w:val="bbPlcHdr"/>
        </w:types>
        <w:behaviors>
          <w:behavior w:val="content"/>
        </w:behaviors>
        <w:guid w:val="{9708E6CA-C329-46F5-A5A2-0C6F7A581636}"/>
      </w:docPartPr>
      <w:docPartBody>
        <w:p w:rsidR="00EC3B56" w:rsidRDefault="004C3A4C" w:rsidP="004C3A4C">
          <w:pPr>
            <w:pStyle w:val="2F7BAB6119924B669CE5D9D550B0B504"/>
          </w:pPr>
          <w:r w:rsidRPr="00E2180B">
            <w:rPr>
              <w:rStyle w:val="PlaceholderText"/>
            </w:rPr>
            <w:t>Click or tap here to enter text.</w:t>
          </w:r>
        </w:p>
      </w:docPartBody>
    </w:docPart>
    <w:docPart>
      <w:docPartPr>
        <w:name w:val="AF45B5B7A7BC43EF892B04C895DED03B"/>
        <w:category>
          <w:name w:val="Algemeen"/>
          <w:gallery w:val="placeholder"/>
        </w:category>
        <w:types>
          <w:type w:val="bbPlcHdr"/>
        </w:types>
        <w:behaviors>
          <w:behavior w:val="content"/>
        </w:behaviors>
        <w:guid w:val="{8C6AE104-EE99-4EC6-9382-B7248E01A06C}"/>
      </w:docPartPr>
      <w:docPartBody>
        <w:p w:rsidR="00EC3B56" w:rsidRDefault="004C3A4C" w:rsidP="004C3A4C">
          <w:pPr>
            <w:pStyle w:val="AF45B5B7A7BC43EF892B04C895DED03B"/>
          </w:pPr>
          <w:r w:rsidRPr="00E2180B">
            <w:rPr>
              <w:rStyle w:val="PlaceholderText"/>
            </w:rPr>
            <w:t>Click or tap here to enter text.</w:t>
          </w:r>
        </w:p>
      </w:docPartBody>
    </w:docPart>
    <w:docPart>
      <w:docPartPr>
        <w:name w:val="13DF8173798247A3AAB58FE3D4B3D94F"/>
        <w:category>
          <w:name w:val="Algemeen"/>
          <w:gallery w:val="placeholder"/>
        </w:category>
        <w:types>
          <w:type w:val="bbPlcHdr"/>
        </w:types>
        <w:behaviors>
          <w:behavior w:val="content"/>
        </w:behaviors>
        <w:guid w:val="{249FFDE1-3AC4-409D-8C74-AE4C023909F8}"/>
      </w:docPartPr>
      <w:docPartBody>
        <w:p w:rsidR="00EC3B56" w:rsidRDefault="004C3A4C" w:rsidP="004C3A4C">
          <w:pPr>
            <w:pStyle w:val="13DF8173798247A3AAB58FE3D4B3D94F"/>
          </w:pPr>
          <w:r w:rsidRPr="00E2180B">
            <w:rPr>
              <w:rStyle w:val="PlaceholderText"/>
            </w:rPr>
            <w:t>Click or tap here to enter text.</w:t>
          </w:r>
        </w:p>
      </w:docPartBody>
    </w:docPart>
    <w:docPart>
      <w:docPartPr>
        <w:name w:val="CE10FB0ED189499790E2F1C202BB6A94"/>
        <w:category>
          <w:name w:val="Algemeen"/>
          <w:gallery w:val="placeholder"/>
        </w:category>
        <w:types>
          <w:type w:val="bbPlcHdr"/>
        </w:types>
        <w:behaviors>
          <w:behavior w:val="content"/>
        </w:behaviors>
        <w:guid w:val="{82B13A1B-ACAB-4DF8-A884-D73F7D38D89E}"/>
      </w:docPartPr>
      <w:docPartBody>
        <w:p w:rsidR="00EC3B56" w:rsidRDefault="004C3A4C" w:rsidP="004C3A4C">
          <w:pPr>
            <w:pStyle w:val="CE10FB0ED189499790E2F1C202BB6A94"/>
          </w:pPr>
          <w:r w:rsidRPr="00E2180B">
            <w:rPr>
              <w:rStyle w:val="PlaceholderText"/>
            </w:rPr>
            <w:t>Click or tap here to enter text.</w:t>
          </w:r>
        </w:p>
      </w:docPartBody>
    </w:docPart>
    <w:docPart>
      <w:docPartPr>
        <w:name w:val="14C40BD0D4044C7DB766FFFCFF934479"/>
        <w:category>
          <w:name w:val="Algemeen"/>
          <w:gallery w:val="placeholder"/>
        </w:category>
        <w:types>
          <w:type w:val="bbPlcHdr"/>
        </w:types>
        <w:behaviors>
          <w:behavior w:val="content"/>
        </w:behaviors>
        <w:guid w:val="{8E9AB39B-7E4C-4023-A0E8-8416F3B66AB2}"/>
      </w:docPartPr>
      <w:docPartBody>
        <w:p w:rsidR="00EC3B56" w:rsidRDefault="004C3A4C" w:rsidP="004C3A4C">
          <w:pPr>
            <w:pStyle w:val="14C40BD0D4044C7DB766FFFCFF934479"/>
          </w:pPr>
          <w:r w:rsidRPr="00E2180B">
            <w:rPr>
              <w:rStyle w:val="PlaceholderText"/>
            </w:rPr>
            <w:t>Click or tap here to enter text.</w:t>
          </w:r>
        </w:p>
      </w:docPartBody>
    </w:docPart>
    <w:docPart>
      <w:docPartPr>
        <w:name w:val="7BD259A72BEF4C1EB8CC9F4499851450"/>
        <w:category>
          <w:name w:val="Algemeen"/>
          <w:gallery w:val="placeholder"/>
        </w:category>
        <w:types>
          <w:type w:val="bbPlcHdr"/>
        </w:types>
        <w:behaviors>
          <w:behavior w:val="content"/>
        </w:behaviors>
        <w:guid w:val="{9A812C0A-5E10-4368-BCFE-29F0BC05FEF4}"/>
      </w:docPartPr>
      <w:docPartBody>
        <w:p w:rsidR="00EC3B56" w:rsidRDefault="004C3A4C" w:rsidP="004C3A4C">
          <w:pPr>
            <w:pStyle w:val="7BD259A72BEF4C1EB8CC9F4499851450"/>
          </w:pPr>
          <w:r w:rsidRPr="00E2180B">
            <w:rPr>
              <w:rStyle w:val="PlaceholderText"/>
            </w:rPr>
            <w:t>Click or tap here to enter text.</w:t>
          </w:r>
        </w:p>
      </w:docPartBody>
    </w:docPart>
    <w:docPart>
      <w:docPartPr>
        <w:name w:val="1BAE5B81819B4DC3840A0118813A9C4A"/>
        <w:category>
          <w:name w:val="Algemeen"/>
          <w:gallery w:val="placeholder"/>
        </w:category>
        <w:types>
          <w:type w:val="bbPlcHdr"/>
        </w:types>
        <w:behaviors>
          <w:behavior w:val="content"/>
        </w:behaviors>
        <w:guid w:val="{3F04A573-D5A3-47E0-97EA-DA6DEE23FACF}"/>
      </w:docPartPr>
      <w:docPartBody>
        <w:p w:rsidR="00EC3B56" w:rsidRDefault="004C3A4C" w:rsidP="004C3A4C">
          <w:pPr>
            <w:pStyle w:val="1BAE5B81819B4DC3840A0118813A9C4A"/>
          </w:pPr>
          <w:r w:rsidRPr="00E2180B">
            <w:rPr>
              <w:rStyle w:val="PlaceholderText"/>
            </w:rPr>
            <w:t>Click or tap here to enter text.</w:t>
          </w:r>
        </w:p>
      </w:docPartBody>
    </w:docPart>
    <w:docPart>
      <w:docPartPr>
        <w:name w:val="AA5FF2E8917D4B8895D311D0FFA191DB"/>
        <w:category>
          <w:name w:val="Algemeen"/>
          <w:gallery w:val="placeholder"/>
        </w:category>
        <w:types>
          <w:type w:val="bbPlcHdr"/>
        </w:types>
        <w:behaviors>
          <w:behavior w:val="content"/>
        </w:behaviors>
        <w:guid w:val="{0A488706-9323-4A11-AF58-0F07AC5C77D8}"/>
      </w:docPartPr>
      <w:docPartBody>
        <w:p w:rsidR="00EC3B56" w:rsidRDefault="004C3A4C" w:rsidP="004C3A4C">
          <w:pPr>
            <w:pStyle w:val="AA5FF2E8917D4B8895D311D0FFA191DB"/>
          </w:pPr>
          <w:r w:rsidRPr="00E218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4C"/>
    <w:rsid w:val="003E52CE"/>
    <w:rsid w:val="004C3A4C"/>
    <w:rsid w:val="00DB77A5"/>
    <w:rsid w:val="00EC3B56"/>
    <w:rsid w:val="00ED4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B56"/>
    <w:rPr>
      <w:color w:val="808080"/>
    </w:rPr>
  </w:style>
  <w:style w:type="paragraph" w:customStyle="1" w:styleId="D69E3F54B41547D8A6353695082F624A">
    <w:name w:val="D69E3F54B41547D8A6353695082F624A"/>
    <w:rsid w:val="004C3A4C"/>
  </w:style>
  <w:style w:type="paragraph" w:customStyle="1" w:styleId="B4020FA97E8A4B5EAC53B0C3AD96CE3B">
    <w:name w:val="B4020FA97E8A4B5EAC53B0C3AD96CE3B"/>
    <w:rsid w:val="004C3A4C"/>
  </w:style>
  <w:style w:type="paragraph" w:customStyle="1" w:styleId="2F9B9B7BD81D423D84E3E31D48166481">
    <w:name w:val="2F9B9B7BD81D423D84E3E31D48166481"/>
    <w:rsid w:val="004C3A4C"/>
  </w:style>
  <w:style w:type="paragraph" w:customStyle="1" w:styleId="0C7AE4FF452044518BB1A0149C46C03C">
    <w:name w:val="0C7AE4FF452044518BB1A0149C46C03C"/>
    <w:rsid w:val="004C3A4C"/>
  </w:style>
  <w:style w:type="paragraph" w:customStyle="1" w:styleId="BF5B30E37A6049518E36AA5EEA13A782">
    <w:name w:val="BF5B30E37A6049518E36AA5EEA13A782"/>
    <w:rsid w:val="004C3A4C"/>
  </w:style>
  <w:style w:type="paragraph" w:customStyle="1" w:styleId="DBFE02238C274A6FAEB0EFE47B26EF5E">
    <w:name w:val="DBFE02238C274A6FAEB0EFE47B26EF5E"/>
    <w:rsid w:val="004C3A4C"/>
  </w:style>
  <w:style w:type="paragraph" w:customStyle="1" w:styleId="E26472B4FF9B464F824615F0566518E7">
    <w:name w:val="E26472B4FF9B464F824615F0566518E7"/>
    <w:rsid w:val="004C3A4C"/>
  </w:style>
  <w:style w:type="paragraph" w:customStyle="1" w:styleId="A5B1EBF06E5F4FB885C1B26C218FBA07">
    <w:name w:val="A5B1EBF06E5F4FB885C1B26C218FBA07"/>
    <w:rsid w:val="004C3A4C"/>
  </w:style>
  <w:style w:type="paragraph" w:customStyle="1" w:styleId="7A9C4E368C4F4645BA7EEF84E7CF0247">
    <w:name w:val="7A9C4E368C4F4645BA7EEF84E7CF0247"/>
    <w:rsid w:val="004C3A4C"/>
  </w:style>
  <w:style w:type="paragraph" w:customStyle="1" w:styleId="24D9242288D0450993D1FBA66CF30555">
    <w:name w:val="24D9242288D0450993D1FBA66CF30555"/>
    <w:rsid w:val="004C3A4C"/>
  </w:style>
  <w:style w:type="paragraph" w:customStyle="1" w:styleId="2F6F041252F24542B693E393F1C8A01B">
    <w:name w:val="2F6F041252F24542B693E393F1C8A01B"/>
    <w:rsid w:val="004C3A4C"/>
  </w:style>
  <w:style w:type="paragraph" w:customStyle="1" w:styleId="2F7BAB6119924B669CE5D9D550B0B504">
    <w:name w:val="2F7BAB6119924B669CE5D9D550B0B504"/>
    <w:rsid w:val="004C3A4C"/>
  </w:style>
  <w:style w:type="paragraph" w:customStyle="1" w:styleId="AF45B5B7A7BC43EF892B04C895DED03B">
    <w:name w:val="AF45B5B7A7BC43EF892B04C895DED03B"/>
    <w:rsid w:val="004C3A4C"/>
  </w:style>
  <w:style w:type="paragraph" w:customStyle="1" w:styleId="13DF8173798247A3AAB58FE3D4B3D94F">
    <w:name w:val="13DF8173798247A3AAB58FE3D4B3D94F"/>
    <w:rsid w:val="004C3A4C"/>
  </w:style>
  <w:style w:type="paragraph" w:customStyle="1" w:styleId="CE10FB0ED189499790E2F1C202BB6A94">
    <w:name w:val="CE10FB0ED189499790E2F1C202BB6A94"/>
    <w:rsid w:val="004C3A4C"/>
  </w:style>
  <w:style w:type="paragraph" w:customStyle="1" w:styleId="14C40BD0D4044C7DB766FFFCFF934479">
    <w:name w:val="14C40BD0D4044C7DB766FFFCFF934479"/>
    <w:rsid w:val="004C3A4C"/>
  </w:style>
  <w:style w:type="paragraph" w:customStyle="1" w:styleId="7BD259A72BEF4C1EB8CC9F4499851450">
    <w:name w:val="7BD259A72BEF4C1EB8CC9F4499851450"/>
    <w:rsid w:val="004C3A4C"/>
  </w:style>
  <w:style w:type="paragraph" w:customStyle="1" w:styleId="1BAE5B81819B4DC3840A0118813A9C4A">
    <w:name w:val="1BAE5B81819B4DC3840A0118813A9C4A"/>
    <w:rsid w:val="004C3A4C"/>
  </w:style>
  <w:style w:type="paragraph" w:customStyle="1" w:styleId="AA5FF2E8917D4B8895D311D0FFA191DB">
    <w:name w:val="AA5FF2E8917D4B8895D311D0FFA191DB"/>
    <w:rsid w:val="004C3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962CBF-030E-4ED7-9DC9-ACB395F71CB9}">
  <we:reference id="wa104382081" version="1.7.0.0" store="en-001" storeType="OMEX"/>
  <we:alternateReferences>
    <we:reference id="WA104382081" version="1.7.0.0" store="" storeType="OMEX"/>
  </we:alternateReferences>
  <we:properties>
    <we:property name="MENDELEY_CITATIONS" value="[{&quot;citationID&quot;:&quot;MENDELEY_CITATION_5220bc7a-5bf5-4aa9-b817-7117d85b8c14&quot;,&quot;citationItems&quot;:[{&quot;id&quot;:&quot;188a3e98-1519-3c2e-947e-88d506a58786&quot;,&quot;itemData&quot;:{&quot;type&quot;:&quot;article-journal&quot;,&quot;id&quot;:&quot;188a3e98-1519-3c2e-947e-88d506a58786&quot;,&quot;title&quot;:&quot;Differences in Health Technology Assessment Recommendations Among European Jurisdictions: The Role of Practice Variations&quot;,&quot;author&quot;:[{&quot;family&quot;:&quot;Vreman&quot;,&quot;given&quot;:&quot;Rick A.&quot;,&quot;parse-names&quot;:false,&quot;dropping-particle&quot;:&quot;&quot;,&quot;non-dropping-particle&quot;:&quot;&quot;},{&quot;family&quot;:&quot;Mantel-Teeuwisse&quot;,&quot;given&quot;:&quot;Aukje K.&quot;,&quot;parse-names&quot;:false,&quot;dropping-particle&quot;:&quot;&quot;,&quot;non-dropping-particle&quot;:&quot;&quot;},{&quot;family&quot;:&quot;Hövels&quot;,&quot;given&quot;:&quot;Anke M.&quot;,&quot;parse-names&quot;:false,&quot;dropping-particle&quot;:&quot;&quot;,&quot;non-dropping-particle&quot;:&quot;&quot;},{&quot;family&quot;:&quot;Leufkens&quot;,&quot;given&quot;:&quot;Hubert G.M.&quot;,&quot;parse-names&quot;:false,&quot;dropping-particle&quot;:&quot;&quot;,&quot;non-dropping-particle&quot;:&quot;&quot;},{&quot;family&quot;:&quot;Goettsch&quot;,&quot;given&quot;:&quot;Wim G.&quot;,&quot;parse-names&quot;:false,&quot;dropping-particle&quot;:&quot;&quot;,&quot;non-dropping-particle&quot;:&quot;&quot;}],&quot;container-title&quot;:&quot;Value in Health&quot;,&quot;DOI&quot;:&quot;10.1016/j.jval.2019.07.017&quot;,&quot;ISSN&quot;:&quot;15244733&quot;,&quot;PMID&quot;:&quot;31952664&quot;,&quot;issued&quot;:{&quot;date-parts&quot;:[[2020]]},&quot;page&quot;:&quot;10-16&quot;,&quot;abstract&quot;:&quot;Background: Health technology assessment (HTA) plays an important role in reimbursement decision-making in many countries, but recommendations vary widely throughout jurisdictions, even for the same drug. This variation may be due to differences in the weighing of evidence or differences in the processes or procedures, which are known as HTA practices. Objective: To provide insight into the effects of differences in practices on interpretation of intercountry differences in HTA recommendations for conditionally approved drugs. Methods: HTA recommendations for conditionally approved drugs (N = 27) up until June 2017 from England/Wales, France, Germany, the Netherlands, and Scotland were included. Recommendations and practice characteristics were extracted from these five jurisdictions and this data was validated. The effect of nonsubmissions, resubmissions, and reassessments; cost-effectiveness assessments; and price negotiations on changes in the percentage of negative recommendations and the interpretation of intercountry differences in HTA outcomes were analyzed using Fisher exact tests. Results: The inclusion of cost-effectiveness assessments led to significant increases in the proportion of negative recommendations in England/Wales (from 4% to 50%, P&lt;.01) and Scotland (from 21% to 71%, P&lt;.01). The subsequent inclusion of price negotiations led to significant reductions in the proportion of negative recommendations in England/Wales (from 50% to 14%, P&lt;.01), France (from 31% to 3%, P=.012), and Germany (from 34% to 0%, P&lt;.01). Results indicated that the inclusion of nonsubmissions and resubmissions might affect Scottish negative HTA recommendations (from 7% to 21%), but this effect was not significant. No significant effects were observed in the Netherlands, possibly owing to sample size. Conclusion: Variations in HTA practices between international jurisdictions can have a substantial and significant impact on conclusions about recommendations by HTA bodies, as exemplified in this cohort of conditionally approved products. Studies comparing international HTA recommendations should carefully consider possible practice variations between jurisdictions.&quot;,&quot;publisher&quot;:&quot;Elsevier Inc&quot;,&quot;issue&quot;:&quot;1&quot;,&quot;volume&quot;:&quot;23&quot;},&quot;isTemporary&quot;:false}],&quot;properties&quot;:{&quot;noteIndex&quot;:0},&quot;isEdited&quot;:false,&quot;manualOverride&quot;:{&quot;isManuallyOverriden&quot;:false,&quot;citeprocText&quot;:&quot;[1]&quot;,&quot;manualOverrideText&quot;:&quot;&quot;}}]"/>
    <we:property name="MENDELEY_CITATIONS_STYLE" value="&quot;https://www.zotero.org/styles/ieee&quot;"/>
    <we:property name="MENDELEY_PROFILE_ID" value="&quot;877cd1909f6c1b8448af91f8324e64158315bf0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ct:contentTypeSchema xmlns:ct="http://schemas.microsoft.com/office/2006/metadata/contentType" xmlns:ma="http://schemas.microsoft.com/office/2006/metadata/properties/metaAttributes" ct:_="" ma:_="" ma:contentTypeName="Document" ma:contentTypeID="0x010100C5CA4356A188114CB373F9B17C40734D" ma:contentTypeVersion="14" ma:contentTypeDescription="Create a new document." ma:contentTypeScope="" ma:versionID="be6bd54590e5d5f3c4d3a74d780102be">
  <xsd:schema xmlns:xsd="http://www.w3.org/2001/XMLSchema" xmlns:xs="http://www.w3.org/2001/XMLSchema" xmlns:p="http://schemas.microsoft.com/office/2006/metadata/properties" xmlns:ns3="15cc6a94-6a2e-46e2-8ec6-f40672e89049" xmlns:ns4="69e456ce-d48f-4156-8c4f-55fa4b6c08b2" targetNamespace="http://schemas.microsoft.com/office/2006/metadata/properties" ma:root="true" ma:fieldsID="ecdd6ac78a5e6f8e0cf11bcdff9b6922" ns3:_="" ns4:_="">
    <xsd:import namespace="15cc6a94-6a2e-46e2-8ec6-f40672e89049"/>
    <xsd:import namespace="69e456ce-d48f-4156-8c4f-55fa4b6c08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6a94-6a2e-46e2-8ec6-f40672e890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456ce-d48f-4156-8c4f-55fa4b6c08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6D9CD-223D-4645-A944-2457AAB62F89}">
  <ds:schemaRefs>
    <ds:schemaRef ds:uri="http://schemas.microsoft.com/sharepoint/v3/contenttype/forms"/>
  </ds:schemaRefs>
</ds:datastoreItem>
</file>

<file path=customXml/itemProps2.xml><?xml version="1.0" encoding="utf-8"?>
<ds:datastoreItem xmlns:ds="http://schemas.openxmlformats.org/officeDocument/2006/customXml" ds:itemID="{94CB5BAA-CA3C-458A-83BC-AB038F933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837C60-D8D7-439D-891B-FBC31D74363E}">
  <ds:schemaRefs>
    <ds:schemaRef ds:uri="http://schemas.openxmlformats.org/officeDocument/2006/bibliography"/>
  </ds:schemaRefs>
</ds:datastoreItem>
</file>

<file path=customXml/itemProps4.xml><?xml version="1.0" encoding="utf-8"?>
<ds:datastoreItem xmlns:ds="http://schemas.openxmlformats.org/officeDocument/2006/customXml" ds:itemID="{81F28496-236C-44A0-B42F-352630DA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6a94-6a2e-46e2-8ec6-f40672e89049"/>
    <ds:schemaRef ds:uri="69e456ce-d48f-4156-8c4f-55fa4b6c0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11502</Words>
  <Characters>65567</Characters>
  <Application>Microsoft Office Word</Application>
  <DocSecurity>0</DocSecurity>
  <Lines>546</Lines>
  <Paragraphs>153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Zorginstituut Nederland</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Vreman, R.</dc:creator>
  <cp:keywords/>
  <dc:description/>
  <cp:lastModifiedBy>Tracy Candelaria</cp:lastModifiedBy>
  <cp:revision>2</cp:revision>
  <dcterms:created xsi:type="dcterms:W3CDTF">2021-12-28T23:41:00Z</dcterms:created>
  <dcterms:modified xsi:type="dcterms:W3CDTF">2021-12-28T23:41:00Z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0x010100C5CA4356A188114CB373F9B17C40734D</vt:lpwstr>
  </property>
</Properties>
</file>