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C920" w14:textId="77777777" w:rsidR="00572AF9" w:rsidRPr="00572AF9" w:rsidRDefault="00572AF9" w:rsidP="00572AF9">
      <w:pPr>
        <w:spacing w:line="480"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t>Appendices</w:t>
      </w:r>
    </w:p>
    <w:p w14:paraId="4088C7B0" w14:textId="77777777" w:rsidR="00572AF9" w:rsidRPr="00572AF9" w:rsidRDefault="00572AF9" w:rsidP="00572AF9">
      <w:pPr>
        <w:spacing w:line="480"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t>Appendix A: PRISMA flow diagram for literature search.</w:t>
      </w:r>
    </w:p>
    <w:p w14:paraId="5A61768A" w14:textId="77777777" w:rsidR="00572AF9" w:rsidRPr="00572AF9" w:rsidRDefault="00572AF9" w:rsidP="00572AF9">
      <w:pPr>
        <w:spacing w:after="0" w:line="480"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noProof/>
          <w:sz w:val="24"/>
          <w:szCs w:val="24"/>
          <w:lang w:eastAsia="en-GB"/>
        </w:rPr>
        <w:drawing>
          <wp:inline distT="0" distB="0" distL="0" distR="0" wp14:anchorId="3A7105D8" wp14:editId="1CFA0989">
            <wp:extent cx="5401310" cy="5456555"/>
            <wp:effectExtent l="0" t="0" r="889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5456555"/>
                    </a:xfrm>
                    <a:prstGeom prst="rect">
                      <a:avLst/>
                    </a:prstGeom>
                    <a:noFill/>
                  </pic:spPr>
                </pic:pic>
              </a:graphicData>
            </a:graphic>
          </wp:inline>
        </w:drawing>
      </w:r>
    </w:p>
    <w:p w14:paraId="680D7089" w14:textId="77777777" w:rsidR="00572AF9" w:rsidRPr="00572AF9" w:rsidRDefault="00572AF9" w:rsidP="00572AF9">
      <w:pPr>
        <w:spacing w:after="0" w:line="480" w:lineRule="auto"/>
        <w:rPr>
          <w:rFonts w:ascii="Times New Roman" w:eastAsia="Times New Roman" w:hAnsi="Times New Roman" w:cs="Times New Roman"/>
          <w:b/>
          <w:sz w:val="24"/>
          <w:szCs w:val="24"/>
          <w:lang w:eastAsia="en-GB"/>
        </w:rPr>
      </w:pPr>
    </w:p>
    <w:p w14:paraId="66A320E4" w14:textId="77777777" w:rsidR="00572AF9" w:rsidRPr="00572AF9" w:rsidRDefault="00572AF9" w:rsidP="00572AF9">
      <w:pPr>
        <w:spacing w:line="480"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br w:type="page"/>
      </w:r>
    </w:p>
    <w:p w14:paraId="045CAA84" w14:textId="66A528BD" w:rsidR="00D13DF2" w:rsidRDefault="00572AF9" w:rsidP="00572AF9">
      <w:pPr>
        <w:spacing w:after="0" w:line="480"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lastRenderedPageBreak/>
        <w:t xml:space="preserve">Appendix B: </w:t>
      </w:r>
      <w:bookmarkStart w:id="0" w:name="_Hlk101272631"/>
      <w:r w:rsidR="00D13DF2">
        <w:rPr>
          <w:rFonts w:ascii="Times New Roman" w:eastAsia="Times New Roman" w:hAnsi="Times New Roman" w:cs="Times New Roman"/>
          <w:b/>
          <w:sz w:val="24"/>
          <w:szCs w:val="24"/>
          <w:lang w:eastAsia="en-GB"/>
        </w:rPr>
        <w:t xml:space="preserve">List of experts contacted for interview </w:t>
      </w:r>
      <w:bookmarkEnd w:id="0"/>
    </w:p>
    <w:tbl>
      <w:tblPr>
        <w:tblStyle w:val="TableGrid"/>
        <w:tblW w:w="5865" w:type="dxa"/>
        <w:tblLook w:val="04A0" w:firstRow="1" w:lastRow="0" w:firstColumn="1" w:lastColumn="0" w:noHBand="0" w:noVBand="1"/>
      </w:tblPr>
      <w:tblGrid>
        <w:gridCol w:w="440"/>
        <w:gridCol w:w="1900"/>
        <w:gridCol w:w="3525"/>
      </w:tblGrid>
      <w:tr w:rsidR="00141A44" w:rsidRPr="00D13DF2" w14:paraId="7371E14E" w14:textId="77777777" w:rsidTr="00141A44">
        <w:trPr>
          <w:trHeight w:val="290"/>
        </w:trPr>
        <w:tc>
          <w:tcPr>
            <w:tcW w:w="440" w:type="dxa"/>
            <w:noWrap/>
            <w:hideMark/>
          </w:tcPr>
          <w:p w14:paraId="7F696005" w14:textId="77777777" w:rsidR="00141A44" w:rsidRPr="00D13DF2" w:rsidRDefault="00141A44" w:rsidP="00D13DF2">
            <w:pPr>
              <w:rPr>
                <w:rFonts w:ascii="Times New Roman" w:eastAsia="Times New Roman" w:hAnsi="Times New Roman" w:cs="Times New Roman"/>
                <w:sz w:val="24"/>
                <w:szCs w:val="24"/>
                <w:lang w:val="en-US"/>
              </w:rPr>
            </w:pPr>
          </w:p>
        </w:tc>
        <w:tc>
          <w:tcPr>
            <w:tcW w:w="1900" w:type="dxa"/>
            <w:noWrap/>
            <w:hideMark/>
          </w:tcPr>
          <w:p w14:paraId="089591DC" w14:textId="77777777" w:rsidR="00141A44" w:rsidRPr="00D13DF2" w:rsidRDefault="00141A44" w:rsidP="00D13DF2">
            <w:pPr>
              <w:rPr>
                <w:rFonts w:ascii="Calibri" w:eastAsia="Times New Roman" w:hAnsi="Calibri" w:cs="Calibri"/>
                <w:b/>
                <w:bCs/>
                <w:lang w:val="en-US"/>
              </w:rPr>
            </w:pPr>
            <w:r w:rsidRPr="00D13DF2">
              <w:rPr>
                <w:rFonts w:ascii="Calibri" w:eastAsia="Times New Roman" w:hAnsi="Calibri" w:cs="Calibri"/>
                <w:b/>
                <w:bCs/>
                <w:lang w:val="en-US"/>
              </w:rPr>
              <w:t xml:space="preserve">Country </w:t>
            </w:r>
          </w:p>
        </w:tc>
        <w:tc>
          <w:tcPr>
            <w:tcW w:w="3525" w:type="dxa"/>
            <w:noWrap/>
            <w:hideMark/>
          </w:tcPr>
          <w:p w14:paraId="1D377435" w14:textId="77777777" w:rsidR="00141A44" w:rsidRPr="00D13DF2" w:rsidRDefault="00141A44" w:rsidP="00D13DF2">
            <w:pPr>
              <w:rPr>
                <w:rFonts w:ascii="Calibri" w:eastAsia="Times New Roman" w:hAnsi="Calibri" w:cs="Calibri"/>
                <w:b/>
                <w:bCs/>
                <w:lang w:val="en-US"/>
              </w:rPr>
            </w:pPr>
            <w:r w:rsidRPr="00D13DF2">
              <w:rPr>
                <w:rFonts w:ascii="Calibri" w:eastAsia="Times New Roman" w:hAnsi="Calibri" w:cs="Calibri"/>
                <w:b/>
                <w:bCs/>
                <w:lang w:val="en-US"/>
              </w:rPr>
              <w:t>Type</w:t>
            </w:r>
          </w:p>
        </w:tc>
      </w:tr>
      <w:tr w:rsidR="00141A44" w:rsidRPr="00D13DF2" w14:paraId="6F1AE1E2" w14:textId="77777777" w:rsidTr="00141A44">
        <w:trPr>
          <w:trHeight w:val="70"/>
        </w:trPr>
        <w:tc>
          <w:tcPr>
            <w:tcW w:w="440" w:type="dxa"/>
            <w:noWrap/>
            <w:hideMark/>
          </w:tcPr>
          <w:p w14:paraId="72DD552F"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w:t>
            </w:r>
          </w:p>
        </w:tc>
        <w:tc>
          <w:tcPr>
            <w:tcW w:w="1900" w:type="dxa"/>
            <w:hideMark/>
          </w:tcPr>
          <w:p w14:paraId="3019E2F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7F80110B" w14:textId="59751387"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5273BA58" w14:textId="77777777" w:rsidTr="00141A44">
        <w:trPr>
          <w:trHeight w:val="70"/>
        </w:trPr>
        <w:tc>
          <w:tcPr>
            <w:tcW w:w="440" w:type="dxa"/>
            <w:noWrap/>
            <w:hideMark/>
          </w:tcPr>
          <w:p w14:paraId="755883EC"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2</w:t>
            </w:r>
          </w:p>
        </w:tc>
        <w:tc>
          <w:tcPr>
            <w:tcW w:w="1900" w:type="dxa"/>
            <w:hideMark/>
          </w:tcPr>
          <w:p w14:paraId="5FC9F96E"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6CCEBE9F" w14:textId="76D90E59"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519EAF86" w14:textId="77777777" w:rsidTr="00141A44">
        <w:trPr>
          <w:trHeight w:val="70"/>
        </w:trPr>
        <w:tc>
          <w:tcPr>
            <w:tcW w:w="440" w:type="dxa"/>
            <w:noWrap/>
            <w:hideMark/>
          </w:tcPr>
          <w:p w14:paraId="3CC0A10E"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3</w:t>
            </w:r>
          </w:p>
        </w:tc>
        <w:tc>
          <w:tcPr>
            <w:tcW w:w="1900" w:type="dxa"/>
            <w:hideMark/>
          </w:tcPr>
          <w:p w14:paraId="44EF5CD1"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0624ECD7" w14:textId="5BA93300"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26EC3A08" w14:textId="77777777" w:rsidTr="00141A44">
        <w:trPr>
          <w:trHeight w:val="70"/>
        </w:trPr>
        <w:tc>
          <w:tcPr>
            <w:tcW w:w="440" w:type="dxa"/>
            <w:noWrap/>
            <w:hideMark/>
          </w:tcPr>
          <w:p w14:paraId="4FC08317"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4</w:t>
            </w:r>
          </w:p>
        </w:tc>
        <w:tc>
          <w:tcPr>
            <w:tcW w:w="1900" w:type="dxa"/>
            <w:hideMark/>
          </w:tcPr>
          <w:p w14:paraId="2771FA46"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0C013F76" w14:textId="4A5C6B93"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2E83509A" w14:textId="77777777" w:rsidTr="00141A44">
        <w:trPr>
          <w:trHeight w:val="70"/>
        </w:trPr>
        <w:tc>
          <w:tcPr>
            <w:tcW w:w="440" w:type="dxa"/>
            <w:noWrap/>
            <w:hideMark/>
          </w:tcPr>
          <w:p w14:paraId="4F7B062B"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5</w:t>
            </w:r>
          </w:p>
        </w:tc>
        <w:tc>
          <w:tcPr>
            <w:tcW w:w="1900" w:type="dxa"/>
            <w:hideMark/>
          </w:tcPr>
          <w:p w14:paraId="3DA8817A"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25404AD3" w14:textId="149794A4"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7C9E0DC3" w14:textId="77777777" w:rsidTr="00141A44">
        <w:trPr>
          <w:trHeight w:val="70"/>
        </w:trPr>
        <w:tc>
          <w:tcPr>
            <w:tcW w:w="440" w:type="dxa"/>
            <w:noWrap/>
            <w:hideMark/>
          </w:tcPr>
          <w:p w14:paraId="7EB7F683"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6</w:t>
            </w:r>
          </w:p>
        </w:tc>
        <w:tc>
          <w:tcPr>
            <w:tcW w:w="1900" w:type="dxa"/>
            <w:hideMark/>
          </w:tcPr>
          <w:p w14:paraId="7279063C"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66CDB4C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Therapeutic Area Expert</w:t>
            </w:r>
          </w:p>
        </w:tc>
      </w:tr>
      <w:tr w:rsidR="00141A44" w:rsidRPr="00D13DF2" w14:paraId="7F359ACC" w14:textId="77777777" w:rsidTr="00141A44">
        <w:trPr>
          <w:trHeight w:val="70"/>
        </w:trPr>
        <w:tc>
          <w:tcPr>
            <w:tcW w:w="440" w:type="dxa"/>
            <w:noWrap/>
            <w:hideMark/>
          </w:tcPr>
          <w:p w14:paraId="5682E441"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7</w:t>
            </w:r>
          </w:p>
        </w:tc>
        <w:tc>
          <w:tcPr>
            <w:tcW w:w="1900" w:type="dxa"/>
            <w:hideMark/>
          </w:tcPr>
          <w:p w14:paraId="767B7989"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6652528B" w14:textId="2A0C2F0E"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Health economics and HTA expert</w:t>
            </w:r>
          </w:p>
        </w:tc>
      </w:tr>
      <w:tr w:rsidR="00141A44" w:rsidRPr="00D13DF2" w14:paraId="25085DFE" w14:textId="77777777" w:rsidTr="00141A44">
        <w:trPr>
          <w:trHeight w:val="70"/>
        </w:trPr>
        <w:tc>
          <w:tcPr>
            <w:tcW w:w="440" w:type="dxa"/>
            <w:noWrap/>
            <w:hideMark/>
          </w:tcPr>
          <w:p w14:paraId="4680916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8</w:t>
            </w:r>
          </w:p>
        </w:tc>
        <w:tc>
          <w:tcPr>
            <w:tcW w:w="1900" w:type="dxa"/>
            <w:hideMark/>
          </w:tcPr>
          <w:p w14:paraId="4D57CC40"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England</w:t>
            </w:r>
          </w:p>
        </w:tc>
        <w:tc>
          <w:tcPr>
            <w:tcW w:w="3525" w:type="dxa"/>
            <w:hideMark/>
          </w:tcPr>
          <w:p w14:paraId="09B5F86F"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Therapeutic Area Expert</w:t>
            </w:r>
          </w:p>
        </w:tc>
      </w:tr>
      <w:tr w:rsidR="00141A44" w:rsidRPr="00D13DF2" w14:paraId="58D90288" w14:textId="77777777" w:rsidTr="00141A44">
        <w:trPr>
          <w:trHeight w:val="70"/>
        </w:trPr>
        <w:tc>
          <w:tcPr>
            <w:tcW w:w="440" w:type="dxa"/>
            <w:noWrap/>
            <w:hideMark/>
          </w:tcPr>
          <w:p w14:paraId="4D0A9E6F"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9</w:t>
            </w:r>
          </w:p>
        </w:tc>
        <w:tc>
          <w:tcPr>
            <w:tcW w:w="1900" w:type="dxa"/>
            <w:hideMark/>
          </w:tcPr>
          <w:p w14:paraId="2B6CD4E7"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21F1EB35" w14:textId="162E1639"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Health economics and HTA expert</w:t>
            </w:r>
          </w:p>
        </w:tc>
      </w:tr>
      <w:tr w:rsidR="00141A44" w:rsidRPr="00D13DF2" w14:paraId="7AB78E9F" w14:textId="77777777" w:rsidTr="00141A44">
        <w:trPr>
          <w:trHeight w:val="70"/>
        </w:trPr>
        <w:tc>
          <w:tcPr>
            <w:tcW w:w="440" w:type="dxa"/>
            <w:noWrap/>
            <w:hideMark/>
          </w:tcPr>
          <w:p w14:paraId="1842F0A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10</w:t>
            </w:r>
          </w:p>
        </w:tc>
        <w:tc>
          <w:tcPr>
            <w:tcW w:w="1900" w:type="dxa"/>
            <w:hideMark/>
          </w:tcPr>
          <w:p w14:paraId="5B17EB72"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6CD32176" w14:textId="27A655DA"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3BD72C45" w14:textId="77777777" w:rsidTr="00141A44">
        <w:trPr>
          <w:trHeight w:val="70"/>
        </w:trPr>
        <w:tc>
          <w:tcPr>
            <w:tcW w:w="440" w:type="dxa"/>
            <w:noWrap/>
            <w:hideMark/>
          </w:tcPr>
          <w:p w14:paraId="6EE7532F"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11</w:t>
            </w:r>
          </w:p>
        </w:tc>
        <w:tc>
          <w:tcPr>
            <w:tcW w:w="1900" w:type="dxa"/>
            <w:hideMark/>
          </w:tcPr>
          <w:p w14:paraId="3B6F21CB"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39BA518C" w14:textId="58432A85"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104E7C7B" w14:textId="77777777" w:rsidTr="00141A44">
        <w:trPr>
          <w:trHeight w:val="70"/>
        </w:trPr>
        <w:tc>
          <w:tcPr>
            <w:tcW w:w="440" w:type="dxa"/>
            <w:noWrap/>
            <w:hideMark/>
          </w:tcPr>
          <w:p w14:paraId="48CA26B0"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12</w:t>
            </w:r>
          </w:p>
        </w:tc>
        <w:tc>
          <w:tcPr>
            <w:tcW w:w="1900" w:type="dxa"/>
            <w:hideMark/>
          </w:tcPr>
          <w:p w14:paraId="0E3AFCB1"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06AF5B4E" w14:textId="445749B9"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Health economics and HTA expert</w:t>
            </w:r>
          </w:p>
        </w:tc>
      </w:tr>
      <w:tr w:rsidR="00141A44" w:rsidRPr="00D13DF2" w14:paraId="6734B67F" w14:textId="77777777" w:rsidTr="00141A44">
        <w:trPr>
          <w:trHeight w:val="70"/>
        </w:trPr>
        <w:tc>
          <w:tcPr>
            <w:tcW w:w="440" w:type="dxa"/>
            <w:noWrap/>
            <w:hideMark/>
          </w:tcPr>
          <w:p w14:paraId="2E0A368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13</w:t>
            </w:r>
          </w:p>
        </w:tc>
        <w:tc>
          <w:tcPr>
            <w:tcW w:w="1900" w:type="dxa"/>
            <w:hideMark/>
          </w:tcPr>
          <w:p w14:paraId="58DB9E15"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199E411D" w14:textId="0F19B563"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0E74F5B5" w14:textId="77777777" w:rsidTr="00141A44">
        <w:trPr>
          <w:trHeight w:val="70"/>
        </w:trPr>
        <w:tc>
          <w:tcPr>
            <w:tcW w:w="440" w:type="dxa"/>
            <w:noWrap/>
            <w:hideMark/>
          </w:tcPr>
          <w:p w14:paraId="6C4A127B"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14</w:t>
            </w:r>
          </w:p>
        </w:tc>
        <w:tc>
          <w:tcPr>
            <w:tcW w:w="1900" w:type="dxa"/>
            <w:hideMark/>
          </w:tcPr>
          <w:p w14:paraId="70B3EB8C"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254CCD84"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Therapeutic Area Expert</w:t>
            </w:r>
          </w:p>
        </w:tc>
      </w:tr>
      <w:tr w:rsidR="00141A44" w:rsidRPr="00D13DF2" w14:paraId="02B17841" w14:textId="77777777" w:rsidTr="00141A44">
        <w:trPr>
          <w:trHeight w:val="70"/>
        </w:trPr>
        <w:tc>
          <w:tcPr>
            <w:tcW w:w="440" w:type="dxa"/>
            <w:noWrap/>
            <w:hideMark/>
          </w:tcPr>
          <w:p w14:paraId="3802CF6F"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15</w:t>
            </w:r>
          </w:p>
        </w:tc>
        <w:tc>
          <w:tcPr>
            <w:tcW w:w="1900" w:type="dxa"/>
            <w:hideMark/>
          </w:tcPr>
          <w:p w14:paraId="5EDCB561"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Canada</w:t>
            </w:r>
          </w:p>
        </w:tc>
        <w:tc>
          <w:tcPr>
            <w:tcW w:w="3525" w:type="dxa"/>
            <w:hideMark/>
          </w:tcPr>
          <w:p w14:paraId="01966BC8"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Therapeutic Area Expert</w:t>
            </w:r>
          </w:p>
        </w:tc>
      </w:tr>
      <w:tr w:rsidR="00141A44" w:rsidRPr="00D13DF2" w14:paraId="5F500E90" w14:textId="77777777" w:rsidTr="00141A44">
        <w:trPr>
          <w:trHeight w:val="70"/>
        </w:trPr>
        <w:tc>
          <w:tcPr>
            <w:tcW w:w="440" w:type="dxa"/>
            <w:noWrap/>
            <w:hideMark/>
          </w:tcPr>
          <w:p w14:paraId="6D5F099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16</w:t>
            </w:r>
          </w:p>
        </w:tc>
        <w:tc>
          <w:tcPr>
            <w:tcW w:w="1900" w:type="dxa"/>
            <w:hideMark/>
          </w:tcPr>
          <w:p w14:paraId="7200B39E"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New Zealand</w:t>
            </w:r>
          </w:p>
        </w:tc>
        <w:tc>
          <w:tcPr>
            <w:tcW w:w="3525" w:type="dxa"/>
            <w:hideMark/>
          </w:tcPr>
          <w:p w14:paraId="7CF50865" w14:textId="604AA6A2"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4AB1E54B" w14:textId="77777777" w:rsidTr="00141A44">
        <w:trPr>
          <w:trHeight w:val="70"/>
        </w:trPr>
        <w:tc>
          <w:tcPr>
            <w:tcW w:w="440" w:type="dxa"/>
            <w:noWrap/>
            <w:hideMark/>
          </w:tcPr>
          <w:p w14:paraId="1D4B9E87"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17</w:t>
            </w:r>
          </w:p>
        </w:tc>
        <w:tc>
          <w:tcPr>
            <w:tcW w:w="1900" w:type="dxa"/>
            <w:hideMark/>
          </w:tcPr>
          <w:p w14:paraId="790D7050"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New Zealand</w:t>
            </w:r>
          </w:p>
        </w:tc>
        <w:tc>
          <w:tcPr>
            <w:tcW w:w="3525" w:type="dxa"/>
            <w:hideMark/>
          </w:tcPr>
          <w:p w14:paraId="30F88FD0" w14:textId="0DBED4C2" w:rsidR="00141A44" w:rsidRPr="00D13DF2" w:rsidRDefault="00141A44" w:rsidP="00D13DF2">
            <w:pPr>
              <w:rPr>
                <w:rFonts w:ascii="Calibri" w:eastAsia="Times New Roman" w:hAnsi="Calibri" w:cs="Calibri"/>
                <w:lang w:val="en-US"/>
              </w:rPr>
            </w:pPr>
            <w:r>
              <w:rPr>
                <w:rFonts w:ascii="Calibri" w:eastAsia="Times New Roman" w:hAnsi="Calibri" w:cs="Calibri"/>
                <w:lang w:val="en-US"/>
              </w:rPr>
              <w:t>Former public p</w:t>
            </w:r>
            <w:r w:rsidRPr="00D13DF2">
              <w:rPr>
                <w:rFonts w:ascii="Calibri" w:eastAsia="Times New Roman" w:hAnsi="Calibri" w:cs="Calibri"/>
                <w:lang w:val="en-US"/>
              </w:rPr>
              <w:t>ayer</w:t>
            </w:r>
          </w:p>
        </w:tc>
      </w:tr>
      <w:tr w:rsidR="00141A44" w:rsidRPr="00D13DF2" w14:paraId="15AFEB38" w14:textId="77777777" w:rsidTr="00141A44">
        <w:trPr>
          <w:trHeight w:val="70"/>
        </w:trPr>
        <w:tc>
          <w:tcPr>
            <w:tcW w:w="440" w:type="dxa"/>
            <w:noWrap/>
            <w:hideMark/>
          </w:tcPr>
          <w:p w14:paraId="25B65A12"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18</w:t>
            </w:r>
          </w:p>
        </w:tc>
        <w:tc>
          <w:tcPr>
            <w:tcW w:w="1900" w:type="dxa"/>
            <w:noWrap/>
            <w:hideMark/>
          </w:tcPr>
          <w:p w14:paraId="5FAA26A0"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Australia</w:t>
            </w:r>
          </w:p>
        </w:tc>
        <w:tc>
          <w:tcPr>
            <w:tcW w:w="3525" w:type="dxa"/>
            <w:hideMark/>
          </w:tcPr>
          <w:p w14:paraId="04BB04B3" w14:textId="2EE99BB0"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Health economics and HTA expert</w:t>
            </w:r>
          </w:p>
        </w:tc>
      </w:tr>
      <w:tr w:rsidR="00141A44" w:rsidRPr="00D13DF2" w14:paraId="006E4985" w14:textId="77777777" w:rsidTr="00141A44">
        <w:trPr>
          <w:trHeight w:val="70"/>
        </w:trPr>
        <w:tc>
          <w:tcPr>
            <w:tcW w:w="440" w:type="dxa"/>
            <w:noWrap/>
            <w:hideMark/>
          </w:tcPr>
          <w:p w14:paraId="18DF92EC"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19</w:t>
            </w:r>
          </w:p>
        </w:tc>
        <w:tc>
          <w:tcPr>
            <w:tcW w:w="1900" w:type="dxa"/>
            <w:noWrap/>
            <w:hideMark/>
          </w:tcPr>
          <w:p w14:paraId="54141776"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Australia</w:t>
            </w:r>
          </w:p>
        </w:tc>
        <w:tc>
          <w:tcPr>
            <w:tcW w:w="3525" w:type="dxa"/>
            <w:hideMark/>
          </w:tcPr>
          <w:p w14:paraId="033E19BE"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Therapeutic Area Expert</w:t>
            </w:r>
          </w:p>
        </w:tc>
      </w:tr>
      <w:tr w:rsidR="00141A44" w:rsidRPr="00D13DF2" w14:paraId="5BB0469F" w14:textId="77777777" w:rsidTr="00141A44">
        <w:trPr>
          <w:trHeight w:val="70"/>
        </w:trPr>
        <w:tc>
          <w:tcPr>
            <w:tcW w:w="440" w:type="dxa"/>
            <w:hideMark/>
          </w:tcPr>
          <w:p w14:paraId="22072F57"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20</w:t>
            </w:r>
          </w:p>
        </w:tc>
        <w:tc>
          <w:tcPr>
            <w:tcW w:w="1900" w:type="dxa"/>
            <w:hideMark/>
          </w:tcPr>
          <w:p w14:paraId="08AFD3AD"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Australia</w:t>
            </w:r>
          </w:p>
        </w:tc>
        <w:tc>
          <w:tcPr>
            <w:tcW w:w="3525" w:type="dxa"/>
            <w:hideMark/>
          </w:tcPr>
          <w:p w14:paraId="41BF1C5F" w14:textId="77777777" w:rsidR="00141A44" w:rsidRPr="00D13DF2" w:rsidRDefault="00141A44" w:rsidP="00D13DF2">
            <w:pPr>
              <w:rPr>
                <w:rFonts w:ascii="Calibri" w:eastAsia="Times New Roman" w:hAnsi="Calibri" w:cs="Calibri"/>
                <w:lang w:val="en-US"/>
              </w:rPr>
            </w:pPr>
            <w:r w:rsidRPr="00D13DF2">
              <w:rPr>
                <w:rFonts w:ascii="Calibri" w:eastAsia="Times New Roman" w:hAnsi="Calibri" w:cs="Calibri"/>
                <w:lang w:val="en-US"/>
              </w:rPr>
              <w:t>Health economics and HTA experts</w:t>
            </w:r>
          </w:p>
        </w:tc>
      </w:tr>
    </w:tbl>
    <w:p w14:paraId="6978E9D4" w14:textId="77777777" w:rsidR="00D13DF2" w:rsidRDefault="00D13DF2" w:rsidP="00572AF9">
      <w:pPr>
        <w:spacing w:after="0" w:line="480" w:lineRule="auto"/>
        <w:rPr>
          <w:rFonts w:ascii="Times New Roman" w:eastAsia="Times New Roman" w:hAnsi="Times New Roman" w:cs="Times New Roman"/>
          <w:b/>
          <w:sz w:val="24"/>
          <w:szCs w:val="24"/>
          <w:lang w:eastAsia="en-GB"/>
        </w:rPr>
      </w:pPr>
    </w:p>
    <w:p w14:paraId="7469B6E3" w14:textId="77777777" w:rsidR="00D13DF2" w:rsidRDefault="00D13DF2" w:rsidP="00572AF9">
      <w:pPr>
        <w:spacing w:after="0" w:line="480" w:lineRule="auto"/>
        <w:rPr>
          <w:rFonts w:ascii="Times New Roman" w:eastAsia="Times New Roman" w:hAnsi="Times New Roman" w:cs="Times New Roman"/>
          <w:b/>
          <w:sz w:val="24"/>
          <w:szCs w:val="24"/>
          <w:lang w:eastAsia="en-GB"/>
        </w:rPr>
      </w:pPr>
    </w:p>
    <w:p w14:paraId="52698AA1" w14:textId="77777777" w:rsidR="00D13DF2" w:rsidRDefault="00D13DF2">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14:paraId="1B31C4F7" w14:textId="0F6936D7" w:rsidR="00572AF9" w:rsidRPr="00572AF9" w:rsidRDefault="00D13DF2" w:rsidP="00572AF9">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lastRenderedPageBreak/>
        <w:t xml:space="preserve">Appendix C: </w:t>
      </w:r>
      <w:r w:rsidR="00572AF9" w:rsidRPr="00572AF9">
        <w:rPr>
          <w:rFonts w:ascii="Times New Roman" w:eastAsia="Times New Roman" w:hAnsi="Times New Roman" w:cs="Times New Roman"/>
          <w:b/>
          <w:sz w:val="24"/>
          <w:szCs w:val="24"/>
          <w:lang w:eastAsia="en-GB"/>
        </w:rPr>
        <w:t xml:space="preserve">Expert interview guide  </w:t>
      </w:r>
    </w:p>
    <w:p w14:paraId="5F5DEE0D" w14:textId="77777777" w:rsidR="00572AF9" w:rsidRPr="00572AF9" w:rsidRDefault="00572AF9" w:rsidP="00572AF9">
      <w:pPr>
        <w:widowControl w:val="0"/>
        <w:pBdr>
          <w:top w:val="nil"/>
          <w:left w:val="nil"/>
          <w:bottom w:val="nil"/>
          <w:right w:val="nil"/>
          <w:between w:val="nil"/>
        </w:pBdr>
        <w:spacing w:before="240" w:after="120" w:line="288"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t>Research plan</w:t>
      </w:r>
    </w:p>
    <w:p w14:paraId="31825D03" w14:textId="77777777" w:rsidR="00572AF9" w:rsidRPr="00572AF9" w:rsidRDefault="00572AF9" w:rsidP="00572AF9">
      <w:p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This discussion guide is designed for interviews with payers, policymakers and patient groups in Australia, Canada, England, Ireland, New Zealand</w:t>
      </w:r>
    </w:p>
    <w:p w14:paraId="71371254" w14:textId="77777777" w:rsidR="00572AF9" w:rsidRPr="00572AF9" w:rsidRDefault="00572AF9" w:rsidP="00572AF9">
      <w:p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Interviews will be scheduled for up to one hour and will be led by a member of the project team. The outcomes of this interview will be reported only in an anonymous form.</w:t>
      </w:r>
    </w:p>
    <w:p w14:paraId="68C72357" w14:textId="77777777" w:rsidR="00572AF9" w:rsidRPr="00572AF9" w:rsidRDefault="00572AF9" w:rsidP="00572AF9">
      <w:pPr>
        <w:widowControl w:val="0"/>
        <w:pBdr>
          <w:top w:val="nil"/>
          <w:left w:val="nil"/>
          <w:bottom w:val="nil"/>
          <w:right w:val="nil"/>
          <w:between w:val="nil"/>
        </w:pBdr>
        <w:spacing w:before="240" w:after="120" w:line="288"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t>Introduction for participants</w:t>
      </w:r>
    </w:p>
    <w:p w14:paraId="3AA3A024" w14:textId="77777777" w:rsidR="00572AF9" w:rsidRPr="00572AF9" w:rsidRDefault="00572AF9" w:rsidP="00572AF9">
      <w:pPr>
        <w:spacing w:before="120" w:after="0" w:line="312" w:lineRule="auto"/>
        <w:rPr>
          <w:rFonts w:ascii="Times New Roman" w:eastAsia="Times New Roman" w:hAnsi="Times New Roman" w:cs="Times New Roman"/>
          <w:sz w:val="24"/>
          <w:szCs w:val="24"/>
          <w:lang w:eastAsia="en-GB"/>
        </w:rPr>
      </w:pPr>
      <w:r w:rsidRPr="00572AF9">
        <w:rPr>
          <w:rFonts w:ascii="Times New Roman" w:eastAsia="Times New Roman" w:hAnsi="Times New Roman" w:cs="Times New Roman"/>
          <w:sz w:val="24"/>
          <w:szCs w:val="24"/>
          <w:lang w:eastAsia="en-GB"/>
        </w:rPr>
        <w:t xml:space="preserve">The purpose of this interview is to support an analysis of the challenges in conducting value assessment for broad molecular profiling and broad panel gene testing. </w:t>
      </w:r>
    </w:p>
    <w:p w14:paraId="32434F42" w14:textId="77777777" w:rsidR="00572AF9" w:rsidRPr="00572AF9" w:rsidRDefault="00572AF9" w:rsidP="00572AF9">
      <w:pPr>
        <w:spacing w:before="120" w:after="0" w:line="312" w:lineRule="auto"/>
        <w:rPr>
          <w:rFonts w:ascii="Times New Roman" w:eastAsia="Times New Roman" w:hAnsi="Times New Roman" w:cs="Times New Roman"/>
          <w:sz w:val="24"/>
          <w:szCs w:val="24"/>
          <w:lang w:eastAsia="en-GB"/>
        </w:rPr>
      </w:pPr>
      <w:r w:rsidRPr="00572AF9">
        <w:rPr>
          <w:rFonts w:ascii="Times New Roman" w:eastAsia="Times New Roman" w:hAnsi="Times New Roman" w:cs="Times New Roman"/>
          <w:sz w:val="24"/>
          <w:szCs w:val="24"/>
          <w:lang w:eastAsia="en-GB"/>
        </w:rPr>
        <w:t>The discussion, which will last around 60 minutes, is structured around four broad topics:</w:t>
      </w:r>
    </w:p>
    <w:p w14:paraId="5B446A12" w14:textId="77777777" w:rsidR="00572AF9" w:rsidRPr="00572AF9" w:rsidRDefault="00572AF9" w:rsidP="00572AF9">
      <w:pPr>
        <w:numPr>
          <w:ilvl w:val="0"/>
          <w:numId w:val="2"/>
        </w:numPr>
        <w:spacing w:before="120" w:after="0" w:line="312" w:lineRule="auto"/>
        <w:rPr>
          <w:rFonts w:ascii="Times New Roman" w:eastAsia="SimSun" w:hAnsi="Times New Roman" w:cs="Times New Roman"/>
          <w:b/>
          <w:bCs/>
          <w:sz w:val="24"/>
          <w:szCs w:val="24"/>
        </w:rPr>
      </w:pPr>
      <w:r w:rsidRPr="00572AF9">
        <w:rPr>
          <w:rFonts w:ascii="Times New Roman" w:eastAsia="SimSun" w:hAnsi="Times New Roman" w:cs="Times New Roman"/>
          <w:b/>
          <w:bCs/>
          <w:sz w:val="24"/>
          <w:szCs w:val="24"/>
        </w:rPr>
        <w:t>The benefits of broad molecular profiling and broad panel gene testing</w:t>
      </w:r>
    </w:p>
    <w:p w14:paraId="6AA61F3C" w14:textId="77777777" w:rsidR="00572AF9" w:rsidRPr="00572AF9" w:rsidRDefault="00572AF9" w:rsidP="00572AF9">
      <w:pPr>
        <w:numPr>
          <w:ilvl w:val="0"/>
          <w:numId w:val="2"/>
        </w:numPr>
        <w:spacing w:before="120" w:after="0" w:line="312" w:lineRule="auto"/>
        <w:rPr>
          <w:rFonts w:ascii="Times New Roman" w:eastAsia="SimSun" w:hAnsi="Times New Roman" w:cs="Times New Roman"/>
          <w:b/>
          <w:bCs/>
          <w:color w:val="000000"/>
          <w:sz w:val="24"/>
          <w:szCs w:val="24"/>
        </w:rPr>
      </w:pPr>
      <w:r w:rsidRPr="00572AF9">
        <w:rPr>
          <w:rFonts w:ascii="Times New Roman" w:eastAsia="SimSun" w:hAnsi="Times New Roman" w:cs="Times New Roman"/>
          <w:b/>
          <w:bCs/>
          <w:color w:val="000000"/>
          <w:sz w:val="24"/>
          <w:szCs w:val="24"/>
        </w:rPr>
        <w:t xml:space="preserve">Current process for value assessment and funding of diagnostics in your country and the associated challenges </w:t>
      </w:r>
    </w:p>
    <w:p w14:paraId="020933D1" w14:textId="77777777" w:rsidR="00572AF9" w:rsidRPr="00572AF9" w:rsidRDefault="00572AF9" w:rsidP="00572AF9">
      <w:pPr>
        <w:numPr>
          <w:ilvl w:val="0"/>
          <w:numId w:val="2"/>
        </w:numPr>
        <w:spacing w:before="120" w:after="0" w:line="312" w:lineRule="auto"/>
        <w:rPr>
          <w:rFonts w:ascii="Times New Roman" w:eastAsia="SimSun" w:hAnsi="Times New Roman" w:cs="Times New Roman"/>
          <w:b/>
          <w:bCs/>
          <w:sz w:val="24"/>
          <w:szCs w:val="24"/>
        </w:rPr>
      </w:pPr>
      <w:r w:rsidRPr="00572AF9">
        <w:rPr>
          <w:rFonts w:ascii="Times New Roman" w:eastAsia="SimSun" w:hAnsi="Times New Roman" w:cs="Times New Roman"/>
          <w:b/>
          <w:bCs/>
          <w:color w:val="000000"/>
          <w:sz w:val="24"/>
          <w:szCs w:val="24"/>
        </w:rPr>
        <w:t xml:space="preserve">Your perceptions of future policy changes </w:t>
      </w:r>
      <w:r w:rsidRPr="00572AF9">
        <w:rPr>
          <w:rFonts w:ascii="Times New Roman" w:eastAsia="SimSun" w:hAnsi="Times New Roman" w:cs="Times New Roman"/>
          <w:b/>
          <w:bCs/>
          <w:sz w:val="24"/>
          <w:szCs w:val="24"/>
        </w:rPr>
        <w:t>and impact in your country</w:t>
      </w:r>
    </w:p>
    <w:p w14:paraId="3615856F" w14:textId="77777777" w:rsidR="00572AF9" w:rsidRPr="00572AF9" w:rsidRDefault="00572AF9" w:rsidP="00572AF9">
      <w:pPr>
        <w:spacing w:before="120" w:after="0" w:line="312" w:lineRule="auto"/>
        <w:rPr>
          <w:rFonts w:ascii="Times New Roman" w:eastAsia="Times New Roman" w:hAnsi="Times New Roman" w:cs="Times New Roman"/>
          <w:sz w:val="24"/>
          <w:szCs w:val="24"/>
          <w:lang w:eastAsia="en-GB"/>
        </w:rPr>
      </w:pPr>
      <w:r w:rsidRPr="00572AF9">
        <w:rPr>
          <w:rFonts w:ascii="Times New Roman" w:eastAsia="Times New Roman" w:hAnsi="Times New Roman" w:cs="Times New Roman"/>
          <w:sz w:val="24"/>
          <w:szCs w:val="24"/>
          <w:lang w:eastAsia="en-GB"/>
        </w:rPr>
        <w:t xml:space="preserve">This analysis is part of a project that Charles River Associates have been commissioned to complete on behalf of a pharmaceutical company. Your input into this project will be used to inform the eventual outcomes of the analysis, but we will not report your comments directly or in any attributable form. </w:t>
      </w:r>
    </w:p>
    <w:p w14:paraId="72ACC91E" w14:textId="77777777" w:rsidR="00572AF9" w:rsidRPr="00572AF9" w:rsidRDefault="00572AF9" w:rsidP="00572AF9">
      <w:pPr>
        <w:spacing w:before="120" w:after="0" w:line="312" w:lineRule="auto"/>
        <w:rPr>
          <w:rFonts w:ascii="Times New Roman" w:eastAsia="Times New Roman" w:hAnsi="Times New Roman" w:cs="Times New Roman"/>
          <w:sz w:val="24"/>
          <w:szCs w:val="24"/>
          <w:lang w:eastAsia="en-GB"/>
        </w:rPr>
      </w:pPr>
      <w:r w:rsidRPr="00572AF9">
        <w:rPr>
          <w:rFonts w:ascii="Times New Roman" w:eastAsia="Times New Roman" w:hAnsi="Times New Roman" w:cs="Times New Roman"/>
          <w:sz w:val="24"/>
          <w:szCs w:val="24"/>
          <w:lang w:eastAsia="en-GB"/>
        </w:rPr>
        <w:t xml:space="preserve">This document is intended only as a guide to the </w:t>
      </w:r>
      <w:proofErr w:type="gramStart"/>
      <w:r w:rsidRPr="00572AF9">
        <w:rPr>
          <w:rFonts w:ascii="Times New Roman" w:eastAsia="Times New Roman" w:hAnsi="Times New Roman" w:cs="Times New Roman"/>
          <w:sz w:val="24"/>
          <w:szCs w:val="24"/>
          <w:lang w:eastAsia="en-GB"/>
        </w:rPr>
        <w:t>discussion</w:t>
      </w:r>
      <w:proofErr w:type="gramEnd"/>
      <w:r w:rsidRPr="00572AF9">
        <w:rPr>
          <w:rFonts w:ascii="Times New Roman" w:eastAsia="Times New Roman" w:hAnsi="Times New Roman" w:cs="Times New Roman"/>
          <w:sz w:val="24"/>
          <w:szCs w:val="24"/>
          <w:lang w:eastAsia="en-GB"/>
        </w:rPr>
        <w:t xml:space="preserve"> and we may structure the discussion differently, leave questions out or go into more detail in some areas, depending on your response. The flow of the discussion may change throughout the course of the research as the project team reviews outcomes of the interviews and reflects on the insights gained.</w:t>
      </w:r>
    </w:p>
    <w:p w14:paraId="69AC73EA" w14:textId="77777777" w:rsidR="00572AF9" w:rsidRPr="00572AF9" w:rsidRDefault="00572AF9" w:rsidP="00572AF9">
      <w:pPr>
        <w:spacing w:before="120" w:after="0" w:line="312" w:lineRule="auto"/>
        <w:rPr>
          <w:rFonts w:ascii="Times New Roman" w:eastAsia="Times New Roman" w:hAnsi="Times New Roman" w:cs="Times New Roman"/>
          <w:sz w:val="24"/>
          <w:szCs w:val="24"/>
          <w:lang w:eastAsia="en-GB"/>
        </w:rPr>
      </w:pPr>
      <w:r w:rsidRPr="00572AF9">
        <w:rPr>
          <w:rFonts w:ascii="Times New Roman" w:eastAsia="Times New Roman" w:hAnsi="Times New Roman" w:cs="Times New Roman"/>
          <w:sz w:val="24"/>
          <w:szCs w:val="24"/>
          <w:lang w:eastAsia="en-GB"/>
        </w:rPr>
        <w:t xml:space="preserve">Before we begin, we would like your permission to record the discussion for analysis purposes; this data will be used only by CRA for note-taking and will not be shared with any third parties. </w:t>
      </w:r>
    </w:p>
    <w:p w14:paraId="17E7C721" w14:textId="77777777" w:rsidR="00572AF9" w:rsidRPr="00572AF9" w:rsidRDefault="00572AF9" w:rsidP="00572AF9">
      <w:pPr>
        <w:widowControl w:val="0"/>
        <w:pBdr>
          <w:top w:val="nil"/>
          <w:left w:val="nil"/>
          <w:bottom w:val="nil"/>
          <w:right w:val="nil"/>
          <w:between w:val="nil"/>
        </w:pBdr>
        <w:spacing w:before="240" w:after="120" w:line="288" w:lineRule="auto"/>
        <w:rPr>
          <w:rFonts w:ascii="Times New Roman" w:eastAsia="SimSun" w:hAnsi="Times New Roman" w:cs="Times New Roman"/>
          <w:b/>
          <w:sz w:val="24"/>
          <w:szCs w:val="24"/>
          <w:lang w:eastAsia="en-GB"/>
        </w:rPr>
      </w:pPr>
      <w:r w:rsidRPr="00572AF9">
        <w:rPr>
          <w:rFonts w:ascii="Times New Roman" w:eastAsia="Times New Roman" w:hAnsi="Times New Roman" w:cs="Times New Roman"/>
          <w:b/>
          <w:sz w:val="24"/>
          <w:szCs w:val="24"/>
          <w:lang w:eastAsia="en-GB"/>
        </w:rPr>
        <w:t>Section 1: Understanding the benefits of broad molecular profiling and broad panel gene testing</w:t>
      </w:r>
    </w:p>
    <w:p w14:paraId="31CEFEC7" w14:textId="77777777" w:rsidR="00572AF9" w:rsidRPr="00572AF9" w:rsidRDefault="00572AF9" w:rsidP="00572AF9">
      <w:pPr>
        <w:numPr>
          <w:ilvl w:val="0"/>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To begin with, could you give a quick overview of your role and your experience related to diagnostics?</w:t>
      </w:r>
    </w:p>
    <w:p w14:paraId="6D10DE33" w14:textId="77777777" w:rsidR="00572AF9" w:rsidRPr="00572AF9" w:rsidRDefault="00572AF9" w:rsidP="00572AF9">
      <w:pPr>
        <w:numPr>
          <w:ilvl w:val="1"/>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Have you been involved in the assessment or funding process for diagnostics in the past?</w:t>
      </w:r>
    </w:p>
    <w:p w14:paraId="3B29366D" w14:textId="77777777" w:rsidR="00572AF9" w:rsidRPr="00572AF9" w:rsidRDefault="00572AF9" w:rsidP="00572AF9">
      <w:pPr>
        <w:numPr>
          <w:ilvl w:val="0"/>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lastRenderedPageBreak/>
        <w:t xml:space="preserve">What do you understand to be the main differences in benefits across more targeted diagnostics tests, compared to broad molecular profiling? What are the key differences </w:t>
      </w:r>
      <w:proofErr w:type="gramStart"/>
      <w:r w:rsidRPr="00572AF9">
        <w:rPr>
          <w:rFonts w:ascii="Times New Roman" w:eastAsia="SimSun" w:hAnsi="Times New Roman" w:cs="Times New Roman"/>
          <w:bCs/>
          <w:sz w:val="24"/>
          <w:szCs w:val="24"/>
        </w:rPr>
        <w:t>between:</w:t>
      </w:r>
      <w:proofErr w:type="gramEnd"/>
    </w:p>
    <w:p w14:paraId="3719BCA7" w14:textId="77777777" w:rsidR="00572AF9" w:rsidRPr="00572AF9" w:rsidRDefault="00572AF9" w:rsidP="00572AF9">
      <w:pPr>
        <w:numPr>
          <w:ilvl w:val="1"/>
          <w:numId w:val="1"/>
        </w:numPr>
        <w:spacing w:before="60" w:after="60" w:line="312" w:lineRule="auto"/>
        <w:ind w:left="896"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Diagnostics associated with a particular product (companion diagnostics)?</w:t>
      </w:r>
    </w:p>
    <w:p w14:paraId="71673053" w14:textId="77777777" w:rsidR="00572AF9" w:rsidRPr="00572AF9" w:rsidRDefault="00572AF9" w:rsidP="00572AF9">
      <w:pPr>
        <w:numPr>
          <w:ilvl w:val="1"/>
          <w:numId w:val="1"/>
        </w:numPr>
        <w:spacing w:before="60" w:after="60" w:line="312" w:lineRule="auto"/>
        <w:ind w:left="896"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Diagnostics associated with a class of products (complementary diagnostics)?</w:t>
      </w:r>
    </w:p>
    <w:p w14:paraId="1EB5E24E" w14:textId="77777777" w:rsidR="00572AF9" w:rsidRPr="00572AF9" w:rsidRDefault="00572AF9" w:rsidP="00572AF9">
      <w:pPr>
        <w:numPr>
          <w:ilvl w:val="1"/>
          <w:numId w:val="1"/>
        </w:numPr>
        <w:spacing w:before="60" w:after="60" w:line="312" w:lineRule="auto"/>
        <w:ind w:left="896"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Diagnostic tests associated with a set of genes (small panel testing through NGS)?</w:t>
      </w:r>
    </w:p>
    <w:p w14:paraId="42B79171" w14:textId="77777777" w:rsidR="00572AF9" w:rsidRPr="00572AF9" w:rsidRDefault="00572AF9" w:rsidP="00572AF9">
      <w:pPr>
        <w:numPr>
          <w:ilvl w:val="1"/>
          <w:numId w:val="1"/>
        </w:numPr>
        <w:spacing w:before="60" w:after="60" w:line="312" w:lineRule="auto"/>
        <w:ind w:left="896"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Broader molecular profiling through broad panel gene testing?</w:t>
      </w:r>
    </w:p>
    <w:p w14:paraId="1753845B" w14:textId="77777777" w:rsidR="00572AF9" w:rsidRPr="00572AF9" w:rsidRDefault="00572AF9" w:rsidP="00572AF9">
      <w:pPr>
        <w:numPr>
          <w:ilvl w:val="0"/>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How would you characterise the clinical impact of broad molecular profiling on </w:t>
      </w:r>
      <w:proofErr w:type="gramStart"/>
      <w:r w:rsidRPr="00572AF9">
        <w:rPr>
          <w:rFonts w:ascii="Times New Roman" w:eastAsia="SimSun" w:hAnsi="Times New Roman" w:cs="Times New Roman"/>
          <w:bCs/>
          <w:sz w:val="24"/>
          <w:szCs w:val="24"/>
        </w:rPr>
        <w:t>patient:</w:t>
      </w:r>
      <w:proofErr w:type="gramEnd"/>
      <w:r w:rsidRPr="00572AF9">
        <w:rPr>
          <w:rFonts w:ascii="Times New Roman" w:eastAsia="SimSun" w:hAnsi="Times New Roman" w:cs="Times New Roman"/>
          <w:bCs/>
          <w:sz w:val="24"/>
          <w:szCs w:val="24"/>
        </w:rPr>
        <w:t xml:space="preserve"> </w:t>
      </w:r>
    </w:p>
    <w:p w14:paraId="7A094489" w14:textId="77777777" w:rsidR="00572AF9" w:rsidRPr="00572AF9" w:rsidRDefault="00572AF9" w:rsidP="00572AF9">
      <w:pPr>
        <w:spacing w:before="60" w:after="60" w:line="312" w:lineRule="auto"/>
        <w:ind w:left="539"/>
        <w:rPr>
          <w:rFonts w:ascii="Times New Roman" w:eastAsia="SimSun" w:hAnsi="Times New Roman" w:cs="Times New Roman"/>
          <w:bCs/>
          <w:color w:val="7F7F7F"/>
          <w:sz w:val="24"/>
          <w:szCs w:val="24"/>
        </w:rPr>
      </w:pPr>
      <w:r w:rsidRPr="00572AF9">
        <w:rPr>
          <w:rFonts w:ascii="Times New Roman" w:eastAsia="SimSun" w:hAnsi="Times New Roman" w:cs="Times New Roman"/>
          <w:bCs/>
          <w:color w:val="7F7F7F"/>
          <w:sz w:val="24"/>
          <w:szCs w:val="24"/>
        </w:rPr>
        <w:t xml:space="preserve">Probe: </w:t>
      </w:r>
    </w:p>
    <w:p w14:paraId="509745C9"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More treatment options for patients? </w:t>
      </w:r>
    </w:p>
    <w:p w14:paraId="565D2056"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Faster diagnosis and getting patients on the best treatment more quickly?</w:t>
      </w:r>
    </w:p>
    <w:p w14:paraId="4DAE67CC"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Help prescriber guide decision-making? Shifting treatment away from trial-and-error prescribing?</w:t>
      </w:r>
    </w:p>
    <w:p w14:paraId="36D0CDCF"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Direct patients to better-suited therapies and reduce adverse events?  </w:t>
      </w:r>
    </w:p>
    <w:p w14:paraId="037449BB" w14:textId="77777777" w:rsidR="00572AF9" w:rsidRPr="00572AF9" w:rsidRDefault="00572AF9" w:rsidP="00572AF9">
      <w:pPr>
        <w:numPr>
          <w:ilvl w:val="0"/>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How would you characterise the impact of broad molecular profiling on care delivery and healthcare system? </w:t>
      </w:r>
    </w:p>
    <w:p w14:paraId="1F3D4202" w14:textId="77777777" w:rsidR="00572AF9" w:rsidRPr="00572AF9" w:rsidRDefault="00572AF9" w:rsidP="00572AF9">
      <w:pPr>
        <w:numPr>
          <w:ilvl w:val="1"/>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Is there any clinical utility to be gained from the value of ‘knowing,’ to help support patient’s decisions and lead to spill-over effects? </w:t>
      </w:r>
    </w:p>
    <w:p w14:paraId="0C1A0D9D" w14:textId="77777777" w:rsidR="00572AF9" w:rsidRPr="00572AF9" w:rsidRDefault="00572AF9" w:rsidP="00572AF9">
      <w:pPr>
        <w:numPr>
          <w:ilvl w:val="0"/>
          <w:numId w:val="1"/>
        </w:numPr>
        <w:spacing w:before="12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How would you characterise the broader societal impact of broad molecular profiling? </w:t>
      </w:r>
    </w:p>
    <w:p w14:paraId="5E88ED11" w14:textId="77777777" w:rsidR="00572AF9" w:rsidRPr="00572AF9" w:rsidRDefault="00572AF9" w:rsidP="00572AF9">
      <w:pPr>
        <w:numPr>
          <w:ilvl w:val="1"/>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To what extent do you think it is valuable (as a payer) that broad panel gene testing can facilitate clinical trial enrolment and supports future research and development?  </w:t>
      </w:r>
    </w:p>
    <w:p w14:paraId="45FB8562" w14:textId="77777777" w:rsidR="00572AF9" w:rsidRPr="00572AF9" w:rsidRDefault="00572AF9" w:rsidP="00572AF9">
      <w:pPr>
        <w:numPr>
          <w:ilvl w:val="0"/>
          <w:numId w:val="1"/>
        </w:numPr>
        <w:spacing w:before="120" w:after="6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To what extent do you feel that these benefits are accounted for from a payer perspective? </w:t>
      </w:r>
    </w:p>
    <w:p w14:paraId="5D38E321" w14:textId="77777777" w:rsidR="00572AF9" w:rsidRPr="00572AF9" w:rsidRDefault="00572AF9" w:rsidP="00572AF9">
      <w:pPr>
        <w:widowControl w:val="0"/>
        <w:pBdr>
          <w:top w:val="nil"/>
          <w:left w:val="nil"/>
          <w:bottom w:val="nil"/>
          <w:right w:val="nil"/>
          <w:between w:val="nil"/>
        </w:pBdr>
        <w:spacing w:before="240" w:after="120" w:line="288"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t xml:space="preserve">Section 2: Current process for funding of diagnostics and conducting value assessment </w:t>
      </w:r>
    </w:p>
    <w:p w14:paraId="6A6E63B8"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In your experience, is access to broad molecular testing and broad panel gene testing a challenge in your market?</w:t>
      </w:r>
    </w:p>
    <w:p w14:paraId="27F477EA" w14:textId="77777777" w:rsidR="00572AF9" w:rsidRPr="00572AF9" w:rsidRDefault="00572AF9" w:rsidP="00572AF9">
      <w:pPr>
        <w:numPr>
          <w:ilvl w:val="1"/>
          <w:numId w:val="1"/>
        </w:numPr>
        <w:spacing w:before="60" w:after="0" w:line="312"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What is the reason for this access challenge? (e.g. lack of awareness, lack of funding, lack of regulatory approval)</w:t>
      </w:r>
    </w:p>
    <w:p w14:paraId="68A91F53"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How are other diagnostics services funded? </w:t>
      </w:r>
    </w:p>
    <w:p w14:paraId="3B23B2C1" w14:textId="77777777" w:rsidR="00572AF9" w:rsidRPr="00572AF9" w:rsidRDefault="00572AF9" w:rsidP="00572AF9">
      <w:pPr>
        <w:numPr>
          <w:ilvl w:val="1"/>
          <w:numId w:val="1"/>
        </w:numPr>
        <w:spacing w:before="60" w:after="0" w:line="312"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Other diagnostics tools such magnetic resonance imaging (MRI) and how the cost of these are allocated and share if they are used in diagnosis</w:t>
      </w:r>
    </w:p>
    <w:p w14:paraId="638D7CC3" w14:textId="77777777" w:rsidR="00572AF9" w:rsidRPr="00572AF9" w:rsidRDefault="00572AF9" w:rsidP="00572AF9">
      <w:pPr>
        <w:numPr>
          <w:ilvl w:val="1"/>
          <w:numId w:val="1"/>
        </w:numPr>
        <w:spacing w:before="60" w:after="0" w:line="312"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 xml:space="preserve">The cost of specialists (e.g. pathologists and geneticists) </w:t>
      </w:r>
    </w:p>
    <w:p w14:paraId="45F83F33" w14:textId="77777777" w:rsidR="00572AF9" w:rsidRPr="00572AF9" w:rsidRDefault="00572AF9" w:rsidP="00572AF9">
      <w:pPr>
        <w:numPr>
          <w:ilvl w:val="0"/>
          <w:numId w:val="1"/>
        </w:numPr>
        <w:spacing w:before="12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What are the current funding mechanisms in place for broad molecular profiling compared to companion diagnostics?  </w:t>
      </w:r>
    </w:p>
    <w:p w14:paraId="5F9D52C1"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lastRenderedPageBreak/>
        <w:t>When considering the impact of broad molecular profiling on care delivery, how are decisions made in your country regarding which patients would receive this diagnostic intervention?</w:t>
      </w:r>
    </w:p>
    <w:p w14:paraId="317C9E0A" w14:textId="77777777" w:rsidR="00572AF9" w:rsidRPr="00572AF9" w:rsidRDefault="00572AF9" w:rsidP="00572AF9">
      <w:pPr>
        <w:spacing w:before="240" w:after="0" w:line="312" w:lineRule="auto"/>
        <w:ind w:left="357" w:hanging="357"/>
        <w:rPr>
          <w:rFonts w:ascii="Times New Roman" w:eastAsia="Cambria" w:hAnsi="Times New Roman" w:cs="Times New Roman"/>
          <w:bCs/>
          <w:sz w:val="24"/>
          <w:szCs w:val="24"/>
        </w:rPr>
      </w:pPr>
      <w:r w:rsidRPr="00572AF9">
        <w:rPr>
          <w:rFonts w:ascii="Times New Roman" w:eastAsia="SimSun" w:hAnsi="Times New Roman" w:cs="Times New Roman"/>
          <w:bCs/>
          <w:sz w:val="24"/>
          <w:szCs w:val="24"/>
        </w:rPr>
        <w:t xml:space="preserve">Who should pay for broad panel genomics testing, and how do HTA bodies take into this into account in value assessment over time?  </w:t>
      </w:r>
    </w:p>
    <w:p w14:paraId="14C7BD01"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How can specific patients be targeted to use broad molecular proofing who are most likely to benefit from its application? </w:t>
      </w:r>
    </w:p>
    <w:p w14:paraId="4DAA7AE5"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What are the current differences in the value assessment process between different types of diagnostics?</w:t>
      </w:r>
    </w:p>
    <w:p w14:paraId="2039917D"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Diagnostics associated with a particular product (companion diagnostics)?</w:t>
      </w:r>
    </w:p>
    <w:p w14:paraId="5B8F2A45"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Diagnostics associated with a class of products (complementary diagnostics)?</w:t>
      </w:r>
    </w:p>
    <w:p w14:paraId="1E558C4F"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Diagnostic tests associated with a set of genes (small panel testing through NGS)?</w:t>
      </w:r>
    </w:p>
    <w:p w14:paraId="52F4741C"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Broader molecular profiling and broad panel gene testing?</w:t>
      </w:r>
    </w:p>
    <w:p w14:paraId="071745F8"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To what extent is broad panel gene testing integrated with the assessment of associated therapies or assessed individually</w:t>
      </w:r>
    </w:p>
    <w:p w14:paraId="22E3EEDF"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If there is a co-dependent HTA system in the valuation of a drug and diagnostic test? What happens when the diagnostic is not linked to a specific drug?</w:t>
      </w:r>
    </w:p>
    <w:p w14:paraId="1D4FA832"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 xml:space="preserve">Do you see the approach of “one test, one patient, one drug” as sustainable going forward? </w:t>
      </w:r>
    </w:p>
    <w:p w14:paraId="13F44F13"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 xml:space="preserve">How do you address the emergence of tumour-agnostic label, i.e. moving away from a one test per one drug situation? </w:t>
      </w:r>
    </w:p>
    <w:p w14:paraId="1E8A3544"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What are the evidence requirements for assessing broad molecular profiling? </w:t>
      </w:r>
    </w:p>
    <w:p w14:paraId="372A2F5F" w14:textId="77777777" w:rsidR="00572AF9" w:rsidRPr="00572AF9" w:rsidRDefault="00572AF9" w:rsidP="00572AF9">
      <w:pPr>
        <w:numPr>
          <w:ilvl w:val="1"/>
          <w:numId w:val="1"/>
        </w:numPr>
        <w:spacing w:before="60" w:after="60" w:line="312" w:lineRule="auto"/>
        <w:ind w:left="896"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Does this need to include the full testing cost in evaluations. </w:t>
      </w:r>
    </w:p>
    <w:p w14:paraId="686815CB"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What do you see as the main challenges in assessing the value broad molecular profiling? How do you expect that these challenges will be dealt with? </w:t>
      </w:r>
    </w:p>
    <w:p w14:paraId="7C18F51E" w14:textId="77777777" w:rsidR="00572AF9" w:rsidRPr="00572AF9" w:rsidRDefault="00572AF9" w:rsidP="00572AF9">
      <w:pPr>
        <w:numPr>
          <w:ilvl w:val="1"/>
          <w:numId w:val="1"/>
        </w:numPr>
        <w:spacing w:before="60" w:after="0" w:line="312"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 xml:space="preserve">Does the use of cost-effectiveness analysis represent a challenge? </w:t>
      </w:r>
    </w:p>
    <w:p w14:paraId="64808113" w14:textId="77777777" w:rsidR="00572AF9" w:rsidRPr="00572AF9" w:rsidRDefault="00572AF9" w:rsidP="00572AF9">
      <w:pPr>
        <w:numPr>
          <w:ilvl w:val="1"/>
          <w:numId w:val="1"/>
        </w:numPr>
        <w:spacing w:before="60" w:after="0" w:line="312"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sz w:val="24"/>
          <w:szCs w:val="24"/>
        </w:rPr>
        <w:t xml:space="preserve">How do you deal with follow on drugs that use the same biomarker, and which will not have the test included in the cost/benefit analysis? </w:t>
      </w:r>
    </w:p>
    <w:p w14:paraId="30E49570"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Are there any learnings from the value assessment and funding mechanisms for other </w:t>
      </w:r>
      <w:proofErr w:type="gramStart"/>
      <w:r w:rsidRPr="00572AF9">
        <w:rPr>
          <w:rFonts w:ascii="Times New Roman" w:eastAsia="SimSun" w:hAnsi="Times New Roman" w:cs="Times New Roman"/>
          <w:bCs/>
          <w:sz w:val="24"/>
          <w:szCs w:val="24"/>
        </w:rPr>
        <w:t>high cost</w:t>
      </w:r>
      <w:proofErr w:type="gramEnd"/>
      <w:r w:rsidRPr="00572AF9">
        <w:rPr>
          <w:rFonts w:ascii="Times New Roman" w:eastAsia="SimSun" w:hAnsi="Times New Roman" w:cs="Times New Roman"/>
          <w:bCs/>
          <w:sz w:val="24"/>
          <w:szCs w:val="24"/>
        </w:rPr>
        <w:t xml:space="preserve"> diagnostic techniques that could support future access? </w:t>
      </w:r>
    </w:p>
    <w:p w14:paraId="4C45B3DE" w14:textId="77777777" w:rsidR="00572AF9" w:rsidRPr="00572AF9" w:rsidRDefault="00572AF9" w:rsidP="00572AF9">
      <w:pPr>
        <w:numPr>
          <w:ilvl w:val="2"/>
          <w:numId w:val="1"/>
        </w:numPr>
        <w:spacing w:before="120" w:after="0" w:line="312" w:lineRule="auto"/>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 xml:space="preserve">Probe on current assessment and funding mechanisms for MRI machines  </w:t>
      </w:r>
    </w:p>
    <w:p w14:paraId="29121EBF" w14:textId="77777777" w:rsidR="00572AF9" w:rsidRPr="00572AF9" w:rsidRDefault="00572AF9" w:rsidP="00572AF9">
      <w:pPr>
        <w:widowControl w:val="0"/>
        <w:pBdr>
          <w:top w:val="nil"/>
          <w:left w:val="nil"/>
          <w:bottom w:val="nil"/>
          <w:right w:val="nil"/>
          <w:between w:val="nil"/>
        </w:pBdr>
        <w:spacing w:before="240" w:after="120" w:line="288" w:lineRule="auto"/>
        <w:rPr>
          <w:rFonts w:ascii="Times New Roman" w:eastAsia="Times New Roman" w:hAnsi="Times New Roman" w:cs="Times New Roman"/>
          <w:b/>
          <w:sz w:val="24"/>
          <w:szCs w:val="24"/>
          <w:lang w:eastAsia="en-GB"/>
        </w:rPr>
      </w:pPr>
      <w:r w:rsidRPr="00572AF9">
        <w:rPr>
          <w:rFonts w:ascii="Times New Roman" w:eastAsia="Times New Roman" w:hAnsi="Times New Roman" w:cs="Times New Roman"/>
          <w:b/>
          <w:sz w:val="24"/>
          <w:szCs w:val="24"/>
          <w:lang w:eastAsia="en-GB"/>
        </w:rPr>
        <w:t>Section 3: Your perceptions of future policy changes and impact in your country</w:t>
      </w:r>
    </w:p>
    <w:p w14:paraId="373249B9"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How do you see the genomics landscape evolving in your country? </w:t>
      </w:r>
    </w:p>
    <w:p w14:paraId="1F430ADC" w14:textId="77777777" w:rsidR="00572AF9" w:rsidRPr="00572AF9" w:rsidRDefault="00572AF9" w:rsidP="00572AF9">
      <w:pPr>
        <w:numPr>
          <w:ilvl w:val="0"/>
          <w:numId w:val="1"/>
        </w:numPr>
        <w:spacing w:before="120" w:after="0" w:line="312" w:lineRule="auto"/>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lastRenderedPageBreak/>
        <w:t>Is there a need for a strategy of focusing on the use of companion diagnostics, narrow panels to broad testing?</w:t>
      </w:r>
    </w:p>
    <w:p w14:paraId="6A046CCA"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Thinking broadly about your country and the adoption of novel diagnostics, would you say that your country is a </w:t>
      </w:r>
      <w:r w:rsidRPr="00572AF9">
        <w:rPr>
          <w:rFonts w:ascii="Times New Roman" w:eastAsia="SimSun" w:hAnsi="Times New Roman" w:cs="Times New Roman"/>
          <w:bCs/>
          <w:i/>
          <w:sz w:val="24"/>
          <w:szCs w:val="24"/>
        </w:rPr>
        <w:t>leader</w:t>
      </w:r>
      <w:r w:rsidRPr="00572AF9">
        <w:rPr>
          <w:rFonts w:ascii="Times New Roman" w:eastAsia="SimSun" w:hAnsi="Times New Roman" w:cs="Times New Roman"/>
          <w:bCs/>
          <w:sz w:val="24"/>
          <w:szCs w:val="24"/>
        </w:rPr>
        <w:t xml:space="preserve"> in diagnostics adoption, </w:t>
      </w:r>
      <w:r w:rsidRPr="00572AF9">
        <w:rPr>
          <w:rFonts w:ascii="Times New Roman" w:eastAsia="SimSun" w:hAnsi="Times New Roman" w:cs="Times New Roman"/>
          <w:bCs/>
          <w:i/>
          <w:sz w:val="24"/>
          <w:szCs w:val="24"/>
        </w:rPr>
        <w:t>about the same</w:t>
      </w:r>
      <w:r w:rsidRPr="00572AF9">
        <w:rPr>
          <w:rFonts w:ascii="Times New Roman" w:eastAsia="SimSun" w:hAnsi="Times New Roman" w:cs="Times New Roman"/>
          <w:bCs/>
          <w:sz w:val="24"/>
          <w:szCs w:val="24"/>
        </w:rPr>
        <w:t xml:space="preserve"> as most other markets, or </w:t>
      </w:r>
      <w:proofErr w:type="gramStart"/>
      <w:r w:rsidRPr="00572AF9">
        <w:rPr>
          <w:rFonts w:ascii="Times New Roman" w:eastAsia="SimSun" w:hAnsi="Times New Roman" w:cs="Times New Roman"/>
          <w:bCs/>
          <w:i/>
          <w:sz w:val="24"/>
          <w:szCs w:val="24"/>
        </w:rPr>
        <w:t>lagging behind</w:t>
      </w:r>
      <w:proofErr w:type="gramEnd"/>
      <w:r w:rsidRPr="00572AF9">
        <w:rPr>
          <w:rFonts w:ascii="Times New Roman" w:eastAsia="SimSun" w:hAnsi="Times New Roman" w:cs="Times New Roman"/>
          <w:bCs/>
          <w:sz w:val="24"/>
          <w:szCs w:val="24"/>
        </w:rPr>
        <w:t xml:space="preserve"> other countries?</w:t>
      </w:r>
    </w:p>
    <w:p w14:paraId="46CE7D8A"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What are </w:t>
      </w:r>
      <w:r w:rsidRPr="00572AF9">
        <w:rPr>
          <w:rFonts w:ascii="Times New Roman" w:eastAsia="SimSun" w:hAnsi="Times New Roman" w:cs="Times New Roman"/>
          <w:bCs/>
          <w:color w:val="000000"/>
          <w:sz w:val="24"/>
          <w:szCs w:val="24"/>
        </w:rPr>
        <w:t xml:space="preserve">the most significant barriers to </w:t>
      </w:r>
      <w:r w:rsidRPr="00572AF9">
        <w:rPr>
          <w:rFonts w:ascii="Times New Roman" w:eastAsia="SimSun" w:hAnsi="Times New Roman" w:cs="Times New Roman"/>
          <w:bCs/>
          <w:sz w:val="24"/>
          <w:szCs w:val="24"/>
        </w:rPr>
        <w:t>accessing broad molecular profiling in your country?</w:t>
      </w:r>
    </w:p>
    <w:p w14:paraId="7AB2F025" w14:textId="77777777" w:rsidR="00572AF9" w:rsidRPr="00572AF9" w:rsidRDefault="00572AF9" w:rsidP="00572AF9">
      <w:pPr>
        <w:spacing w:before="120" w:after="0" w:line="312" w:lineRule="auto"/>
        <w:ind w:left="360"/>
        <w:rPr>
          <w:rFonts w:ascii="Times New Roman" w:eastAsia="SimSun" w:hAnsi="Times New Roman" w:cs="Times New Roman"/>
          <w:bCs/>
          <w:sz w:val="24"/>
          <w:szCs w:val="24"/>
        </w:rPr>
      </w:pPr>
      <w:r w:rsidRPr="00572AF9">
        <w:rPr>
          <w:rFonts w:ascii="Times New Roman" w:eastAsia="SimSun" w:hAnsi="Times New Roman" w:cs="Times New Roman"/>
          <w:b/>
          <w:bCs/>
          <w:i/>
          <w:sz w:val="24"/>
          <w:szCs w:val="24"/>
        </w:rPr>
        <w:t>Leave respondent answer unaided and then probe on those specific points:</w:t>
      </w:r>
    </w:p>
    <w:p w14:paraId="3DB3B38D"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Ability to pay for / affordability - Price? lack of funding?</w:t>
      </w:r>
    </w:p>
    <w:p w14:paraId="31FC08A8"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Infrastructure – availability of technologies and testing systems</w:t>
      </w:r>
    </w:p>
    <w:p w14:paraId="2CE4E61B"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Lack of adoption (i.e. majority of physicians do not consider it relevant / needed),</w:t>
      </w:r>
    </w:p>
    <w:p w14:paraId="645C61D0"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Challenging interpretation of the results (i.e. high amount of information, lack of comprehensive database for “variants of uncertain significance”), </w:t>
      </w:r>
    </w:p>
    <w:p w14:paraId="472157C2"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Reliability (absence of standard operating procedures, end-to-end sample tracking)</w:t>
      </w:r>
    </w:p>
    <w:p w14:paraId="6530763B"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Absence of clear guidelines (i.e. which test to use and at what stage of the disease?)</w:t>
      </w:r>
    </w:p>
    <w:p w14:paraId="0F349D96"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Capacity (i.e. limited number of diagnostic centres)</w:t>
      </w:r>
    </w:p>
    <w:p w14:paraId="708E4966"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Others?</w:t>
      </w:r>
    </w:p>
    <w:p w14:paraId="1DA2B9F4"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What, for you, are critical success factors or the most important drivers of uptake of broad molecular profiling and broad panel gene testing in your country in the future? </w:t>
      </w:r>
    </w:p>
    <w:p w14:paraId="06C48EB3" w14:textId="77777777" w:rsidR="00572AF9" w:rsidRPr="00572AF9" w:rsidRDefault="00572AF9" w:rsidP="00572AF9">
      <w:pPr>
        <w:spacing w:before="120" w:after="0" w:line="312" w:lineRule="auto"/>
        <w:ind w:left="360"/>
        <w:rPr>
          <w:rFonts w:ascii="Times New Roman" w:eastAsia="SimSun" w:hAnsi="Times New Roman" w:cs="Times New Roman"/>
          <w:bCs/>
          <w:sz w:val="24"/>
          <w:szCs w:val="24"/>
        </w:rPr>
      </w:pPr>
      <w:r w:rsidRPr="00572AF9">
        <w:rPr>
          <w:rFonts w:ascii="Times New Roman" w:eastAsia="SimSun" w:hAnsi="Times New Roman" w:cs="Times New Roman"/>
          <w:b/>
          <w:bCs/>
          <w:i/>
          <w:sz w:val="24"/>
          <w:szCs w:val="24"/>
        </w:rPr>
        <w:t>Leave respondent answer unaided and then probe on those specific points:</w:t>
      </w:r>
    </w:p>
    <w:p w14:paraId="3DA32053"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Infrastructure (e.g. availability of testing platforms, quality of available tests, shared services across hospitals, public / private laboratories, data platforms)?</w:t>
      </w:r>
    </w:p>
    <w:p w14:paraId="361BEBF1"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Policy and guidelines (such as national plans to promote NGS)?</w:t>
      </w:r>
    </w:p>
    <w:p w14:paraId="68374395"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Funding (reimbursement) for diagnostic tests? </w:t>
      </w:r>
    </w:p>
    <w:p w14:paraId="2B288C76"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Greater stakeholder awareness of the importance of broad panel gene testing? </w:t>
      </w:r>
    </w:p>
    <w:p w14:paraId="4DA162D5" w14:textId="77777777" w:rsidR="00572AF9" w:rsidRPr="00572AF9" w:rsidRDefault="00572AF9" w:rsidP="00572AF9">
      <w:pPr>
        <w:numPr>
          <w:ilvl w:val="0"/>
          <w:numId w:val="3"/>
        </w:numPr>
        <w:spacing w:before="60" w:after="0" w:line="240" w:lineRule="auto"/>
        <w:ind w:left="709"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Better regulatory pathways and approval?</w:t>
      </w:r>
    </w:p>
    <w:p w14:paraId="435968A9" w14:textId="77777777" w:rsidR="00572AF9" w:rsidRPr="00572AF9" w:rsidRDefault="00572AF9" w:rsidP="00572AF9">
      <w:pPr>
        <w:spacing w:before="240" w:after="0" w:line="312" w:lineRule="auto"/>
        <w:ind w:left="357" w:hanging="357"/>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Are there specific changes to policy impacting broad molecular profiling that are underway or under consideration in your country?</w:t>
      </w:r>
    </w:p>
    <w:p w14:paraId="5810E8B8"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In terms of priority/guidelines?</w:t>
      </w:r>
    </w:p>
    <w:p w14:paraId="1BBCC612"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In terms of assessment/evaluation?</w:t>
      </w:r>
    </w:p>
    <w:p w14:paraId="3407513E"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In terms of funding/access?</w:t>
      </w:r>
    </w:p>
    <w:p w14:paraId="17C493EA" w14:textId="77777777" w:rsidR="00572AF9" w:rsidRPr="00572AF9" w:rsidRDefault="00572AF9" w:rsidP="00572AF9">
      <w:pPr>
        <w:numPr>
          <w:ilvl w:val="1"/>
          <w:numId w:val="1"/>
        </w:numPr>
        <w:spacing w:before="60" w:after="0" w:line="240" w:lineRule="auto"/>
        <w:ind w:left="896" w:hanging="357"/>
        <w:rPr>
          <w:rFonts w:ascii="Times New Roman" w:eastAsia="SimSun" w:hAnsi="Times New Roman" w:cs="Times New Roman"/>
          <w:bCs/>
          <w:color w:val="000000"/>
          <w:sz w:val="24"/>
          <w:szCs w:val="24"/>
        </w:rPr>
      </w:pPr>
      <w:r w:rsidRPr="00572AF9">
        <w:rPr>
          <w:rFonts w:ascii="Times New Roman" w:eastAsia="SimSun" w:hAnsi="Times New Roman" w:cs="Times New Roman"/>
          <w:bCs/>
          <w:color w:val="000000"/>
          <w:sz w:val="24"/>
          <w:szCs w:val="24"/>
        </w:rPr>
        <w:t xml:space="preserve">What is stopping deciding on this strategy? </w:t>
      </w:r>
    </w:p>
    <w:p w14:paraId="6B6B2A0F" w14:textId="77777777" w:rsidR="00572AF9" w:rsidRPr="00572AF9" w:rsidRDefault="00572AF9" w:rsidP="00572AF9">
      <w:pPr>
        <w:spacing w:before="240" w:after="0" w:line="312" w:lineRule="auto"/>
        <w:rPr>
          <w:rFonts w:ascii="Times New Roman" w:eastAsia="SimSun" w:hAnsi="Times New Roman" w:cs="Times New Roman"/>
          <w:bCs/>
          <w:sz w:val="24"/>
          <w:szCs w:val="24"/>
        </w:rPr>
      </w:pPr>
      <w:r w:rsidRPr="00572AF9">
        <w:rPr>
          <w:rFonts w:ascii="Times New Roman" w:eastAsia="SimSun" w:hAnsi="Times New Roman" w:cs="Times New Roman"/>
          <w:bCs/>
          <w:sz w:val="24"/>
          <w:szCs w:val="24"/>
        </w:rPr>
        <w:t xml:space="preserve">Before we finish the interview, is there anything else that you would like to raise in relation to anything that we have discussed today? </w:t>
      </w:r>
    </w:p>
    <w:p w14:paraId="0939682E" w14:textId="77777777" w:rsidR="00572AF9" w:rsidRPr="00572AF9" w:rsidRDefault="00572AF9" w:rsidP="00572AF9">
      <w:pPr>
        <w:spacing w:before="240" w:after="0" w:line="312" w:lineRule="auto"/>
        <w:rPr>
          <w:rFonts w:ascii="Times New Roman" w:eastAsia="SimSun" w:hAnsi="Times New Roman" w:cs="Times New Roman"/>
          <w:bCs/>
          <w:sz w:val="24"/>
          <w:szCs w:val="24"/>
        </w:rPr>
      </w:pPr>
    </w:p>
    <w:p w14:paraId="7A5E6162" w14:textId="77777777" w:rsidR="00572AF9" w:rsidRPr="00572AF9" w:rsidRDefault="00572AF9" w:rsidP="00572AF9">
      <w:pPr>
        <w:spacing w:line="480" w:lineRule="auto"/>
        <w:rPr>
          <w:rFonts w:ascii="Times New Roman" w:eastAsia="Times New Roman" w:hAnsi="Times New Roman" w:cs="Times New Roman"/>
          <w:sz w:val="24"/>
          <w:szCs w:val="24"/>
          <w:lang w:eastAsia="en-GB"/>
        </w:rPr>
      </w:pPr>
      <w:r w:rsidRPr="00572AF9">
        <w:rPr>
          <w:rFonts w:ascii="Times New Roman" w:eastAsia="Times New Roman" w:hAnsi="Times New Roman" w:cs="Times New Roman"/>
          <w:sz w:val="24"/>
          <w:szCs w:val="24"/>
          <w:lang w:eastAsia="en-GB"/>
        </w:rPr>
        <w:t>[CLOSE AND THANK RESPONDENT]</w:t>
      </w:r>
    </w:p>
    <w:p w14:paraId="11CAE10B" w14:textId="30C45B82" w:rsidR="00572AF9" w:rsidRPr="00572AF9" w:rsidRDefault="00572AF9" w:rsidP="00572AF9">
      <w:pPr>
        <w:spacing w:line="480" w:lineRule="auto"/>
        <w:rPr>
          <w:rFonts w:ascii="Times New Roman" w:eastAsia="Times New Roman" w:hAnsi="Times New Roman" w:cs="Times New Roman"/>
          <w:b/>
          <w:bCs/>
          <w:sz w:val="24"/>
          <w:szCs w:val="24"/>
          <w:lang w:eastAsia="en-GB"/>
        </w:rPr>
      </w:pPr>
      <w:r w:rsidRPr="00572AF9">
        <w:rPr>
          <w:rFonts w:ascii="Times New Roman" w:eastAsia="Times New Roman" w:hAnsi="Times New Roman" w:cs="Times New Roman"/>
          <w:b/>
          <w:bCs/>
          <w:sz w:val="24"/>
          <w:szCs w:val="24"/>
          <w:lang w:eastAsia="en-GB"/>
        </w:rPr>
        <w:lastRenderedPageBreak/>
        <w:t xml:space="preserve">Appendix </w:t>
      </w:r>
      <w:r w:rsidR="00D13DF2">
        <w:rPr>
          <w:rFonts w:ascii="Times New Roman" w:eastAsia="Times New Roman" w:hAnsi="Times New Roman" w:cs="Times New Roman"/>
          <w:b/>
          <w:bCs/>
          <w:sz w:val="24"/>
          <w:szCs w:val="24"/>
          <w:lang w:eastAsia="en-GB"/>
        </w:rPr>
        <w:t>D</w:t>
      </w:r>
      <w:r w:rsidRPr="00572AF9">
        <w:rPr>
          <w:rFonts w:ascii="Times New Roman" w:eastAsia="Times New Roman" w:hAnsi="Times New Roman" w:cs="Times New Roman"/>
          <w:b/>
          <w:bCs/>
          <w:sz w:val="24"/>
          <w:szCs w:val="24"/>
          <w:lang w:eastAsia="en-GB"/>
        </w:rPr>
        <w:t>: Full reference list</w:t>
      </w:r>
    </w:p>
    <w:p w14:paraId="2F2820F7"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Ali, S. M., </w:t>
      </w:r>
      <w:proofErr w:type="spellStart"/>
      <w:r w:rsidRPr="00572AF9">
        <w:rPr>
          <w:rFonts w:ascii="Times New Roman" w:eastAsia="Cambria" w:hAnsi="Times New Roman" w:cs="Times New Roman"/>
        </w:rPr>
        <w:t>Hensing</w:t>
      </w:r>
      <w:proofErr w:type="spellEnd"/>
      <w:r w:rsidRPr="00572AF9">
        <w:rPr>
          <w:rFonts w:ascii="Times New Roman" w:eastAsia="Cambria" w:hAnsi="Times New Roman" w:cs="Times New Roman"/>
        </w:rPr>
        <w:t xml:space="preserve">, T., Schrock, A. B., Allen, J., Sanford, E., Gowen, K., ... &amp; Elvin, J. A. (2016). Comprehensive genomic profiling identifies a subset of </w:t>
      </w:r>
      <w:proofErr w:type="spellStart"/>
      <w:r w:rsidRPr="00572AF9">
        <w:rPr>
          <w:rFonts w:ascii="Times New Roman" w:eastAsia="Cambria" w:hAnsi="Times New Roman" w:cs="Times New Roman"/>
        </w:rPr>
        <w:t>crizotinib</w:t>
      </w:r>
      <w:proofErr w:type="spellEnd"/>
      <w:r w:rsidRPr="00572AF9">
        <w:rPr>
          <w:rFonts w:ascii="Times New Roman" w:eastAsia="Cambria" w:hAnsi="Times New Roman" w:cs="Times New Roman"/>
        </w:rPr>
        <w:t>-responsive ALK-rearranged non-small cell lung cancer not detected by fluorescence in situ hybridization. The oncologist, 21(6), 762.</w:t>
      </w:r>
    </w:p>
    <w:p w14:paraId="31855F86"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Anhorn</w:t>
      </w:r>
      <w:proofErr w:type="spellEnd"/>
      <w:r w:rsidRPr="00572AF9">
        <w:rPr>
          <w:rFonts w:ascii="Times New Roman" w:eastAsia="Cambria" w:hAnsi="Times New Roman" w:cs="Times New Roman"/>
        </w:rPr>
        <w:t xml:space="preserve">, R., Roberts, G., </w:t>
      </w:r>
      <w:proofErr w:type="spellStart"/>
      <w:r w:rsidRPr="00572AF9">
        <w:rPr>
          <w:rFonts w:ascii="Times New Roman" w:eastAsia="Cambria" w:hAnsi="Times New Roman" w:cs="Times New Roman"/>
        </w:rPr>
        <w:t>Skovhus</w:t>
      </w:r>
      <w:proofErr w:type="spellEnd"/>
      <w:r w:rsidRPr="00572AF9">
        <w:rPr>
          <w:rFonts w:ascii="Times New Roman" w:eastAsia="Cambria" w:hAnsi="Times New Roman" w:cs="Times New Roman"/>
        </w:rPr>
        <w:t>, M., &amp; Khorshid, M. (2017). Impact of Comprehensive Genomic Profiling of Patients With First Line Non-Small Cell Lung Cancer In The UK. Value in Health, 20(9), A575.</w:t>
      </w:r>
    </w:p>
    <w:p w14:paraId="64AE6F92"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Boccia, S., Mc Kee, M., </w:t>
      </w:r>
      <w:proofErr w:type="spellStart"/>
      <w:r w:rsidRPr="00572AF9">
        <w:rPr>
          <w:rFonts w:ascii="Times New Roman" w:eastAsia="Cambria" w:hAnsi="Times New Roman" w:cs="Times New Roman"/>
        </w:rPr>
        <w:t>Adany</w:t>
      </w:r>
      <w:proofErr w:type="spellEnd"/>
      <w:r w:rsidRPr="00572AF9">
        <w:rPr>
          <w:rFonts w:ascii="Times New Roman" w:eastAsia="Cambria" w:hAnsi="Times New Roman" w:cs="Times New Roman"/>
        </w:rPr>
        <w:t xml:space="preserve">, R., </w:t>
      </w:r>
      <w:proofErr w:type="spellStart"/>
      <w:r w:rsidRPr="00572AF9">
        <w:rPr>
          <w:rFonts w:ascii="Times New Roman" w:eastAsia="Cambria" w:hAnsi="Times New Roman" w:cs="Times New Roman"/>
        </w:rPr>
        <w:t>Boffetta</w:t>
      </w:r>
      <w:proofErr w:type="spellEnd"/>
      <w:r w:rsidRPr="00572AF9">
        <w:rPr>
          <w:rFonts w:ascii="Times New Roman" w:eastAsia="Cambria" w:hAnsi="Times New Roman" w:cs="Times New Roman"/>
        </w:rPr>
        <w:t>, P., Burton, H., Cambon-Thomsen, A., ... &amp; Khoury, M. J. (2014). Beyond public health genomics: proposals from an international working group. The European Journal of Public Health, 24(6), 877-879.</w:t>
      </w:r>
    </w:p>
    <w:p w14:paraId="12FB105B" w14:textId="77777777" w:rsidR="00572AF9" w:rsidRPr="00572AF9" w:rsidRDefault="00572AF9" w:rsidP="00572AF9">
      <w:pPr>
        <w:numPr>
          <w:ilvl w:val="0"/>
          <w:numId w:val="4"/>
        </w:numPr>
        <w:spacing w:before="240" w:after="0" w:line="240" w:lineRule="auto"/>
        <w:rPr>
          <w:rFonts w:ascii="Times New Roman" w:eastAsia="Arial" w:hAnsi="Times New Roman" w:cs="Times New Roman"/>
        </w:rPr>
      </w:pPr>
      <w:r w:rsidRPr="00572AF9">
        <w:rPr>
          <w:rFonts w:ascii="Times New Roman" w:eastAsia="Cambria" w:hAnsi="Times New Roman" w:cs="Times New Roman"/>
        </w:rPr>
        <w:t>Broad, Hybrid Capture-Based Next-Generation Sequencing Identifies Actionable Genomic Alterations in Lung Adenocarcinomas Otherwise Negative for Such Alterations by Other Genomic Testing Approaches. Clin Cancer Res. 2015 Aug 15;21(16):3631-9.</w:t>
      </w:r>
    </w:p>
    <w:p w14:paraId="44AF1E2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Burns, B. L., </w:t>
      </w:r>
      <w:proofErr w:type="spellStart"/>
      <w:r w:rsidRPr="00572AF9">
        <w:rPr>
          <w:rFonts w:ascii="Times New Roman" w:eastAsia="Cambria" w:hAnsi="Times New Roman" w:cs="Times New Roman"/>
        </w:rPr>
        <w:t>Bilkey</w:t>
      </w:r>
      <w:proofErr w:type="spellEnd"/>
      <w:r w:rsidRPr="00572AF9">
        <w:rPr>
          <w:rFonts w:ascii="Times New Roman" w:eastAsia="Cambria" w:hAnsi="Times New Roman" w:cs="Times New Roman"/>
        </w:rPr>
        <w:t xml:space="preserve">, G. A., Coles, E. P., Bowman, F. L., Beilby, J. P., </w:t>
      </w:r>
      <w:proofErr w:type="spellStart"/>
      <w:r w:rsidRPr="00572AF9">
        <w:rPr>
          <w:rFonts w:ascii="Times New Roman" w:eastAsia="Cambria" w:hAnsi="Times New Roman" w:cs="Times New Roman"/>
        </w:rPr>
        <w:t>Pachter</w:t>
      </w:r>
      <w:proofErr w:type="spellEnd"/>
      <w:r w:rsidRPr="00572AF9">
        <w:rPr>
          <w:rFonts w:ascii="Times New Roman" w:eastAsia="Cambria" w:hAnsi="Times New Roman" w:cs="Times New Roman"/>
        </w:rPr>
        <w:t>, N. S., … Nowak, K. J. (2019). Healthcare System Priorities for Successful Integration of Genomics: An Australian Focus. Frontiers in public health, 7, 41. doi:10.3389/fpubh.2019.00041</w:t>
      </w:r>
    </w:p>
    <w:p w14:paraId="0D2435EE"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Burstein, M. D., </w:t>
      </w:r>
      <w:proofErr w:type="spellStart"/>
      <w:r w:rsidRPr="00572AF9">
        <w:rPr>
          <w:rFonts w:ascii="Times New Roman" w:eastAsia="Cambria" w:hAnsi="Times New Roman" w:cs="Times New Roman"/>
        </w:rPr>
        <w:t>Tsimelzon</w:t>
      </w:r>
      <w:proofErr w:type="spellEnd"/>
      <w:r w:rsidRPr="00572AF9">
        <w:rPr>
          <w:rFonts w:ascii="Times New Roman" w:eastAsia="Cambria" w:hAnsi="Times New Roman" w:cs="Times New Roman"/>
        </w:rPr>
        <w:t xml:space="preserve">, A., </w:t>
      </w:r>
      <w:proofErr w:type="spellStart"/>
      <w:r w:rsidRPr="00572AF9">
        <w:rPr>
          <w:rFonts w:ascii="Times New Roman" w:eastAsia="Cambria" w:hAnsi="Times New Roman" w:cs="Times New Roman"/>
        </w:rPr>
        <w:t>Poage</w:t>
      </w:r>
      <w:proofErr w:type="spellEnd"/>
      <w:r w:rsidRPr="00572AF9">
        <w:rPr>
          <w:rFonts w:ascii="Times New Roman" w:eastAsia="Cambria" w:hAnsi="Times New Roman" w:cs="Times New Roman"/>
        </w:rPr>
        <w:t>, G. M., Covington, K. R., Contreras, A., Fuqua, S. A., ... &amp; Brown, P. H. (2015). Comprehensive genomic analysis identifies novel subtypes and targets of triple-negative breast cancer. Clinical Cancer Research, 21(7), 1688-1698.</w:t>
      </w:r>
    </w:p>
    <w:p w14:paraId="41359FB0"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CADTH (2019). Guidelines for the Economic Evaluation of Health Technologies: Canada, 4th Edition. Appendix - Specific Guidance for treatments with companion diagnostics. Ottawa.</w:t>
      </w:r>
    </w:p>
    <w:p w14:paraId="413BED9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CADTH Conference, 25 April 2017. “Assessing the value of diagnostic innovation: A growing role for HTA?” Available at: https://www.cadth.ca/sites/default/files/symp-2017/presentations/april25-2017/Concurrent-Session-E1-Assessing-the-Value-of-Diagnostic-Innovation-A-Growing-Role-for-Health-Technology-Assessment.pdf</w:t>
      </w:r>
    </w:p>
    <w:p w14:paraId="3315AA38"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Chalmers, Z. R., Connelly, C. F., Fabrizio, D., Gay, L., Ali, S. M., Ennis, R., ... &amp; Huang, F. (2017). Analysis of 100,000 human cancer genomes reveals the landscape of </w:t>
      </w:r>
      <w:proofErr w:type="spellStart"/>
      <w:r w:rsidRPr="00572AF9">
        <w:rPr>
          <w:rFonts w:ascii="Times New Roman" w:eastAsia="Cambria" w:hAnsi="Times New Roman" w:cs="Times New Roman"/>
        </w:rPr>
        <w:t>tumor</w:t>
      </w:r>
      <w:proofErr w:type="spellEnd"/>
      <w:r w:rsidRPr="00572AF9">
        <w:rPr>
          <w:rFonts w:ascii="Times New Roman" w:eastAsia="Cambria" w:hAnsi="Times New Roman" w:cs="Times New Roman"/>
        </w:rPr>
        <w:t xml:space="preserve"> mutational burden. Genome medicine, 9(1), 34.</w:t>
      </w:r>
    </w:p>
    <w:p w14:paraId="612FF850"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Chawla, A., </w:t>
      </w:r>
      <w:proofErr w:type="spellStart"/>
      <w:r w:rsidRPr="00572AF9">
        <w:rPr>
          <w:rFonts w:ascii="Times New Roman" w:eastAsia="Cambria" w:hAnsi="Times New Roman" w:cs="Times New Roman"/>
        </w:rPr>
        <w:t>Janku</w:t>
      </w:r>
      <w:proofErr w:type="spellEnd"/>
      <w:r w:rsidRPr="00572AF9">
        <w:rPr>
          <w:rFonts w:ascii="Times New Roman" w:eastAsia="Cambria" w:hAnsi="Times New Roman" w:cs="Times New Roman"/>
        </w:rPr>
        <w:t xml:space="preserve">, F., Wheler, J. J., Miller, V. A., Ryan, J., </w:t>
      </w:r>
      <w:proofErr w:type="spellStart"/>
      <w:r w:rsidRPr="00572AF9">
        <w:rPr>
          <w:rFonts w:ascii="Times New Roman" w:eastAsia="Cambria" w:hAnsi="Times New Roman" w:cs="Times New Roman"/>
        </w:rPr>
        <w:t>Anhorn</w:t>
      </w:r>
      <w:proofErr w:type="spellEnd"/>
      <w:r w:rsidRPr="00572AF9">
        <w:rPr>
          <w:rFonts w:ascii="Times New Roman" w:eastAsia="Cambria" w:hAnsi="Times New Roman" w:cs="Times New Roman"/>
        </w:rPr>
        <w:t xml:space="preserve">, R., ... &amp; </w:t>
      </w:r>
      <w:proofErr w:type="spellStart"/>
      <w:r w:rsidRPr="00572AF9">
        <w:rPr>
          <w:rFonts w:ascii="Times New Roman" w:eastAsia="Cambria" w:hAnsi="Times New Roman" w:cs="Times New Roman"/>
        </w:rPr>
        <w:t>Signorovitch</w:t>
      </w:r>
      <w:proofErr w:type="spellEnd"/>
      <w:r w:rsidRPr="00572AF9">
        <w:rPr>
          <w:rFonts w:ascii="Times New Roman" w:eastAsia="Cambria" w:hAnsi="Times New Roman" w:cs="Times New Roman"/>
        </w:rPr>
        <w:t>, J. (2018). Estimated cost of anticancer therapy directed by comprehensive genomic profiling in a single-</w:t>
      </w:r>
      <w:proofErr w:type="spellStart"/>
      <w:r w:rsidRPr="00572AF9">
        <w:rPr>
          <w:rFonts w:ascii="Times New Roman" w:eastAsia="Cambria" w:hAnsi="Times New Roman" w:cs="Times New Roman"/>
        </w:rPr>
        <w:t>center</w:t>
      </w:r>
      <w:proofErr w:type="spellEnd"/>
      <w:r w:rsidRPr="00572AF9">
        <w:rPr>
          <w:rFonts w:ascii="Times New Roman" w:eastAsia="Cambria" w:hAnsi="Times New Roman" w:cs="Times New Roman"/>
        </w:rPr>
        <w:t xml:space="preserve"> study. JCO Precision Oncology, 2, 1-11.</w:t>
      </w:r>
    </w:p>
    <w:p w14:paraId="08560A5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Clarke, G. M., Conti, S., Wolters, A. T., &amp; </w:t>
      </w:r>
      <w:proofErr w:type="spellStart"/>
      <w:r w:rsidRPr="00572AF9">
        <w:rPr>
          <w:rFonts w:ascii="Times New Roman" w:eastAsia="Cambria" w:hAnsi="Times New Roman" w:cs="Times New Roman"/>
        </w:rPr>
        <w:t>Steventon</w:t>
      </w:r>
      <w:proofErr w:type="spellEnd"/>
      <w:r w:rsidRPr="00572AF9">
        <w:rPr>
          <w:rFonts w:ascii="Times New Roman" w:eastAsia="Cambria" w:hAnsi="Times New Roman" w:cs="Times New Roman"/>
        </w:rPr>
        <w:t xml:space="preserve">, A. (2019). Evaluating the impact of healthcare interventions using routine data. </w:t>
      </w:r>
      <w:proofErr w:type="spellStart"/>
      <w:r w:rsidRPr="00572AF9">
        <w:rPr>
          <w:rFonts w:ascii="Times New Roman" w:eastAsia="Cambria" w:hAnsi="Times New Roman" w:cs="Times New Roman"/>
        </w:rPr>
        <w:t>bmj</w:t>
      </w:r>
      <w:proofErr w:type="spellEnd"/>
      <w:r w:rsidRPr="00572AF9">
        <w:rPr>
          <w:rFonts w:ascii="Times New Roman" w:eastAsia="Cambria" w:hAnsi="Times New Roman" w:cs="Times New Roman"/>
        </w:rPr>
        <w:t>, 365, l2239.</w:t>
      </w:r>
    </w:p>
    <w:p w14:paraId="67D6F64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Clinical applicability and cost of a 46-gene panel for genomic analysis of solid tumours: Retrospective validation and prospective audit in the UK National Health Service. </w:t>
      </w:r>
      <w:proofErr w:type="spellStart"/>
      <w:r w:rsidRPr="00572AF9">
        <w:rPr>
          <w:rFonts w:ascii="Times New Roman" w:eastAsia="Cambria" w:hAnsi="Times New Roman" w:cs="Times New Roman"/>
        </w:rPr>
        <w:t>PLoS</w:t>
      </w:r>
      <w:proofErr w:type="spellEnd"/>
      <w:r w:rsidRPr="00572AF9">
        <w:rPr>
          <w:rFonts w:ascii="Times New Roman" w:eastAsia="Cambria" w:hAnsi="Times New Roman" w:cs="Times New Roman"/>
        </w:rPr>
        <w:t xml:space="preserve"> Med. 2017 Feb 14;14(2):e1002230. </w:t>
      </w:r>
      <w:proofErr w:type="spellStart"/>
      <w:r w:rsidRPr="00572AF9">
        <w:rPr>
          <w:rFonts w:ascii="Times New Roman" w:eastAsia="Cambria" w:hAnsi="Times New Roman" w:cs="Times New Roman"/>
        </w:rPr>
        <w:t>doi</w:t>
      </w:r>
      <w:proofErr w:type="spellEnd"/>
      <w:r w:rsidRPr="00572AF9">
        <w:rPr>
          <w:rFonts w:ascii="Times New Roman" w:eastAsia="Cambria" w:hAnsi="Times New Roman" w:cs="Times New Roman"/>
        </w:rPr>
        <w:t xml:space="preserve">: 10.1371/journal.pmed.1002230. </w:t>
      </w:r>
      <w:proofErr w:type="spellStart"/>
      <w:r w:rsidRPr="00572AF9">
        <w:rPr>
          <w:rFonts w:ascii="Times New Roman" w:eastAsia="Cambria" w:hAnsi="Times New Roman" w:cs="Times New Roman"/>
        </w:rPr>
        <w:t>eCollection</w:t>
      </w:r>
      <w:proofErr w:type="spellEnd"/>
      <w:r w:rsidRPr="00572AF9">
        <w:rPr>
          <w:rFonts w:ascii="Times New Roman" w:eastAsia="Cambria" w:hAnsi="Times New Roman" w:cs="Times New Roman"/>
        </w:rPr>
        <w:t xml:space="preserve"> 2017 Feb</w:t>
      </w:r>
    </w:p>
    <w:p w14:paraId="3CB20F3A"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Concepts of 'personalization' in personalized medicine: implications for economic evaluation. Pharmacoeconomics. 2015 Jan;33(1):49-59. </w:t>
      </w:r>
      <w:proofErr w:type="spellStart"/>
      <w:r w:rsidRPr="00572AF9">
        <w:rPr>
          <w:rFonts w:ascii="Times New Roman" w:eastAsia="Cambria" w:hAnsi="Times New Roman" w:cs="Times New Roman"/>
        </w:rPr>
        <w:t>doi</w:t>
      </w:r>
      <w:proofErr w:type="spellEnd"/>
      <w:r w:rsidRPr="00572AF9">
        <w:rPr>
          <w:rFonts w:ascii="Times New Roman" w:eastAsia="Cambria" w:hAnsi="Times New Roman" w:cs="Times New Roman"/>
        </w:rPr>
        <w:t>: 10.1007/s40273-014-0211-5.</w:t>
      </w:r>
    </w:p>
    <w:p w14:paraId="15FF085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lastRenderedPageBreak/>
        <w:t xml:space="preserve">Drilon, A., Wang, L., </w:t>
      </w:r>
      <w:proofErr w:type="spellStart"/>
      <w:r w:rsidRPr="00572AF9">
        <w:rPr>
          <w:rFonts w:ascii="Times New Roman" w:eastAsia="Cambria" w:hAnsi="Times New Roman" w:cs="Times New Roman"/>
        </w:rPr>
        <w:t>Arcila</w:t>
      </w:r>
      <w:proofErr w:type="spellEnd"/>
      <w:r w:rsidRPr="00572AF9">
        <w:rPr>
          <w:rFonts w:ascii="Times New Roman" w:eastAsia="Cambria" w:hAnsi="Times New Roman" w:cs="Times New Roman"/>
        </w:rPr>
        <w:t xml:space="preserve">, M. E., Balasubramanian, S., </w:t>
      </w:r>
      <w:proofErr w:type="spellStart"/>
      <w:r w:rsidRPr="00572AF9">
        <w:rPr>
          <w:rFonts w:ascii="Times New Roman" w:eastAsia="Cambria" w:hAnsi="Times New Roman" w:cs="Times New Roman"/>
        </w:rPr>
        <w:t>Greenbowe</w:t>
      </w:r>
      <w:proofErr w:type="spellEnd"/>
      <w:r w:rsidRPr="00572AF9">
        <w:rPr>
          <w:rFonts w:ascii="Times New Roman" w:eastAsia="Cambria" w:hAnsi="Times New Roman" w:cs="Times New Roman"/>
        </w:rPr>
        <w:t xml:space="preserve">, J. R., Ross, J. S., ... &amp; </w:t>
      </w:r>
      <w:proofErr w:type="spellStart"/>
      <w:r w:rsidRPr="00572AF9">
        <w:rPr>
          <w:rFonts w:ascii="Times New Roman" w:eastAsia="Cambria" w:hAnsi="Times New Roman" w:cs="Times New Roman"/>
        </w:rPr>
        <w:t>Ladanyi</w:t>
      </w:r>
      <w:proofErr w:type="spellEnd"/>
      <w:r w:rsidRPr="00572AF9">
        <w:rPr>
          <w:rFonts w:ascii="Times New Roman" w:eastAsia="Cambria" w:hAnsi="Times New Roman" w:cs="Times New Roman"/>
        </w:rPr>
        <w:t>, M. (2015). Broad, hybrid capture–based next-generation sequencing identifies actionable genomic alterations in lung adenocarcinomas otherwise negative for such alterations by other genomic testing approaches. Clinical cancer research, 21(16), 3631-3639.</w:t>
      </w:r>
    </w:p>
    <w:p w14:paraId="73EF3356"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Dugger</w:t>
      </w:r>
      <w:proofErr w:type="spellEnd"/>
      <w:r w:rsidRPr="00572AF9">
        <w:rPr>
          <w:rFonts w:ascii="Times New Roman" w:eastAsia="Cambria" w:hAnsi="Times New Roman" w:cs="Times New Roman"/>
        </w:rPr>
        <w:t>, S. A., Platt, A., &amp; Goldstein, D. B. (2018). Drug development in the era of precision medicine. Nature Reviews Drug Discovery, 17(3), 183.</w:t>
      </w:r>
    </w:p>
    <w:p w14:paraId="3A916C9E"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Eric Falkner et al. (2020) Being Precise About Precision Medicine: What Should Value Frameworks - Incorporate to Address Precision Medicine? A Report of the Personalized Precision Medicine Special Interest Group VALUE HEALTH. 2020; 23(5):529–539</w:t>
      </w:r>
    </w:p>
    <w:p w14:paraId="7800C555"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Eric Falkner et al. Being Precise About Precision Medicine: What Should Value Frameworks Incorporate to Address Precision Medicine? A Report of the Personalized Precision Medicine Special Interest Group VALUE HEALTH. 2020; 23(5):529–539</w:t>
      </w:r>
    </w:p>
    <w:p w14:paraId="509F4936"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Faulkner, E., </w:t>
      </w:r>
      <w:proofErr w:type="spellStart"/>
      <w:r w:rsidRPr="00572AF9">
        <w:rPr>
          <w:rFonts w:ascii="Times New Roman" w:eastAsia="Cambria" w:hAnsi="Times New Roman" w:cs="Times New Roman"/>
        </w:rPr>
        <w:t>Holtorf</w:t>
      </w:r>
      <w:proofErr w:type="spellEnd"/>
      <w:r w:rsidRPr="00572AF9">
        <w:rPr>
          <w:rFonts w:ascii="Times New Roman" w:eastAsia="Cambria" w:hAnsi="Times New Roman" w:cs="Times New Roman"/>
        </w:rPr>
        <w:t xml:space="preserve">, A. P., Walton, S., Liu, C. Y., Lin, H., </w:t>
      </w:r>
      <w:proofErr w:type="spellStart"/>
      <w:r w:rsidRPr="00572AF9">
        <w:rPr>
          <w:rFonts w:ascii="Times New Roman" w:eastAsia="Cambria" w:hAnsi="Times New Roman" w:cs="Times New Roman"/>
        </w:rPr>
        <w:t>Biltaj</w:t>
      </w:r>
      <w:proofErr w:type="spellEnd"/>
      <w:r w:rsidRPr="00572AF9">
        <w:rPr>
          <w:rFonts w:ascii="Times New Roman" w:eastAsia="Cambria" w:hAnsi="Times New Roman" w:cs="Times New Roman"/>
        </w:rPr>
        <w:t>, E., ... &amp; Siebert, U. (2020). Being precise about precision medicine: what should value frameworks incorporate to address precision medicine? A report of the Personalized Precision Medicine Special Interest Group. Value in Health.</w:t>
      </w:r>
    </w:p>
    <w:p w14:paraId="09C875DC"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Garrison, L., Mestre-</w:t>
      </w:r>
      <w:proofErr w:type="spellStart"/>
      <w:r w:rsidRPr="00572AF9">
        <w:rPr>
          <w:rFonts w:ascii="Times New Roman" w:eastAsia="Cambria" w:hAnsi="Times New Roman" w:cs="Times New Roman"/>
        </w:rPr>
        <w:t>Ferrandiz</w:t>
      </w:r>
      <w:proofErr w:type="spellEnd"/>
      <w:r w:rsidRPr="00572AF9">
        <w:rPr>
          <w:rFonts w:ascii="Times New Roman" w:eastAsia="Cambria" w:hAnsi="Times New Roman" w:cs="Times New Roman"/>
        </w:rPr>
        <w:t xml:space="preserve">, J., &amp; Zamora, B. (2016). The value of knowing and knowing the value: improving the health technology assessment of complementary diagnostics. White paper. London: Office of Health Economics, EPEMED. </w:t>
      </w:r>
    </w:p>
    <w:p w14:paraId="6A5E3935"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Gavan, S. P., Lu, C. Y., &amp; Payne, K. (2019). Assessing the Joint Value of Genomic-Based Diagnostic Tests and Gene Therapies. Journal of personalized medicine, 9(2), 28. doi:10.3390/jpm9020028</w:t>
      </w:r>
    </w:p>
    <w:p w14:paraId="3BC5A09D"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George, J., Lim, J. S., Jang, S. J., </w:t>
      </w:r>
      <w:proofErr w:type="spellStart"/>
      <w:r w:rsidRPr="00572AF9">
        <w:rPr>
          <w:rFonts w:ascii="Times New Roman" w:eastAsia="Cambria" w:hAnsi="Times New Roman" w:cs="Times New Roman"/>
        </w:rPr>
        <w:t>Cun</w:t>
      </w:r>
      <w:proofErr w:type="spellEnd"/>
      <w:r w:rsidRPr="00572AF9">
        <w:rPr>
          <w:rFonts w:ascii="Times New Roman" w:eastAsia="Cambria" w:hAnsi="Times New Roman" w:cs="Times New Roman"/>
        </w:rPr>
        <w:t xml:space="preserve">, Y., </w:t>
      </w:r>
      <w:proofErr w:type="spellStart"/>
      <w:r w:rsidRPr="00572AF9">
        <w:rPr>
          <w:rFonts w:ascii="Times New Roman" w:eastAsia="Cambria" w:hAnsi="Times New Roman" w:cs="Times New Roman"/>
        </w:rPr>
        <w:t>Ozretić</w:t>
      </w:r>
      <w:proofErr w:type="spellEnd"/>
      <w:r w:rsidRPr="00572AF9">
        <w:rPr>
          <w:rFonts w:ascii="Times New Roman" w:eastAsia="Cambria" w:hAnsi="Times New Roman" w:cs="Times New Roman"/>
        </w:rPr>
        <w:t>, L., Kong, G., ... &amp; Thomas, R. K. (2015). Comprehensive genomic profiles of small cell lung cancer. Nature, 524(7563), 47-53.</w:t>
      </w:r>
    </w:p>
    <w:p w14:paraId="27AF724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Ginsburg, G. S., &amp; Phillips, K. A. (2018). Precision Medicine: From Science To Value. Health affairs (Project Hope), 37(5), 694–701. doi:10.1377/hlthaff.2017.1624</w:t>
      </w:r>
    </w:p>
    <w:p w14:paraId="10BF5C45"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Gong, J., Pan, K., Fakih, M., Pal, S., &amp; </w:t>
      </w:r>
      <w:proofErr w:type="spellStart"/>
      <w:r w:rsidRPr="00572AF9">
        <w:rPr>
          <w:rFonts w:ascii="Times New Roman" w:eastAsia="Cambria" w:hAnsi="Times New Roman" w:cs="Times New Roman"/>
        </w:rPr>
        <w:t>Salgia</w:t>
      </w:r>
      <w:proofErr w:type="spellEnd"/>
      <w:r w:rsidRPr="00572AF9">
        <w:rPr>
          <w:rFonts w:ascii="Times New Roman" w:eastAsia="Cambria" w:hAnsi="Times New Roman" w:cs="Times New Roman"/>
        </w:rPr>
        <w:t xml:space="preserve">, R. (2018). Value-based genomics. </w:t>
      </w:r>
      <w:proofErr w:type="spellStart"/>
      <w:r w:rsidRPr="00572AF9">
        <w:rPr>
          <w:rFonts w:ascii="Times New Roman" w:eastAsia="Cambria" w:hAnsi="Times New Roman" w:cs="Times New Roman"/>
        </w:rPr>
        <w:t>Oncotarget</w:t>
      </w:r>
      <w:proofErr w:type="spellEnd"/>
      <w:r w:rsidRPr="00572AF9">
        <w:rPr>
          <w:rFonts w:ascii="Times New Roman" w:eastAsia="Cambria" w:hAnsi="Times New Roman" w:cs="Times New Roman"/>
        </w:rPr>
        <w:t>, 9(21), 15792.</w:t>
      </w:r>
    </w:p>
    <w:p w14:paraId="18437412"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Hainsworth, J. D., </w:t>
      </w:r>
      <w:proofErr w:type="spellStart"/>
      <w:r w:rsidRPr="00572AF9">
        <w:rPr>
          <w:rFonts w:ascii="Times New Roman" w:eastAsia="Cambria" w:hAnsi="Times New Roman" w:cs="Times New Roman"/>
        </w:rPr>
        <w:t>Meric</w:t>
      </w:r>
      <w:proofErr w:type="spellEnd"/>
      <w:r w:rsidRPr="00572AF9">
        <w:rPr>
          <w:rFonts w:ascii="Times New Roman" w:eastAsia="Cambria" w:hAnsi="Times New Roman" w:cs="Times New Roman"/>
        </w:rPr>
        <w:t xml:space="preserve">-Bernstam, F., Swanton, C., Hurwitz, H., </w:t>
      </w:r>
      <w:proofErr w:type="spellStart"/>
      <w:r w:rsidRPr="00572AF9">
        <w:rPr>
          <w:rFonts w:ascii="Times New Roman" w:eastAsia="Cambria" w:hAnsi="Times New Roman" w:cs="Times New Roman"/>
        </w:rPr>
        <w:t>Spigel</w:t>
      </w:r>
      <w:proofErr w:type="spellEnd"/>
      <w:r w:rsidRPr="00572AF9">
        <w:rPr>
          <w:rFonts w:ascii="Times New Roman" w:eastAsia="Cambria" w:hAnsi="Times New Roman" w:cs="Times New Roman"/>
        </w:rPr>
        <w:t xml:space="preserve">, D. R., Sweeney, C., ... &amp; Beattie, M. (2018). Targeted therapy for advanced solid </w:t>
      </w:r>
      <w:proofErr w:type="spellStart"/>
      <w:r w:rsidRPr="00572AF9">
        <w:rPr>
          <w:rFonts w:ascii="Times New Roman" w:eastAsia="Cambria" w:hAnsi="Times New Roman" w:cs="Times New Roman"/>
        </w:rPr>
        <w:t>tumors</w:t>
      </w:r>
      <w:proofErr w:type="spellEnd"/>
      <w:r w:rsidRPr="00572AF9">
        <w:rPr>
          <w:rFonts w:ascii="Times New Roman" w:eastAsia="Cambria" w:hAnsi="Times New Roman" w:cs="Times New Roman"/>
        </w:rPr>
        <w:t xml:space="preserve"> </w:t>
      </w:r>
      <w:proofErr w:type="gramStart"/>
      <w:r w:rsidRPr="00572AF9">
        <w:rPr>
          <w:rFonts w:ascii="Times New Roman" w:eastAsia="Cambria" w:hAnsi="Times New Roman" w:cs="Times New Roman"/>
        </w:rPr>
        <w:t>on the basis of</w:t>
      </w:r>
      <w:proofErr w:type="gramEnd"/>
      <w:r w:rsidRPr="00572AF9">
        <w:rPr>
          <w:rFonts w:ascii="Times New Roman" w:eastAsia="Cambria" w:hAnsi="Times New Roman" w:cs="Times New Roman"/>
        </w:rPr>
        <w:t xml:space="preserve"> molecular profiles: results from </w:t>
      </w:r>
      <w:proofErr w:type="spellStart"/>
      <w:r w:rsidRPr="00572AF9">
        <w:rPr>
          <w:rFonts w:ascii="Times New Roman" w:eastAsia="Cambria" w:hAnsi="Times New Roman" w:cs="Times New Roman"/>
        </w:rPr>
        <w:t>MyPathway</w:t>
      </w:r>
      <w:proofErr w:type="spellEnd"/>
      <w:r w:rsidRPr="00572AF9">
        <w:rPr>
          <w:rFonts w:ascii="Times New Roman" w:eastAsia="Cambria" w:hAnsi="Times New Roman" w:cs="Times New Roman"/>
        </w:rPr>
        <w:t xml:space="preserve">, an open-label, phase </w:t>
      </w:r>
      <w:proofErr w:type="spellStart"/>
      <w:r w:rsidRPr="00572AF9">
        <w:rPr>
          <w:rFonts w:ascii="Times New Roman" w:eastAsia="Cambria" w:hAnsi="Times New Roman" w:cs="Times New Roman"/>
        </w:rPr>
        <w:t>IIa</w:t>
      </w:r>
      <w:proofErr w:type="spellEnd"/>
      <w:r w:rsidRPr="00572AF9">
        <w:rPr>
          <w:rFonts w:ascii="Times New Roman" w:eastAsia="Cambria" w:hAnsi="Times New Roman" w:cs="Times New Roman"/>
        </w:rPr>
        <w:t xml:space="preserve"> multiple basket study. Journal of Clinical Oncology, 36(6), 536-544.</w:t>
      </w:r>
    </w:p>
    <w:p w14:paraId="6EC8A86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Haslem, D. S., Chakravarty, I., </w:t>
      </w:r>
      <w:proofErr w:type="spellStart"/>
      <w:r w:rsidRPr="00572AF9">
        <w:rPr>
          <w:rFonts w:ascii="Times New Roman" w:eastAsia="Cambria" w:hAnsi="Times New Roman" w:cs="Times New Roman"/>
        </w:rPr>
        <w:t>Fulde</w:t>
      </w:r>
      <w:proofErr w:type="spellEnd"/>
      <w:r w:rsidRPr="00572AF9">
        <w:rPr>
          <w:rFonts w:ascii="Times New Roman" w:eastAsia="Cambria" w:hAnsi="Times New Roman" w:cs="Times New Roman"/>
        </w:rPr>
        <w:t xml:space="preserve">, G., Gilbert, H., Tudor, B. P., Lin, K., ... &amp; </w:t>
      </w:r>
      <w:proofErr w:type="spellStart"/>
      <w:r w:rsidRPr="00572AF9">
        <w:rPr>
          <w:rFonts w:ascii="Times New Roman" w:eastAsia="Cambria" w:hAnsi="Times New Roman" w:cs="Times New Roman"/>
        </w:rPr>
        <w:t>Nadauld</w:t>
      </w:r>
      <w:proofErr w:type="spellEnd"/>
      <w:r w:rsidRPr="00572AF9">
        <w:rPr>
          <w:rFonts w:ascii="Times New Roman" w:eastAsia="Cambria" w:hAnsi="Times New Roman" w:cs="Times New Roman"/>
        </w:rPr>
        <w:t xml:space="preserve">, L. D. (2018). Precision oncology in advanced cancer patients improves overall survival with lower weekly healthcare costs. </w:t>
      </w:r>
      <w:proofErr w:type="spellStart"/>
      <w:r w:rsidRPr="00572AF9">
        <w:rPr>
          <w:rFonts w:ascii="Times New Roman" w:eastAsia="Cambria" w:hAnsi="Times New Roman" w:cs="Times New Roman"/>
        </w:rPr>
        <w:t>Oncotarget</w:t>
      </w:r>
      <w:proofErr w:type="spellEnd"/>
      <w:r w:rsidRPr="00572AF9">
        <w:rPr>
          <w:rFonts w:ascii="Times New Roman" w:eastAsia="Cambria" w:hAnsi="Times New Roman" w:cs="Times New Roman"/>
        </w:rPr>
        <w:t>, 9(15), 12316.</w:t>
      </w:r>
    </w:p>
    <w:p w14:paraId="22F2989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Hatz</w:t>
      </w:r>
      <w:proofErr w:type="spellEnd"/>
      <w:r w:rsidRPr="00572AF9">
        <w:rPr>
          <w:rFonts w:ascii="Times New Roman" w:eastAsia="Cambria" w:hAnsi="Times New Roman" w:cs="Times New Roman"/>
        </w:rPr>
        <w:t xml:space="preserve">, M. H., </w:t>
      </w:r>
      <w:proofErr w:type="spellStart"/>
      <w:r w:rsidRPr="00572AF9">
        <w:rPr>
          <w:rFonts w:ascii="Times New Roman" w:eastAsia="Cambria" w:hAnsi="Times New Roman" w:cs="Times New Roman"/>
        </w:rPr>
        <w:t>Schremser</w:t>
      </w:r>
      <w:proofErr w:type="spellEnd"/>
      <w:r w:rsidRPr="00572AF9">
        <w:rPr>
          <w:rFonts w:ascii="Times New Roman" w:eastAsia="Cambria" w:hAnsi="Times New Roman" w:cs="Times New Roman"/>
        </w:rPr>
        <w:t>, K. and Rogowski, W. H. (2014). Is individualized medicine more cost-effective? A systematic review. Pharmacoeconomics, 32(5): 443-455.</w:t>
      </w:r>
    </w:p>
    <w:p w14:paraId="4FD5CDA0"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Arial" w:hAnsi="Times New Roman" w:cs="Times New Roman"/>
        </w:rPr>
        <w:t>Hollebecque</w:t>
      </w:r>
      <w:proofErr w:type="spellEnd"/>
      <w:r w:rsidRPr="00572AF9">
        <w:rPr>
          <w:rFonts w:ascii="Times New Roman" w:eastAsia="Arial" w:hAnsi="Times New Roman" w:cs="Times New Roman"/>
        </w:rPr>
        <w:t xml:space="preserve">, A., Silverman, I., Owens, S., </w:t>
      </w:r>
      <w:proofErr w:type="spellStart"/>
      <w:r w:rsidRPr="00572AF9">
        <w:rPr>
          <w:rFonts w:ascii="Times New Roman" w:eastAsia="Arial" w:hAnsi="Times New Roman" w:cs="Times New Roman"/>
        </w:rPr>
        <w:t>Féliz</w:t>
      </w:r>
      <w:proofErr w:type="spellEnd"/>
      <w:r w:rsidRPr="00572AF9">
        <w:rPr>
          <w:rFonts w:ascii="Times New Roman" w:eastAsia="Arial" w:hAnsi="Times New Roman" w:cs="Times New Roman"/>
        </w:rPr>
        <w:t xml:space="preserve">, L., Lihou, C., Zhen, H., ... &amp; </w:t>
      </w:r>
      <w:proofErr w:type="spellStart"/>
      <w:r w:rsidRPr="00572AF9">
        <w:rPr>
          <w:rFonts w:ascii="Times New Roman" w:eastAsia="Arial" w:hAnsi="Times New Roman" w:cs="Times New Roman"/>
        </w:rPr>
        <w:t>Melisi</w:t>
      </w:r>
      <w:proofErr w:type="spellEnd"/>
      <w:r w:rsidRPr="00572AF9">
        <w:rPr>
          <w:rFonts w:ascii="Times New Roman" w:eastAsia="Arial" w:hAnsi="Times New Roman" w:cs="Times New Roman"/>
        </w:rPr>
        <w:t xml:space="preserve">, D. (2019). Comprehensive genomic profiling and clinical outcomes in patients (pts) with fibroblast growth factor receptor rearrangement-positive (FGFR2+) cholangiocarcinoma (CCA) treated with </w:t>
      </w:r>
      <w:proofErr w:type="spellStart"/>
      <w:r w:rsidRPr="00572AF9">
        <w:rPr>
          <w:rFonts w:ascii="Times New Roman" w:eastAsia="Arial" w:hAnsi="Times New Roman" w:cs="Times New Roman"/>
        </w:rPr>
        <w:t>pemigatinib</w:t>
      </w:r>
      <w:proofErr w:type="spellEnd"/>
      <w:r w:rsidRPr="00572AF9">
        <w:rPr>
          <w:rFonts w:ascii="Times New Roman" w:eastAsia="Arial" w:hAnsi="Times New Roman" w:cs="Times New Roman"/>
        </w:rPr>
        <w:t xml:space="preserve"> in the fight-202 trial. Annals of Oncology, 30, v276.</w:t>
      </w:r>
    </w:p>
    <w:p w14:paraId="583E4000"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lastRenderedPageBreak/>
        <w:t xml:space="preserve">Hyman, D. M., Taylor, B. S., &amp; </w:t>
      </w:r>
      <w:proofErr w:type="spellStart"/>
      <w:r w:rsidRPr="00572AF9">
        <w:rPr>
          <w:rFonts w:ascii="Times New Roman" w:eastAsia="Arial" w:hAnsi="Times New Roman" w:cs="Times New Roman"/>
        </w:rPr>
        <w:t>Baselga</w:t>
      </w:r>
      <w:proofErr w:type="spellEnd"/>
      <w:r w:rsidRPr="00572AF9">
        <w:rPr>
          <w:rFonts w:ascii="Times New Roman" w:eastAsia="Arial" w:hAnsi="Times New Roman" w:cs="Times New Roman"/>
        </w:rPr>
        <w:t>, J. (2017). Implementing genome-driven oncology. Cell, 168(4), 584-599.</w:t>
      </w:r>
    </w:p>
    <w:p w14:paraId="672A27C6"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t xml:space="preserve">Impact of a Biomarker-Based Strategy on Oncology Drug Development: A Meta-analysis of Clinical Trials Leading to FDA Approval. J Natl Cancer Inst. 2015 Sep 15;107(11). </w:t>
      </w:r>
      <w:proofErr w:type="spellStart"/>
      <w:r w:rsidRPr="00572AF9">
        <w:rPr>
          <w:rFonts w:ascii="Times New Roman" w:eastAsia="Arial" w:hAnsi="Times New Roman" w:cs="Times New Roman"/>
        </w:rPr>
        <w:t>pii</w:t>
      </w:r>
      <w:proofErr w:type="spellEnd"/>
      <w:r w:rsidRPr="00572AF9">
        <w:rPr>
          <w:rFonts w:ascii="Times New Roman" w:eastAsia="Arial" w:hAnsi="Times New Roman" w:cs="Times New Roman"/>
        </w:rPr>
        <w:t xml:space="preserve">: djv253. </w:t>
      </w:r>
      <w:proofErr w:type="spellStart"/>
      <w:r w:rsidRPr="00572AF9">
        <w:rPr>
          <w:rFonts w:ascii="Times New Roman" w:eastAsia="Arial" w:hAnsi="Times New Roman" w:cs="Times New Roman"/>
        </w:rPr>
        <w:t>doi</w:t>
      </w:r>
      <w:proofErr w:type="spellEnd"/>
      <w:r w:rsidRPr="00572AF9">
        <w:rPr>
          <w:rFonts w:ascii="Times New Roman" w:eastAsia="Arial" w:hAnsi="Times New Roman" w:cs="Times New Roman"/>
        </w:rPr>
        <w:t>: 10.1093/</w:t>
      </w:r>
      <w:proofErr w:type="spellStart"/>
      <w:r w:rsidRPr="00572AF9">
        <w:rPr>
          <w:rFonts w:ascii="Times New Roman" w:eastAsia="Arial" w:hAnsi="Times New Roman" w:cs="Times New Roman"/>
        </w:rPr>
        <w:t>jnci</w:t>
      </w:r>
      <w:proofErr w:type="spellEnd"/>
      <w:r w:rsidRPr="00572AF9">
        <w:rPr>
          <w:rFonts w:ascii="Times New Roman" w:eastAsia="Arial" w:hAnsi="Times New Roman" w:cs="Times New Roman"/>
        </w:rPr>
        <w:t>/djv253. Print 2015 Nov.</w:t>
      </w:r>
    </w:p>
    <w:p w14:paraId="5744C6B9"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t xml:space="preserve">Implementing Genome-Driven Oncology. Cell. 2017 Feb 9;168(4):584-599. </w:t>
      </w:r>
      <w:proofErr w:type="spellStart"/>
      <w:r w:rsidRPr="00572AF9">
        <w:rPr>
          <w:rFonts w:ascii="Times New Roman" w:eastAsia="Arial" w:hAnsi="Times New Roman" w:cs="Times New Roman"/>
        </w:rPr>
        <w:t>doi</w:t>
      </w:r>
      <w:proofErr w:type="spellEnd"/>
      <w:r w:rsidRPr="00572AF9">
        <w:rPr>
          <w:rFonts w:ascii="Times New Roman" w:eastAsia="Arial" w:hAnsi="Times New Roman" w:cs="Times New Roman"/>
        </w:rPr>
        <w:t>: 10.1016/j.cell.2016.12.015.</w:t>
      </w:r>
    </w:p>
    <w:p w14:paraId="0488815A"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Jakka</w:t>
      </w:r>
      <w:proofErr w:type="spellEnd"/>
      <w:r w:rsidRPr="00572AF9">
        <w:rPr>
          <w:rFonts w:ascii="Times New Roman" w:eastAsia="Cambria" w:hAnsi="Times New Roman" w:cs="Times New Roman"/>
        </w:rPr>
        <w:t>, S., &amp; Rossbach, M. (2013). An economic perspective on personalized medicine. The HUGO journal, 7(1), 1-6.</w:t>
      </w:r>
    </w:p>
    <w:p w14:paraId="03D6FA85"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Johnston, K. M., Sheffield, B. S., Yip, S., </w:t>
      </w:r>
      <w:proofErr w:type="spellStart"/>
      <w:r w:rsidRPr="00572AF9">
        <w:rPr>
          <w:rFonts w:ascii="Times New Roman" w:eastAsia="Cambria" w:hAnsi="Times New Roman" w:cs="Times New Roman"/>
        </w:rPr>
        <w:t>Lakzadeh</w:t>
      </w:r>
      <w:proofErr w:type="spellEnd"/>
      <w:r w:rsidRPr="00572AF9">
        <w:rPr>
          <w:rFonts w:ascii="Times New Roman" w:eastAsia="Cambria" w:hAnsi="Times New Roman" w:cs="Times New Roman"/>
        </w:rPr>
        <w:t>, P., Qian, C., &amp; Nam, J. (2020). Costs of in-house genomic profiling and implications for economic evaluation: A case example of non-small cell lung cancer (NSCLC). Journal of medical economics, (just-accepted), 1-1.</w:t>
      </w:r>
    </w:p>
    <w:p w14:paraId="695562DB"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Kang, H., </w:t>
      </w:r>
      <w:proofErr w:type="spellStart"/>
      <w:r w:rsidRPr="00572AF9">
        <w:rPr>
          <w:rFonts w:ascii="Times New Roman" w:eastAsia="Cambria" w:hAnsi="Times New Roman" w:cs="Times New Roman"/>
        </w:rPr>
        <w:t>Pettinga</w:t>
      </w:r>
      <w:proofErr w:type="spellEnd"/>
      <w:r w:rsidRPr="00572AF9">
        <w:rPr>
          <w:rFonts w:ascii="Times New Roman" w:eastAsia="Cambria" w:hAnsi="Times New Roman" w:cs="Times New Roman"/>
        </w:rPr>
        <w:t xml:space="preserve">, D., Schubert, A. D., </w:t>
      </w:r>
      <w:proofErr w:type="spellStart"/>
      <w:r w:rsidRPr="00572AF9">
        <w:rPr>
          <w:rFonts w:ascii="Times New Roman" w:eastAsia="Cambria" w:hAnsi="Times New Roman" w:cs="Times New Roman"/>
        </w:rPr>
        <w:t>Ladenson</w:t>
      </w:r>
      <w:proofErr w:type="spellEnd"/>
      <w:r w:rsidRPr="00572AF9">
        <w:rPr>
          <w:rFonts w:ascii="Times New Roman" w:eastAsia="Cambria" w:hAnsi="Times New Roman" w:cs="Times New Roman"/>
        </w:rPr>
        <w:t>, P. W., Ball, D. W., Chung, J. H., ... &amp; Ali, S. M. (2019). Genomic profiling of parathyroid carcinoma reveals genomic alterations suggesting benefit from therapy. The oncologist, 24(6), 791.</w:t>
      </w:r>
    </w:p>
    <w:p w14:paraId="0BBE61A6"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Kathryn A. Philips (2020) Methods for Moving the Evaluation of Precision Medicine Into Practice and Policy. VALUE HEALTH. 2020; 23(5):527–528</w:t>
      </w:r>
    </w:p>
    <w:p w14:paraId="21B4DAF9"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Keltie, K., Bousfield, D. R., Cole, H., &amp; Sims, A. J. (2016). Medical Technologies Evaluation Programme: A review of NICE progression decisions, 2010–2013. Health Policy and Technology, 5(3), 243-250.</w:t>
      </w:r>
    </w:p>
    <w:p w14:paraId="324148BE"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Kohler, J. N., </w:t>
      </w:r>
      <w:proofErr w:type="spellStart"/>
      <w:r w:rsidRPr="00572AF9">
        <w:rPr>
          <w:rFonts w:ascii="Times New Roman" w:eastAsia="Cambria" w:hAnsi="Times New Roman" w:cs="Times New Roman"/>
        </w:rPr>
        <w:t>Turbitt</w:t>
      </w:r>
      <w:proofErr w:type="spellEnd"/>
      <w:r w:rsidRPr="00572AF9">
        <w:rPr>
          <w:rFonts w:ascii="Times New Roman" w:eastAsia="Cambria" w:hAnsi="Times New Roman" w:cs="Times New Roman"/>
        </w:rPr>
        <w:t xml:space="preserve">, E., &amp; </w:t>
      </w:r>
      <w:proofErr w:type="spellStart"/>
      <w:r w:rsidRPr="00572AF9">
        <w:rPr>
          <w:rFonts w:ascii="Times New Roman" w:eastAsia="Cambria" w:hAnsi="Times New Roman" w:cs="Times New Roman"/>
        </w:rPr>
        <w:t>Biesecker</w:t>
      </w:r>
      <w:proofErr w:type="spellEnd"/>
      <w:r w:rsidRPr="00572AF9">
        <w:rPr>
          <w:rFonts w:ascii="Times New Roman" w:eastAsia="Cambria" w:hAnsi="Times New Roman" w:cs="Times New Roman"/>
        </w:rPr>
        <w:t>, B. B. (2017). Personal utility in genomic testing: a systematic literature review. European Journal of Human Genetics, 25(6), 662.</w:t>
      </w:r>
    </w:p>
    <w:p w14:paraId="0D90630A"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Lakdawalla</w:t>
      </w:r>
      <w:proofErr w:type="spellEnd"/>
      <w:r w:rsidRPr="00572AF9">
        <w:rPr>
          <w:rFonts w:ascii="Times New Roman" w:eastAsia="Cambria" w:hAnsi="Times New Roman" w:cs="Times New Roman"/>
        </w:rPr>
        <w:t xml:space="preserve">, D.N., Doshi, J.A., Garrison Jr, L.P., Phelps, C.E., </w:t>
      </w:r>
      <w:proofErr w:type="spellStart"/>
      <w:r w:rsidRPr="00572AF9">
        <w:rPr>
          <w:rFonts w:ascii="Times New Roman" w:eastAsia="Cambria" w:hAnsi="Times New Roman" w:cs="Times New Roman"/>
        </w:rPr>
        <w:t>Basu</w:t>
      </w:r>
      <w:proofErr w:type="spellEnd"/>
      <w:r w:rsidRPr="00572AF9">
        <w:rPr>
          <w:rFonts w:ascii="Times New Roman" w:eastAsia="Cambria" w:hAnsi="Times New Roman" w:cs="Times New Roman"/>
        </w:rPr>
        <w:t>, A. and Danzon, P.M., 2018. Defining elements of value in health care—a health economics approach: an ISPOR Special Task Force report [3]. Value in Health, 21(2), pp.131-139.</w:t>
      </w:r>
    </w:p>
    <w:p w14:paraId="77342B1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Le, D. T., Durham, J. N., Smith, K. N., Wang, H., Bartlett, B. R., </w:t>
      </w:r>
      <w:proofErr w:type="spellStart"/>
      <w:r w:rsidRPr="00572AF9">
        <w:rPr>
          <w:rFonts w:ascii="Times New Roman" w:eastAsia="Cambria" w:hAnsi="Times New Roman" w:cs="Times New Roman"/>
        </w:rPr>
        <w:t>Aulakh</w:t>
      </w:r>
      <w:proofErr w:type="spellEnd"/>
      <w:r w:rsidRPr="00572AF9">
        <w:rPr>
          <w:rFonts w:ascii="Times New Roman" w:eastAsia="Cambria" w:hAnsi="Times New Roman" w:cs="Times New Roman"/>
        </w:rPr>
        <w:t xml:space="preserve">, L. K., ... &amp; Wong, F. (2017). Mismatch repair deficiency predicts response of solid </w:t>
      </w:r>
      <w:proofErr w:type="spellStart"/>
      <w:r w:rsidRPr="00572AF9">
        <w:rPr>
          <w:rFonts w:ascii="Times New Roman" w:eastAsia="Cambria" w:hAnsi="Times New Roman" w:cs="Times New Roman"/>
        </w:rPr>
        <w:t>tumors</w:t>
      </w:r>
      <w:proofErr w:type="spellEnd"/>
      <w:r w:rsidRPr="00572AF9">
        <w:rPr>
          <w:rFonts w:ascii="Times New Roman" w:eastAsia="Cambria" w:hAnsi="Times New Roman" w:cs="Times New Roman"/>
        </w:rPr>
        <w:t xml:space="preserve"> to PD-1 blockade. Science, 357(6349), 409-413.</w:t>
      </w:r>
    </w:p>
    <w:p w14:paraId="2765A42A"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Marshall, D. A., Gonzalez, J. M., MacDonald, K. V., &amp; Johnson, F. R. (2017). Estimating Preferences for Complex Health Technologies: Lessons Learned and Implications for Personalized Medicine. Value in health : the journal of the International Society for Pharmacoeconomics and Outcomes Research, 20(1), 32–39. doi:10.1016/j.jval.2016.08.737</w:t>
      </w:r>
    </w:p>
    <w:p w14:paraId="0157A98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140DA3">
        <w:rPr>
          <w:rFonts w:ascii="Times New Roman" w:eastAsia="Cambria" w:hAnsi="Times New Roman" w:cs="Times New Roman"/>
          <w:lang w:val="fr-CA"/>
        </w:rPr>
        <w:t xml:space="preserve">McKenzie, A. J., H. Dilks, H., Jones, S. F., &amp; Burris III, H. (2019). </w:t>
      </w:r>
      <w:r w:rsidRPr="00572AF9">
        <w:rPr>
          <w:rFonts w:ascii="Times New Roman" w:eastAsia="Cambria" w:hAnsi="Times New Roman" w:cs="Times New Roman"/>
        </w:rPr>
        <w:t xml:space="preserve">Should next-generation sequencing tests be performed on all cancer </w:t>
      </w:r>
      <w:proofErr w:type="gramStart"/>
      <w:r w:rsidRPr="00572AF9">
        <w:rPr>
          <w:rFonts w:ascii="Times New Roman" w:eastAsia="Cambria" w:hAnsi="Times New Roman" w:cs="Times New Roman"/>
        </w:rPr>
        <w:t>patients?.</w:t>
      </w:r>
      <w:proofErr w:type="gramEnd"/>
      <w:r w:rsidRPr="00572AF9">
        <w:rPr>
          <w:rFonts w:ascii="Times New Roman" w:eastAsia="Cambria" w:hAnsi="Times New Roman" w:cs="Times New Roman"/>
        </w:rPr>
        <w:t xml:space="preserve"> Expert review of molecular diagnostics, 19(2), 89-93.</w:t>
      </w:r>
    </w:p>
    <w:p w14:paraId="1B0EE0A8"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Medicines Australia (2018). Proposal for the regulation of IVD diagnostics. Available at: https://medicinesaustralia.com.au/wp-content/uploads/sites/52/2018/12/20181214-TGA-consultation-Proposal-for-the-regulation-of-IVD-CDx-MA-submisssion.pdf</w:t>
      </w:r>
    </w:p>
    <w:p w14:paraId="24CD4D3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Merlin, T., Farah, C., Schubert, C., Mitchell, A., Hiller, J. E., &amp; Ryan, P. (2013). Assessing personalized medicines in Australia: a national framework for reviewing co-dependent technologies. Medical Decision Making, 33(3), 333-342.</w:t>
      </w:r>
    </w:p>
    <w:p w14:paraId="73194269"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lastRenderedPageBreak/>
        <w:t>Morash</w:t>
      </w:r>
      <w:proofErr w:type="spellEnd"/>
      <w:r w:rsidRPr="00572AF9">
        <w:rPr>
          <w:rFonts w:ascii="Times New Roman" w:eastAsia="Cambria" w:hAnsi="Times New Roman" w:cs="Times New Roman"/>
        </w:rPr>
        <w:t xml:space="preserve"> </w:t>
      </w:r>
      <w:proofErr w:type="spellStart"/>
      <w:r w:rsidRPr="00572AF9">
        <w:rPr>
          <w:rFonts w:ascii="Times New Roman" w:eastAsia="Cambria" w:hAnsi="Times New Roman" w:cs="Times New Roman"/>
        </w:rPr>
        <w:t>M et</w:t>
      </w:r>
      <w:proofErr w:type="spellEnd"/>
      <w:r w:rsidRPr="00572AF9">
        <w:rPr>
          <w:rFonts w:ascii="Times New Roman" w:eastAsia="Cambria" w:hAnsi="Times New Roman" w:cs="Times New Roman"/>
        </w:rPr>
        <w:t xml:space="preserve">. All The Role of Next-Generation Sequencing in Precision Medicine: A Review of Outcomes in Oncology. J </w:t>
      </w:r>
      <w:proofErr w:type="spellStart"/>
      <w:r w:rsidRPr="00572AF9">
        <w:rPr>
          <w:rFonts w:ascii="Times New Roman" w:eastAsia="Cambria" w:hAnsi="Times New Roman" w:cs="Times New Roman"/>
        </w:rPr>
        <w:t>Pers</w:t>
      </w:r>
      <w:proofErr w:type="spellEnd"/>
      <w:r w:rsidRPr="00572AF9">
        <w:rPr>
          <w:rFonts w:ascii="Times New Roman" w:eastAsia="Cambria" w:hAnsi="Times New Roman" w:cs="Times New Roman"/>
        </w:rPr>
        <w:t xml:space="preserve"> Med. 2018 Sep; 8(3): 30</w:t>
      </w:r>
    </w:p>
    <w:p w14:paraId="2B15BA82"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Mosele</w:t>
      </w:r>
      <w:proofErr w:type="spellEnd"/>
      <w:r w:rsidRPr="00572AF9">
        <w:rPr>
          <w:rFonts w:ascii="Times New Roman" w:eastAsia="Cambria" w:hAnsi="Times New Roman" w:cs="Times New Roman"/>
        </w:rPr>
        <w:t xml:space="preserve">, F., </w:t>
      </w:r>
      <w:proofErr w:type="spellStart"/>
      <w:r w:rsidRPr="00572AF9">
        <w:rPr>
          <w:rFonts w:ascii="Times New Roman" w:eastAsia="Cambria" w:hAnsi="Times New Roman" w:cs="Times New Roman"/>
        </w:rPr>
        <w:t>Remon</w:t>
      </w:r>
      <w:proofErr w:type="spellEnd"/>
      <w:r w:rsidRPr="00572AF9">
        <w:rPr>
          <w:rFonts w:ascii="Times New Roman" w:eastAsia="Cambria" w:hAnsi="Times New Roman" w:cs="Times New Roman"/>
        </w:rPr>
        <w:t xml:space="preserve">, J., Mateo, J., </w:t>
      </w:r>
      <w:proofErr w:type="spellStart"/>
      <w:r w:rsidRPr="00572AF9">
        <w:rPr>
          <w:rFonts w:ascii="Times New Roman" w:eastAsia="Cambria" w:hAnsi="Times New Roman" w:cs="Times New Roman"/>
        </w:rPr>
        <w:t>Westphalen</w:t>
      </w:r>
      <w:proofErr w:type="spellEnd"/>
      <w:r w:rsidRPr="00572AF9">
        <w:rPr>
          <w:rFonts w:ascii="Times New Roman" w:eastAsia="Cambria" w:hAnsi="Times New Roman" w:cs="Times New Roman"/>
        </w:rPr>
        <w:t xml:space="preserve">, C. B., Barlesi, F., </w:t>
      </w:r>
      <w:proofErr w:type="spellStart"/>
      <w:r w:rsidRPr="00572AF9">
        <w:rPr>
          <w:rFonts w:ascii="Times New Roman" w:eastAsia="Cambria" w:hAnsi="Times New Roman" w:cs="Times New Roman"/>
        </w:rPr>
        <w:t>Lolkema</w:t>
      </w:r>
      <w:proofErr w:type="spellEnd"/>
      <w:r w:rsidRPr="00572AF9">
        <w:rPr>
          <w:rFonts w:ascii="Times New Roman" w:eastAsia="Cambria" w:hAnsi="Times New Roman" w:cs="Times New Roman"/>
        </w:rPr>
        <w:t xml:space="preserve">, M. P., </w:t>
      </w:r>
      <w:proofErr w:type="spellStart"/>
      <w:r w:rsidRPr="00572AF9">
        <w:rPr>
          <w:rFonts w:ascii="Times New Roman" w:eastAsia="Cambria" w:hAnsi="Times New Roman" w:cs="Times New Roman"/>
        </w:rPr>
        <w:t>Normanno</w:t>
      </w:r>
      <w:proofErr w:type="spellEnd"/>
      <w:r w:rsidRPr="00572AF9">
        <w:rPr>
          <w:rFonts w:ascii="Times New Roman" w:eastAsia="Cambria" w:hAnsi="Times New Roman" w:cs="Times New Roman"/>
        </w:rPr>
        <w:t xml:space="preserve">, N., Scarpa, A., Robson, M., </w:t>
      </w:r>
      <w:proofErr w:type="spellStart"/>
      <w:r w:rsidRPr="00572AF9">
        <w:rPr>
          <w:rFonts w:ascii="Times New Roman" w:eastAsia="Cambria" w:hAnsi="Times New Roman" w:cs="Times New Roman"/>
        </w:rPr>
        <w:t>Meric</w:t>
      </w:r>
      <w:proofErr w:type="spellEnd"/>
      <w:r w:rsidRPr="00572AF9">
        <w:rPr>
          <w:rFonts w:ascii="Times New Roman" w:eastAsia="Cambria" w:hAnsi="Times New Roman" w:cs="Times New Roman"/>
        </w:rPr>
        <w:t xml:space="preserve">-Bernstam, F., Wagle, N., </w:t>
      </w:r>
      <w:proofErr w:type="spellStart"/>
      <w:r w:rsidRPr="00572AF9">
        <w:rPr>
          <w:rFonts w:ascii="Times New Roman" w:eastAsia="Cambria" w:hAnsi="Times New Roman" w:cs="Times New Roman"/>
        </w:rPr>
        <w:t>Stenzinger</w:t>
      </w:r>
      <w:proofErr w:type="spellEnd"/>
      <w:r w:rsidRPr="00572AF9">
        <w:rPr>
          <w:rFonts w:ascii="Times New Roman" w:eastAsia="Cambria" w:hAnsi="Times New Roman" w:cs="Times New Roman"/>
        </w:rPr>
        <w:t xml:space="preserve">, A., </w:t>
      </w:r>
      <w:proofErr w:type="spellStart"/>
      <w:r w:rsidRPr="00572AF9">
        <w:rPr>
          <w:rFonts w:ascii="Times New Roman" w:eastAsia="Cambria" w:hAnsi="Times New Roman" w:cs="Times New Roman"/>
        </w:rPr>
        <w:t>Bonastre</w:t>
      </w:r>
      <w:proofErr w:type="spellEnd"/>
      <w:r w:rsidRPr="00572AF9">
        <w:rPr>
          <w:rFonts w:ascii="Times New Roman" w:eastAsia="Cambria" w:hAnsi="Times New Roman" w:cs="Times New Roman"/>
        </w:rPr>
        <w:t xml:space="preserve">, J., Bayle, A., </w:t>
      </w:r>
      <w:proofErr w:type="spellStart"/>
      <w:r w:rsidRPr="00572AF9">
        <w:rPr>
          <w:rFonts w:ascii="Times New Roman" w:eastAsia="Cambria" w:hAnsi="Times New Roman" w:cs="Times New Roman"/>
        </w:rPr>
        <w:t>Michiels</w:t>
      </w:r>
      <w:proofErr w:type="spellEnd"/>
      <w:r w:rsidRPr="00572AF9">
        <w:rPr>
          <w:rFonts w:ascii="Times New Roman" w:eastAsia="Cambria" w:hAnsi="Times New Roman" w:cs="Times New Roman"/>
        </w:rPr>
        <w:t xml:space="preserve">, S., </w:t>
      </w:r>
      <w:proofErr w:type="spellStart"/>
      <w:r w:rsidRPr="00572AF9">
        <w:rPr>
          <w:rFonts w:ascii="Times New Roman" w:eastAsia="Cambria" w:hAnsi="Times New Roman" w:cs="Times New Roman"/>
        </w:rPr>
        <w:t>Bièche</w:t>
      </w:r>
      <w:proofErr w:type="spellEnd"/>
      <w:r w:rsidRPr="00572AF9">
        <w:rPr>
          <w:rFonts w:ascii="Times New Roman" w:eastAsia="Cambria" w:hAnsi="Times New Roman" w:cs="Times New Roman"/>
        </w:rPr>
        <w:t xml:space="preserve">, I., Rouleau, E., </w:t>
      </w:r>
      <w:proofErr w:type="spellStart"/>
      <w:r w:rsidRPr="00572AF9">
        <w:rPr>
          <w:rFonts w:ascii="Times New Roman" w:eastAsia="Cambria" w:hAnsi="Times New Roman" w:cs="Times New Roman"/>
        </w:rPr>
        <w:t>Jezdic</w:t>
      </w:r>
      <w:proofErr w:type="spellEnd"/>
      <w:r w:rsidRPr="00572AF9">
        <w:rPr>
          <w:rFonts w:ascii="Times New Roman" w:eastAsia="Cambria" w:hAnsi="Times New Roman" w:cs="Times New Roman"/>
        </w:rPr>
        <w:t>, S., Douillard, J. Y., Reis-Filho, J. S., … André, F. (2020). Recommendations for the use of next-generation sequencing (NGS) for patients with metastatic cancers: a report from the ESMO Precision Medicine Working Group. Annals of oncology : official journal of the European Society for Medical Oncology, 31(11), 1491–1505. https://doi.org/10.1016/j.annonc.2020.07.014</w:t>
      </w:r>
    </w:p>
    <w:p w14:paraId="7BA0CEE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MSAC (2021). Guidelines for preparing assessments for the Medical Services Advisory Committee, Version 1.0 May 2021. D. o. Health.</w:t>
      </w:r>
    </w:p>
    <w:p w14:paraId="632FB27D"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National Institute for health and care excellence (2020) -  Final appraisal document </w:t>
      </w:r>
      <w:proofErr w:type="spellStart"/>
      <w:r w:rsidRPr="00572AF9">
        <w:rPr>
          <w:rFonts w:ascii="Times New Roman" w:eastAsia="Cambria" w:hAnsi="Times New Roman" w:cs="Times New Roman"/>
        </w:rPr>
        <w:t>Entrectinib</w:t>
      </w:r>
      <w:proofErr w:type="spellEnd"/>
      <w:r w:rsidRPr="00572AF9">
        <w:rPr>
          <w:rFonts w:ascii="Times New Roman" w:eastAsia="Cambria" w:hAnsi="Times New Roman" w:cs="Times New Roman"/>
        </w:rPr>
        <w:t xml:space="preserve"> for treating NTRK fusion-positive solid tumours - June 2020 – accessible at https://www.nice.org.uk/guidance/gid-ta10414/documents/final-appraisal-determination-document</w:t>
      </w:r>
    </w:p>
    <w:p w14:paraId="37DF556E"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National Institute for health and care excellence (2020) -  Final appraisal document - Larotrectinib for treating NTRK fusion-positive solid tumours- April 2020 – accessible at: https://www.nice.org.uk/guidance/ta630/documents/final-appraisal-determination-document</w:t>
      </w:r>
    </w:p>
    <w:p w14:paraId="0DDD25A5"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Arial" w:hAnsi="Times New Roman" w:cs="Times New Roman"/>
        </w:rPr>
        <w:t>Nesline</w:t>
      </w:r>
      <w:proofErr w:type="spellEnd"/>
      <w:r w:rsidRPr="00572AF9">
        <w:rPr>
          <w:rFonts w:ascii="Times New Roman" w:eastAsia="Arial" w:hAnsi="Times New Roman" w:cs="Times New Roman"/>
        </w:rPr>
        <w:t xml:space="preserve"> MK et al. </w:t>
      </w:r>
      <w:proofErr w:type="spellStart"/>
      <w:r w:rsidRPr="00572AF9">
        <w:rPr>
          <w:rFonts w:ascii="Times New Roman" w:eastAsia="Arial" w:hAnsi="Times New Roman" w:cs="Times New Roman"/>
        </w:rPr>
        <w:t>Oncotarget</w:t>
      </w:r>
      <w:proofErr w:type="spellEnd"/>
      <w:r w:rsidRPr="00572AF9">
        <w:rPr>
          <w:rFonts w:ascii="Times New Roman" w:eastAsia="Arial" w:hAnsi="Times New Roman" w:cs="Times New Roman"/>
        </w:rPr>
        <w:t xml:space="preserve"> 2019; 10: 4616–4629</w:t>
      </w:r>
    </w:p>
    <w:p w14:paraId="77F9E5C2"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t>Next-Generation Sequencing in Oncology: Genetic Diagnosis, Risk Prediction and Cancer Classification. Int J Mol Sci. 2017 Feb; 18(2): 308.</w:t>
      </w:r>
    </w:p>
    <w:p w14:paraId="48F033DE"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NICE (2014). Developing NICE guidelines: the manual. N. I. f. H. C. Excellence.</w:t>
      </w:r>
    </w:p>
    <w:p w14:paraId="4202B72C"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OECD (2017), Tackling Wasteful Spending on Health, OECD Publishing, Paris. oe.cd/tackling-wasteful-spending-on-health</w:t>
      </w:r>
    </w:p>
    <w:p w14:paraId="7D39DF8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Pennell, N. A., Mutebi, A., Zhou, Z. Y., </w:t>
      </w:r>
      <w:proofErr w:type="spellStart"/>
      <w:r w:rsidRPr="00572AF9">
        <w:rPr>
          <w:rFonts w:ascii="Times New Roman" w:eastAsia="Cambria" w:hAnsi="Times New Roman" w:cs="Times New Roman"/>
        </w:rPr>
        <w:t>Ricculli</w:t>
      </w:r>
      <w:proofErr w:type="spellEnd"/>
      <w:r w:rsidRPr="00572AF9">
        <w:rPr>
          <w:rFonts w:ascii="Times New Roman" w:eastAsia="Cambria" w:hAnsi="Times New Roman" w:cs="Times New Roman"/>
        </w:rPr>
        <w:t>, M. L., Tang, W., Wang, H., ... &amp; Wu, K. Y. (2019). Economic impact of next-generation sequencing versus single-gene testing to detect genomic alterations in metastatic non–small-cell lung cancer using a decision analytic model. JCO Precision Oncology, 3, 1.</w:t>
      </w:r>
    </w:p>
    <w:p w14:paraId="30426337"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Personalized Medicine Coalition (2018). Personalized Medicine and Value Assessment Frameworks: Context, Considerations, and Next Steps. PMC website http://www.personalizedmedicinecoalition.org/Userfiles/PMC-Corporate/file/PM_and_VAFs.pdf accessed January 2021 </w:t>
      </w:r>
    </w:p>
    <w:p w14:paraId="7DE50EF7"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PHARMAC (2015). Guidelines for Funding Applications to PHARRMAC. P. M. Agency.</w:t>
      </w:r>
    </w:p>
    <w:p w14:paraId="577C1FB3"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Plumpton, C. O., </w:t>
      </w:r>
      <w:proofErr w:type="spellStart"/>
      <w:r w:rsidRPr="00572AF9">
        <w:rPr>
          <w:rFonts w:ascii="Times New Roman" w:eastAsia="Cambria" w:hAnsi="Times New Roman" w:cs="Times New Roman"/>
        </w:rPr>
        <w:t>Pirmohamed</w:t>
      </w:r>
      <w:proofErr w:type="spellEnd"/>
      <w:r w:rsidRPr="00572AF9">
        <w:rPr>
          <w:rFonts w:ascii="Times New Roman" w:eastAsia="Cambria" w:hAnsi="Times New Roman" w:cs="Times New Roman"/>
        </w:rPr>
        <w:t xml:space="preserve">, M., &amp; Hughes, D. A. (2019). Cost‐Effectiveness of Panel Tests for Multiple </w:t>
      </w:r>
      <w:proofErr w:type="spellStart"/>
      <w:r w:rsidRPr="00572AF9">
        <w:rPr>
          <w:rFonts w:ascii="Times New Roman" w:eastAsia="Cambria" w:hAnsi="Times New Roman" w:cs="Times New Roman"/>
        </w:rPr>
        <w:t>Pharmacogenes</w:t>
      </w:r>
      <w:proofErr w:type="spellEnd"/>
      <w:r w:rsidRPr="00572AF9">
        <w:rPr>
          <w:rFonts w:ascii="Times New Roman" w:eastAsia="Cambria" w:hAnsi="Times New Roman" w:cs="Times New Roman"/>
        </w:rPr>
        <w:t xml:space="preserve"> Associated With Adverse Drug Reactions: An Evaluation Framework. Clinical Pharmacology &amp; Therapeutics, 105(6), 1429-1438.</w:t>
      </w:r>
    </w:p>
    <w:p w14:paraId="4FD90D8A"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Phillips, K. A., </w:t>
      </w:r>
      <w:proofErr w:type="spellStart"/>
      <w:r w:rsidRPr="00572AF9">
        <w:rPr>
          <w:rFonts w:ascii="Times New Roman" w:eastAsia="Cambria" w:hAnsi="Times New Roman" w:cs="Times New Roman"/>
        </w:rPr>
        <w:t>Sakowski</w:t>
      </w:r>
      <w:proofErr w:type="spellEnd"/>
      <w:r w:rsidRPr="00572AF9">
        <w:rPr>
          <w:rFonts w:ascii="Times New Roman" w:eastAsia="Cambria" w:hAnsi="Times New Roman" w:cs="Times New Roman"/>
        </w:rPr>
        <w:t xml:space="preserve">, J. A., </w:t>
      </w:r>
      <w:proofErr w:type="spellStart"/>
      <w:r w:rsidRPr="00572AF9">
        <w:rPr>
          <w:rFonts w:ascii="Times New Roman" w:eastAsia="Cambria" w:hAnsi="Times New Roman" w:cs="Times New Roman"/>
        </w:rPr>
        <w:t>Trosman</w:t>
      </w:r>
      <w:proofErr w:type="spellEnd"/>
      <w:r w:rsidRPr="00572AF9">
        <w:rPr>
          <w:rFonts w:ascii="Times New Roman" w:eastAsia="Cambria" w:hAnsi="Times New Roman" w:cs="Times New Roman"/>
        </w:rPr>
        <w:t>, J., Douglas, M. P., Liang, S. Y., &amp; Neumann, P. (2014). The economic value of personalized medicine tests: what we know and what we need to know. Genetics in medicine, 16(3), 251-257.</w:t>
      </w:r>
    </w:p>
    <w:p w14:paraId="54E9361B"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Phillips, K. A., </w:t>
      </w:r>
      <w:proofErr w:type="spellStart"/>
      <w:r w:rsidRPr="00572AF9">
        <w:rPr>
          <w:rFonts w:ascii="Times New Roman" w:eastAsia="Cambria" w:hAnsi="Times New Roman" w:cs="Times New Roman"/>
        </w:rPr>
        <w:t>Deverka</w:t>
      </w:r>
      <w:proofErr w:type="spellEnd"/>
      <w:r w:rsidRPr="00572AF9">
        <w:rPr>
          <w:rFonts w:ascii="Times New Roman" w:eastAsia="Cambria" w:hAnsi="Times New Roman" w:cs="Times New Roman"/>
        </w:rPr>
        <w:t>, P. A., Marshall, D. A., Wordsworth, S., Regier, D. A., Christensen, K. D., &amp; Buchanan, J. (2018). Methodological issues in assessing the economic value of next-</w:t>
      </w:r>
      <w:r w:rsidRPr="00572AF9">
        <w:rPr>
          <w:rFonts w:ascii="Times New Roman" w:eastAsia="Cambria" w:hAnsi="Times New Roman" w:cs="Times New Roman"/>
        </w:rPr>
        <w:lastRenderedPageBreak/>
        <w:t>generation sequencing tests: many challenges and not enough solutions. Value in Health, 21(9), 1033-1042.</w:t>
      </w:r>
    </w:p>
    <w:p w14:paraId="11CD94E2"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Precision oncology in advanced cancer patients improves overall survival with lower weekly healthcare costs. </w:t>
      </w:r>
      <w:proofErr w:type="spellStart"/>
      <w:r w:rsidRPr="00572AF9">
        <w:rPr>
          <w:rFonts w:ascii="Times New Roman" w:eastAsia="Cambria" w:hAnsi="Times New Roman" w:cs="Times New Roman"/>
        </w:rPr>
        <w:t>Oncotarget</w:t>
      </w:r>
      <w:proofErr w:type="spellEnd"/>
      <w:r w:rsidRPr="00572AF9">
        <w:rPr>
          <w:rFonts w:ascii="Times New Roman" w:eastAsia="Cambria" w:hAnsi="Times New Roman" w:cs="Times New Roman"/>
        </w:rPr>
        <w:t xml:space="preserve">. 2018 Feb 2;9(15):12316-12322. </w:t>
      </w:r>
      <w:proofErr w:type="spellStart"/>
      <w:r w:rsidRPr="00572AF9">
        <w:rPr>
          <w:rFonts w:ascii="Times New Roman" w:eastAsia="Cambria" w:hAnsi="Times New Roman" w:cs="Times New Roman"/>
        </w:rPr>
        <w:t>doi</w:t>
      </w:r>
      <w:proofErr w:type="spellEnd"/>
      <w:r w:rsidRPr="00572AF9">
        <w:rPr>
          <w:rFonts w:ascii="Times New Roman" w:eastAsia="Cambria" w:hAnsi="Times New Roman" w:cs="Times New Roman"/>
        </w:rPr>
        <w:t xml:space="preserve">: 10.18632/oncotarget.24384. </w:t>
      </w:r>
      <w:proofErr w:type="spellStart"/>
      <w:r w:rsidRPr="00572AF9">
        <w:rPr>
          <w:rFonts w:ascii="Times New Roman" w:eastAsia="Cambria" w:hAnsi="Times New Roman" w:cs="Times New Roman"/>
        </w:rPr>
        <w:t>eCollection</w:t>
      </w:r>
      <w:proofErr w:type="spellEnd"/>
      <w:r w:rsidRPr="00572AF9">
        <w:rPr>
          <w:rFonts w:ascii="Times New Roman" w:eastAsia="Cambria" w:hAnsi="Times New Roman" w:cs="Times New Roman"/>
        </w:rPr>
        <w:t xml:space="preserve"> 2018 Feb 23.</w:t>
      </w:r>
    </w:p>
    <w:p w14:paraId="16D56B3C"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Precision oncology in advanced cancer patients improves overall survival with lower weekly healthcare costs. Haslem DS et al. </w:t>
      </w:r>
      <w:hyperlink r:id="rId8" w:tooltip="Oncotarget." w:history="1">
        <w:proofErr w:type="spellStart"/>
        <w:r w:rsidRPr="00572AF9">
          <w:rPr>
            <w:rFonts w:ascii="Times New Roman" w:eastAsia="Cambria" w:hAnsi="Times New Roman" w:cs="Times New Roman"/>
          </w:rPr>
          <w:t>Oncotarget</w:t>
        </w:r>
        <w:proofErr w:type="spellEnd"/>
        <w:r w:rsidRPr="00572AF9">
          <w:rPr>
            <w:rFonts w:ascii="Times New Roman" w:eastAsia="Cambria" w:hAnsi="Times New Roman" w:cs="Times New Roman"/>
          </w:rPr>
          <w:t>.</w:t>
        </w:r>
      </w:hyperlink>
      <w:r w:rsidRPr="00572AF9">
        <w:rPr>
          <w:rFonts w:ascii="Times New Roman" w:eastAsia="Cambria" w:hAnsi="Times New Roman" w:cs="Times New Roman"/>
        </w:rPr>
        <w:t> 2018 Feb 2;9(15):12316-12322</w:t>
      </w:r>
    </w:p>
    <w:p w14:paraId="147F9B1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Rare cancers: Challenges &amp; issues. Indian J Med Res. 2017 Jan; 145(1): 17–27.</w:t>
      </w:r>
    </w:p>
    <w:p w14:paraId="7E6C8C7A"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t xml:space="preserve">RAS and BRAF in metastatic colorectal cancer management.  J </w:t>
      </w:r>
      <w:proofErr w:type="spellStart"/>
      <w:r w:rsidRPr="00572AF9">
        <w:rPr>
          <w:rFonts w:ascii="Times New Roman" w:eastAsia="Arial" w:hAnsi="Times New Roman" w:cs="Times New Roman"/>
        </w:rPr>
        <w:t>Gastrointest</w:t>
      </w:r>
      <w:proofErr w:type="spellEnd"/>
      <w:r w:rsidRPr="00572AF9">
        <w:rPr>
          <w:rFonts w:ascii="Times New Roman" w:eastAsia="Arial" w:hAnsi="Times New Roman" w:cs="Times New Roman"/>
        </w:rPr>
        <w:t xml:space="preserve"> Oncol. 2016 Oct;7(5):687-704.</w:t>
      </w:r>
    </w:p>
    <w:p w14:paraId="25561218"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Regier, D. A., Weymann, D., Buchanan, J., Marshall, D. A., &amp; Wordsworth, S. (2018). Valuation of health and </w:t>
      </w:r>
      <w:proofErr w:type="spellStart"/>
      <w:r w:rsidRPr="00572AF9">
        <w:rPr>
          <w:rFonts w:ascii="Times New Roman" w:eastAsia="Cambria" w:hAnsi="Times New Roman" w:cs="Times New Roman"/>
        </w:rPr>
        <w:t>nonhealth</w:t>
      </w:r>
      <w:proofErr w:type="spellEnd"/>
      <w:r w:rsidRPr="00572AF9">
        <w:rPr>
          <w:rFonts w:ascii="Times New Roman" w:eastAsia="Cambria" w:hAnsi="Times New Roman" w:cs="Times New Roman"/>
        </w:rPr>
        <w:t xml:space="preserve"> outcomes from next-generation sequencing: approaches, challenges, and solutions. Value in Health, 21(9), 1043-1047.</w:t>
      </w:r>
    </w:p>
    <w:p w14:paraId="7200DA3D"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Regulation (EU) 2017/746 of the European Parliament and of the Council of 5 April 2017 on in vitro diagnostic medical devices repeals Directive 98/79/EC and Commission Decision 2010/227/EU on in vitro diagnostic medical devices</w:t>
      </w:r>
    </w:p>
    <w:p w14:paraId="25C146DB"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Reitsma</w:t>
      </w:r>
      <w:proofErr w:type="spellEnd"/>
      <w:r w:rsidRPr="00572AF9">
        <w:rPr>
          <w:rFonts w:ascii="Times New Roman" w:eastAsia="Cambria" w:hAnsi="Times New Roman" w:cs="Times New Roman"/>
        </w:rPr>
        <w:t xml:space="preserve">, M., Fox, J., </w:t>
      </w:r>
      <w:proofErr w:type="spellStart"/>
      <w:r w:rsidRPr="00572AF9">
        <w:rPr>
          <w:rFonts w:ascii="Times New Roman" w:eastAsia="Cambria" w:hAnsi="Times New Roman" w:cs="Times New Roman"/>
        </w:rPr>
        <w:t>Borre</w:t>
      </w:r>
      <w:proofErr w:type="spellEnd"/>
      <w:r w:rsidRPr="00572AF9">
        <w:rPr>
          <w:rFonts w:ascii="Times New Roman" w:eastAsia="Cambria" w:hAnsi="Times New Roman" w:cs="Times New Roman"/>
        </w:rPr>
        <w:t xml:space="preserve">, P. V., Cavanaugh, M., </w:t>
      </w:r>
      <w:proofErr w:type="spellStart"/>
      <w:r w:rsidRPr="00572AF9">
        <w:rPr>
          <w:rFonts w:ascii="Times New Roman" w:eastAsia="Cambria" w:hAnsi="Times New Roman" w:cs="Times New Roman"/>
        </w:rPr>
        <w:t>Chudnovsky</w:t>
      </w:r>
      <w:proofErr w:type="spellEnd"/>
      <w:r w:rsidRPr="00572AF9">
        <w:rPr>
          <w:rFonts w:ascii="Times New Roman" w:eastAsia="Cambria" w:hAnsi="Times New Roman" w:cs="Times New Roman"/>
        </w:rPr>
        <w:t xml:space="preserve">, Y., </w:t>
      </w:r>
      <w:proofErr w:type="spellStart"/>
      <w:r w:rsidRPr="00572AF9">
        <w:rPr>
          <w:rFonts w:ascii="Times New Roman" w:eastAsia="Cambria" w:hAnsi="Times New Roman" w:cs="Times New Roman"/>
        </w:rPr>
        <w:t>Erlich</w:t>
      </w:r>
      <w:proofErr w:type="spellEnd"/>
      <w:r w:rsidRPr="00572AF9">
        <w:rPr>
          <w:rFonts w:ascii="Times New Roman" w:eastAsia="Cambria" w:hAnsi="Times New Roman" w:cs="Times New Roman"/>
        </w:rPr>
        <w:t xml:space="preserve">, R. L., ... &amp; </w:t>
      </w:r>
      <w:proofErr w:type="spellStart"/>
      <w:r w:rsidRPr="00572AF9">
        <w:rPr>
          <w:rFonts w:ascii="Times New Roman" w:eastAsia="Cambria" w:hAnsi="Times New Roman" w:cs="Times New Roman"/>
        </w:rPr>
        <w:t>Anhorn</w:t>
      </w:r>
      <w:proofErr w:type="spellEnd"/>
      <w:r w:rsidRPr="00572AF9">
        <w:rPr>
          <w:rFonts w:ascii="Times New Roman" w:eastAsia="Cambria" w:hAnsi="Times New Roman" w:cs="Times New Roman"/>
        </w:rPr>
        <w:t>, R. (2019). Effect of a Collaboration Between a Health Plan, Oncology Practice, and Comprehensive Genomic Profiling Company from the Payer Perspective. Journal of managed care &amp; specialty pharmacy, 25(5), 601-611.</w:t>
      </w:r>
    </w:p>
    <w:p w14:paraId="02C7FA3B"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t xml:space="preserve">Routine molecular profiling of patients with advanced non-small-cell lung cancer: results of a 1-year nationwide programme of the French Cooperative Thoracic Intergroup (IFCT). Lancet. 2016 Apr 2;387(10026):1415-1426. </w:t>
      </w:r>
      <w:proofErr w:type="spellStart"/>
      <w:r w:rsidRPr="00572AF9">
        <w:rPr>
          <w:rFonts w:ascii="Times New Roman" w:eastAsia="Arial" w:hAnsi="Times New Roman" w:cs="Times New Roman"/>
        </w:rPr>
        <w:t>doi</w:t>
      </w:r>
      <w:proofErr w:type="spellEnd"/>
      <w:r w:rsidRPr="00572AF9">
        <w:rPr>
          <w:rFonts w:ascii="Times New Roman" w:eastAsia="Arial" w:hAnsi="Times New Roman" w:cs="Times New Roman"/>
        </w:rPr>
        <w:t xml:space="preserve">: 10.1016/S0140-6736(16)00004-0. </w:t>
      </w:r>
      <w:proofErr w:type="spellStart"/>
      <w:r w:rsidRPr="00572AF9">
        <w:rPr>
          <w:rFonts w:ascii="Times New Roman" w:eastAsia="Arial" w:hAnsi="Times New Roman" w:cs="Times New Roman"/>
        </w:rPr>
        <w:t>Epub</w:t>
      </w:r>
      <w:proofErr w:type="spellEnd"/>
      <w:r w:rsidRPr="00572AF9">
        <w:rPr>
          <w:rFonts w:ascii="Times New Roman" w:eastAsia="Arial" w:hAnsi="Times New Roman" w:cs="Times New Roman"/>
        </w:rPr>
        <w:t xml:space="preserve"> 2016 Jan 15.</w:t>
      </w:r>
    </w:p>
    <w:p w14:paraId="4CD76587"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Samstein</w:t>
      </w:r>
      <w:proofErr w:type="spellEnd"/>
      <w:r w:rsidRPr="00572AF9">
        <w:rPr>
          <w:rFonts w:ascii="Times New Roman" w:eastAsia="Cambria" w:hAnsi="Times New Roman" w:cs="Times New Roman"/>
        </w:rPr>
        <w:t xml:space="preserve">, R. M., Lee, C. H., </w:t>
      </w:r>
      <w:proofErr w:type="spellStart"/>
      <w:r w:rsidRPr="00572AF9">
        <w:rPr>
          <w:rFonts w:ascii="Times New Roman" w:eastAsia="Cambria" w:hAnsi="Times New Roman" w:cs="Times New Roman"/>
        </w:rPr>
        <w:t>Shoushtari</w:t>
      </w:r>
      <w:proofErr w:type="spellEnd"/>
      <w:r w:rsidRPr="00572AF9">
        <w:rPr>
          <w:rFonts w:ascii="Times New Roman" w:eastAsia="Cambria" w:hAnsi="Times New Roman" w:cs="Times New Roman"/>
        </w:rPr>
        <w:t xml:space="preserve">, A. N., Hellmann, M. D., Shen, R., </w:t>
      </w:r>
      <w:proofErr w:type="spellStart"/>
      <w:r w:rsidRPr="00572AF9">
        <w:rPr>
          <w:rFonts w:ascii="Times New Roman" w:eastAsia="Cambria" w:hAnsi="Times New Roman" w:cs="Times New Roman"/>
        </w:rPr>
        <w:t>Janjigian</w:t>
      </w:r>
      <w:proofErr w:type="spellEnd"/>
      <w:r w:rsidRPr="00572AF9">
        <w:rPr>
          <w:rFonts w:ascii="Times New Roman" w:eastAsia="Cambria" w:hAnsi="Times New Roman" w:cs="Times New Roman"/>
        </w:rPr>
        <w:t xml:space="preserve">, Y. Y., ... &amp; Kaley, T. J. (2019). </w:t>
      </w:r>
      <w:proofErr w:type="spellStart"/>
      <w:r w:rsidRPr="00572AF9">
        <w:rPr>
          <w:rFonts w:ascii="Times New Roman" w:eastAsia="Cambria" w:hAnsi="Times New Roman" w:cs="Times New Roman"/>
        </w:rPr>
        <w:t>Tumor</w:t>
      </w:r>
      <w:proofErr w:type="spellEnd"/>
      <w:r w:rsidRPr="00572AF9">
        <w:rPr>
          <w:rFonts w:ascii="Times New Roman" w:eastAsia="Cambria" w:hAnsi="Times New Roman" w:cs="Times New Roman"/>
        </w:rPr>
        <w:t xml:space="preserve"> mutational load predicts survival after immunotherapy across multiple cancer types. Nature genetics, 51(2), 202-206.</w:t>
      </w:r>
    </w:p>
    <w:p w14:paraId="7E5EB97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Arial" w:hAnsi="Times New Roman" w:cs="Times New Roman"/>
        </w:rPr>
        <w:t xml:space="preserve">Sarcoma: concordance between initial diagnosis and centralized expert review in a population-based study within three European regions. </w:t>
      </w:r>
      <w:r w:rsidRPr="00572AF9">
        <w:rPr>
          <w:rFonts w:ascii="Times New Roman" w:eastAsia="Arial" w:hAnsi="Times New Roman" w:cs="Times New Roman"/>
          <w:lang w:val="it-IT"/>
        </w:rPr>
        <w:t>Ann Oncol. 2012 Sep; 23(9): 2442–2449.</w:t>
      </w:r>
    </w:p>
    <w:p w14:paraId="12FD2D3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Schrock, A. B., Frampton, G. M., Herndon, D., </w:t>
      </w:r>
      <w:proofErr w:type="spellStart"/>
      <w:r w:rsidRPr="00572AF9">
        <w:rPr>
          <w:rFonts w:ascii="Times New Roman" w:eastAsia="Cambria" w:hAnsi="Times New Roman" w:cs="Times New Roman"/>
        </w:rPr>
        <w:t>Greenbowe</w:t>
      </w:r>
      <w:proofErr w:type="spellEnd"/>
      <w:r w:rsidRPr="00572AF9">
        <w:rPr>
          <w:rFonts w:ascii="Times New Roman" w:eastAsia="Cambria" w:hAnsi="Times New Roman" w:cs="Times New Roman"/>
        </w:rPr>
        <w:t xml:space="preserve">, J. R., Wang, K., Lipson, D., ... &amp; </w:t>
      </w:r>
      <w:proofErr w:type="spellStart"/>
      <w:r w:rsidRPr="00572AF9">
        <w:rPr>
          <w:rFonts w:ascii="Times New Roman" w:eastAsia="Cambria" w:hAnsi="Times New Roman" w:cs="Times New Roman"/>
        </w:rPr>
        <w:t>Wollner</w:t>
      </w:r>
      <w:proofErr w:type="spellEnd"/>
      <w:r w:rsidRPr="00572AF9">
        <w:rPr>
          <w:rFonts w:ascii="Times New Roman" w:eastAsia="Cambria" w:hAnsi="Times New Roman" w:cs="Times New Roman"/>
        </w:rPr>
        <w:t>, M. (2016). Comprehensive genomic profiling identifies frequent drug-sensitive EGFR exon 19 deletions in NSCLC not identified by prior molecular testing. Clinical Cancer Research, 22(13), 3281-3285.</w:t>
      </w:r>
    </w:p>
    <w:p w14:paraId="15BD93D8"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Arial" w:hAnsi="Times New Roman" w:cs="Times New Roman"/>
        </w:rPr>
        <w:t>Schwarze</w:t>
      </w:r>
      <w:proofErr w:type="spellEnd"/>
      <w:r w:rsidRPr="00572AF9">
        <w:rPr>
          <w:rFonts w:ascii="Times New Roman" w:eastAsia="Arial" w:hAnsi="Times New Roman" w:cs="Times New Roman"/>
        </w:rPr>
        <w:t>, K., Buchanan, J., Taylor, J. C., &amp; Wordsworth, S. (2018). Are whole-exome and whole-genome sequencing approaches cost-effective? A systematic review of the literature. Genetics in Medicine, 20(10), 1122-1130.</w:t>
      </w:r>
    </w:p>
    <w:p w14:paraId="24DD83A9"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Signorovitch</w:t>
      </w:r>
      <w:proofErr w:type="spellEnd"/>
      <w:r w:rsidRPr="00572AF9">
        <w:rPr>
          <w:rFonts w:ascii="Times New Roman" w:eastAsia="Cambria" w:hAnsi="Times New Roman" w:cs="Times New Roman"/>
        </w:rPr>
        <w:t xml:space="preserve">, J., </w:t>
      </w:r>
      <w:proofErr w:type="spellStart"/>
      <w:r w:rsidRPr="00572AF9">
        <w:rPr>
          <w:rFonts w:ascii="Times New Roman" w:eastAsia="Cambria" w:hAnsi="Times New Roman" w:cs="Times New Roman"/>
        </w:rPr>
        <w:t>Janku</w:t>
      </w:r>
      <w:proofErr w:type="spellEnd"/>
      <w:r w:rsidRPr="00572AF9">
        <w:rPr>
          <w:rFonts w:ascii="Times New Roman" w:eastAsia="Cambria" w:hAnsi="Times New Roman" w:cs="Times New Roman"/>
        </w:rPr>
        <w:t>, F., Wheler, J. J., Miller, V. A., Ryan, J., Zhou, Z., &amp; Chawla, A. (2017). Estimated cost of anticancer therapy directed by comprehensive genomic profiling (CGP) in a single-</w:t>
      </w:r>
      <w:proofErr w:type="spellStart"/>
      <w:r w:rsidRPr="00572AF9">
        <w:rPr>
          <w:rFonts w:ascii="Times New Roman" w:eastAsia="Cambria" w:hAnsi="Times New Roman" w:cs="Times New Roman"/>
        </w:rPr>
        <w:t>center</w:t>
      </w:r>
      <w:proofErr w:type="spellEnd"/>
      <w:r w:rsidRPr="00572AF9">
        <w:rPr>
          <w:rFonts w:ascii="Times New Roman" w:eastAsia="Cambria" w:hAnsi="Times New Roman" w:cs="Times New Roman"/>
        </w:rPr>
        <w:t xml:space="preserve"> study.</w:t>
      </w:r>
    </w:p>
    <w:p w14:paraId="6110BB17"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lastRenderedPageBreak/>
        <w:t>Signorovitch</w:t>
      </w:r>
      <w:proofErr w:type="spellEnd"/>
      <w:r w:rsidRPr="00572AF9">
        <w:rPr>
          <w:rFonts w:ascii="Times New Roman" w:eastAsia="Cambria" w:hAnsi="Times New Roman" w:cs="Times New Roman"/>
        </w:rPr>
        <w:t xml:space="preserve">, J., Zhou, Z., Ryan, J., </w:t>
      </w:r>
      <w:proofErr w:type="spellStart"/>
      <w:r w:rsidRPr="00572AF9">
        <w:rPr>
          <w:rFonts w:ascii="Times New Roman" w:eastAsia="Cambria" w:hAnsi="Times New Roman" w:cs="Times New Roman"/>
        </w:rPr>
        <w:t>Anhorn</w:t>
      </w:r>
      <w:proofErr w:type="spellEnd"/>
      <w:r w:rsidRPr="00572AF9">
        <w:rPr>
          <w:rFonts w:ascii="Times New Roman" w:eastAsia="Cambria" w:hAnsi="Times New Roman" w:cs="Times New Roman"/>
        </w:rPr>
        <w:t>, R., &amp; Chawla, A. (2019). Budget impact analysis of comprehensive genomic profiling in patients with advanced non-small cell lung cancer. Journal of medical economics, 22(2), 140-150.</w:t>
      </w:r>
    </w:p>
    <w:p w14:paraId="59E6533F"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Table of Pharmacogenomic Biomarkers in Drug </w:t>
      </w:r>
      <w:proofErr w:type="spellStart"/>
      <w:r w:rsidRPr="00572AF9">
        <w:rPr>
          <w:rFonts w:ascii="Times New Roman" w:eastAsia="Cambria" w:hAnsi="Times New Roman" w:cs="Times New Roman"/>
        </w:rPr>
        <w:t>Labeling</w:t>
      </w:r>
      <w:proofErr w:type="spellEnd"/>
      <w:r w:rsidRPr="00572AF9">
        <w:rPr>
          <w:rFonts w:ascii="Times New Roman" w:eastAsia="Cambria" w:hAnsi="Times New Roman" w:cs="Times New Roman"/>
        </w:rPr>
        <w:t>. Available at: https://www.fda.gov/drugs/science-and-research-drugs/table-pharmacogenomic-biomarkers-drug-labeling. (Accessed October 2019)</w:t>
      </w:r>
    </w:p>
    <w:p w14:paraId="74147552"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TGA. (2020). "IVD companion diagnostics: Guidance on regulatory requirements."   Retrieved 28/10/2021, 2021, from https://www.tga.gov.au/publication/ivd-companion-diagnostics.</w:t>
      </w:r>
    </w:p>
    <w:p w14:paraId="4FE5B809"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The Value of Knowing and Knowing the Value: Improving the Health Technology Assessment of Complementary Diagnostics. Available at: https://www.ohe.org/sites/default/files/WP_EpemedOHE_final.pdf</w:t>
      </w:r>
    </w:p>
    <w:p w14:paraId="3AD204D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Trabucco</w:t>
      </w:r>
      <w:proofErr w:type="spellEnd"/>
      <w:r w:rsidRPr="00572AF9">
        <w:rPr>
          <w:rFonts w:ascii="Times New Roman" w:eastAsia="Cambria" w:hAnsi="Times New Roman" w:cs="Times New Roman"/>
        </w:rPr>
        <w:t xml:space="preserve">, S. E., Gowen, K., </w:t>
      </w:r>
      <w:proofErr w:type="spellStart"/>
      <w:r w:rsidRPr="00572AF9">
        <w:rPr>
          <w:rFonts w:ascii="Times New Roman" w:eastAsia="Cambria" w:hAnsi="Times New Roman" w:cs="Times New Roman"/>
        </w:rPr>
        <w:t>Maund</w:t>
      </w:r>
      <w:proofErr w:type="spellEnd"/>
      <w:r w:rsidRPr="00572AF9">
        <w:rPr>
          <w:rFonts w:ascii="Times New Roman" w:eastAsia="Cambria" w:hAnsi="Times New Roman" w:cs="Times New Roman"/>
        </w:rPr>
        <w:t>, S. L., Sanford, E., Fabrizio, D. A., Hall, M. J., ... &amp; Hegde, P. S. (2019). A Novel Next-Generation Sequencing Approach to Detecting Microsatellite Instability and Pan-</w:t>
      </w:r>
      <w:proofErr w:type="spellStart"/>
      <w:r w:rsidRPr="00572AF9">
        <w:rPr>
          <w:rFonts w:ascii="Times New Roman" w:eastAsia="Cambria" w:hAnsi="Times New Roman" w:cs="Times New Roman"/>
        </w:rPr>
        <w:t>Tumor</w:t>
      </w:r>
      <w:proofErr w:type="spellEnd"/>
      <w:r w:rsidRPr="00572AF9">
        <w:rPr>
          <w:rFonts w:ascii="Times New Roman" w:eastAsia="Cambria" w:hAnsi="Times New Roman" w:cs="Times New Roman"/>
        </w:rPr>
        <w:t xml:space="preserve"> Characterization of 1000 Microsatellite Instability–High Cases in 67,000 Patient Samples. The Journal of Molecular Diagnostics, 21(6), 1053-1066.</w:t>
      </w:r>
    </w:p>
    <w:p w14:paraId="260F8DB6"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Trosman</w:t>
      </w:r>
      <w:proofErr w:type="spellEnd"/>
      <w:r w:rsidRPr="00572AF9">
        <w:rPr>
          <w:rFonts w:ascii="Times New Roman" w:eastAsia="Cambria" w:hAnsi="Times New Roman" w:cs="Times New Roman"/>
        </w:rPr>
        <w:t xml:space="preserve">, J. R., Weldon, C. B., </w:t>
      </w:r>
      <w:proofErr w:type="spellStart"/>
      <w:r w:rsidRPr="00572AF9">
        <w:rPr>
          <w:rFonts w:ascii="Times New Roman" w:eastAsia="Cambria" w:hAnsi="Times New Roman" w:cs="Times New Roman"/>
        </w:rPr>
        <w:t>Gradishar</w:t>
      </w:r>
      <w:proofErr w:type="spellEnd"/>
      <w:r w:rsidRPr="00572AF9">
        <w:rPr>
          <w:rFonts w:ascii="Times New Roman" w:eastAsia="Cambria" w:hAnsi="Times New Roman" w:cs="Times New Roman"/>
        </w:rPr>
        <w:t xml:space="preserve">, W. J., Benson III, A. B., </w:t>
      </w:r>
      <w:proofErr w:type="spellStart"/>
      <w:r w:rsidRPr="00572AF9">
        <w:rPr>
          <w:rFonts w:ascii="Times New Roman" w:eastAsia="Cambria" w:hAnsi="Times New Roman" w:cs="Times New Roman"/>
        </w:rPr>
        <w:t>Cristofanilli</w:t>
      </w:r>
      <w:proofErr w:type="spellEnd"/>
      <w:r w:rsidRPr="00572AF9">
        <w:rPr>
          <w:rFonts w:ascii="Times New Roman" w:eastAsia="Cambria" w:hAnsi="Times New Roman" w:cs="Times New Roman"/>
        </w:rPr>
        <w:t xml:space="preserve">, M., Kurian, A. W., ... &amp; Phillips, K. A. (2018). From the past to the present: insurer coverage frameworks for next-generation </w:t>
      </w:r>
      <w:proofErr w:type="spellStart"/>
      <w:r w:rsidRPr="00572AF9">
        <w:rPr>
          <w:rFonts w:ascii="Times New Roman" w:eastAsia="Cambria" w:hAnsi="Times New Roman" w:cs="Times New Roman"/>
        </w:rPr>
        <w:t>tumor</w:t>
      </w:r>
      <w:proofErr w:type="spellEnd"/>
      <w:r w:rsidRPr="00572AF9">
        <w:rPr>
          <w:rFonts w:ascii="Times New Roman" w:eastAsia="Cambria" w:hAnsi="Times New Roman" w:cs="Times New Roman"/>
        </w:rPr>
        <w:t xml:space="preserve"> sequencing. Value in Health, 21(9), 1062-1068.</w:t>
      </w:r>
    </w:p>
    <w:p w14:paraId="3DBC330B"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Tsao, A. S., </w:t>
      </w:r>
      <w:proofErr w:type="spellStart"/>
      <w:r w:rsidRPr="00572AF9">
        <w:rPr>
          <w:rFonts w:ascii="Times New Roman" w:eastAsia="Cambria" w:hAnsi="Times New Roman" w:cs="Times New Roman"/>
        </w:rPr>
        <w:t>Scagliotti</w:t>
      </w:r>
      <w:proofErr w:type="spellEnd"/>
      <w:r w:rsidRPr="00572AF9">
        <w:rPr>
          <w:rFonts w:ascii="Times New Roman" w:eastAsia="Cambria" w:hAnsi="Times New Roman" w:cs="Times New Roman"/>
        </w:rPr>
        <w:t xml:space="preserve">, G. V., Bunn Jr, P. A., Carbone, D. P., Warren, G. W., Bai, C., ... &amp; </w:t>
      </w:r>
      <w:proofErr w:type="spellStart"/>
      <w:r w:rsidRPr="00572AF9">
        <w:rPr>
          <w:rFonts w:ascii="Times New Roman" w:eastAsia="Cambria" w:hAnsi="Times New Roman" w:cs="Times New Roman"/>
        </w:rPr>
        <w:t>Adusumilli</w:t>
      </w:r>
      <w:proofErr w:type="spellEnd"/>
      <w:r w:rsidRPr="00572AF9">
        <w:rPr>
          <w:rFonts w:ascii="Times New Roman" w:eastAsia="Cambria" w:hAnsi="Times New Roman" w:cs="Times New Roman"/>
        </w:rPr>
        <w:t>, P. S. (2016). Scientific advances in lung cancer 2015. Journal of Thoracic Oncology, 11(5), 613-638.</w:t>
      </w:r>
    </w:p>
    <w:p w14:paraId="77FF021D"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Tsimberidou</w:t>
      </w:r>
      <w:proofErr w:type="spellEnd"/>
      <w:r w:rsidRPr="00572AF9">
        <w:rPr>
          <w:rFonts w:ascii="Times New Roman" w:eastAsia="Cambria" w:hAnsi="Times New Roman" w:cs="Times New Roman"/>
        </w:rPr>
        <w:t xml:space="preserve">, A. M., Elkin, S., </w:t>
      </w:r>
      <w:proofErr w:type="spellStart"/>
      <w:r w:rsidRPr="00572AF9">
        <w:rPr>
          <w:rFonts w:ascii="Times New Roman" w:eastAsia="Cambria" w:hAnsi="Times New Roman" w:cs="Times New Roman"/>
        </w:rPr>
        <w:t>Dumanois</w:t>
      </w:r>
      <w:proofErr w:type="spellEnd"/>
      <w:r w:rsidRPr="00572AF9">
        <w:rPr>
          <w:rFonts w:ascii="Times New Roman" w:eastAsia="Cambria" w:hAnsi="Times New Roman" w:cs="Times New Roman"/>
        </w:rPr>
        <w:t>, R., &amp; Pritchard, D. (2020). Clinical and Economic Value of Genetic Sequencing for Personalized Therapy in Non–small-cell Lung Cancer. Clinical Lung Cancer, 21(6), 477-481.</w:t>
      </w:r>
    </w:p>
    <w:p w14:paraId="0D00F99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van der Velden, D. L., Hoes, L. R., van der </w:t>
      </w:r>
      <w:proofErr w:type="spellStart"/>
      <w:r w:rsidRPr="00572AF9">
        <w:rPr>
          <w:rFonts w:ascii="Times New Roman" w:eastAsia="Cambria" w:hAnsi="Times New Roman" w:cs="Times New Roman"/>
        </w:rPr>
        <w:t>Wijngaart</w:t>
      </w:r>
      <w:proofErr w:type="spellEnd"/>
      <w:r w:rsidRPr="00572AF9">
        <w:rPr>
          <w:rFonts w:ascii="Times New Roman" w:eastAsia="Cambria" w:hAnsi="Times New Roman" w:cs="Times New Roman"/>
        </w:rPr>
        <w:t xml:space="preserve">, H., van Berge </w:t>
      </w:r>
      <w:proofErr w:type="spellStart"/>
      <w:r w:rsidRPr="00572AF9">
        <w:rPr>
          <w:rFonts w:ascii="Times New Roman" w:eastAsia="Cambria" w:hAnsi="Times New Roman" w:cs="Times New Roman"/>
        </w:rPr>
        <w:t>Henegouwen</w:t>
      </w:r>
      <w:proofErr w:type="spellEnd"/>
      <w:r w:rsidRPr="00572AF9">
        <w:rPr>
          <w:rFonts w:ascii="Times New Roman" w:eastAsia="Cambria" w:hAnsi="Times New Roman" w:cs="Times New Roman"/>
        </w:rPr>
        <w:t xml:space="preserve">, J. M., van </w:t>
      </w:r>
      <w:proofErr w:type="spellStart"/>
      <w:r w:rsidRPr="00572AF9">
        <w:rPr>
          <w:rFonts w:ascii="Times New Roman" w:eastAsia="Cambria" w:hAnsi="Times New Roman" w:cs="Times New Roman"/>
        </w:rPr>
        <w:t>Werkhoven</w:t>
      </w:r>
      <w:proofErr w:type="spellEnd"/>
      <w:r w:rsidRPr="00572AF9">
        <w:rPr>
          <w:rFonts w:ascii="Times New Roman" w:eastAsia="Cambria" w:hAnsi="Times New Roman" w:cs="Times New Roman"/>
        </w:rPr>
        <w:t xml:space="preserve">, E., </w:t>
      </w:r>
      <w:proofErr w:type="spellStart"/>
      <w:r w:rsidRPr="00572AF9">
        <w:rPr>
          <w:rFonts w:ascii="Times New Roman" w:eastAsia="Cambria" w:hAnsi="Times New Roman" w:cs="Times New Roman"/>
        </w:rPr>
        <w:t>Roepman</w:t>
      </w:r>
      <w:proofErr w:type="spellEnd"/>
      <w:r w:rsidRPr="00572AF9">
        <w:rPr>
          <w:rFonts w:ascii="Times New Roman" w:eastAsia="Cambria" w:hAnsi="Times New Roman" w:cs="Times New Roman"/>
        </w:rPr>
        <w:t xml:space="preserve">, P., ... &amp; </w:t>
      </w:r>
      <w:proofErr w:type="spellStart"/>
      <w:r w:rsidRPr="00572AF9">
        <w:rPr>
          <w:rFonts w:ascii="Times New Roman" w:eastAsia="Cambria" w:hAnsi="Times New Roman" w:cs="Times New Roman"/>
        </w:rPr>
        <w:t>Nederlof</w:t>
      </w:r>
      <w:proofErr w:type="spellEnd"/>
      <w:r w:rsidRPr="00572AF9">
        <w:rPr>
          <w:rFonts w:ascii="Times New Roman" w:eastAsia="Cambria" w:hAnsi="Times New Roman" w:cs="Times New Roman"/>
        </w:rPr>
        <w:t>, P. M. (2019). The Drug Rediscovery protocol facilitates the expanded use of existing anticancer drugs. Nature, 574(7776), 127-131.</w:t>
      </w:r>
    </w:p>
    <w:p w14:paraId="7972D9DB"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Wheler, J., Lee, J. J., &amp; </w:t>
      </w:r>
      <w:proofErr w:type="spellStart"/>
      <w:r w:rsidRPr="00572AF9">
        <w:rPr>
          <w:rFonts w:ascii="Times New Roman" w:eastAsia="Cambria" w:hAnsi="Times New Roman" w:cs="Times New Roman"/>
        </w:rPr>
        <w:t>Kurzrock</w:t>
      </w:r>
      <w:proofErr w:type="spellEnd"/>
      <w:r w:rsidRPr="00572AF9">
        <w:rPr>
          <w:rFonts w:ascii="Times New Roman" w:eastAsia="Cambria" w:hAnsi="Times New Roman" w:cs="Times New Roman"/>
        </w:rPr>
        <w:t>, R. (2014). Unique molecular landscapes in cancer: implications for individualized, curated drug combinations. Cancer research, 74(24), 7181-7184</w:t>
      </w:r>
    </w:p>
    <w:p w14:paraId="461CB0E0"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World health report 2010. Chapter 4: More health for the money. Available at: https://www.who.int/whr/2010/10_chap04_en.pdf?ua=1. (Accessed October 2019)</w:t>
      </w:r>
    </w:p>
    <w:p w14:paraId="55BA6734"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proofErr w:type="spellStart"/>
      <w:r w:rsidRPr="00572AF9">
        <w:rPr>
          <w:rFonts w:ascii="Times New Roman" w:eastAsia="Cambria" w:hAnsi="Times New Roman" w:cs="Times New Roman"/>
        </w:rPr>
        <w:t>Yarchoan</w:t>
      </w:r>
      <w:proofErr w:type="spellEnd"/>
      <w:r w:rsidRPr="00572AF9">
        <w:rPr>
          <w:rFonts w:ascii="Times New Roman" w:eastAsia="Cambria" w:hAnsi="Times New Roman" w:cs="Times New Roman"/>
        </w:rPr>
        <w:t xml:space="preserve">, M., Hopkins, A., &amp; Jaffee, E. M. (2017). </w:t>
      </w:r>
      <w:proofErr w:type="spellStart"/>
      <w:r w:rsidRPr="00572AF9">
        <w:rPr>
          <w:rFonts w:ascii="Times New Roman" w:eastAsia="Cambria" w:hAnsi="Times New Roman" w:cs="Times New Roman"/>
        </w:rPr>
        <w:t>Tumor</w:t>
      </w:r>
      <w:proofErr w:type="spellEnd"/>
      <w:r w:rsidRPr="00572AF9">
        <w:rPr>
          <w:rFonts w:ascii="Times New Roman" w:eastAsia="Cambria" w:hAnsi="Times New Roman" w:cs="Times New Roman"/>
        </w:rPr>
        <w:t xml:space="preserve"> mutational burden and response rate to PD-1 inhibition. The New England journal of medicine, 377(25), 2500.</w:t>
      </w:r>
    </w:p>
    <w:p w14:paraId="6B1609F5"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 xml:space="preserve">Yip, S., </w:t>
      </w:r>
      <w:proofErr w:type="spellStart"/>
      <w:r w:rsidRPr="00572AF9">
        <w:rPr>
          <w:rFonts w:ascii="Times New Roman" w:eastAsia="Cambria" w:hAnsi="Times New Roman" w:cs="Times New Roman"/>
        </w:rPr>
        <w:t>Christofides</w:t>
      </w:r>
      <w:proofErr w:type="spellEnd"/>
      <w:r w:rsidRPr="00572AF9">
        <w:rPr>
          <w:rFonts w:ascii="Times New Roman" w:eastAsia="Cambria" w:hAnsi="Times New Roman" w:cs="Times New Roman"/>
        </w:rPr>
        <w:t xml:space="preserve">, A., Banerji, S., Downes, M. R., </w:t>
      </w:r>
      <w:proofErr w:type="spellStart"/>
      <w:r w:rsidRPr="00572AF9">
        <w:rPr>
          <w:rFonts w:ascii="Times New Roman" w:eastAsia="Cambria" w:hAnsi="Times New Roman" w:cs="Times New Roman"/>
        </w:rPr>
        <w:t>Izevbaye</w:t>
      </w:r>
      <w:proofErr w:type="spellEnd"/>
      <w:r w:rsidRPr="00572AF9">
        <w:rPr>
          <w:rFonts w:ascii="Times New Roman" w:eastAsia="Cambria" w:hAnsi="Times New Roman" w:cs="Times New Roman"/>
        </w:rPr>
        <w:t xml:space="preserve">, I., Lo, B., ... &amp; </w:t>
      </w:r>
      <w:proofErr w:type="spellStart"/>
      <w:r w:rsidRPr="00572AF9">
        <w:rPr>
          <w:rFonts w:ascii="Times New Roman" w:eastAsia="Cambria" w:hAnsi="Times New Roman" w:cs="Times New Roman"/>
        </w:rPr>
        <w:t>Spatz</w:t>
      </w:r>
      <w:proofErr w:type="spellEnd"/>
      <w:r w:rsidRPr="00572AF9">
        <w:rPr>
          <w:rFonts w:ascii="Times New Roman" w:eastAsia="Cambria" w:hAnsi="Times New Roman" w:cs="Times New Roman"/>
        </w:rPr>
        <w:t>, A. (2019). A Canadian guideline on the use of next-generation sequencing in oncology. Current Oncology, 26(2), e241.</w:t>
      </w:r>
    </w:p>
    <w:p w14:paraId="4788F490"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Zamora, B, Mestre-</w:t>
      </w:r>
      <w:proofErr w:type="spellStart"/>
      <w:r w:rsidRPr="00572AF9">
        <w:rPr>
          <w:rFonts w:ascii="Times New Roman" w:eastAsia="Cambria" w:hAnsi="Times New Roman" w:cs="Times New Roman"/>
        </w:rPr>
        <w:t>Ferrandiz</w:t>
      </w:r>
      <w:proofErr w:type="spellEnd"/>
      <w:r w:rsidRPr="00572AF9">
        <w:rPr>
          <w:rFonts w:ascii="Times New Roman" w:eastAsia="Cambria" w:hAnsi="Times New Roman" w:cs="Times New Roman"/>
        </w:rPr>
        <w:t xml:space="preserve">, J., Garrison, Lou (2016) The Value of Knowing and Knowing the Value: Improving the Health Technology Assessment of Complementary Diagnostics - </w:t>
      </w:r>
      <w:r w:rsidRPr="00572AF9">
        <w:rPr>
          <w:rFonts w:ascii="Times New Roman" w:eastAsia="Cambria" w:hAnsi="Times New Roman" w:cs="Times New Roman"/>
        </w:rPr>
        <w:lastRenderedPageBreak/>
        <w:t>Office of Health Economics  Available at: https://www.ohe.org/sites/default/files/WP_EpemedOHE_final.pdf</w:t>
      </w:r>
    </w:p>
    <w:p w14:paraId="6C1B1C31" w14:textId="77777777" w:rsidR="00572AF9" w:rsidRPr="00572AF9" w:rsidRDefault="00572AF9" w:rsidP="00572AF9">
      <w:pPr>
        <w:numPr>
          <w:ilvl w:val="0"/>
          <w:numId w:val="4"/>
        </w:numPr>
        <w:spacing w:before="240" w:after="0" w:line="240" w:lineRule="auto"/>
        <w:rPr>
          <w:rFonts w:ascii="Times New Roman" w:eastAsia="Cambria" w:hAnsi="Times New Roman" w:cs="Times New Roman"/>
        </w:rPr>
      </w:pPr>
      <w:r w:rsidRPr="00572AF9">
        <w:rPr>
          <w:rFonts w:ascii="Times New Roman" w:eastAsia="Cambria" w:hAnsi="Times New Roman" w:cs="Times New Roman"/>
        </w:rPr>
        <w:t>Zhao, S., Zhang, Z., Zhan, J., Zhao, X., Chen, X., Xiao, L., ... &amp; Zhang, L. (2021). Utility of comprehensive genomic profiling in directing treatment and improving patient outcomes in advanced non-small cell lung cancer. BMC medicine, 19(1), 1-10.</w:t>
      </w:r>
    </w:p>
    <w:p w14:paraId="67156282" w14:textId="77777777" w:rsidR="00572AF9" w:rsidRPr="00572AF9" w:rsidRDefault="00572AF9" w:rsidP="00572AF9">
      <w:pPr>
        <w:spacing w:line="480" w:lineRule="auto"/>
        <w:rPr>
          <w:rFonts w:ascii="Times New Roman" w:eastAsia="Times New Roman" w:hAnsi="Times New Roman" w:cs="Times New Roman"/>
          <w:b/>
          <w:bCs/>
          <w:sz w:val="24"/>
          <w:szCs w:val="24"/>
          <w:lang w:eastAsia="en-GB"/>
        </w:rPr>
      </w:pPr>
    </w:p>
    <w:p w14:paraId="45304450" w14:textId="77777777" w:rsidR="00C454AE" w:rsidRDefault="001C09A0"/>
    <w:sectPr w:rsidR="00C454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A9AB" w14:textId="77777777" w:rsidR="00E80129" w:rsidRDefault="00E80129" w:rsidP="00D13DF2">
      <w:pPr>
        <w:spacing w:after="0" w:line="240" w:lineRule="auto"/>
      </w:pPr>
      <w:r>
        <w:separator/>
      </w:r>
    </w:p>
  </w:endnote>
  <w:endnote w:type="continuationSeparator" w:id="0">
    <w:p w14:paraId="55A910A4" w14:textId="77777777" w:rsidR="00E80129" w:rsidRDefault="00E80129" w:rsidP="00D1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0EAC" w14:textId="77777777" w:rsidR="00E80129" w:rsidRDefault="00E80129" w:rsidP="00D13DF2">
      <w:pPr>
        <w:spacing w:after="0" w:line="240" w:lineRule="auto"/>
      </w:pPr>
      <w:r>
        <w:separator/>
      </w:r>
    </w:p>
  </w:footnote>
  <w:footnote w:type="continuationSeparator" w:id="0">
    <w:p w14:paraId="0C9E303E" w14:textId="77777777" w:rsidR="00E80129" w:rsidRDefault="00E80129" w:rsidP="00D1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7EFB"/>
    <w:multiLevelType w:val="hybridMultilevel"/>
    <w:tmpl w:val="2F3A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A2AD1"/>
    <w:multiLevelType w:val="hybridMultilevel"/>
    <w:tmpl w:val="56765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D07FDA"/>
    <w:multiLevelType w:val="hybridMultilevel"/>
    <w:tmpl w:val="D75EBA4E"/>
    <w:lvl w:ilvl="0" w:tplc="D61A5262">
      <w:start w:val="1"/>
      <w:numFmt w:val="decimal"/>
      <w:pStyle w:val="Question"/>
      <w:lvlText w:val="%1."/>
      <w:lvlJc w:val="left"/>
      <w:pPr>
        <w:ind w:left="360" w:hanging="360"/>
      </w:pPr>
    </w:lvl>
    <w:lvl w:ilvl="1" w:tplc="8B32A942">
      <w:start w:val="1"/>
      <w:numFmt w:val="lowerLetter"/>
      <w:lvlText w:val="%2."/>
      <w:lvlJc w:val="left"/>
      <w:pPr>
        <w:ind w:left="900" w:hanging="360"/>
      </w:pPr>
      <w:rPr>
        <w:color w:val="000000" w:themeColor="text1"/>
      </w:rPr>
    </w:lvl>
    <w:lvl w:ilvl="2" w:tplc="0809001B">
      <w:start w:val="1"/>
      <w:numFmt w:val="lowerRoman"/>
      <w:lvlText w:val="%3."/>
      <w:lvlJc w:val="right"/>
      <w:pPr>
        <w:ind w:left="1620" w:hanging="180"/>
      </w:pPr>
    </w:lvl>
    <w:lvl w:ilvl="3" w:tplc="0809000F">
      <w:start w:val="1"/>
      <w:numFmt w:val="decimal"/>
      <w:lvlText w:val="%4."/>
      <w:lvlJc w:val="left"/>
      <w:pPr>
        <w:ind w:left="2340" w:hanging="360"/>
      </w:pPr>
    </w:lvl>
    <w:lvl w:ilvl="4" w:tplc="08090019">
      <w:start w:val="1"/>
      <w:numFmt w:val="lowerLetter"/>
      <w:lvlText w:val="%5."/>
      <w:lvlJc w:val="left"/>
      <w:pPr>
        <w:ind w:left="3060" w:hanging="360"/>
      </w:pPr>
    </w:lvl>
    <w:lvl w:ilvl="5" w:tplc="0809001B">
      <w:start w:val="1"/>
      <w:numFmt w:val="lowerRoman"/>
      <w:lvlText w:val="%6."/>
      <w:lvlJc w:val="right"/>
      <w:pPr>
        <w:ind w:left="3780" w:hanging="180"/>
      </w:pPr>
    </w:lvl>
    <w:lvl w:ilvl="6" w:tplc="0809000F">
      <w:start w:val="1"/>
      <w:numFmt w:val="decimal"/>
      <w:lvlText w:val="%7."/>
      <w:lvlJc w:val="left"/>
      <w:pPr>
        <w:ind w:left="4500" w:hanging="360"/>
      </w:pPr>
    </w:lvl>
    <w:lvl w:ilvl="7" w:tplc="08090019">
      <w:start w:val="1"/>
      <w:numFmt w:val="lowerLetter"/>
      <w:lvlText w:val="%8."/>
      <w:lvlJc w:val="left"/>
      <w:pPr>
        <w:ind w:left="5220" w:hanging="360"/>
      </w:pPr>
    </w:lvl>
    <w:lvl w:ilvl="8" w:tplc="0809001B">
      <w:start w:val="1"/>
      <w:numFmt w:val="lowerRoman"/>
      <w:lvlText w:val="%9."/>
      <w:lvlJc w:val="right"/>
      <w:pPr>
        <w:ind w:left="5940" w:hanging="180"/>
      </w:pPr>
    </w:lvl>
  </w:abstractNum>
  <w:abstractNum w:abstractNumId="3" w15:restartNumberingAfterBreak="0">
    <w:nsid w:val="56AC4E92"/>
    <w:multiLevelType w:val="hybridMultilevel"/>
    <w:tmpl w:val="E0C2F864"/>
    <w:lvl w:ilvl="0" w:tplc="08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F9"/>
    <w:rsid w:val="0011350A"/>
    <w:rsid w:val="00140DA3"/>
    <w:rsid w:val="00141A44"/>
    <w:rsid w:val="001C09A0"/>
    <w:rsid w:val="00450354"/>
    <w:rsid w:val="00572AF9"/>
    <w:rsid w:val="00B33290"/>
    <w:rsid w:val="00D13DF2"/>
    <w:rsid w:val="00E80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E16C"/>
  <w15:chartTrackingRefBased/>
  <w15:docId w15:val="{E0119A03-DFCB-4CFC-A2FE-F865BA32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572AF9"/>
    <w:pPr>
      <w:numPr>
        <w:numId w:val="1"/>
      </w:numPr>
      <w:spacing w:before="240" w:after="0" w:line="300" w:lineRule="exact"/>
      <w:ind w:left="357" w:hanging="357"/>
    </w:pPr>
    <w:rPr>
      <w:rFonts w:ascii="Arial" w:eastAsia="SimSun" w:hAnsi="Arial" w:cs="Times New Roman"/>
      <w:bCs/>
      <w:szCs w:val="24"/>
    </w:rPr>
  </w:style>
  <w:style w:type="table" w:styleId="TableGrid">
    <w:name w:val="Table Grid"/>
    <w:basedOn w:val="TableNormal"/>
    <w:uiPriority w:val="39"/>
    <w:rsid w:val="00D1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13284">
      <w:bodyDiv w:val="1"/>
      <w:marLeft w:val="0"/>
      <w:marRight w:val="0"/>
      <w:marTop w:val="0"/>
      <w:marBottom w:val="0"/>
      <w:divBdr>
        <w:top w:val="none" w:sz="0" w:space="0" w:color="auto"/>
        <w:left w:val="none" w:sz="0" w:space="0" w:color="auto"/>
        <w:bottom w:val="none" w:sz="0" w:space="0" w:color="auto"/>
        <w:right w:val="none" w:sz="0" w:space="0" w:color="auto"/>
      </w:divBdr>
    </w:div>
    <w:div w:id="14363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5523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4204</Words>
  <Characters>23966</Characters>
  <Application>Microsoft Office Word</Application>
  <DocSecurity>0</DocSecurity>
  <Lines>199</Lines>
  <Paragraphs>56</Paragraphs>
  <ScaleCrop>false</ScaleCrop>
  <Company/>
  <LinksUpToDate>false</LinksUpToDate>
  <CharactersWithSpaces>28114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Turner (HI)</dc:creator>
  <cp:keywords/>
  <dc:description/>
  <cp:lastModifiedBy>Megan Turner (HI)</cp:lastModifiedBy>
  <cp:revision>2</cp:revision>
  <dcterms:created xsi:type="dcterms:W3CDTF">2022-04-22T11:52:00Z</dcterms:created>
  <dcterms:modified xsi:type="dcterms:W3CDTF">2022-04-22T11:52:00Z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fd51a4-5314-4c60-bce6-0affc34d9cd7_Enabled">
    <vt:lpwstr>true</vt:lpwstr>
  </property>
  <property fmtid="{D5CDD505-2E9C-101B-9397-08002B2CF9AE}" pid="3" name="MSIP_Label_dffd51a4-5314-4c60-bce6-0affc34d9cd7_SetDate">
    <vt:lpwstr>2022-04-19T13:50:50Z</vt:lpwstr>
  </property>
  <property fmtid="{D5CDD505-2E9C-101B-9397-08002B2CF9AE}" pid="4" name="MSIP_Label_dffd51a4-5314-4c60-bce6-0affc34d9cd7_Method">
    <vt:lpwstr>Standard</vt:lpwstr>
  </property>
  <property fmtid="{D5CDD505-2E9C-101B-9397-08002B2CF9AE}" pid="5" name="MSIP_Label_dffd51a4-5314-4c60-bce6-0affc34d9cd7_Name">
    <vt:lpwstr>dffd51a4-5314-4c60-bce6-0affc34d9cd7</vt:lpwstr>
  </property>
  <property fmtid="{D5CDD505-2E9C-101B-9397-08002B2CF9AE}" pid="6" name="MSIP_Label_dffd51a4-5314-4c60-bce6-0affc34d9cd7_SiteId">
    <vt:lpwstr>4a156c19-bc94-41ac-aacf-954686490869</vt:lpwstr>
  </property>
  <property fmtid="{D5CDD505-2E9C-101B-9397-08002B2CF9AE}" pid="7" name="MSIP_Label_dffd51a4-5314-4c60-bce6-0affc34d9cd7_ActionId">
    <vt:lpwstr>da79385f-7a62-42c2-a93c-3f7fe580d285</vt:lpwstr>
  </property>
  <property fmtid="{D5CDD505-2E9C-101B-9397-08002B2CF9AE}" pid="8" name="MSIP_Label_dffd51a4-5314-4c60-bce6-0affc34d9cd7_ContentBits">
    <vt:lpwstr>0</vt:lpwstr>
  </property>
</Properties>
</file>