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5"/>
        <w:gridCol w:w="1337"/>
        <w:gridCol w:w="1933"/>
        <w:gridCol w:w="3270"/>
      </w:tblGrid>
      <w:tr w:rsidR="00933027" w:rsidRPr="00080002" w14:paraId="7F630D31" w14:textId="682E57A4" w:rsidTr="00F432AE">
        <w:trPr>
          <w:tblHeader/>
        </w:trPr>
        <w:tc>
          <w:tcPr>
            <w:tcW w:w="1635" w:type="dxa"/>
          </w:tcPr>
          <w:p w14:paraId="5542D144" w14:textId="77777777" w:rsidR="00933027" w:rsidRPr="00080002" w:rsidRDefault="00933027" w:rsidP="007C190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80002">
              <w:rPr>
                <w:rFonts w:cstheme="minorHAnsi"/>
                <w:b/>
                <w:bCs/>
                <w:sz w:val="18"/>
                <w:szCs w:val="18"/>
              </w:rPr>
              <w:t>First author (date)</w:t>
            </w:r>
          </w:p>
        </w:tc>
        <w:tc>
          <w:tcPr>
            <w:tcW w:w="1337" w:type="dxa"/>
          </w:tcPr>
          <w:p w14:paraId="7E297AE6" w14:textId="3E50D5A5" w:rsidR="00933027" w:rsidRPr="00080002" w:rsidRDefault="00933027" w:rsidP="007C190C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Type of study</w:t>
            </w:r>
          </w:p>
        </w:tc>
        <w:tc>
          <w:tcPr>
            <w:tcW w:w="1933" w:type="dxa"/>
          </w:tcPr>
          <w:p w14:paraId="7A1F063E" w14:textId="11E84CA9" w:rsidR="00933027" w:rsidRPr="00080002" w:rsidRDefault="00933027" w:rsidP="007C190C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Technology</w:t>
            </w:r>
          </w:p>
        </w:tc>
        <w:tc>
          <w:tcPr>
            <w:tcW w:w="3270" w:type="dxa"/>
          </w:tcPr>
          <w:p w14:paraId="752418A3" w14:textId="670146E7" w:rsidR="00933027" w:rsidRPr="00080002" w:rsidRDefault="00933027" w:rsidP="007C190C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Funding</w:t>
            </w:r>
          </w:p>
        </w:tc>
      </w:tr>
      <w:tr w:rsidR="00933027" w:rsidRPr="0010183F" w14:paraId="507D127D" w14:textId="04D22C77" w:rsidTr="5DCD9306">
        <w:trPr>
          <w:trHeight w:val="252"/>
        </w:trPr>
        <w:tc>
          <w:tcPr>
            <w:tcW w:w="1635" w:type="dxa"/>
          </w:tcPr>
          <w:p w14:paraId="15FE1BCC" w14:textId="77777777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Alam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(2018)</w:t>
            </w:r>
          </w:p>
        </w:tc>
        <w:tc>
          <w:tcPr>
            <w:tcW w:w="1337" w:type="dxa"/>
          </w:tcPr>
          <w:p w14:paraId="38BDDFC8" w14:textId="366409E7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Systematic review</w:t>
            </w:r>
          </w:p>
        </w:tc>
        <w:tc>
          <w:tcPr>
            <w:tcW w:w="1933" w:type="dxa"/>
          </w:tcPr>
          <w:p w14:paraId="03B6F887" w14:textId="452A46ED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Genomic sequencing in paediatrics</w:t>
            </w:r>
          </w:p>
        </w:tc>
        <w:tc>
          <w:tcPr>
            <w:tcW w:w="3270" w:type="dxa"/>
          </w:tcPr>
          <w:p w14:paraId="4426AE7B" w14:textId="03D235DF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Murdoch Children’s Research Institute.</w:t>
            </w:r>
          </w:p>
        </w:tc>
      </w:tr>
      <w:tr w:rsidR="00933027" w:rsidRPr="0010183F" w14:paraId="1A72DFB6" w14:textId="1B006BA5" w:rsidTr="5DCD9306">
        <w:tc>
          <w:tcPr>
            <w:tcW w:w="1635" w:type="dxa"/>
          </w:tcPr>
          <w:p w14:paraId="693B13C8" w14:textId="56EF97F4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Annemans</w:t>
            </w:r>
            <w:proofErr w:type="spellEnd"/>
            <w:r w:rsidR="00DB09B7">
              <w:rPr>
                <w:rFonts w:cstheme="minorHAnsi"/>
                <w:sz w:val="18"/>
                <w:szCs w:val="18"/>
              </w:rPr>
              <w:t xml:space="preserve"> </w:t>
            </w:r>
            <w:r w:rsidRPr="0010183F">
              <w:rPr>
                <w:rFonts w:cstheme="minorHAnsi"/>
                <w:sz w:val="18"/>
                <w:szCs w:val="18"/>
              </w:rPr>
              <w:t>(2013)</w:t>
            </w:r>
          </w:p>
        </w:tc>
        <w:tc>
          <w:tcPr>
            <w:tcW w:w="1337" w:type="dxa"/>
          </w:tcPr>
          <w:p w14:paraId="6F57E8E7" w14:textId="3299D9E1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Review </w:t>
            </w:r>
          </w:p>
        </w:tc>
        <w:tc>
          <w:tcPr>
            <w:tcW w:w="1933" w:type="dxa"/>
          </w:tcPr>
          <w:p w14:paraId="60B6134A" w14:textId="506E3122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Companion diagnostics</w:t>
            </w:r>
          </w:p>
        </w:tc>
        <w:tc>
          <w:tcPr>
            <w:tcW w:w="3270" w:type="dxa"/>
          </w:tcPr>
          <w:p w14:paraId="5D4A95A3" w14:textId="2B9C4674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ISPOR</w:t>
            </w:r>
          </w:p>
        </w:tc>
      </w:tr>
      <w:tr w:rsidR="00933027" w:rsidRPr="0010183F" w14:paraId="5DE2E8D3" w14:textId="115B7133" w:rsidTr="5DCD9306">
        <w:tc>
          <w:tcPr>
            <w:tcW w:w="1635" w:type="dxa"/>
          </w:tcPr>
          <w:p w14:paraId="43FD0CDA" w14:textId="77777777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Bennette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(2013)</w:t>
            </w:r>
          </w:p>
        </w:tc>
        <w:tc>
          <w:tcPr>
            <w:tcW w:w="1337" w:type="dxa"/>
          </w:tcPr>
          <w:p w14:paraId="756178FA" w14:textId="214753C6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Discrete choice experiment</w:t>
            </w:r>
          </w:p>
        </w:tc>
        <w:tc>
          <w:tcPr>
            <w:tcW w:w="1933" w:type="dxa"/>
          </w:tcPr>
          <w:p w14:paraId="0AB86BE3" w14:textId="47603B9B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Genomic medicine</w:t>
            </w:r>
          </w:p>
        </w:tc>
        <w:tc>
          <w:tcPr>
            <w:tcW w:w="3270" w:type="dxa"/>
          </w:tcPr>
          <w:p w14:paraId="686C0C86" w14:textId="31788AC5" w:rsidR="00933027" w:rsidRPr="0010183F" w:rsidRDefault="00933027" w:rsidP="009330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National Human Genome Institute and Washington Northwest Institute of Genetic Medicine</w:t>
            </w:r>
          </w:p>
        </w:tc>
      </w:tr>
      <w:tr w:rsidR="00933027" w:rsidRPr="0010183F" w14:paraId="6C6CE691" w14:textId="14296CB0" w:rsidTr="5DCD9306">
        <w:tc>
          <w:tcPr>
            <w:tcW w:w="1635" w:type="dxa"/>
          </w:tcPr>
          <w:p w14:paraId="650ADA7D" w14:textId="77777777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Bennette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(2015)</w:t>
            </w:r>
          </w:p>
        </w:tc>
        <w:tc>
          <w:tcPr>
            <w:tcW w:w="1337" w:type="dxa"/>
          </w:tcPr>
          <w:p w14:paraId="1F1862EE" w14:textId="3E7574B7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Cost-effectiveness analysis</w:t>
            </w:r>
          </w:p>
        </w:tc>
        <w:tc>
          <w:tcPr>
            <w:tcW w:w="1933" w:type="dxa"/>
          </w:tcPr>
          <w:p w14:paraId="5365F2F8" w14:textId="0E30259E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Next generation genomic sequencing</w:t>
            </w:r>
          </w:p>
        </w:tc>
        <w:tc>
          <w:tcPr>
            <w:tcW w:w="3270" w:type="dxa"/>
          </w:tcPr>
          <w:p w14:paraId="45EBDE71" w14:textId="4AC87104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National Human Genome Institute and Washington Northwest Institute of Genetic Medicine</w:t>
            </w:r>
          </w:p>
        </w:tc>
      </w:tr>
      <w:tr w:rsidR="00933027" w:rsidRPr="0010183F" w14:paraId="3E10246C" w14:textId="04C174AA" w:rsidTr="5DCD9306">
        <w:tc>
          <w:tcPr>
            <w:tcW w:w="1635" w:type="dxa"/>
          </w:tcPr>
          <w:p w14:paraId="28D63DDE" w14:textId="40A5434F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Burris</w:t>
            </w:r>
            <w:r w:rsidR="00DB09B7">
              <w:rPr>
                <w:rFonts w:cstheme="minorHAnsi"/>
                <w:sz w:val="18"/>
                <w:szCs w:val="18"/>
              </w:rPr>
              <w:t xml:space="preserve"> </w:t>
            </w:r>
            <w:r w:rsidRPr="0010183F">
              <w:rPr>
                <w:rFonts w:cstheme="minorHAnsi"/>
                <w:sz w:val="18"/>
                <w:szCs w:val="18"/>
              </w:rPr>
              <w:t>(2018)</w:t>
            </w:r>
          </w:p>
        </w:tc>
        <w:tc>
          <w:tcPr>
            <w:tcW w:w="1337" w:type="dxa"/>
          </w:tcPr>
          <w:p w14:paraId="335A14FD" w14:textId="229DBF0B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Commentary</w:t>
            </w:r>
          </w:p>
        </w:tc>
        <w:tc>
          <w:tcPr>
            <w:tcW w:w="1933" w:type="dxa"/>
          </w:tcPr>
          <w:p w14:paraId="368E0F78" w14:textId="399A858E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Next generation sequencing</w:t>
            </w:r>
          </w:p>
        </w:tc>
        <w:tc>
          <w:tcPr>
            <w:tcW w:w="3270" w:type="dxa"/>
          </w:tcPr>
          <w:p w14:paraId="3BDCCB79" w14:textId="0EEF2FAF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</w:t>
            </w:r>
          </w:p>
        </w:tc>
      </w:tr>
      <w:tr w:rsidR="009B68EE" w:rsidRPr="0010183F" w14:paraId="43ED6230" w14:textId="2076A5AB" w:rsidTr="5DCD9306">
        <w:tc>
          <w:tcPr>
            <w:tcW w:w="1635" w:type="dxa"/>
          </w:tcPr>
          <w:p w14:paraId="0C52149C" w14:textId="77777777" w:rsidR="009B68EE" w:rsidRPr="0010183F" w:rsidRDefault="009B68EE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D’Andrea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(2015)</w:t>
            </w:r>
          </w:p>
        </w:tc>
        <w:tc>
          <w:tcPr>
            <w:tcW w:w="1337" w:type="dxa"/>
          </w:tcPr>
          <w:p w14:paraId="41F09A9B" w14:textId="17911749" w:rsidR="009B68EE" w:rsidRPr="0010183F" w:rsidRDefault="009B68EE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Systematic review</w:t>
            </w:r>
          </w:p>
        </w:tc>
        <w:tc>
          <w:tcPr>
            <w:tcW w:w="1933" w:type="dxa"/>
          </w:tcPr>
          <w:p w14:paraId="7088BC1F" w14:textId="7345E40D" w:rsidR="009B68EE" w:rsidRPr="0010183F" w:rsidRDefault="009B68EE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Genetic testing</w:t>
            </w:r>
          </w:p>
        </w:tc>
        <w:tc>
          <w:tcPr>
            <w:tcW w:w="3270" w:type="dxa"/>
          </w:tcPr>
          <w:p w14:paraId="5B992DE1" w14:textId="575C0AA1" w:rsidR="009B68EE" w:rsidRPr="0010183F" w:rsidRDefault="008C6546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Italian Ministry of Health</w:t>
            </w:r>
          </w:p>
        </w:tc>
      </w:tr>
      <w:tr w:rsidR="00C0635D" w:rsidRPr="00071C6E" w14:paraId="20783E10" w14:textId="1E81E869" w:rsidTr="5DCD9306">
        <w:tc>
          <w:tcPr>
            <w:tcW w:w="1635" w:type="dxa"/>
          </w:tcPr>
          <w:p w14:paraId="04DCAA27" w14:textId="77777777" w:rsidR="00C0635D" w:rsidRPr="0010183F" w:rsidRDefault="00C0635D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Doble (2013)</w:t>
            </w:r>
          </w:p>
        </w:tc>
        <w:tc>
          <w:tcPr>
            <w:tcW w:w="1337" w:type="dxa"/>
          </w:tcPr>
          <w:p w14:paraId="2030CC6F" w14:textId="32191171" w:rsidR="00C0635D" w:rsidRPr="0010183F" w:rsidRDefault="00C0635D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Commentary</w:t>
            </w:r>
          </w:p>
        </w:tc>
        <w:tc>
          <w:tcPr>
            <w:tcW w:w="1933" w:type="dxa"/>
          </w:tcPr>
          <w:p w14:paraId="21BA24A5" w14:textId="3154663D" w:rsidR="00C0635D" w:rsidRPr="00026ADA" w:rsidRDefault="00C0635D" w:rsidP="007C190C">
            <w:pPr>
              <w:rPr>
                <w:rFonts w:cstheme="minorHAnsi"/>
                <w:sz w:val="18"/>
                <w:szCs w:val="18"/>
                <w:lang w:val="it-IT"/>
              </w:rPr>
            </w:pPr>
            <w:r w:rsidRPr="00026ADA">
              <w:rPr>
                <w:rFonts w:cstheme="minorHAnsi"/>
                <w:sz w:val="18"/>
                <w:szCs w:val="18"/>
                <w:lang w:val="it-IT"/>
              </w:rPr>
              <w:t>Multi-omics medicine in o</w:t>
            </w:r>
            <w:r>
              <w:rPr>
                <w:rFonts w:cstheme="minorHAnsi"/>
                <w:sz w:val="18"/>
                <w:szCs w:val="18"/>
                <w:lang w:val="it-IT"/>
              </w:rPr>
              <w:t>ncology</w:t>
            </w:r>
          </w:p>
        </w:tc>
        <w:tc>
          <w:tcPr>
            <w:tcW w:w="3270" w:type="dxa"/>
          </w:tcPr>
          <w:p w14:paraId="21E9788C" w14:textId="59E66510" w:rsidR="00C0635D" w:rsidRPr="00071C6E" w:rsidRDefault="00C0635D" w:rsidP="007C190C">
            <w:pPr>
              <w:rPr>
                <w:rFonts w:cstheme="minorHAnsi"/>
                <w:sz w:val="18"/>
                <w:szCs w:val="18"/>
              </w:rPr>
            </w:pPr>
            <w:r w:rsidRPr="00071C6E">
              <w:rPr>
                <w:rFonts w:cstheme="minorHAnsi"/>
                <w:sz w:val="18"/>
                <w:szCs w:val="18"/>
              </w:rPr>
              <w:t>Monash University</w:t>
            </w:r>
            <w:r w:rsidR="00071C6E" w:rsidRPr="00071C6E">
              <w:rPr>
                <w:rFonts w:cstheme="minorHAnsi"/>
                <w:sz w:val="18"/>
                <w:szCs w:val="18"/>
              </w:rPr>
              <w:t>, Victorian Cancer Ag</w:t>
            </w:r>
            <w:r w:rsidR="00071C6E">
              <w:rPr>
                <w:rFonts w:cstheme="minorHAnsi"/>
                <w:sz w:val="18"/>
                <w:szCs w:val="18"/>
              </w:rPr>
              <w:t>ency, Australia</w:t>
            </w:r>
          </w:p>
        </w:tc>
      </w:tr>
      <w:tr w:rsidR="00EC4A9B" w:rsidRPr="0010183F" w14:paraId="33814B2B" w14:textId="14C2571F" w:rsidTr="5DCD9306">
        <w:tc>
          <w:tcPr>
            <w:tcW w:w="1635" w:type="dxa"/>
          </w:tcPr>
          <w:p w14:paraId="3FF19F83" w14:textId="77777777" w:rsidR="00EC4A9B" w:rsidRPr="0010183F" w:rsidRDefault="00EC4A9B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Doble (2015)</w:t>
            </w:r>
          </w:p>
        </w:tc>
        <w:tc>
          <w:tcPr>
            <w:tcW w:w="1337" w:type="dxa"/>
          </w:tcPr>
          <w:p w14:paraId="54F54240" w14:textId="7CE4D961" w:rsidR="00EC4A9B" w:rsidRPr="0010183F" w:rsidRDefault="00EC4A9B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Systematic review</w:t>
            </w:r>
          </w:p>
        </w:tc>
        <w:tc>
          <w:tcPr>
            <w:tcW w:w="1933" w:type="dxa"/>
          </w:tcPr>
          <w:p w14:paraId="4D77AB2F" w14:textId="36635B74" w:rsidR="00EC4A9B" w:rsidRPr="0010183F" w:rsidRDefault="00EC4A9B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Companion diagnostics in oncology</w:t>
            </w:r>
          </w:p>
        </w:tc>
        <w:tc>
          <w:tcPr>
            <w:tcW w:w="3270" w:type="dxa"/>
          </w:tcPr>
          <w:p w14:paraId="3611EBE8" w14:textId="3060BB91" w:rsidR="00EC4A9B" w:rsidRPr="0010183F" w:rsidRDefault="00201B30" w:rsidP="007C190C">
            <w:pPr>
              <w:rPr>
                <w:rFonts w:cstheme="minorHAnsi"/>
                <w:sz w:val="18"/>
                <w:szCs w:val="18"/>
              </w:rPr>
            </w:pPr>
            <w:r w:rsidRPr="00071C6E">
              <w:rPr>
                <w:rFonts w:cstheme="minorHAnsi"/>
                <w:sz w:val="18"/>
                <w:szCs w:val="18"/>
              </w:rPr>
              <w:t>Monash University, Victorian Cancer Ag</w:t>
            </w:r>
            <w:r>
              <w:rPr>
                <w:rFonts w:cstheme="minorHAnsi"/>
                <w:sz w:val="18"/>
                <w:szCs w:val="18"/>
              </w:rPr>
              <w:t>ency, Australia</w:t>
            </w:r>
          </w:p>
        </w:tc>
      </w:tr>
      <w:tr w:rsidR="0025059C" w:rsidRPr="0010183F" w14:paraId="263A18A8" w14:textId="6893F8C6" w:rsidTr="5DCD9306">
        <w:tc>
          <w:tcPr>
            <w:tcW w:w="1635" w:type="dxa"/>
          </w:tcPr>
          <w:p w14:paraId="022D7DA7" w14:textId="77777777" w:rsidR="0025059C" w:rsidRPr="0010183F" w:rsidRDefault="0025059C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Doble (2016)</w:t>
            </w:r>
          </w:p>
        </w:tc>
        <w:tc>
          <w:tcPr>
            <w:tcW w:w="1337" w:type="dxa"/>
          </w:tcPr>
          <w:p w14:paraId="4B95BF89" w14:textId="253E2EA7" w:rsidR="0025059C" w:rsidRPr="0010183F" w:rsidRDefault="0025059C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Commentary</w:t>
            </w:r>
          </w:p>
        </w:tc>
        <w:tc>
          <w:tcPr>
            <w:tcW w:w="1933" w:type="dxa"/>
          </w:tcPr>
          <w:p w14:paraId="274AB01D" w14:textId="2D03711F" w:rsidR="0025059C" w:rsidRPr="0010183F" w:rsidRDefault="0025059C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Precision medicine in oncology</w:t>
            </w:r>
          </w:p>
        </w:tc>
        <w:tc>
          <w:tcPr>
            <w:tcW w:w="3270" w:type="dxa"/>
          </w:tcPr>
          <w:p w14:paraId="2D132F8F" w14:textId="094C2B81" w:rsidR="0025059C" w:rsidRPr="0010183F" w:rsidRDefault="0025059C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</w:t>
            </w:r>
          </w:p>
        </w:tc>
      </w:tr>
      <w:tr w:rsidR="003C666D" w:rsidRPr="0010183F" w14:paraId="6885A43C" w14:textId="54143972" w:rsidTr="5DCD9306">
        <w:tc>
          <w:tcPr>
            <w:tcW w:w="1635" w:type="dxa"/>
          </w:tcPr>
          <w:p w14:paraId="1DD0A639" w14:textId="77777777" w:rsidR="003C666D" w:rsidRPr="0010183F" w:rsidRDefault="003C666D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Fahr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(2019)</w:t>
            </w:r>
          </w:p>
        </w:tc>
        <w:tc>
          <w:tcPr>
            <w:tcW w:w="1337" w:type="dxa"/>
          </w:tcPr>
          <w:p w14:paraId="52C1C086" w14:textId="57CEB9EF" w:rsidR="003C666D" w:rsidRPr="0010183F" w:rsidRDefault="003C666D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Review</w:t>
            </w:r>
          </w:p>
        </w:tc>
        <w:tc>
          <w:tcPr>
            <w:tcW w:w="1933" w:type="dxa"/>
          </w:tcPr>
          <w:p w14:paraId="45D4652E" w14:textId="6CE78428" w:rsidR="003C666D" w:rsidRPr="0010183F" w:rsidRDefault="003C666D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Precision Medicine</w:t>
            </w:r>
          </w:p>
        </w:tc>
        <w:tc>
          <w:tcPr>
            <w:tcW w:w="3270" w:type="dxa"/>
          </w:tcPr>
          <w:p w14:paraId="5F26E621" w14:textId="138767F3" w:rsidR="003C666D" w:rsidRPr="0010183F" w:rsidRDefault="006D60A7" w:rsidP="007C190C">
            <w:pPr>
              <w:rPr>
                <w:rFonts w:cstheme="minorHAnsi"/>
                <w:sz w:val="18"/>
                <w:szCs w:val="18"/>
              </w:rPr>
            </w:pPr>
            <w:r w:rsidRPr="006D60A7">
              <w:rPr>
                <w:rFonts w:cstheme="minorHAnsi"/>
                <w:sz w:val="18"/>
                <w:szCs w:val="18"/>
              </w:rPr>
              <w:t>German Academic Scholarship Foundation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6D60A7">
              <w:rPr>
                <w:rFonts w:cstheme="minorHAnsi"/>
                <w:sz w:val="18"/>
                <w:szCs w:val="18"/>
              </w:rPr>
              <w:t>National Institute for Health Research Oxford Biomedical Research Centre.</w:t>
            </w:r>
          </w:p>
        </w:tc>
      </w:tr>
      <w:tr w:rsidR="00445C0E" w:rsidRPr="0010183F" w14:paraId="478A17AE" w14:textId="72576750" w:rsidTr="5DCD9306">
        <w:tc>
          <w:tcPr>
            <w:tcW w:w="1635" w:type="dxa"/>
          </w:tcPr>
          <w:p w14:paraId="69FA6F3B" w14:textId="77777777" w:rsidR="00445C0E" w:rsidRPr="0010183F" w:rsidRDefault="00445C0E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Fleeman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(2013)</w:t>
            </w:r>
          </w:p>
        </w:tc>
        <w:tc>
          <w:tcPr>
            <w:tcW w:w="1337" w:type="dxa"/>
          </w:tcPr>
          <w:p w14:paraId="1F2E0BC6" w14:textId="5822DED0" w:rsidR="00445C0E" w:rsidRPr="0010183F" w:rsidRDefault="00445C0E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Special report</w:t>
            </w:r>
          </w:p>
        </w:tc>
        <w:tc>
          <w:tcPr>
            <w:tcW w:w="1933" w:type="dxa"/>
          </w:tcPr>
          <w:p w14:paraId="5A91A004" w14:textId="581C6293" w:rsidR="00445C0E" w:rsidRPr="0010183F" w:rsidRDefault="00445C0E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Pharmacogenomic tests</w:t>
            </w:r>
          </w:p>
        </w:tc>
        <w:tc>
          <w:tcPr>
            <w:tcW w:w="3270" w:type="dxa"/>
          </w:tcPr>
          <w:p w14:paraId="4C6A0CCC" w14:textId="1BF10343" w:rsidR="00445C0E" w:rsidRPr="0010183F" w:rsidRDefault="00056BB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NIHR </w:t>
            </w:r>
            <w:r w:rsidR="00F64B36">
              <w:rPr>
                <w:rFonts w:cstheme="minorHAnsi"/>
                <w:sz w:val="18"/>
                <w:szCs w:val="18"/>
              </w:rPr>
              <w:t>HTA Programme</w:t>
            </w:r>
          </w:p>
        </w:tc>
      </w:tr>
      <w:tr w:rsidR="0042028D" w:rsidRPr="0010183F" w14:paraId="05D0B785" w14:textId="1B79C0FC" w:rsidTr="5DCD9306">
        <w:tc>
          <w:tcPr>
            <w:tcW w:w="1635" w:type="dxa"/>
          </w:tcPr>
          <w:p w14:paraId="17BB419C" w14:textId="1F13F51C" w:rsidR="0042028D" w:rsidRPr="0010183F" w:rsidRDefault="0042028D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Fragoulakis</w:t>
            </w:r>
            <w:proofErr w:type="spellEnd"/>
            <w:r w:rsidR="00DB09B7">
              <w:rPr>
                <w:rFonts w:cstheme="minorHAnsi"/>
                <w:sz w:val="18"/>
                <w:szCs w:val="18"/>
              </w:rPr>
              <w:t xml:space="preserve"> </w:t>
            </w:r>
            <w:r w:rsidRPr="0010183F">
              <w:rPr>
                <w:rFonts w:cstheme="minorHAnsi"/>
                <w:sz w:val="18"/>
                <w:szCs w:val="18"/>
              </w:rPr>
              <w:t>(2016)</w:t>
            </w:r>
          </w:p>
        </w:tc>
        <w:tc>
          <w:tcPr>
            <w:tcW w:w="1337" w:type="dxa"/>
          </w:tcPr>
          <w:p w14:paraId="74C62C16" w14:textId="0B6B40BE" w:rsidR="0042028D" w:rsidRPr="0010183F" w:rsidRDefault="00315A3C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Method</w:t>
            </w:r>
            <w:r w:rsidR="00444893">
              <w:rPr>
                <w:rFonts w:cstheme="minorHAnsi"/>
                <w:sz w:val="18"/>
                <w:szCs w:val="18"/>
              </w:rPr>
              <w:t>s paper</w:t>
            </w:r>
          </w:p>
        </w:tc>
        <w:tc>
          <w:tcPr>
            <w:tcW w:w="1933" w:type="dxa"/>
          </w:tcPr>
          <w:p w14:paraId="717756C7" w14:textId="5B8D8869" w:rsidR="0042028D" w:rsidRPr="0010183F" w:rsidRDefault="0042028D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Genomic medicine</w:t>
            </w:r>
          </w:p>
        </w:tc>
        <w:tc>
          <w:tcPr>
            <w:tcW w:w="3270" w:type="dxa"/>
          </w:tcPr>
          <w:p w14:paraId="2EC979D6" w14:textId="1EFB2A26" w:rsidR="0042028D" w:rsidRPr="0010183F" w:rsidRDefault="00315A3C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</w:t>
            </w:r>
          </w:p>
        </w:tc>
      </w:tr>
      <w:tr w:rsidR="00D701D6" w:rsidRPr="0010183F" w14:paraId="0033DA6C" w14:textId="0253D87E" w:rsidTr="5DCD9306">
        <w:tc>
          <w:tcPr>
            <w:tcW w:w="1635" w:type="dxa"/>
          </w:tcPr>
          <w:p w14:paraId="331D257C" w14:textId="77777777" w:rsidR="00D701D6" w:rsidRPr="0010183F" w:rsidRDefault="00D701D6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Fugel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(2016)</w:t>
            </w:r>
          </w:p>
        </w:tc>
        <w:tc>
          <w:tcPr>
            <w:tcW w:w="1337" w:type="dxa"/>
          </w:tcPr>
          <w:p w14:paraId="292F2806" w14:textId="165B7F9A" w:rsidR="00D701D6" w:rsidRPr="0010183F" w:rsidRDefault="00D701D6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Commentary</w:t>
            </w:r>
          </w:p>
        </w:tc>
        <w:tc>
          <w:tcPr>
            <w:tcW w:w="1933" w:type="dxa"/>
          </w:tcPr>
          <w:p w14:paraId="30556686" w14:textId="74CDF55B" w:rsidR="00D701D6" w:rsidRPr="0010183F" w:rsidRDefault="00D701D6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Stratified Medicine</w:t>
            </w:r>
          </w:p>
        </w:tc>
        <w:tc>
          <w:tcPr>
            <w:tcW w:w="3270" w:type="dxa"/>
          </w:tcPr>
          <w:p w14:paraId="08F436AD" w14:textId="30411314" w:rsidR="00D701D6" w:rsidRPr="0010183F" w:rsidRDefault="00363FB5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</w:t>
            </w:r>
          </w:p>
        </w:tc>
      </w:tr>
      <w:tr w:rsidR="00A91305" w:rsidRPr="0010183F" w14:paraId="5222BB16" w14:textId="1BE2479E" w:rsidTr="5DCD9306">
        <w:tc>
          <w:tcPr>
            <w:tcW w:w="1635" w:type="dxa"/>
          </w:tcPr>
          <w:p w14:paraId="604F0293" w14:textId="77777777" w:rsidR="00A91305" w:rsidRPr="0010183F" w:rsidRDefault="00A91305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Garattini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(2015)</w:t>
            </w:r>
          </w:p>
        </w:tc>
        <w:tc>
          <w:tcPr>
            <w:tcW w:w="1337" w:type="dxa"/>
          </w:tcPr>
          <w:p w14:paraId="731E72E8" w14:textId="43065315" w:rsidR="00A91305" w:rsidRPr="0010183F" w:rsidRDefault="00A91305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Editorial</w:t>
            </w:r>
          </w:p>
        </w:tc>
        <w:tc>
          <w:tcPr>
            <w:tcW w:w="1933" w:type="dxa"/>
          </w:tcPr>
          <w:p w14:paraId="6F31553E" w14:textId="5EB06731" w:rsidR="00A91305" w:rsidRPr="0010183F" w:rsidRDefault="00A91305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Personalised medicine in Oncology</w:t>
            </w:r>
          </w:p>
        </w:tc>
        <w:tc>
          <w:tcPr>
            <w:tcW w:w="3270" w:type="dxa"/>
          </w:tcPr>
          <w:p w14:paraId="4B830D7C" w14:textId="70B0EF65" w:rsidR="00A91305" w:rsidRPr="0010183F" w:rsidRDefault="00A91305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</w:t>
            </w:r>
          </w:p>
        </w:tc>
      </w:tr>
      <w:tr w:rsidR="00D15EA9" w:rsidRPr="0010183F" w14:paraId="7DECE940" w14:textId="7DA9245C" w:rsidTr="5DCD9306">
        <w:tc>
          <w:tcPr>
            <w:tcW w:w="1635" w:type="dxa"/>
          </w:tcPr>
          <w:p w14:paraId="1970229F" w14:textId="77777777" w:rsidR="00D15EA9" w:rsidRPr="0010183F" w:rsidRDefault="00D15EA9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Garfield (2016)</w:t>
            </w:r>
          </w:p>
        </w:tc>
        <w:tc>
          <w:tcPr>
            <w:tcW w:w="1337" w:type="dxa"/>
          </w:tcPr>
          <w:p w14:paraId="7BD171BE" w14:textId="383BC45E" w:rsidR="00D15EA9" w:rsidRPr="0010183F" w:rsidRDefault="00D15EA9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Perspective</w:t>
            </w:r>
          </w:p>
        </w:tc>
        <w:tc>
          <w:tcPr>
            <w:tcW w:w="1933" w:type="dxa"/>
          </w:tcPr>
          <w:p w14:paraId="617321AA" w14:textId="21A1F579" w:rsidR="00D15EA9" w:rsidRPr="0010183F" w:rsidRDefault="00D15EA9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Molecular Diagnostics</w:t>
            </w:r>
          </w:p>
        </w:tc>
        <w:tc>
          <w:tcPr>
            <w:tcW w:w="3270" w:type="dxa"/>
          </w:tcPr>
          <w:p w14:paraId="54870451" w14:textId="7E7BE4A0" w:rsidR="00D15EA9" w:rsidRPr="0010183F" w:rsidRDefault="00D15EA9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ISPOR</w:t>
            </w:r>
          </w:p>
        </w:tc>
      </w:tr>
      <w:tr w:rsidR="003858E4" w:rsidRPr="0010183F" w14:paraId="6C0CB124" w14:textId="5ABD8160" w:rsidTr="5DCD9306">
        <w:tc>
          <w:tcPr>
            <w:tcW w:w="1635" w:type="dxa"/>
          </w:tcPr>
          <w:p w14:paraId="04BD4500" w14:textId="77777777" w:rsidR="003858E4" w:rsidRPr="0010183F" w:rsidRDefault="003858E4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Gavan (2018)</w:t>
            </w:r>
          </w:p>
        </w:tc>
        <w:tc>
          <w:tcPr>
            <w:tcW w:w="1337" w:type="dxa"/>
          </w:tcPr>
          <w:p w14:paraId="45888D03" w14:textId="512F5489" w:rsidR="003858E4" w:rsidRPr="0010183F" w:rsidRDefault="00344B88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Special report</w:t>
            </w:r>
          </w:p>
        </w:tc>
        <w:tc>
          <w:tcPr>
            <w:tcW w:w="1933" w:type="dxa"/>
          </w:tcPr>
          <w:p w14:paraId="4BBEDCC3" w14:textId="7DB2E50F" w:rsidR="003858E4" w:rsidRPr="0010183F" w:rsidRDefault="0090667D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Precision Medicine</w:t>
            </w:r>
          </w:p>
        </w:tc>
        <w:tc>
          <w:tcPr>
            <w:tcW w:w="3270" w:type="dxa"/>
          </w:tcPr>
          <w:p w14:paraId="64109DC1" w14:textId="70D99ECD" w:rsidR="003858E4" w:rsidRPr="0010183F" w:rsidRDefault="005C360E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Medical Research Council, Engineering and Physical Sciences Research Council, Lupus UK</w:t>
            </w:r>
          </w:p>
        </w:tc>
      </w:tr>
      <w:tr w:rsidR="00DB09B7" w:rsidRPr="0010183F" w14:paraId="6EF82ADF" w14:textId="6C80ED85" w:rsidTr="5DCD9306">
        <w:tc>
          <w:tcPr>
            <w:tcW w:w="1635" w:type="dxa"/>
          </w:tcPr>
          <w:p w14:paraId="3DF4AF5C" w14:textId="77777777" w:rsidR="00DB09B7" w:rsidRPr="0010183F" w:rsidRDefault="00DB09B7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Grosse (2014)</w:t>
            </w:r>
          </w:p>
        </w:tc>
        <w:tc>
          <w:tcPr>
            <w:tcW w:w="1337" w:type="dxa"/>
          </w:tcPr>
          <w:p w14:paraId="013E486D" w14:textId="16E72922" w:rsidR="00DB09B7" w:rsidRPr="0010183F" w:rsidRDefault="00DB09B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Commentary</w:t>
            </w:r>
          </w:p>
        </w:tc>
        <w:tc>
          <w:tcPr>
            <w:tcW w:w="1933" w:type="dxa"/>
          </w:tcPr>
          <w:p w14:paraId="3B3D2396" w14:textId="1D486DE0" w:rsidR="00DB09B7" w:rsidRPr="0010183F" w:rsidRDefault="00DB09B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Genetic tests</w:t>
            </w:r>
          </w:p>
        </w:tc>
        <w:tc>
          <w:tcPr>
            <w:tcW w:w="3270" w:type="dxa"/>
          </w:tcPr>
          <w:p w14:paraId="0C05F1FF" w14:textId="0BD09E85" w:rsidR="00DB09B7" w:rsidRPr="0010183F" w:rsidRDefault="00DB09B7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</w:t>
            </w:r>
          </w:p>
        </w:tc>
      </w:tr>
      <w:tr w:rsidR="00600F2F" w:rsidRPr="0010183F" w14:paraId="07F4BF41" w14:textId="5B2178D6" w:rsidTr="5DCD9306">
        <w:tc>
          <w:tcPr>
            <w:tcW w:w="1635" w:type="dxa"/>
          </w:tcPr>
          <w:p w14:paraId="41918DAB" w14:textId="77777777" w:rsidR="00600F2F" w:rsidRPr="0010183F" w:rsidRDefault="00600F2F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Hart (2019)</w:t>
            </w:r>
          </w:p>
        </w:tc>
        <w:tc>
          <w:tcPr>
            <w:tcW w:w="1337" w:type="dxa"/>
          </w:tcPr>
          <w:p w14:paraId="6F03AE77" w14:textId="757F65B6" w:rsidR="00600F2F" w:rsidRPr="0010183F" w:rsidRDefault="00600F2F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Viewpoint </w:t>
            </w:r>
          </w:p>
        </w:tc>
        <w:tc>
          <w:tcPr>
            <w:tcW w:w="1933" w:type="dxa"/>
          </w:tcPr>
          <w:p w14:paraId="756A2E23" w14:textId="4F683F66" w:rsidR="00600F2F" w:rsidRPr="0010183F" w:rsidRDefault="00D35CCD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Next-generation sequencing tests</w:t>
            </w:r>
          </w:p>
        </w:tc>
        <w:tc>
          <w:tcPr>
            <w:tcW w:w="3270" w:type="dxa"/>
          </w:tcPr>
          <w:p w14:paraId="7001FF20" w14:textId="77AD1DB5" w:rsidR="00600F2F" w:rsidRPr="0010183F" w:rsidRDefault="00600F2F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Author supported by Pfizer</w:t>
            </w:r>
            <w:r w:rsidR="00D35CCD">
              <w:rPr>
                <w:rFonts w:cstheme="minorHAnsi"/>
                <w:sz w:val="18"/>
                <w:szCs w:val="18"/>
              </w:rPr>
              <w:t>.  No funding for article.</w:t>
            </w:r>
          </w:p>
        </w:tc>
      </w:tr>
      <w:tr w:rsidR="004F57AA" w:rsidRPr="0010183F" w14:paraId="35BA8418" w14:textId="17A56BD5" w:rsidTr="5DCD9306">
        <w:tc>
          <w:tcPr>
            <w:tcW w:w="1635" w:type="dxa"/>
          </w:tcPr>
          <w:p w14:paraId="5359C3D4" w14:textId="77777777" w:rsidR="004F57AA" w:rsidRPr="0010183F" w:rsidRDefault="004F57AA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Haycox (2014)</w:t>
            </w:r>
          </w:p>
        </w:tc>
        <w:tc>
          <w:tcPr>
            <w:tcW w:w="1337" w:type="dxa"/>
          </w:tcPr>
          <w:p w14:paraId="3843615F" w14:textId="18D2805B" w:rsidR="004F57AA" w:rsidRPr="0010183F" w:rsidRDefault="004F57AA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Practical application</w:t>
            </w:r>
          </w:p>
        </w:tc>
        <w:tc>
          <w:tcPr>
            <w:tcW w:w="1933" w:type="dxa"/>
          </w:tcPr>
          <w:p w14:paraId="0CAEE93E" w14:textId="1149AA7A" w:rsidR="004F57AA" w:rsidRPr="0010183F" w:rsidRDefault="004F57AA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Personalised medicine</w:t>
            </w:r>
          </w:p>
        </w:tc>
        <w:tc>
          <w:tcPr>
            <w:tcW w:w="3270" w:type="dxa"/>
          </w:tcPr>
          <w:p w14:paraId="22B96993" w14:textId="019A91BF" w:rsidR="004F57AA" w:rsidRPr="0010183F" w:rsidRDefault="00CB333F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</w:t>
            </w:r>
          </w:p>
        </w:tc>
      </w:tr>
      <w:tr w:rsidR="00506E31" w:rsidRPr="0010183F" w14:paraId="3BE55C0D" w14:textId="3E13E785" w:rsidTr="5DCD9306">
        <w:tc>
          <w:tcPr>
            <w:tcW w:w="1635" w:type="dxa"/>
          </w:tcPr>
          <w:p w14:paraId="4F6A4BA8" w14:textId="77777777" w:rsidR="00506E31" w:rsidRPr="0010183F" w:rsidRDefault="00506E31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Hayeems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(2019)</w:t>
            </w:r>
          </w:p>
        </w:tc>
        <w:tc>
          <w:tcPr>
            <w:tcW w:w="1337" w:type="dxa"/>
          </w:tcPr>
          <w:p w14:paraId="41974DF0" w14:textId="3B908BA6" w:rsidR="00506E31" w:rsidRPr="0010183F" w:rsidRDefault="00506E31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Viewpoint</w:t>
            </w:r>
          </w:p>
        </w:tc>
        <w:tc>
          <w:tcPr>
            <w:tcW w:w="1933" w:type="dxa"/>
          </w:tcPr>
          <w:p w14:paraId="23CA6C2A" w14:textId="367B0BD3" w:rsidR="00506E31" w:rsidRPr="0010183F" w:rsidRDefault="00506E31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Genome diagnostics</w:t>
            </w:r>
          </w:p>
        </w:tc>
        <w:tc>
          <w:tcPr>
            <w:tcW w:w="3270" w:type="dxa"/>
          </w:tcPr>
          <w:p w14:paraId="1DA5A262" w14:textId="09B0A185" w:rsidR="00506E31" w:rsidRPr="00296BA9" w:rsidRDefault="00296BA9" w:rsidP="007C190C">
            <w:pPr>
              <w:rPr>
                <w:rFonts w:cstheme="minorHAnsi"/>
                <w:sz w:val="18"/>
                <w:szCs w:val="18"/>
              </w:rPr>
            </w:pPr>
            <w:r w:rsidRPr="00296BA9">
              <w:rPr>
                <w:sz w:val="18"/>
                <w:szCs w:val="18"/>
              </w:rPr>
              <w:t>Canadian Institutes of Health Research Operating Grant and the PhRMA Foundation Challenge Award</w:t>
            </w:r>
          </w:p>
        </w:tc>
      </w:tr>
      <w:tr w:rsidR="004447BE" w:rsidRPr="0010183F" w14:paraId="1F397B9A" w14:textId="765357AD" w:rsidTr="5DCD9306">
        <w:tc>
          <w:tcPr>
            <w:tcW w:w="1635" w:type="dxa"/>
          </w:tcPr>
          <w:p w14:paraId="69092767" w14:textId="77777777" w:rsidR="004447BE" w:rsidRPr="0010183F" w:rsidRDefault="004447BE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Mistry (2018)</w:t>
            </w:r>
          </w:p>
        </w:tc>
        <w:tc>
          <w:tcPr>
            <w:tcW w:w="1337" w:type="dxa"/>
          </w:tcPr>
          <w:p w14:paraId="63BEA5D5" w14:textId="0AD35C3D" w:rsidR="004447BE" w:rsidRPr="0010183F" w:rsidRDefault="004447BE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Research article</w:t>
            </w:r>
          </w:p>
        </w:tc>
        <w:tc>
          <w:tcPr>
            <w:tcW w:w="1933" w:type="dxa"/>
          </w:tcPr>
          <w:p w14:paraId="6789F520" w14:textId="7BEFD67E" w:rsidR="004447BE" w:rsidRPr="0010183F" w:rsidRDefault="004447BE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Diagnostics</w:t>
            </w:r>
          </w:p>
        </w:tc>
        <w:tc>
          <w:tcPr>
            <w:tcW w:w="3270" w:type="dxa"/>
          </w:tcPr>
          <w:p w14:paraId="12D81CD7" w14:textId="2D1998B3" w:rsidR="004447BE" w:rsidRPr="0010183F" w:rsidRDefault="00D600F5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National Institute of Health Research, UK</w:t>
            </w:r>
          </w:p>
        </w:tc>
      </w:tr>
      <w:tr w:rsidR="00603F45" w:rsidRPr="0010183F" w14:paraId="02F817FC" w14:textId="07D724EC" w:rsidTr="5DCD9306">
        <w:tc>
          <w:tcPr>
            <w:tcW w:w="1635" w:type="dxa"/>
          </w:tcPr>
          <w:p w14:paraId="7B478CF9" w14:textId="77777777" w:rsidR="00603F45" w:rsidRPr="0010183F" w:rsidRDefault="00603F45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Mollison (2020)</w:t>
            </w:r>
          </w:p>
        </w:tc>
        <w:tc>
          <w:tcPr>
            <w:tcW w:w="1337" w:type="dxa"/>
          </w:tcPr>
          <w:p w14:paraId="4B848F1A" w14:textId="50FFF69B" w:rsidR="00603F45" w:rsidRPr="0010183F" w:rsidRDefault="00603F45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Research article</w:t>
            </w:r>
          </w:p>
        </w:tc>
        <w:tc>
          <w:tcPr>
            <w:tcW w:w="1933" w:type="dxa"/>
          </w:tcPr>
          <w:p w14:paraId="7FDBCD87" w14:textId="487D28E8" w:rsidR="00603F45" w:rsidRPr="0010183F" w:rsidRDefault="00603F45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Exome sequencing </w:t>
            </w:r>
          </w:p>
        </w:tc>
        <w:tc>
          <w:tcPr>
            <w:tcW w:w="3270" w:type="dxa"/>
          </w:tcPr>
          <w:p w14:paraId="01953235" w14:textId="0103517C" w:rsidR="008401E6" w:rsidRPr="0010183F" w:rsidRDefault="0010182B" w:rsidP="00840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ascii="AdvOT156ec773" w:hAnsi="AdvOT156ec773" w:cs="AdvOT156ec773"/>
                <w:sz w:val="18"/>
                <w:szCs w:val="18"/>
              </w:rPr>
              <w:t>National Institutes of Health</w:t>
            </w:r>
            <w:r w:rsidR="008401E6">
              <w:rPr>
                <w:rFonts w:ascii="AdvOT156ec773" w:hAnsi="AdvOT156ec773" w:cs="AdvOT156ec773"/>
                <w:sz w:val="18"/>
                <w:szCs w:val="18"/>
              </w:rPr>
              <w:t>, USA</w:t>
            </w:r>
          </w:p>
          <w:p w14:paraId="783FB266" w14:textId="7D6C4000" w:rsidR="00603F45" w:rsidRPr="0010183F" w:rsidRDefault="00603F45" w:rsidP="0010182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7282A" w:rsidRPr="0010183F" w14:paraId="1ED8189E" w14:textId="3EABDD9A" w:rsidTr="5DCD9306">
        <w:tc>
          <w:tcPr>
            <w:tcW w:w="1635" w:type="dxa"/>
          </w:tcPr>
          <w:p w14:paraId="02BCC4D7" w14:textId="77777777" w:rsidR="0017282A" w:rsidRPr="0010183F" w:rsidRDefault="0017282A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Oosterhoff(2016)</w:t>
            </w:r>
          </w:p>
        </w:tc>
        <w:tc>
          <w:tcPr>
            <w:tcW w:w="1337" w:type="dxa"/>
          </w:tcPr>
          <w:p w14:paraId="45A47266" w14:textId="154294B7" w:rsidR="0017282A" w:rsidRPr="0010183F" w:rsidRDefault="0017282A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Research article</w:t>
            </w:r>
          </w:p>
        </w:tc>
        <w:tc>
          <w:tcPr>
            <w:tcW w:w="1933" w:type="dxa"/>
          </w:tcPr>
          <w:p w14:paraId="01114FA3" w14:textId="0840D37D" w:rsidR="0017282A" w:rsidRPr="0010183F" w:rsidRDefault="0017282A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Diagnostic biomarkers</w:t>
            </w:r>
          </w:p>
        </w:tc>
        <w:tc>
          <w:tcPr>
            <w:tcW w:w="3270" w:type="dxa"/>
          </w:tcPr>
          <w:p w14:paraId="48347B09" w14:textId="692DBFA1" w:rsidR="0017282A" w:rsidRPr="0010183F" w:rsidRDefault="0017282A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reported.</w:t>
            </w:r>
          </w:p>
        </w:tc>
      </w:tr>
      <w:tr w:rsidR="00933027" w:rsidRPr="0010183F" w14:paraId="09DF2C53" w14:textId="2060D513" w:rsidTr="5DCD9306">
        <w:tc>
          <w:tcPr>
            <w:tcW w:w="1635" w:type="dxa"/>
          </w:tcPr>
          <w:p w14:paraId="63352BD3" w14:textId="77777777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Payne (2013)</w:t>
            </w:r>
          </w:p>
        </w:tc>
        <w:tc>
          <w:tcPr>
            <w:tcW w:w="1337" w:type="dxa"/>
          </w:tcPr>
          <w:p w14:paraId="468FB54B" w14:textId="0CF13475" w:rsidR="00933027" w:rsidRPr="0010183F" w:rsidRDefault="6B90CF0C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Commentary</w:t>
            </w:r>
          </w:p>
        </w:tc>
        <w:tc>
          <w:tcPr>
            <w:tcW w:w="1933" w:type="dxa"/>
          </w:tcPr>
          <w:p w14:paraId="07F22EA0" w14:textId="4E371C8D" w:rsidR="00933027" w:rsidRPr="0010183F" w:rsidRDefault="6B90CF0C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Complex interventions</w:t>
            </w:r>
          </w:p>
        </w:tc>
        <w:tc>
          <w:tcPr>
            <w:tcW w:w="3270" w:type="dxa"/>
          </w:tcPr>
          <w:p w14:paraId="3DDAF459" w14:textId="4368698D" w:rsidR="00933027" w:rsidRPr="0010183F" w:rsidRDefault="46041C28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Research Councils UK, Department of Health, UK, Department of Trade and Industry</w:t>
            </w:r>
          </w:p>
        </w:tc>
      </w:tr>
      <w:tr w:rsidR="00933027" w:rsidRPr="0010183F" w14:paraId="07CF0269" w14:textId="17ED02DE" w:rsidTr="5DCD9306">
        <w:tc>
          <w:tcPr>
            <w:tcW w:w="1635" w:type="dxa"/>
          </w:tcPr>
          <w:p w14:paraId="51B42A7E" w14:textId="77777777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Payne (2017)</w:t>
            </w:r>
          </w:p>
        </w:tc>
        <w:tc>
          <w:tcPr>
            <w:tcW w:w="1337" w:type="dxa"/>
          </w:tcPr>
          <w:p w14:paraId="10EA1315" w14:textId="47827071" w:rsidR="00933027" w:rsidRPr="0010183F" w:rsidRDefault="3908E0D7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Perspective</w:t>
            </w:r>
          </w:p>
        </w:tc>
        <w:tc>
          <w:tcPr>
            <w:tcW w:w="1933" w:type="dxa"/>
          </w:tcPr>
          <w:p w14:paraId="45E5F9AC" w14:textId="14379394" w:rsidR="00933027" w:rsidRPr="0010183F" w:rsidRDefault="3908E0D7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Whole genome sequencing</w:t>
            </w:r>
          </w:p>
        </w:tc>
        <w:tc>
          <w:tcPr>
            <w:tcW w:w="3270" w:type="dxa"/>
          </w:tcPr>
          <w:p w14:paraId="7A93C959" w14:textId="309EC7D7" w:rsidR="00933027" w:rsidRPr="0010183F" w:rsidRDefault="3908E0D7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European Union</w:t>
            </w:r>
          </w:p>
        </w:tc>
      </w:tr>
      <w:tr w:rsidR="00933027" w:rsidRPr="0010183F" w14:paraId="23540F26" w14:textId="2D71421B" w:rsidTr="5DCD9306">
        <w:tc>
          <w:tcPr>
            <w:tcW w:w="1635" w:type="dxa"/>
          </w:tcPr>
          <w:p w14:paraId="2B9C396F" w14:textId="77777777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Payne (2018)</w:t>
            </w:r>
          </w:p>
        </w:tc>
        <w:tc>
          <w:tcPr>
            <w:tcW w:w="1337" w:type="dxa"/>
          </w:tcPr>
          <w:p w14:paraId="0DECE817" w14:textId="2FB4BBCC" w:rsidR="00933027" w:rsidRPr="0010183F" w:rsidRDefault="31464B04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Perspective</w:t>
            </w:r>
          </w:p>
        </w:tc>
        <w:tc>
          <w:tcPr>
            <w:tcW w:w="1933" w:type="dxa"/>
          </w:tcPr>
          <w:p w14:paraId="23DCB31F" w14:textId="6EE74FAD" w:rsidR="00933027" w:rsidRPr="0010183F" w:rsidRDefault="1753A1AF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Genetic and genomic diagnostic tests</w:t>
            </w:r>
          </w:p>
        </w:tc>
        <w:tc>
          <w:tcPr>
            <w:tcW w:w="3270" w:type="dxa"/>
          </w:tcPr>
          <w:p w14:paraId="6D01D515" w14:textId="534EC78C" w:rsidR="00933027" w:rsidRPr="0010183F" w:rsidRDefault="7922A26C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None reported</w:t>
            </w:r>
          </w:p>
        </w:tc>
      </w:tr>
      <w:tr w:rsidR="00933027" w:rsidRPr="0010183F" w14:paraId="2AB15E7E" w14:textId="2C7C61B4" w:rsidTr="5DCD9306">
        <w:tc>
          <w:tcPr>
            <w:tcW w:w="1635" w:type="dxa"/>
          </w:tcPr>
          <w:p w14:paraId="6AD5E4A4" w14:textId="77777777" w:rsidR="00933027" w:rsidRPr="0010183F" w:rsidRDefault="00933027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(2014a)</w:t>
            </w:r>
          </w:p>
        </w:tc>
        <w:tc>
          <w:tcPr>
            <w:tcW w:w="1337" w:type="dxa"/>
          </w:tcPr>
          <w:p w14:paraId="42A76380" w14:textId="44835B88" w:rsidR="00933027" w:rsidRPr="0010183F" w:rsidRDefault="10B0E477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Research article</w:t>
            </w:r>
          </w:p>
        </w:tc>
        <w:tc>
          <w:tcPr>
            <w:tcW w:w="1933" w:type="dxa"/>
          </w:tcPr>
          <w:p w14:paraId="2BF804AD" w14:textId="66A1B214" w:rsidR="00933027" w:rsidRPr="0010183F" w:rsidRDefault="10B0E477" w:rsidP="5DCD9306">
            <w:pPr>
              <w:rPr>
                <w:sz w:val="18"/>
                <w:szCs w:val="18"/>
              </w:rPr>
            </w:pPr>
            <w:r w:rsidRPr="5DCD9306">
              <w:rPr>
                <w:sz w:val="18"/>
                <w:szCs w:val="18"/>
              </w:rPr>
              <w:t>Personalised medicine tests</w:t>
            </w:r>
          </w:p>
        </w:tc>
        <w:tc>
          <w:tcPr>
            <w:tcW w:w="3270" w:type="dxa"/>
          </w:tcPr>
          <w:p w14:paraId="3ABCFD33" w14:textId="456F703C" w:rsidR="00933027" w:rsidRPr="0010183F" w:rsidRDefault="7326EFD2" w:rsidP="5DCD930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5DCD9306">
              <w:rPr>
                <w:rFonts w:ascii="Calibri" w:eastAsia="Calibri" w:hAnsi="Calibri" w:cs="Calibri"/>
                <w:sz w:val="18"/>
                <w:szCs w:val="18"/>
              </w:rPr>
              <w:t>National Cancer Institute, National Human Genome Research Institute, Department of Clinical Pharmacy, University of California, San Francisco.</w:t>
            </w:r>
          </w:p>
        </w:tc>
      </w:tr>
      <w:tr w:rsidR="00C26488" w:rsidRPr="0010183F" w14:paraId="40DD4655" w14:textId="6269C9F8" w:rsidTr="006D4C65">
        <w:tc>
          <w:tcPr>
            <w:tcW w:w="1635" w:type="dxa"/>
          </w:tcPr>
          <w:p w14:paraId="7182C570" w14:textId="77777777" w:rsidR="00C26488" w:rsidRPr="0010183F" w:rsidRDefault="00C26488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(2014b)</w:t>
            </w:r>
          </w:p>
        </w:tc>
        <w:tc>
          <w:tcPr>
            <w:tcW w:w="1337" w:type="dxa"/>
          </w:tcPr>
          <w:p w14:paraId="7E5C33AB" w14:textId="13528DD9" w:rsidR="00C26488" w:rsidRPr="0010183F" w:rsidRDefault="00C26488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Policy primer</w:t>
            </w:r>
          </w:p>
        </w:tc>
        <w:tc>
          <w:tcPr>
            <w:tcW w:w="1933" w:type="dxa"/>
          </w:tcPr>
          <w:p w14:paraId="51B5B8A2" w14:textId="7563BEE9" w:rsidR="00C26488" w:rsidRPr="0010183F" w:rsidRDefault="00C26488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Genomic sequencing</w:t>
            </w:r>
          </w:p>
        </w:tc>
        <w:tc>
          <w:tcPr>
            <w:tcW w:w="3270" w:type="dxa"/>
          </w:tcPr>
          <w:p w14:paraId="3F837C03" w14:textId="583E202C" w:rsidR="00C26488" w:rsidRPr="009750D9" w:rsidRDefault="009750D9" w:rsidP="007C190C">
            <w:pPr>
              <w:rPr>
                <w:rFonts w:cstheme="minorHAnsi"/>
                <w:sz w:val="18"/>
                <w:szCs w:val="18"/>
              </w:rPr>
            </w:pPr>
            <w:r w:rsidRPr="009750D9">
              <w:rPr>
                <w:sz w:val="18"/>
                <w:szCs w:val="18"/>
              </w:rPr>
              <w:t xml:space="preserve">National Human Genome Research Institute, National Cancer Institute, Helen </w:t>
            </w:r>
            <w:r w:rsidRPr="009750D9">
              <w:rPr>
                <w:sz w:val="18"/>
                <w:szCs w:val="18"/>
              </w:rPr>
              <w:lastRenderedPageBreak/>
              <w:t xml:space="preserve">Diller Family Comprehensive Cancer </w:t>
            </w:r>
            <w:proofErr w:type="spellStart"/>
            <w:r w:rsidRPr="009750D9">
              <w:rPr>
                <w:sz w:val="18"/>
                <w:szCs w:val="18"/>
              </w:rPr>
              <w:t>Center</w:t>
            </w:r>
            <w:proofErr w:type="spellEnd"/>
            <w:r w:rsidRPr="009750D9">
              <w:rPr>
                <w:sz w:val="18"/>
                <w:szCs w:val="18"/>
              </w:rPr>
              <w:t xml:space="preserve"> and the UCSF Mount Zion Health Fund.</w:t>
            </w:r>
          </w:p>
        </w:tc>
      </w:tr>
      <w:tr w:rsidR="006D3D5A" w:rsidRPr="001C22A1" w14:paraId="46553F2B" w14:textId="32395748" w:rsidTr="004227D9">
        <w:tc>
          <w:tcPr>
            <w:tcW w:w="1635" w:type="dxa"/>
          </w:tcPr>
          <w:p w14:paraId="03E01368" w14:textId="77777777" w:rsidR="006D3D5A" w:rsidRPr="0010183F" w:rsidRDefault="006D3D5A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lastRenderedPageBreak/>
              <w:t>Phillips (2015)</w:t>
            </w:r>
          </w:p>
        </w:tc>
        <w:tc>
          <w:tcPr>
            <w:tcW w:w="1337" w:type="dxa"/>
          </w:tcPr>
          <w:p w14:paraId="09F4E101" w14:textId="1DD9F07A" w:rsidR="006D3D5A" w:rsidRPr="0010183F" w:rsidRDefault="003604E1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Commentary</w:t>
            </w:r>
          </w:p>
        </w:tc>
        <w:tc>
          <w:tcPr>
            <w:tcW w:w="1933" w:type="dxa"/>
          </w:tcPr>
          <w:p w14:paraId="13176DE8" w14:textId="1D909F46" w:rsidR="006D3D5A" w:rsidRPr="0010183F" w:rsidRDefault="00ED0415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Genomic sequencing</w:t>
            </w:r>
          </w:p>
        </w:tc>
        <w:tc>
          <w:tcPr>
            <w:tcW w:w="3270" w:type="dxa"/>
          </w:tcPr>
          <w:p w14:paraId="2107FC26" w14:textId="703147FD" w:rsidR="006D3D5A" w:rsidRPr="001C22A1" w:rsidRDefault="001C22A1" w:rsidP="001C22A1">
            <w:pPr>
              <w:rPr>
                <w:rFonts w:cstheme="minorHAnsi"/>
                <w:sz w:val="18"/>
                <w:szCs w:val="18"/>
              </w:rPr>
            </w:pPr>
            <w:r w:rsidRPr="001C22A1">
              <w:rPr>
                <w:sz w:val="18"/>
                <w:szCs w:val="18"/>
              </w:rPr>
              <w:t xml:space="preserve">National Human Genome Research Institute, UCSF Mount Zion Health Fund and Helen Diller Family Comprehensive Cancer </w:t>
            </w:r>
            <w:proofErr w:type="spellStart"/>
            <w:r w:rsidRPr="001C22A1">
              <w:rPr>
                <w:sz w:val="18"/>
                <w:szCs w:val="18"/>
              </w:rPr>
              <w:t>Center</w:t>
            </w:r>
            <w:proofErr w:type="spellEnd"/>
            <w:r w:rsidRPr="001C22A1">
              <w:rPr>
                <w:sz w:val="18"/>
                <w:szCs w:val="18"/>
              </w:rPr>
              <w:t xml:space="preserve"> </w:t>
            </w:r>
          </w:p>
        </w:tc>
      </w:tr>
      <w:tr w:rsidR="00CB4D1C" w:rsidRPr="0010183F" w14:paraId="77527AEF" w14:textId="4A6103CA" w:rsidTr="00B26700">
        <w:tc>
          <w:tcPr>
            <w:tcW w:w="1635" w:type="dxa"/>
          </w:tcPr>
          <w:p w14:paraId="4F652BE9" w14:textId="77777777" w:rsidR="00CB4D1C" w:rsidRPr="0010183F" w:rsidRDefault="00CB4D1C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(2017)</w:t>
            </w:r>
          </w:p>
        </w:tc>
        <w:tc>
          <w:tcPr>
            <w:tcW w:w="1337" w:type="dxa"/>
          </w:tcPr>
          <w:p w14:paraId="531614C4" w14:textId="17580A02" w:rsidR="00CB4D1C" w:rsidRPr="0010183F" w:rsidRDefault="00CA2216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Review</w:t>
            </w:r>
          </w:p>
        </w:tc>
        <w:tc>
          <w:tcPr>
            <w:tcW w:w="1933" w:type="dxa"/>
          </w:tcPr>
          <w:p w14:paraId="247C624E" w14:textId="3DDEB48E" w:rsidR="00CB4D1C" w:rsidRPr="0010183F" w:rsidRDefault="00CB4D1C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Personalised Medicine</w:t>
            </w:r>
            <w:r w:rsidR="00CA2216">
              <w:rPr>
                <w:rFonts w:cstheme="minorHAnsi"/>
                <w:sz w:val="18"/>
                <w:szCs w:val="18"/>
              </w:rPr>
              <w:t xml:space="preserve"> used as guide for Digital Technologies</w:t>
            </w:r>
          </w:p>
        </w:tc>
        <w:tc>
          <w:tcPr>
            <w:tcW w:w="3270" w:type="dxa"/>
          </w:tcPr>
          <w:p w14:paraId="20BC5167" w14:textId="16A1F8B9" w:rsidR="00CB4D1C" w:rsidRPr="0010183F" w:rsidRDefault="00CB4D1C" w:rsidP="007C190C">
            <w:pPr>
              <w:rPr>
                <w:rFonts w:cstheme="minorHAnsi"/>
                <w:sz w:val="18"/>
                <w:szCs w:val="18"/>
              </w:rPr>
            </w:pPr>
            <w:r w:rsidRPr="00CB4D1C">
              <w:rPr>
                <w:rFonts w:cstheme="minorHAnsi"/>
                <w:sz w:val="18"/>
                <w:szCs w:val="18"/>
              </w:rPr>
              <w:t>NHGRI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CB4D1C">
              <w:rPr>
                <w:rFonts w:cstheme="minorHAnsi"/>
                <w:sz w:val="18"/>
                <w:szCs w:val="18"/>
              </w:rPr>
              <w:t>NCI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CB4D1C">
              <w:rPr>
                <w:rFonts w:cstheme="minorHAnsi"/>
                <w:sz w:val="18"/>
                <w:szCs w:val="18"/>
              </w:rPr>
              <w:t xml:space="preserve">Helen Diller Family Comprehensive Cancer </w:t>
            </w:r>
            <w:proofErr w:type="spellStart"/>
            <w:r w:rsidRPr="00CB4D1C">
              <w:rPr>
                <w:rFonts w:cstheme="minorHAnsi"/>
                <w:sz w:val="18"/>
                <w:szCs w:val="18"/>
              </w:rPr>
              <w:t>Center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CB4D1C">
              <w:rPr>
                <w:rFonts w:cstheme="minorHAnsi"/>
                <w:sz w:val="18"/>
                <w:szCs w:val="18"/>
              </w:rPr>
              <w:t>UCSF Mount Zion Health Fund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CB4D1C">
              <w:rPr>
                <w:rFonts w:cstheme="minorHAnsi"/>
                <w:sz w:val="18"/>
                <w:szCs w:val="18"/>
              </w:rPr>
              <w:t>Canada Research Chair, Health Services and Systems Research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CB4D1C">
              <w:rPr>
                <w:rFonts w:cstheme="minorHAnsi"/>
                <w:sz w:val="18"/>
                <w:szCs w:val="18"/>
              </w:rPr>
              <w:t xml:space="preserve"> Arthur J.E. Child Chair in Rheumatology Outcomes Research</w:t>
            </w:r>
          </w:p>
        </w:tc>
      </w:tr>
      <w:tr w:rsidR="001A132B" w:rsidRPr="0010183F" w14:paraId="5292AD16" w14:textId="738B9416" w:rsidTr="00B73B1E">
        <w:tc>
          <w:tcPr>
            <w:tcW w:w="1635" w:type="dxa"/>
          </w:tcPr>
          <w:p w14:paraId="3243153E" w14:textId="77777777" w:rsidR="001A132B" w:rsidRPr="0010183F" w:rsidRDefault="001A132B" w:rsidP="007C190C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Phillips (2018)</w:t>
            </w:r>
          </w:p>
        </w:tc>
        <w:tc>
          <w:tcPr>
            <w:tcW w:w="1337" w:type="dxa"/>
          </w:tcPr>
          <w:p w14:paraId="3417339B" w14:textId="4023049E" w:rsidR="001A132B" w:rsidRPr="0010183F" w:rsidRDefault="001A132B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Research article</w:t>
            </w:r>
          </w:p>
        </w:tc>
        <w:tc>
          <w:tcPr>
            <w:tcW w:w="1933" w:type="dxa"/>
          </w:tcPr>
          <w:p w14:paraId="2AAE5B5F" w14:textId="2980C430" w:rsidR="001A132B" w:rsidRPr="0010183F" w:rsidRDefault="001A132B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Next-generation sequencing </w:t>
            </w:r>
          </w:p>
        </w:tc>
        <w:tc>
          <w:tcPr>
            <w:tcW w:w="3270" w:type="dxa"/>
          </w:tcPr>
          <w:p w14:paraId="0BE6C2B5" w14:textId="6FB06BE6" w:rsidR="001A132B" w:rsidRPr="001A132B" w:rsidRDefault="001A132B" w:rsidP="007C190C">
            <w:pPr>
              <w:rPr>
                <w:rFonts w:cstheme="minorHAnsi"/>
                <w:sz w:val="18"/>
                <w:szCs w:val="18"/>
              </w:rPr>
            </w:pPr>
            <w:r w:rsidRPr="001A132B">
              <w:rPr>
                <w:sz w:val="18"/>
                <w:szCs w:val="18"/>
              </w:rPr>
              <w:t xml:space="preserve">National Human Genome Research Institute and Illumina </w:t>
            </w:r>
          </w:p>
        </w:tc>
      </w:tr>
      <w:tr w:rsidR="000F13A6" w:rsidRPr="0010183F" w14:paraId="070C2753" w14:textId="2EC83E2C" w:rsidTr="00293345">
        <w:tc>
          <w:tcPr>
            <w:tcW w:w="1635" w:type="dxa"/>
          </w:tcPr>
          <w:p w14:paraId="6006FC5B" w14:textId="315E0F65" w:rsidR="000F13A6" w:rsidRPr="0010183F" w:rsidRDefault="000F13A6" w:rsidP="007C190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Pirmohamed</w:t>
            </w:r>
            <w:proofErr w:type="spellEnd"/>
            <w:r w:rsidR="00CF4D61">
              <w:rPr>
                <w:rFonts w:cstheme="minorHAnsi"/>
                <w:sz w:val="18"/>
                <w:szCs w:val="18"/>
              </w:rPr>
              <w:t xml:space="preserve"> </w:t>
            </w:r>
            <w:r w:rsidRPr="0010183F">
              <w:rPr>
                <w:rFonts w:cstheme="minorHAnsi"/>
                <w:sz w:val="18"/>
                <w:szCs w:val="18"/>
              </w:rPr>
              <w:t>(2010)</w:t>
            </w:r>
          </w:p>
        </w:tc>
        <w:tc>
          <w:tcPr>
            <w:tcW w:w="1337" w:type="dxa"/>
          </w:tcPr>
          <w:p w14:paraId="66CFE94B" w14:textId="3AAAAD05" w:rsidR="000F13A6" w:rsidRPr="0010183F" w:rsidRDefault="00562D71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Commentary</w:t>
            </w:r>
          </w:p>
        </w:tc>
        <w:tc>
          <w:tcPr>
            <w:tcW w:w="1933" w:type="dxa"/>
          </w:tcPr>
          <w:p w14:paraId="1A1601B3" w14:textId="12A9B2D2" w:rsidR="000F13A6" w:rsidRPr="0010183F" w:rsidRDefault="000F13A6" w:rsidP="007C190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Biomarker tests</w:t>
            </w:r>
          </w:p>
        </w:tc>
        <w:tc>
          <w:tcPr>
            <w:tcW w:w="3270" w:type="dxa"/>
          </w:tcPr>
          <w:p w14:paraId="427DCEDE" w14:textId="77777777" w:rsidR="000F13A6" w:rsidRPr="000F13A6" w:rsidRDefault="000F13A6" w:rsidP="000F13A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F13A6">
              <w:rPr>
                <w:rFonts w:cstheme="minorHAnsi"/>
                <w:sz w:val="18"/>
                <w:szCs w:val="18"/>
              </w:rPr>
              <w:t>Pharmacogenetics Research Programme, the MRC Centre for Drug Safety</w:t>
            </w:r>
          </w:p>
          <w:p w14:paraId="22D99B2D" w14:textId="4064A007" w:rsidR="000F13A6" w:rsidRPr="0010183F" w:rsidRDefault="000F13A6" w:rsidP="000F13A6">
            <w:pPr>
              <w:rPr>
                <w:rFonts w:cstheme="minorHAnsi"/>
                <w:sz w:val="18"/>
                <w:szCs w:val="18"/>
              </w:rPr>
            </w:pPr>
            <w:r w:rsidRPr="000F13A6">
              <w:rPr>
                <w:rFonts w:cstheme="minorHAnsi"/>
                <w:sz w:val="18"/>
                <w:szCs w:val="18"/>
              </w:rPr>
              <w:t>Science, the Wolfson Foundation and the EU FP7 research program.</w:t>
            </w:r>
          </w:p>
        </w:tc>
      </w:tr>
      <w:tr w:rsidR="00284DD6" w:rsidRPr="0010183F" w14:paraId="4692EF7E" w14:textId="77777777" w:rsidTr="001C6AF4">
        <w:tc>
          <w:tcPr>
            <w:tcW w:w="1635" w:type="dxa"/>
          </w:tcPr>
          <w:p w14:paraId="2AA96179" w14:textId="665A9ED6" w:rsidR="00284DD6" w:rsidRPr="0010183F" w:rsidRDefault="00284DD6" w:rsidP="00284DD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Regier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10183F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337" w:type="dxa"/>
          </w:tcPr>
          <w:p w14:paraId="3F0D3BB8" w14:textId="3BA12055" w:rsidR="00284DD6" w:rsidRDefault="00A54AD6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Research article</w:t>
            </w:r>
          </w:p>
        </w:tc>
        <w:tc>
          <w:tcPr>
            <w:tcW w:w="1933" w:type="dxa"/>
          </w:tcPr>
          <w:p w14:paraId="79B8D6BC" w14:textId="4660CD4C" w:rsidR="00284DD6" w:rsidRDefault="00284DD6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Clinical genomic sequencing</w:t>
            </w:r>
          </w:p>
        </w:tc>
        <w:tc>
          <w:tcPr>
            <w:tcW w:w="3270" w:type="dxa"/>
          </w:tcPr>
          <w:p w14:paraId="4312E2C8" w14:textId="3443698C" w:rsidR="00284DD6" w:rsidRPr="00B97430" w:rsidRDefault="00284DD6" w:rsidP="00284DD6">
            <w:pPr>
              <w:rPr>
                <w:sz w:val="18"/>
                <w:szCs w:val="18"/>
              </w:rPr>
            </w:pPr>
            <w:r w:rsidRPr="00B97430">
              <w:rPr>
                <w:sz w:val="18"/>
                <w:szCs w:val="18"/>
              </w:rPr>
              <w:t xml:space="preserve">Canadian Centre for Applied Research in Cancer Control, Canadian Cancer Society </w:t>
            </w:r>
          </w:p>
        </w:tc>
      </w:tr>
      <w:tr w:rsidR="00284DD6" w:rsidRPr="0010183F" w14:paraId="461F4712" w14:textId="1122DD00" w:rsidTr="001C6AF4">
        <w:tc>
          <w:tcPr>
            <w:tcW w:w="1635" w:type="dxa"/>
          </w:tcPr>
          <w:p w14:paraId="784D3CB8" w14:textId="446AE5BF" w:rsidR="00284DD6" w:rsidRPr="0010183F" w:rsidRDefault="00284DD6" w:rsidP="00284DD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Regier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</w:t>
            </w:r>
            <w:r>
              <w:rPr>
                <w:rFonts w:cstheme="minorHAnsi"/>
                <w:sz w:val="18"/>
                <w:szCs w:val="18"/>
              </w:rPr>
              <w:t>8</w:t>
            </w:r>
            <w:r w:rsidRPr="0010183F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337" w:type="dxa"/>
          </w:tcPr>
          <w:p w14:paraId="1794119D" w14:textId="0021998C" w:rsidR="00284DD6" w:rsidRPr="0010183F" w:rsidRDefault="00284DD6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Review</w:t>
            </w:r>
          </w:p>
        </w:tc>
        <w:tc>
          <w:tcPr>
            <w:tcW w:w="1933" w:type="dxa"/>
          </w:tcPr>
          <w:p w14:paraId="4EF0A2B5" w14:textId="11EEB58C" w:rsidR="00284DD6" w:rsidRPr="0010183F" w:rsidRDefault="00284DD6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Next-generation sequencing</w:t>
            </w:r>
          </w:p>
        </w:tc>
        <w:tc>
          <w:tcPr>
            <w:tcW w:w="3270" w:type="dxa"/>
          </w:tcPr>
          <w:p w14:paraId="6652406E" w14:textId="52D23E65" w:rsidR="00284DD6" w:rsidRPr="00B97430" w:rsidRDefault="00284DD6" w:rsidP="00284DD6">
            <w:pPr>
              <w:rPr>
                <w:rFonts w:cstheme="minorHAnsi"/>
                <w:sz w:val="18"/>
                <w:szCs w:val="18"/>
              </w:rPr>
            </w:pPr>
            <w:r w:rsidRPr="00B97430">
              <w:rPr>
                <w:sz w:val="18"/>
                <w:szCs w:val="18"/>
              </w:rPr>
              <w:t xml:space="preserve">Canadian Centre for Applied Research in Cancer Control, Canadian Cancer Society </w:t>
            </w:r>
          </w:p>
        </w:tc>
      </w:tr>
      <w:tr w:rsidR="004B2158" w:rsidRPr="0010183F" w14:paraId="40EDD59E" w14:textId="1511D034" w:rsidTr="00D45DF7">
        <w:tc>
          <w:tcPr>
            <w:tcW w:w="1635" w:type="dxa"/>
          </w:tcPr>
          <w:p w14:paraId="6CD19FD6" w14:textId="77777777" w:rsidR="004B2158" w:rsidRPr="0010183F" w:rsidRDefault="004B2158" w:rsidP="00284DD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Rogowski (2015)</w:t>
            </w:r>
          </w:p>
        </w:tc>
        <w:tc>
          <w:tcPr>
            <w:tcW w:w="1337" w:type="dxa"/>
          </w:tcPr>
          <w:p w14:paraId="097BD9F9" w14:textId="369A6B77" w:rsidR="004B2158" w:rsidRPr="0010183F" w:rsidRDefault="004B2158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Research article</w:t>
            </w:r>
          </w:p>
        </w:tc>
        <w:tc>
          <w:tcPr>
            <w:tcW w:w="1933" w:type="dxa"/>
          </w:tcPr>
          <w:p w14:paraId="5663E6A3" w14:textId="55FEC176" w:rsidR="004B2158" w:rsidRPr="0010183F" w:rsidRDefault="004B2158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Personalized medicine</w:t>
            </w:r>
          </w:p>
        </w:tc>
        <w:tc>
          <w:tcPr>
            <w:tcW w:w="3270" w:type="dxa"/>
          </w:tcPr>
          <w:p w14:paraId="5C854C90" w14:textId="56C530AC" w:rsidR="004B2158" w:rsidRPr="008251A3" w:rsidRDefault="00E40897" w:rsidP="00F2709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D2E63">
              <w:rPr>
                <w:rFonts w:cstheme="minorHAnsi"/>
                <w:sz w:val="18"/>
                <w:szCs w:val="18"/>
              </w:rPr>
              <w:t xml:space="preserve">COMET </w:t>
            </w:r>
            <w:proofErr w:type="spellStart"/>
            <w:r w:rsidRPr="00AD2E63">
              <w:rPr>
                <w:rFonts w:cstheme="minorHAnsi"/>
                <w:sz w:val="18"/>
                <w:szCs w:val="18"/>
              </w:rPr>
              <w:t>Center</w:t>
            </w:r>
            <w:proofErr w:type="spellEnd"/>
            <w:r w:rsidR="00B83724" w:rsidRPr="00AD2E63">
              <w:rPr>
                <w:rFonts w:cstheme="minorHAnsi"/>
                <w:sz w:val="18"/>
                <w:szCs w:val="18"/>
              </w:rPr>
              <w:t xml:space="preserve"> </w:t>
            </w:r>
            <w:r w:rsidRPr="00AD2E63">
              <w:rPr>
                <w:rFonts w:cstheme="minorHAnsi"/>
                <w:sz w:val="18"/>
                <w:szCs w:val="18"/>
              </w:rPr>
              <w:t>ONCOTYROL Austrian Federal Ministries</w:t>
            </w:r>
            <w:r w:rsidR="00B83724" w:rsidRPr="00AD2E63">
              <w:rPr>
                <w:rFonts w:cstheme="minorHAnsi"/>
                <w:sz w:val="18"/>
                <w:szCs w:val="18"/>
              </w:rPr>
              <w:t xml:space="preserve"> </w:t>
            </w:r>
            <w:r w:rsidRPr="00AD2E63">
              <w:rPr>
                <w:rFonts w:cstheme="minorHAnsi"/>
                <w:sz w:val="18"/>
                <w:szCs w:val="18"/>
              </w:rPr>
              <w:t>for Transport, Innovation and Technology, and for Economy, Family</w:t>
            </w:r>
            <w:r w:rsidR="00AD2E63" w:rsidRPr="00AD2E63">
              <w:rPr>
                <w:rFonts w:cstheme="minorHAnsi"/>
                <w:sz w:val="18"/>
                <w:szCs w:val="18"/>
              </w:rPr>
              <w:t xml:space="preserve"> </w:t>
            </w:r>
            <w:r w:rsidRPr="00AD2E63">
              <w:rPr>
                <w:rFonts w:cstheme="minorHAnsi"/>
                <w:sz w:val="18"/>
                <w:szCs w:val="18"/>
              </w:rPr>
              <w:t>and Youth</w:t>
            </w:r>
            <w:r w:rsidR="00B83724" w:rsidRPr="00AD2E6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AD2E63">
              <w:rPr>
                <w:rFonts w:cstheme="minorHAnsi"/>
                <w:sz w:val="18"/>
                <w:szCs w:val="18"/>
              </w:rPr>
              <w:t>Tiroler</w:t>
            </w:r>
            <w:proofErr w:type="spellEnd"/>
            <w:r w:rsidRPr="00AD2E6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D2E63">
              <w:rPr>
                <w:rFonts w:cstheme="minorHAnsi"/>
                <w:sz w:val="18"/>
                <w:szCs w:val="18"/>
              </w:rPr>
              <w:t>Zukunftsstiftung</w:t>
            </w:r>
            <w:proofErr w:type="spellEnd"/>
            <w:r w:rsidRPr="00AD2E63">
              <w:rPr>
                <w:rFonts w:cstheme="minorHAnsi"/>
                <w:sz w:val="18"/>
                <w:szCs w:val="18"/>
              </w:rPr>
              <w:t>/</w:t>
            </w:r>
            <w:r w:rsidR="00AD2E63" w:rsidRPr="00AD2E6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D2E63">
              <w:rPr>
                <w:rFonts w:cstheme="minorHAnsi"/>
                <w:sz w:val="18"/>
                <w:szCs w:val="18"/>
              </w:rPr>
              <w:t>Standortagentur</w:t>
            </w:r>
            <w:proofErr w:type="spellEnd"/>
            <w:r w:rsidRPr="00AD2E63">
              <w:rPr>
                <w:rFonts w:cstheme="minorHAnsi"/>
                <w:sz w:val="18"/>
                <w:szCs w:val="18"/>
              </w:rPr>
              <w:t xml:space="preserve"> Tirol.</w:t>
            </w:r>
            <w:r w:rsidR="00B83724" w:rsidRPr="00AD2E63">
              <w:rPr>
                <w:rFonts w:cstheme="minorHAnsi"/>
                <w:sz w:val="18"/>
                <w:szCs w:val="18"/>
              </w:rPr>
              <w:t xml:space="preserve"> German Federal Ministry of Education and Research, National Institute of Health Research. National Science Foundation,  Clinical and Translational Science Award program, through</w:t>
            </w:r>
            <w:r w:rsidR="00F27092" w:rsidRPr="00AD2E63">
              <w:rPr>
                <w:rFonts w:cstheme="minorHAnsi"/>
                <w:sz w:val="18"/>
                <w:szCs w:val="18"/>
              </w:rPr>
              <w:t xml:space="preserve"> </w:t>
            </w:r>
            <w:r w:rsidR="00B83724" w:rsidRPr="00AD2E63">
              <w:rPr>
                <w:rFonts w:cstheme="minorHAnsi"/>
                <w:sz w:val="18"/>
                <w:szCs w:val="18"/>
              </w:rPr>
              <w:t xml:space="preserve">the NIH National </w:t>
            </w:r>
            <w:proofErr w:type="spellStart"/>
            <w:r w:rsidR="00B83724" w:rsidRPr="00AD2E63">
              <w:rPr>
                <w:rFonts w:cstheme="minorHAnsi"/>
                <w:sz w:val="18"/>
                <w:szCs w:val="18"/>
              </w:rPr>
              <w:t>Center</w:t>
            </w:r>
            <w:proofErr w:type="spellEnd"/>
            <w:r w:rsidR="00B83724" w:rsidRPr="00AD2E63">
              <w:rPr>
                <w:rFonts w:cstheme="minorHAnsi"/>
                <w:sz w:val="18"/>
                <w:szCs w:val="18"/>
              </w:rPr>
              <w:t xml:space="preserve"> for Advancing Translational Sciences</w:t>
            </w:r>
          </w:p>
        </w:tc>
      </w:tr>
      <w:tr w:rsidR="00585B2A" w:rsidRPr="0010183F" w14:paraId="5619D854" w14:textId="18398A29" w:rsidTr="00876E33">
        <w:tc>
          <w:tcPr>
            <w:tcW w:w="1635" w:type="dxa"/>
          </w:tcPr>
          <w:p w14:paraId="6254464D" w14:textId="77777777" w:rsidR="00585B2A" w:rsidRPr="0010183F" w:rsidRDefault="00585B2A" w:rsidP="00284DD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Schwarze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(2018)</w:t>
            </w:r>
          </w:p>
        </w:tc>
        <w:tc>
          <w:tcPr>
            <w:tcW w:w="1337" w:type="dxa"/>
          </w:tcPr>
          <w:p w14:paraId="56328B96" w14:textId="50E43146" w:rsidR="00585B2A" w:rsidRPr="0010183F" w:rsidRDefault="00585B2A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Review</w:t>
            </w:r>
          </w:p>
        </w:tc>
        <w:tc>
          <w:tcPr>
            <w:tcW w:w="1933" w:type="dxa"/>
          </w:tcPr>
          <w:p w14:paraId="5354C71A" w14:textId="54E4BE45" w:rsidR="00585B2A" w:rsidRPr="0010183F" w:rsidRDefault="00585B2A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Whole exome sequencing and whole genome sequencing</w:t>
            </w:r>
          </w:p>
        </w:tc>
        <w:tc>
          <w:tcPr>
            <w:tcW w:w="3270" w:type="dxa"/>
          </w:tcPr>
          <w:p w14:paraId="6D50C958" w14:textId="77777777" w:rsidR="00E10720" w:rsidRDefault="00E10720" w:rsidP="00E10720">
            <w:pPr>
              <w:autoSpaceDE w:val="0"/>
              <w:autoSpaceDN w:val="0"/>
              <w:adjustRightInd w:val="0"/>
              <w:rPr>
                <w:rFonts w:ascii="AdvOT156ec773" w:hAnsi="AdvOT156ec773" w:cs="AdvOT156ec773"/>
                <w:sz w:val="18"/>
                <w:szCs w:val="18"/>
              </w:rPr>
            </w:pPr>
            <w:r>
              <w:rPr>
                <w:rFonts w:ascii="AdvOT156ec773" w:hAnsi="AdvOT156ec773" w:cs="AdvOT156ec773"/>
                <w:sz w:val="18"/>
                <w:szCs w:val="18"/>
              </w:rPr>
              <w:t>UK Health Innovation Challenge</w:t>
            </w:r>
          </w:p>
          <w:p w14:paraId="356BA528" w14:textId="08227DCA" w:rsidR="00585B2A" w:rsidRPr="007C463F" w:rsidRDefault="00E10720" w:rsidP="007C463F">
            <w:pPr>
              <w:autoSpaceDE w:val="0"/>
              <w:autoSpaceDN w:val="0"/>
              <w:adjustRightInd w:val="0"/>
              <w:rPr>
                <w:rFonts w:ascii="AdvOT156ec773" w:hAnsi="AdvOT156ec773" w:cs="AdvOT156ec773"/>
                <w:sz w:val="18"/>
                <w:szCs w:val="18"/>
              </w:rPr>
            </w:pPr>
            <w:r>
              <w:rPr>
                <w:rFonts w:ascii="AdvOT156ec773" w:hAnsi="AdvOT156ec773" w:cs="AdvOT156ec773"/>
                <w:sz w:val="18"/>
                <w:szCs w:val="18"/>
              </w:rPr>
              <w:t xml:space="preserve">Fund, </w:t>
            </w:r>
            <w:proofErr w:type="spellStart"/>
            <w:r>
              <w:rPr>
                <w:rFonts w:ascii="AdvOT156ec773" w:hAnsi="AdvOT156ec773" w:cs="AdvOT156ec773"/>
                <w:sz w:val="18"/>
                <w:szCs w:val="18"/>
              </w:rPr>
              <w:t>Wellcome</w:t>
            </w:r>
            <w:proofErr w:type="spellEnd"/>
            <w:r>
              <w:rPr>
                <w:rFonts w:ascii="AdvOT156ec773" w:hAnsi="AdvOT156ec773" w:cs="AdvOT156ec773"/>
                <w:sz w:val="18"/>
                <w:szCs w:val="18"/>
              </w:rPr>
              <w:t xml:space="preserve"> Trust Centre for Human Genetics, National Institute for Health Research Oxford</w:t>
            </w:r>
            <w:r w:rsidR="007C463F">
              <w:rPr>
                <w:rFonts w:ascii="AdvOT156ec773" w:hAnsi="AdvOT156ec773" w:cs="AdvOT156ec773"/>
                <w:sz w:val="18"/>
                <w:szCs w:val="18"/>
              </w:rPr>
              <w:t xml:space="preserve"> </w:t>
            </w:r>
            <w:r>
              <w:rPr>
                <w:rFonts w:ascii="AdvOT156ec773" w:hAnsi="AdvOT156ec773" w:cs="AdvOT156ec773"/>
                <w:sz w:val="18"/>
                <w:szCs w:val="18"/>
              </w:rPr>
              <w:t>Biomedical Research Centre. Erasmus</w:t>
            </w:r>
            <w:r w:rsidR="007C463F">
              <w:rPr>
                <w:rFonts w:ascii="AdvOT156ec773" w:hAnsi="AdvOT156ec773" w:cs="AdvOT156ec773"/>
                <w:sz w:val="18"/>
                <w:szCs w:val="18"/>
              </w:rPr>
              <w:t xml:space="preserve"> </w:t>
            </w:r>
            <w:r>
              <w:rPr>
                <w:rFonts w:ascii="AdvOT156ec773" w:hAnsi="AdvOT156ec773" w:cs="AdvOT156ec773"/>
                <w:sz w:val="18"/>
                <w:szCs w:val="18"/>
              </w:rPr>
              <w:t>Plus scheme of the University Duisburg-Essen.</w:t>
            </w:r>
          </w:p>
        </w:tc>
      </w:tr>
      <w:tr w:rsidR="007E72E3" w:rsidRPr="0010183F" w14:paraId="141ED5AD" w14:textId="7DABB7AF" w:rsidTr="006616FB">
        <w:tc>
          <w:tcPr>
            <w:tcW w:w="1635" w:type="dxa"/>
          </w:tcPr>
          <w:p w14:paraId="388CFEFC" w14:textId="77777777" w:rsidR="007E72E3" w:rsidRPr="0010183F" w:rsidRDefault="007E72E3" w:rsidP="00284DD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Shabaruddin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>(2015)</w:t>
            </w:r>
          </w:p>
        </w:tc>
        <w:tc>
          <w:tcPr>
            <w:tcW w:w="1337" w:type="dxa"/>
          </w:tcPr>
          <w:p w14:paraId="685379F2" w14:textId="657F7335" w:rsidR="007E72E3" w:rsidRPr="0010183F" w:rsidRDefault="007E72E3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Review</w:t>
            </w:r>
          </w:p>
        </w:tc>
        <w:tc>
          <w:tcPr>
            <w:tcW w:w="1933" w:type="dxa"/>
          </w:tcPr>
          <w:p w14:paraId="6D9A3ACE" w14:textId="0A4CB3B4" w:rsidR="007E72E3" w:rsidRPr="0010183F" w:rsidRDefault="007E72E3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Personalized medicine</w:t>
            </w:r>
          </w:p>
        </w:tc>
        <w:tc>
          <w:tcPr>
            <w:tcW w:w="3270" w:type="dxa"/>
          </w:tcPr>
          <w:p w14:paraId="45582D6B" w14:textId="6FBCC322" w:rsidR="007E72E3" w:rsidRPr="0010183F" w:rsidRDefault="007E72E3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None reported</w:t>
            </w:r>
          </w:p>
        </w:tc>
      </w:tr>
      <w:tr w:rsidR="00565E81" w:rsidRPr="0010183F" w14:paraId="317C7A9D" w14:textId="62D33258" w:rsidTr="00D94819">
        <w:tc>
          <w:tcPr>
            <w:tcW w:w="1635" w:type="dxa"/>
          </w:tcPr>
          <w:p w14:paraId="7DF8164D" w14:textId="77777777" w:rsidR="00565E81" w:rsidRPr="0010183F" w:rsidRDefault="00565E81" w:rsidP="00284DD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Siamoglou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(2020)</w:t>
            </w:r>
          </w:p>
        </w:tc>
        <w:tc>
          <w:tcPr>
            <w:tcW w:w="1337" w:type="dxa"/>
          </w:tcPr>
          <w:p w14:paraId="1ADD1D5E" w14:textId="52EF1E8E" w:rsidR="00565E81" w:rsidRPr="0010183F" w:rsidRDefault="00565E81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Review</w:t>
            </w:r>
          </w:p>
        </w:tc>
        <w:tc>
          <w:tcPr>
            <w:tcW w:w="1933" w:type="dxa"/>
          </w:tcPr>
          <w:p w14:paraId="2BCE77BB" w14:textId="0FA8A36B" w:rsidR="00565E81" w:rsidRPr="0010183F" w:rsidRDefault="00565E81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Pharmacogenomics testing</w:t>
            </w:r>
          </w:p>
        </w:tc>
        <w:tc>
          <w:tcPr>
            <w:tcW w:w="3270" w:type="dxa"/>
          </w:tcPr>
          <w:p w14:paraId="232C1871" w14:textId="4EFB0CEC" w:rsidR="00565E81" w:rsidRPr="0010183F" w:rsidRDefault="00565E81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Golden Helix Foundation</w:t>
            </w:r>
          </w:p>
        </w:tc>
      </w:tr>
      <w:tr w:rsidR="00B55664" w:rsidRPr="0010183F" w14:paraId="4CC9F10E" w14:textId="6769A987" w:rsidTr="000F74F3">
        <w:tc>
          <w:tcPr>
            <w:tcW w:w="1635" w:type="dxa"/>
          </w:tcPr>
          <w:p w14:paraId="78AE2B8E" w14:textId="77777777" w:rsidR="00B55664" w:rsidRPr="0010183F" w:rsidRDefault="00B55664" w:rsidP="00284DD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Spackman (2017)</w:t>
            </w:r>
          </w:p>
        </w:tc>
        <w:tc>
          <w:tcPr>
            <w:tcW w:w="1337" w:type="dxa"/>
          </w:tcPr>
          <w:p w14:paraId="7858C711" w14:textId="7FAD160E" w:rsidR="00B55664" w:rsidRPr="0010183F" w:rsidRDefault="00B55664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Review</w:t>
            </w:r>
          </w:p>
        </w:tc>
        <w:tc>
          <w:tcPr>
            <w:tcW w:w="1933" w:type="dxa"/>
          </w:tcPr>
          <w:p w14:paraId="1D1610F9" w14:textId="2477EF62" w:rsidR="00B55664" w:rsidRPr="0010183F" w:rsidRDefault="00B55664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Genomic-Based diagnostic tests</w:t>
            </w:r>
          </w:p>
        </w:tc>
        <w:tc>
          <w:tcPr>
            <w:tcW w:w="3270" w:type="dxa"/>
          </w:tcPr>
          <w:p w14:paraId="2B109753" w14:textId="41E9DEEE" w:rsidR="00B55664" w:rsidRPr="00A54AD6" w:rsidRDefault="00A54AD6" w:rsidP="00A54AD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A54AD6">
              <w:rPr>
                <w:rFonts w:cstheme="minorHAnsi"/>
                <w:sz w:val="18"/>
                <w:szCs w:val="18"/>
              </w:rPr>
              <w:t>U.K.Department</w:t>
            </w:r>
            <w:proofErr w:type="spellEnd"/>
            <w:r w:rsidRPr="00A54AD6">
              <w:rPr>
                <w:rFonts w:cstheme="minorHAnsi"/>
                <w:sz w:val="18"/>
                <w:szCs w:val="18"/>
              </w:rPr>
              <w:t xml:space="preserve"> of Health Policy Research Programme</w:t>
            </w:r>
          </w:p>
        </w:tc>
      </w:tr>
      <w:tr w:rsidR="00B30DD2" w:rsidRPr="0010183F" w14:paraId="56228E7F" w14:textId="368A1DF3" w:rsidTr="005C4BA7">
        <w:tc>
          <w:tcPr>
            <w:tcW w:w="1635" w:type="dxa"/>
          </w:tcPr>
          <w:p w14:paraId="7A317355" w14:textId="77777777" w:rsidR="00B30DD2" w:rsidRPr="0010183F" w:rsidRDefault="00B30DD2" w:rsidP="00284DD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0183F">
              <w:rPr>
                <w:rFonts w:cstheme="minorHAnsi"/>
                <w:sz w:val="18"/>
                <w:szCs w:val="18"/>
              </w:rPr>
              <w:t>Veenstra</w:t>
            </w:r>
            <w:proofErr w:type="spellEnd"/>
            <w:r w:rsidRPr="0010183F">
              <w:rPr>
                <w:rFonts w:cstheme="minorHAnsi"/>
                <w:sz w:val="18"/>
                <w:szCs w:val="18"/>
              </w:rPr>
              <w:t xml:space="preserve"> (2010)</w:t>
            </w:r>
          </w:p>
        </w:tc>
        <w:tc>
          <w:tcPr>
            <w:tcW w:w="1337" w:type="dxa"/>
          </w:tcPr>
          <w:p w14:paraId="3C993F0F" w14:textId="45630B17" w:rsidR="00B30DD2" w:rsidRPr="0010183F" w:rsidRDefault="00B30DD2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Research article</w:t>
            </w:r>
          </w:p>
        </w:tc>
        <w:tc>
          <w:tcPr>
            <w:tcW w:w="1933" w:type="dxa"/>
          </w:tcPr>
          <w:p w14:paraId="79606473" w14:textId="32B9982E" w:rsidR="00B30DD2" w:rsidRPr="0010183F" w:rsidRDefault="00B30DD2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Genomic tests</w:t>
            </w:r>
          </w:p>
        </w:tc>
        <w:tc>
          <w:tcPr>
            <w:tcW w:w="3270" w:type="dxa"/>
          </w:tcPr>
          <w:p w14:paraId="37423C95" w14:textId="332D56DB" w:rsidR="00B30DD2" w:rsidRPr="001E7244" w:rsidRDefault="001E7244" w:rsidP="00284DD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1E7244">
              <w:rPr>
                <w:rFonts w:cstheme="minorHAnsi"/>
                <w:sz w:val="18"/>
                <w:szCs w:val="18"/>
              </w:rPr>
              <w:t>Centers</w:t>
            </w:r>
            <w:proofErr w:type="spellEnd"/>
            <w:r w:rsidRPr="001E7244">
              <w:rPr>
                <w:rFonts w:cstheme="minorHAnsi"/>
                <w:sz w:val="18"/>
                <w:szCs w:val="18"/>
              </w:rPr>
              <w:t xml:space="preserve"> for Disease Control and Prevention</w:t>
            </w:r>
          </w:p>
        </w:tc>
      </w:tr>
      <w:tr w:rsidR="00DA21DD" w:rsidRPr="0010183F" w14:paraId="475E00E8" w14:textId="031AF194" w:rsidTr="00935F4B">
        <w:tc>
          <w:tcPr>
            <w:tcW w:w="1635" w:type="dxa"/>
          </w:tcPr>
          <w:p w14:paraId="06C1797A" w14:textId="77777777" w:rsidR="00DA21DD" w:rsidRPr="0010183F" w:rsidRDefault="00DA21DD" w:rsidP="00284DD6">
            <w:pPr>
              <w:rPr>
                <w:rFonts w:cstheme="minorHAnsi"/>
                <w:sz w:val="18"/>
                <w:szCs w:val="18"/>
              </w:rPr>
            </w:pPr>
            <w:r w:rsidRPr="0010183F">
              <w:rPr>
                <w:rFonts w:cstheme="minorHAnsi"/>
                <w:sz w:val="18"/>
                <w:szCs w:val="18"/>
              </w:rPr>
              <w:t>Weymann (2018)</w:t>
            </w:r>
          </w:p>
        </w:tc>
        <w:tc>
          <w:tcPr>
            <w:tcW w:w="1337" w:type="dxa"/>
          </w:tcPr>
          <w:p w14:paraId="62B2C776" w14:textId="18B0DF5D" w:rsidR="00DA21DD" w:rsidRPr="0010183F" w:rsidRDefault="00DA21DD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Review</w:t>
            </w:r>
          </w:p>
        </w:tc>
        <w:tc>
          <w:tcPr>
            <w:tcW w:w="1933" w:type="dxa"/>
          </w:tcPr>
          <w:p w14:paraId="034D2F20" w14:textId="46749EED" w:rsidR="00DA21DD" w:rsidRPr="0010183F" w:rsidRDefault="00DA21DD" w:rsidP="00284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Next-generation precision oncology</w:t>
            </w:r>
          </w:p>
        </w:tc>
        <w:tc>
          <w:tcPr>
            <w:tcW w:w="3270" w:type="dxa"/>
          </w:tcPr>
          <w:p w14:paraId="49C894D7" w14:textId="54B86894" w:rsidR="00DA21DD" w:rsidRPr="00DA21DD" w:rsidRDefault="00DA21DD" w:rsidP="00284DD6">
            <w:pPr>
              <w:rPr>
                <w:rFonts w:cstheme="minorHAnsi"/>
                <w:sz w:val="18"/>
                <w:szCs w:val="18"/>
              </w:rPr>
            </w:pPr>
            <w:r w:rsidRPr="00DA21DD">
              <w:rPr>
                <w:rFonts w:cstheme="minorHAnsi"/>
                <w:sz w:val="18"/>
                <w:szCs w:val="18"/>
              </w:rPr>
              <w:t>Canadian Centre for Applied Research in Cancer Control, Canadian Cancer Society Research Institute</w:t>
            </w:r>
          </w:p>
        </w:tc>
      </w:tr>
    </w:tbl>
    <w:p w14:paraId="7248F871" w14:textId="77777777" w:rsidR="00E62231" w:rsidRDefault="00501F49"/>
    <w:sectPr w:rsidR="00E622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85DE4" w14:textId="77777777" w:rsidR="00F432AE" w:rsidRDefault="00F432AE" w:rsidP="00F432AE">
      <w:pPr>
        <w:spacing w:after="0" w:line="240" w:lineRule="auto"/>
      </w:pPr>
      <w:r>
        <w:separator/>
      </w:r>
    </w:p>
  </w:endnote>
  <w:endnote w:type="continuationSeparator" w:id="0">
    <w:p w14:paraId="1ABF3A07" w14:textId="77777777" w:rsidR="00F432AE" w:rsidRDefault="00F432AE" w:rsidP="00F4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156ec773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99298" w14:textId="77777777" w:rsidR="00F432AE" w:rsidRDefault="00F432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CC36E" w14:textId="77777777" w:rsidR="00F432AE" w:rsidRDefault="00F432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15CDF" w14:textId="77777777" w:rsidR="00F432AE" w:rsidRDefault="00F432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B5D8B" w14:textId="77777777" w:rsidR="00F432AE" w:rsidRDefault="00F432AE" w:rsidP="00F432AE">
      <w:pPr>
        <w:spacing w:after="0" w:line="240" w:lineRule="auto"/>
      </w:pPr>
      <w:r>
        <w:separator/>
      </w:r>
    </w:p>
  </w:footnote>
  <w:footnote w:type="continuationSeparator" w:id="0">
    <w:p w14:paraId="3906F41E" w14:textId="77777777" w:rsidR="00F432AE" w:rsidRDefault="00F432AE" w:rsidP="00F4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67E34" w14:textId="77777777" w:rsidR="00F432AE" w:rsidRDefault="00F432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A970" w14:textId="13BBACDE" w:rsidR="00F432AE" w:rsidRDefault="00F432AE" w:rsidP="00F432AE">
    <w:pPr>
      <w:pStyle w:val="Heading1"/>
    </w:pPr>
    <w:r>
      <w:t xml:space="preserve">Supplementary materials 5 – study type and funding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1322" w14:textId="77777777" w:rsidR="00F432AE" w:rsidRDefault="00F432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27"/>
    <w:rsid w:val="0000160E"/>
    <w:rsid w:val="000022C6"/>
    <w:rsid w:val="00002A67"/>
    <w:rsid w:val="00025228"/>
    <w:rsid w:val="00026ADA"/>
    <w:rsid w:val="00054A5E"/>
    <w:rsid w:val="00056933"/>
    <w:rsid w:val="00056BB7"/>
    <w:rsid w:val="000706C8"/>
    <w:rsid w:val="00071C6E"/>
    <w:rsid w:val="0007628F"/>
    <w:rsid w:val="00081902"/>
    <w:rsid w:val="0008684B"/>
    <w:rsid w:val="00091AC4"/>
    <w:rsid w:val="000A1F0D"/>
    <w:rsid w:val="000A66D2"/>
    <w:rsid w:val="000B19B8"/>
    <w:rsid w:val="000B2AAE"/>
    <w:rsid w:val="000B5E07"/>
    <w:rsid w:val="000C35B9"/>
    <w:rsid w:val="000D33BF"/>
    <w:rsid w:val="000F13A6"/>
    <w:rsid w:val="00101589"/>
    <w:rsid w:val="0010182B"/>
    <w:rsid w:val="00103FCB"/>
    <w:rsid w:val="00105513"/>
    <w:rsid w:val="00106225"/>
    <w:rsid w:val="00111484"/>
    <w:rsid w:val="00111C4D"/>
    <w:rsid w:val="00124960"/>
    <w:rsid w:val="00131B21"/>
    <w:rsid w:val="00132FB4"/>
    <w:rsid w:val="001629D1"/>
    <w:rsid w:val="00170314"/>
    <w:rsid w:val="00172644"/>
    <w:rsid w:val="0017282A"/>
    <w:rsid w:val="00181B10"/>
    <w:rsid w:val="001A132B"/>
    <w:rsid w:val="001A4B2F"/>
    <w:rsid w:val="001A6AE2"/>
    <w:rsid w:val="001B182C"/>
    <w:rsid w:val="001C22A1"/>
    <w:rsid w:val="001C6E67"/>
    <w:rsid w:val="001C6EA1"/>
    <w:rsid w:val="001C7AB0"/>
    <w:rsid w:val="001E1994"/>
    <w:rsid w:val="001E3856"/>
    <w:rsid w:val="001E7244"/>
    <w:rsid w:val="001F64AA"/>
    <w:rsid w:val="00201B30"/>
    <w:rsid w:val="00210203"/>
    <w:rsid w:val="002132A5"/>
    <w:rsid w:val="00224D88"/>
    <w:rsid w:val="002303DE"/>
    <w:rsid w:val="00230E7B"/>
    <w:rsid w:val="00242786"/>
    <w:rsid w:val="00245CD2"/>
    <w:rsid w:val="0025059C"/>
    <w:rsid w:val="00253883"/>
    <w:rsid w:val="002622D5"/>
    <w:rsid w:val="00270C64"/>
    <w:rsid w:val="002724E8"/>
    <w:rsid w:val="002744A5"/>
    <w:rsid w:val="00275815"/>
    <w:rsid w:val="00281974"/>
    <w:rsid w:val="002820FA"/>
    <w:rsid w:val="00283CE0"/>
    <w:rsid w:val="00284DD6"/>
    <w:rsid w:val="00293A64"/>
    <w:rsid w:val="00296BA9"/>
    <w:rsid w:val="00297723"/>
    <w:rsid w:val="002A65E0"/>
    <w:rsid w:val="002B07B3"/>
    <w:rsid w:val="002C6347"/>
    <w:rsid w:val="002C7891"/>
    <w:rsid w:val="002E4E1A"/>
    <w:rsid w:val="002F0844"/>
    <w:rsid w:val="00301D29"/>
    <w:rsid w:val="0030403D"/>
    <w:rsid w:val="0030799B"/>
    <w:rsid w:val="00310977"/>
    <w:rsid w:val="00315A3C"/>
    <w:rsid w:val="00322586"/>
    <w:rsid w:val="00332CCD"/>
    <w:rsid w:val="00335448"/>
    <w:rsid w:val="00344B88"/>
    <w:rsid w:val="003604E1"/>
    <w:rsid w:val="00362078"/>
    <w:rsid w:val="003630A5"/>
    <w:rsid w:val="00363FB5"/>
    <w:rsid w:val="00375132"/>
    <w:rsid w:val="003768B8"/>
    <w:rsid w:val="003772FC"/>
    <w:rsid w:val="00380373"/>
    <w:rsid w:val="003828D2"/>
    <w:rsid w:val="00384A2F"/>
    <w:rsid w:val="003858E4"/>
    <w:rsid w:val="00386540"/>
    <w:rsid w:val="003930DE"/>
    <w:rsid w:val="00393F29"/>
    <w:rsid w:val="00397751"/>
    <w:rsid w:val="003A0C4A"/>
    <w:rsid w:val="003B228B"/>
    <w:rsid w:val="003B54DB"/>
    <w:rsid w:val="003C666D"/>
    <w:rsid w:val="003D3974"/>
    <w:rsid w:val="003D5A42"/>
    <w:rsid w:val="003E6E7E"/>
    <w:rsid w:val="003F207E"/>
    <w:rsid w:val="0042028D"/>
    <w:rsid w:val="00424997"/>
    <w:rsid w:val="00433E2A"/>
    <w:rsid w:val="00435003"/>
    <w:rsid w:val="00437F98"/>
    <w:rsid w:val="004431A1"/>
    <w:rsid w:val="004447BE"/>
    <w:rsid w:val="00444893"/>
    <w:rsid w:val="00445C0E"/>
    <w:rsid w:val="00463505"/>
    <w:rsid w:val="00464326"/>
    <w:rsid w:val="00484249"/>
    <w:rsid w:val="00492411"/>
    <w:rsid w:val="0049540D"/>
    <w:rsid w:val="004A367E"/>
    <w:rsid w:val="004A4914"/>
    <w:rsid w:val="004B2158"/>
    <w:rsid w:val="004B6B0A"/>
    <w:rsid w:val="004D4646"/>
    <w:rsid w:val="004D74FD"/>
    <w:rsid w:val="004E31D3"/>
    <w:rsid w:val="004E4BAC"/>
    <w:rsid w:val="004F0BB3"/>
    <w:rsid w:val="004F57AA"/>
    <w:rsid w:val="004F65E8"/>
    <w:rsid w:val="004F7485"/>
    <w:rsid w:val="00501F49"/>
    <w:rsid w:val="00506E31"/>
    <w:rsid w:val="0051173E"/>
    <w:rsid w:val="00511799"/>
    <w:rsid w:val="00522982"/>
    <w:rsid w:val="005245C6"/>
    <w:rsid w:val="0053372A"/>
    <w:rsid w:val="005357DE"/>
    <w:rsid w:val="00540037"/>
    <w:rsid w:val="00541644"/>
    <w:rsid w:val="005432A7"/>
    <w:rsid w:val="00544AE5"/>
    <w:rsid w:val="00544DE5"/>
    <w:rsid w:val="00546990"/>
    <w:rsid w:val="00550E9F"/>
    <w:rsid w:val="00561CDB"/>
    <w:rsid w:val="00562D71"/>
    <w:rsid w:val="00564D34"/>
    <w:rsid w:val="00565E81"/>
    <w:rsid w:val="00571646"/>
    <w:rsid w:val="00580A17"/>
    <w:rsid w:val="00584542"/>
    <w:rsid w:val="00585B2A"/>
    <w:rsid w:val="005871EA"/>
    <w:rsid w:val="005A4319"/>
    <w:rsid w:val="005A6756"/>
    <w:rsid w:val="005B5391"/>
    <w:rsid w:val="005C360E"/>
    <w:rsid w:val="005C3AC3"/>
    <w:rsid w:val="005C41AE"/>
    <w:rsid w:val="005C6AFE"/>
    <w:rsid w:val="005C71D0"/>
    <w:rsid w:val="005D207A"/>
    <w:rsid w:val="005D2755"/>
    <w:rsid w:val="005E094C"/>
    <w:rsid w:val="005E3FBC"/>
    <w:rsid w:val="005E5E13"/>
    <w:rsid w:val="00600F2F"/>
    <w:rsid w:val="00603F45"/>
    <w:rsid w:val="0060707B"/>
    <w:rsid w:val="006170D8"/>
    <w:rsid w:val="0063706D"/>
    <w:rsid w:val="006514D4"/>
    <w:rsid w:val="00651836"/>
    <w:rsid w:val="00661318"/>
    <w:rsid w:val="00664465"/>
    <w:rsid w:val="00673195"/>
    <w:rsid w:val="00676957"/>
    <w:rsid w:val="006800DE"/>
    <w:rsid w:val="006827B2"/>
    <w:rsid w:val="0069470A"/>
    <w:rsid w:val="006A14D6"/>
    <w:rsid w:val="006A23F7"/>
    <w:rsid w:val="006B23F9"/>
    <w:rsid w:val="006C2D6E"/>
    <w:rsid w:val="006C51F3"/>
    <w:rsid w:val="006D3D5A"/>
    <w:rsid w:val="006D60A7"/>
    <w:rsid w:val="006E278E"/>
    <w:rsid w:val="006E454B"/>
    <w:rsid w:val="006E7CEE"/>
    <w:rsid w:val="006F07FF"/>
    <w:rsid w:val="006F34BC"/>
    <w:rsid w:val="0070520E"/>
    <w:rsid w:val="00721DB0"/>
    <w:rsid w:val="00722D4B"/>
    <w:rsid w:val="00733230"/>
    <w:rsid w:val="0073598D"/>
    <w:rsid w:val="00741867"/>
    <w:rsid w:val="00741A18"/>
    <w:rsid w:val="00766768"/>
    <w:rsid w:val="007803AE"/>
    <w:rsid w:val="00781CF9"/>
    <w:rsid w:val="0079024F"/>
    <w:rsid w:val="00792F52"/>
    <w:rsid w:val="007950AD"/>
    <w:rsid w:val="007B0B8C"/>
    <w:rsid w:val="007B3BCA"/>
    <w:rsid w:val="007B67AA"/>
    <w:rsid w:val="007C1820"/>
    <w:rsid w:val="007C2D9A"/>
    <w:rsid w:val="007C463F"/>
    <w:rsid w:val="007D2C93"/>
    <w:rsid w:val="007E430C"/>
    <w:rsid w:val="007E72E3"/>
    <w:rsid w:val="007E7CD1"/>
    <w:rsid w:val="007F68AD"/>
    <w:rsid w:val="008011C9"/>
    <w:rsid w:val="00805635"/>
    <w:rsid w:val="00812016"/>
    <w:rsid w:val="008251A3"/>
    <w:rsid w:val="008401E6"/>
    <w:rsid w:val="00843A2B"/>
    <w:rsid w:val="00847815"/>
    <w:rsid w:val="008521D2"/>
    <w:rsid w:val="0086128E"/>
    <w:rsid w:val="00866C9F"/>
    <w:rsid w:val="008738FA"/>
    <w:rsid w:val="008800D2"/>
    <w:rsid w:val="008A3A74"/>
    <w:rsid w:val="008B09EF"/>
    <w:rsid w:val="008B54BB"/>
    <w:rsid w:val="008C1A22"/>
    <w:rsid w:val="008C57F4"/>
    <w:rsid w:val="008C6546"/>
    <w:rsid w:val="008C6EED"/>
    <w:rsid w:val="008D57FF"/>
    <w:rsid w:val="008E5D46"/>
    <w:rsid w:val="0090667D"/>
    <w:rsid w:val="00920879"/>
    <w:rsid w:val="009238DA"/>
    <w:rsid w:val="00933027"/>
    <w:rsid w:val="0093522C"/>
    <w:rsid w:val="0093571B"/>
    <w:rsid w:val="0094022B"/>
    <w:rsid w:val="00941AF3"/>
    <w:rsid w:val="009440A2"/>
    <w:rsid w:val="00952EBA"/>
    <w:rsid w:val="0095400E"/>
    <w:rsid w:val="00955024"/>
    <w:rsid w:val="009579D1"/>
    <w:rsid w:val="00961B88"/>
    <w:rsid w:val="00963A6F"/>
    <w:rsid w:val="009750D9"/>
    <w:rsid w:val="00977B2B"/>
    <w:rsid w:val="00981114"/>
    <w:rsid w:val="00991340"/>
    <w:rsid w:val="00994AED"/>
    <w:rsid w:val="00996189"/>
    <w:rsid w:val="009A1641"/>
    <w:rsid w:val="009A227B"/>
    <w:rsid w:val="009A56FF"/>
    <w:rsid w:val="009A77BF"/>
    <w:rsid w:val="009B68EE"/>
    <w:rsid w:val="009C0B0A"/>
    <w:rsid w:val="009C3903"/>
    <w:rsid w:val="009D190A"/>
    <w:rsid w:val="009D3DEE"/>
    <w:rsid w:val="009D443B"/>
    <w:rsid w:val="009E4467"/>
    <w:rsid w:val="009F5950"/>
    <w:rsid w:val="009F6A76"/>
    <w:rsid w:val="00A12C98"/>
    <w:rsid w:val="00A152D7"/>
    <w:rsid w:val="00A157E3"/>
    <w:rsid w:val="00A16A06"/>
    <w:rsid w:val="00A2410B"/>
    <w:rsid w:val="00A3252A"/>
    <w:rsid w:val="00A32E30"/>
    <w:rsid w:val="00A4265C"/>
    <w:rsid w:val="00A44BED"/>
    <w:rsid w:val="00A54AD6"/>
    <w:rsid w:val="00A5554B"/>
    <w:rsid w:val="00A6197B"/>
    <w:rsid w:val="00A71357"/>
    <w:rsid w:val="00A8162C"/>
    <w:rsid w:val="00A81907"/>
    <w:rsid w:val="00A841DD"/>
    <w:rsid w:val="00A85902"/>
    <w:rsid w:val="00A91305"/>
    <w:rsid w:val="00AA17AD"/>
    <w:rsid w:val="00AB2E04"/>
    <w:rsid w:val="00AB33B4"/>
    <w:rsid w:val="00AC5777"/>
    <w:rsid w:val="00AC5BF4"/>
    <w:rsid w:val="00AD2E63"/>
    <w:rsid w:val="00AD3C5C"/>
    <w:rsid w:val="00AF08FD"/>
    <w:rsid w:val="00AF31CD"/>
    <w:rsid w:val="00AF5576"/>
    <w:rsid w:val="00B205EC"/>
    <w:rsid w:val="00B232D0"/>
    <w:rsid w:val="00B30DD2"/>
    <w:rsid w:val="00B33EDB"/>
    <w:rsid w:val="00B4247C"/>
    <w:rsid w:val="00B50E65"/>
    <w:rsid w:val="00B55054"/>
    <w:rsid w:val="00B55664"/>
    <w:rsid w:val="00B61861"/>
    <w:rsid w:val="00B6262D"/>
    <w:rsid w:val="00B62A28"/>
    <w:rsid w:val="00B637C9"/>
    <w:rsid w:val="00B655E4"/>
    <w:rsid w:val="00B676C6"/>
    <w:rsid w:val="00B83724"/>
    <w:rsid w:val="00B97430"/>
    <w:rsid w:val="00B97C13"/>
    <w:rsid w:val="00B97E88"/>
    <w:rsid w:val="00BC0428"/>
    <w:rsid w:val="00BC07DB"/>
    <w:rsid w:val="00BC6BF0"/>
    <w:rsid w:val="00BD21BB"/>
    <w:rsid w:val="00BD6961"/>
    <w:rsid w:val="00BE6CED"/>
    <w:rsid w:val="00BF105A"/>
    <w:rsid w:val="00BF2B2E"/>
    <w:rsid w:val="00C0635D"/>
    <w:rsid w:val="00C12357"/>
    <w:rsid w:val="00C22A1A"/>
    <w:rsid w:val="00C251D7"/>
    <w:rsid w:val="00C26488"/>
    <w:rsid w:val="00C30E00"/>
    <w:rsid w:val="00C31B2E"/>
    <w:rsid w:val="00C37CD7"/>
    <w:rsid w:val="00C41BE6"/>
    <w:rsid w:val="00C557E8"/>
    <w:rsid w:val="00C633BA"/>
    <w:rsid w:val="00C63ACB"/>
    <w:rsid w:val="00C70C68"/>
    <w:rsid w:val="00C734D6"/>
    <w:rsid w:val="00C77E28"/>
    <w:rsid w:val="00C94EC5"/>
    <w:rsid w:val="00CA114A"/>
    <w:rsid w:val="00CA2216"/>
    <w:rsid w:val="00CA3EF7"/>
    <w:rsid w:val="00CA799E"/>
    <w:rsid w:val="00CB333F"/>
    <w:rsid w:val="00CB4D1C"/>
    <w:rsid w:val="00CC1546"/>
    <w:rsid w:val="00CC2AD8"/>
    <w:rsid w:val="00CD24B6"/>
    <w:rsid w:val="00CD7318"/>
    <w:rsid w:val="00CE1CA3"/>
    <w:rsid w:val="00CE4493"/>
    <w:rsid w:val="00CE44E3"/>
    <w:rsid w:val="00CE4821"/>
    <w:rsid w:val="00CF0243"/>
    <w:rsid w:val="00CF1257"/>
    <w:rsid w:val="00CF290B"/>
    <w:rsid w:val="00CF32E8"/>
    <w:rsid w:val="00CF4D61"/>
    <w:rsid w:val="00CF6BE7"/>
    <w:rsid w:val="00D06FEE"/>
    <w:rsid w:val="00D14122"/>
    <w:rsid w:val="00D15EA9"/>
    <w:rsid w:val="00D35CCD"/>
    <w:rsid w:val="00D40950"/>
    <w:rsid w:val="00D414F6"/>
    <w:rsid w:val="00D44BA0"/>
    <w:rsid w:val="00D573C4"/>
    <w:rsid w:val="00D600F5"/>
    <w:rsid w:val="00D636EF"/>
    <w:rsid w:val="00D701D6"/>
    <w:rsid w:val="00D71280"/>
    <w:rsid w:val="00D72AF3"/>
    <w:rsid w:val="00D7362D"/>
    <w:rsid w:val="00D74D63"/>
    <w:rsid w:val="00D91B01"/>
    <w:rsid w:val="00D955BD"/>
    <w:rsid w:val="00DA21DD"/>
    <w:rsid w:val="00DB09B7"/>
    <w:rsid w:val="00DB1045"/>
    <w:rsid w:val="00DC1683"/>
    <w:rsid w:val="00DC1B18"/>
    <w:rsid w:val="00DC3F52"/>
    <w:rsid w:val="00DD43B7"/>
    <w:rsid w:val="00DE15CB"/>
    <w:rsid w:val="00DE7D5A"/>
    <w:rsid w:val="00DE7E85"/>
    <w:rsid w:val="00E00FD2"/>
    <w:rsid w:val="00E10720"/>
    <w:rsid w:val="00E236FD"/>
    <w:rsid w:val="00E2581C"/>
    <w:rsid w:val="00E30EFD"/>
    <w:rsid w:val="00E32C80"/>
    <w:rsid w:val="00E36285"/>
    <w:rsid w:val="00E40897"/>
    <w:rsid w:val="00E41A4C"/>
    <w:rsid w:val="00E46C91"/>
    <w:rsid w:val="00E54E53"/>
    <w:rsid w:val="00E56CB0"/>
    <w:rsid w:val="00E72637"/>
    <w:rsid w:val="00E72904"/>
    <w:rsid w:val="00E75494"/>
    <w:rsid w:val="00E86018"/>
    <w:rsid w:val="00E91A88"/>
    <w:rsid w:val="00E95EF4"/>
    <w:rsid w:val="00E967BF"/>
    <w:rsid w:val="00EB65C0"/>
    <w:rsid w:val="00EC2403"/>
    <w:rsid w:val="00EC39F7"/>
    <w:rsid w:val="00EC4716"/>
    <w:rsid w:val="00EC4A9B"/>
    <w:rsid w:val="00ED0415"/>
    <w:rsid w:val="00EF5954"/>
    <w:rsid w:val="00F0669C"/>
    <w:rsid w:val="00F27092"/>
    <w:rsid w:val="00F432AE"/>
    <w:rsid w:val="00F43CBB"/>
    <w:rsid w:val="00F52FF4"/>
    <w:rsid w:val="00F5387D"/>
    <w:rsid w:val="00F55FE9"/>
    <w:rsid w:val="00F62F61"/>
    <w:rsid w:val="00F64B36"/>
    <w:rsid w:val="00F77614"/>
    <w:rsid w:val="00F80262"/>
    <w:rsid w:val="00F80ABF"/>
    <w:rsid w:val="00F814E5"/>
    <w:rsid w:val="00F9623F"/>
    <w:rsid w:val="00F96CFF"/>
    <w:rsid w:val="00FA4FD8"/>
    <w:rsid w:val="00FB2B9F"/>
    <w:rsid w:val="00FC0C80"/>
    <w:rsid w:val="00FC2E74"/>
    <w:rsid w:val="00FD141D"/>
    <w:rsid w:val="00FD3A7F"/>
    <w:rsid w:val="00FE30B6"/>
    <w:rsid w:val="00FE4A16"/>
    <w:rsid w:val="00FE62DA"/>
    <w:rsid w:val="00FF04E8"/>
    <w:rsid w:val="100C6BBA"/>
    <w:rsid w:val="10B0E477"/>
    <w:rsid w:val="11A83C1B"/>
    <w:rsid w:val="1753A1AF"/>
    <w:rsid w:val="1D7A88EC"/>
    <w:rsid w:val="1F16594D"/>
    <w:rsid w:val="2297350E"/>
    <w:rsid w:val="31464B04"/>
    <w:rsid w:val="3908E0D7"/>
    <w:rsid w:val="46041C28"/>
    <w:rsid w:val="4CA0DD87"/>
    <w:rsid w:val="4E3CADE8"/>
    <w:rsid w:val="5DCD9306"/>
    <w:rsid w:val="5F3387D3"/>
    <w:rsid w:val="6B1C286C"/>
    <w:rsid w:val="6B90CF0C"/>
    <w:rsid w:val="6E1F6B06"/>
    <w:rsid w:val="72C4D6F5"/>
    <w:rsid w:val="7326EFD2"/>
    <w:rsid w:val="77D64E9B"/>
    <w:rsid w:val="7922A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46FC"/>
  <w15:chartTrackingRefBased/>
  <w15:docId w15:val="{3328F1D7-9F11-4982-A782-B5F07DC5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027"/>
  </w:style>
  <w:style w:type="paragraph" w:styleId="Heading1">
    <w:name w:val="heading 1"/>
    <w:basedOn w:val="Normal"/>
    <w:next w:val="Normal"/>
    <w:link w:val="Heading1Char"/>
    <w:uiPriority w:val="9"/>
    <w:qFormat/>
    <w:rsid w:val="00F432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3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432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2AE"/>
  </w:style>
  <w:style w:type="paragraph" w:styleId="Footer">
    <w:name w:val="footer"/>
    <w:basedOn w:val="Normal"/>
    <w:link w:val="FooterChar"/>
    <w:uiPriority w:val="99"/>
    <w:unhideWhenUsed/>
    <w:rsid w:val="00F432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2AE"/>
  </w:style>
  <w:style w:type="character" w:customStyle="1" w:styleId="Heading1Char">
    <w:name w:val="Heading 1 Char"/>
    <w:basedOn w:val="DefaultParagraphFont"/>
    <w:link w:val="Heading1"/>
    <w:uiPriority w:val="9"/>
    <w:rsid w:val="00F432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771</Words>
  <Characters>4400</Characters>
  <Application>Microsoft Office Word</Application>
  <DocSecurity>0</DocSecurity>
  <Lines>36</Lines>
  <Paragraphs>10</Paragraphs>
  <ScaleCrop>false</ScaleCrop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Bouttell</dc:creator>
  <cp:keywords/>
  <dc:description/>
  <cp:lastModifiedBy>Janet Bouttell</cp:lastModifiedBy>
  <cp:revision>100</cp:revision>
  <dcterms:created xsi:type="dcterms:W3CDTF">2021-08-07T11:05:00Z</dcterms:created>
  <dcterms:modified xsi:type="dcterms:W3CDTF">2021-09-30T12:43:00Z</dcterms:modified>
</cp:coreProperties>
</file>