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23E83" w:rsidP="00823E83" w:rsidRDefault="00823E83" w14:paraId="5FA18673" w14:textId="0D29CE98">
      <w:pPr>
        <w:pStyle w:val="Heading1"/>
      </w:pPr>
      <w:r>
        <w:t>Supplementary Materials 1</w:t>
      </w:r>
    </w:p>
    <w:p w:rsidR="00823E83" w:rsidP="00823E83" w:rsidRDefault="00823E83" w14:paraId="17E747B5" w14:textId="1EB69DDB"/>
    <w:p w:rsidRPr="00823E83" w:rsidR="00823E83" w:rsidP="00823E83" w:rsidRDefault="00823E83" w14:paraId="5ED2AFC0" w14:textId="579D29C5">
      <w:pPr>
        <w:pStyle w:val="Heading2"/>
      </w:pPr>
      <w:r w:rsidR="00823E83">
        <w:rPr/>
        <w:t>Additional detail of types of genomic/genetic tests with examples</w:t>
      </w:r>
    </w:p>
    <w:p w:rsidR="00823E83" w:rsidP="00823E83" w:rsidRDefault="00823E83" w14:paraId="3C607107" w14:textId="77777777"/>
    <w:p w:rsidR="00823E83" w:rsidP="00823E83" w:rsidRDefault="00823E83" w14:paraId="13C7EB54" w14:textId="52B53DB6">
      <w:r>
        <w:t>Single genes from a patient’s own DNA (rather than tumour DNA) may be used in the diagnosis of disease.  They are also widely used in cancer care as what have become known as ‘companion diagnostics’ (</w:t>
      </w:r>
      <w:proofErr w:type="spellStart"/>
      <w:r>
        <w:t>CDx</w:t>
      </w:r>
      <w:proofErr w:type="spellEnd"/>
      <w:r>
        <w:t xml:space="preserve">).  Here, the status of a particular gene in a tumour sample determines whether a patient is likely to respond to a given therapeutic.  An example of a </w:t>
      </w:r>
      <w:proofErr w:type="spellStart"/>
      <w:r>
        <w:t>CDx</w:t>
      </w:r>
      <w:proofErr w:type="spellEnd"/>
      <w:r>
        <w:t xml:space="preserve"> used in determining treatment in metastatic colorectal cancer is Kirsten Rat Sarcoma gene (KRAS).  Patients with wild-type (unmutated) KRAS are more likely to respond to Epidermal Growth Factor Receptor (EGFR) targeted therapy (for example, Cetuximab).  Alternatively, single gene tumour variants may indicate better or worse prognosis and either tumour or healthy tissue samples may be used to identify patients who are likely to have adverse reactions to </w:t>
      </w:r>
      <w:proofErr w:type="gramStart"/>
      <w:r>
        <w:t>particular treatments</w:t>
      </w:r>
      <w:proofErr w:type="gramEnd"/>
      <w:r>
        <w:t xml:space="preserve">. </w:t>
      </w:r>
    </w:p>
    <w:p w:rsidR="00823E83" w:rsidP="00823E83" w:rsidRDefault="00823E83" w14:paraId="779BB43A" w14:textId="42A81300">
      <w:r>
        <w:t xml:space="preserve">Multiple-gene tests are frequently referred to as panels.  This indicates that multiple genes are being tested simultaneously.  This is particularly useful when symptoms may be caused by more than one pathogen as in gastroenteritis.  Panels have also been developed for certain cancer types where multiple genes may have therapeutic or prognostic significance.  For example, in non-small cell lung cancer, a panel may be used to identify actionable mutations (which can be targeted with therapeutic agents) (1).  Such panels can also accelerate the referral of patients to relevant clinical trials.  </w:t>
      </w:r>
    </w:p>
    <w:p w:rsidR="00823E83" w:rsidP="00823E83" w:rsidRDefault="00823E83" w14:paraId="2B5E168C" w14:textId="25F67BBC">
      <w:r>
        <w:t xml:space="preserve">Polygenic risk scores are a development of multiple-gene tests that take data from </w:t>
      </w:r>
      <w:proofErr w:type="gramStart"/>
      <w:r>
        <w:t>a number of</w:t>
      </w:r>
      <w:proofErr w:type="gramEnd"/>
      <w:r>
        <w:t xml:space="preserve"> molecular targets (possibly combined with demographic or clinical information) and apply an algorithm to provide a score to a patient.  This score may indicate the risk of developing a particular condition or the risk of recurrence of cancer, for example Oncotype Dx produce tests which provide risk of recurrence scores in breast and prostate cancer.  These algorithm-based tests have been referred to as ‘black box’ tests (2) as they provide validated clinical guidance rather than a set of results from a panel requiring separate interpretation. </w:t>
      </w:r>
    </w:p>
    <w:p w:rsidR="00823E83" w:rsidP="00823E83" w:rsidRDefault="00823E83" w14:paraId="5393CDE7" w14:textId="5CC0E0FB">
      <w:r>
        <w:t xml:space="preserve">Whole genome sequencing involves sequencing all genes </w:t>
      </w:r>
      <w:proofErr w:type="gramStart"/>
      <w:r>
        <w:t>whether or not</w:t>
      </w:r>
      <w:proofErr w:type="gramEnd"/>
      <w:r>
        <w:t xml:space="preserve"> they are involved in the production of proteins.  Whole exome sequencing involves only those genes know to be involved in the production of protein so making processing and data quantities more manageable.  Whole transcriptome sequencing refers to the sequencing of RNA rather than DNA.  The difficulty with this broad ranging group of tests is in the volume of results obtained.  Some mechanism of interpretation of the results is required </w:t>
      </w:r>
      <w:proofErr w:type="gramStart"/>
      <w:r>
        <w:t>in order to</w:t>
      </w:r>
      <w:proofErr w:type="gramEnd"/>
      <w:r>
        <w:t xml:space="preserve"> render them clinically useful and much of the data produced will not be of immediate relevance.</w:t>
      </w:r>
    </w:p>
    <w:p w:rsidR="1A2E115E" w:rsidP="1A2E115E" w:rsidRDefault="1A2E115E" w14:paraId="05618C65" w14:textId="48BE9C35">
      <w:r>
        <w:t>Note all four test types could act as companion diagnostics if the purpose of the test was to determine a patient’s likely response to a particular therapy.</w:t>
      </w:r>
    </w:p>
    <w:p w:rsidR="00823E83" w:rsidP="00823E83" w:rsidRDefault="00823E83" w14:paraId="684EF6F9" w14:textId="77777777">
      <w:r>
        <w:t>These four test types are shown in Table 1 together with examples of genes and indications of use.</w:t>
      </w:r>
      <w:r w:rsidRPr="00BA7C4E">
        <w:t xml:space="preserve"> </w:t>
      </w:r>
    </w:p>
    <w:p w:rsidR="00823E83" w:rsidRDefault="00823E83" w14:paraId="737DF6E2" w14:textId="77777777">
      <w:pPr>
        <w:rPr>
          <w:rFonts w:cstheme="minorHAnsi"/>
          <w:b/>
          <w:bCs/>
          <w:sz w:val="20"/>
          <w:szCs w:val="20"/>
        </w:rPr>
      </w:pPr>
      <w:r>
        <w:rPr>
          <w:rFonts w:cstheme="minorHAnsi"/>
          <w:b/>
          <w:bCs/>
          <w:sz w:val="20"/>
          <w:szCs w:val="20"/>
        </w:rPr>
        <w:br w:type="page"/>
      </w:r>
    </w:p>
    <w:p w:rsidRPr="00CB3A14" w:rsidR="00823E83" w:rsidP="4D2B5264" w:rsidRDefault="00823E83" w14:paraId="3865A96A" w14:textId="45B28749">
      <w:pPr>
        <w:spacing w:after="0"/>
        <w:rPr>
          <w:rFonts w:cs="Calibri" w:cstheme="minorAscii"/>
          <w:b w:val="1"/>
          <w:bCs w:val="1"/>
          <w:sz w:val="20"/>
          <w:szCs w:val="20"/>
        </w:rPr>
      </w:pPr>
      <w:r w:rsidRPr="4D2B5264" w:rsidR="00823E83">
        <w:rPr>
          <w:rFonts w:cs="Calibri" w:cstheme="minorAscii"/>
          <w:b w:val="1"/>
          <w:bCs w:val="1"/>
          <w:sz w:val="20"/>
          <w:szCs w:val="20"/>
        </w:rPr>
        <w:t>Table 1: Examples of types of genomic/genetic tests</w:t>
      </w:r>
    </w:p>
    <w:tbl>
      <w:tblPr>
        <w:tblStyle w:val="TableGrid"/>
        <w:tblW w:w="0" w:type="auto"/>
        <w:tblLook w:val="04A0" w:firstRow="1" w:lastRow="0" w:firstColumn="1" w:lastColumn="0" w:noHBand="0" w:noVBand="1"/>
      </w:tblPr>
      <w:tblGrid>
        <w:gridCol w:w="1875"/>
        <w:gridCol w:w="2350"/>
        <w:gridCol w:w="2255"/>
        <w:gridCol w:w="2536"/>
      </w:tblGrid>
      <w:tr w:rsidRPr="00CB3A14" w:rsidR="00823E83" w:rsidTr="00AF4A52" w14:paraId="13AA7804" w14:textId="77777777">
        <w:tc>
          <w:tcPr>
            <w:tcW w:w="1880" w:type="dxa"/>
          </w:tcPr>
          <w:p w:rsidRPr="00CB3A14" w:rsidR="00823E83" w:rsidP="00AF4A52" w:rsidRDefault="00823E83" w14:paraId="2F21241F" w14:textId="77777777">
            <w:pPr>
              <w:rPr>
                <w:rFonts w:cstheme="minorHAnsi"/>
                <w:b/>
                <w:bCs/>
                <w:sz w:val="20"/>
                <w:szCs w:val="20"/>
              </w:rPr>
            </w:pPr>
            <w:r w:rsidRPr="00CB3A14">
              <w:rPr>
                <w:rFonts w:cstheme="minorHAnsi"/>
                <w:b/>
                <w:bCs/>
                <w:sz w:val="20"/>
                <w:szCs w:val="20"/>
              </w:rPr>
              <w:t>Test type</w:t>
            </w:r>
          </w:p>
        </w:tc>
        <w:tc>
          <w:tcPr>
            <w:tcW w:w="2368" w:type="dxa"/>
          </w:tcPr>
          <w:p w:rsidRPr="00CB3A14" w:rsidR="00823E83" w:rsidP="00AF4A52" w:rsidRDefault="00823E83" w14:paraId="25738039" w14:textId="77777777">
            <w:pPr>
              <w:rPr>
                <w:rFonts w:cstheme="minorHAnsi"/>
                <w:b/>
                <w:bCs/>
                <w:sz w:val="20"/>
                <w:szCs w:val="20"/>
              </w:rPr>
            </w:pPr>
            <w:r>
              <w:rPr>
                <w:rFonts w:cstheme="minorHAnsi"/>
                <w:b/>
                <w:bCs/>
                <w:sz w:val="20"/>
                <w:szCs w:val="20"/>
              </w:rPr>
              <w:t>Example t</w:t>
            </w:r>
            <w:r w:rsidRPr="00CB3A14">
              <w:rPr>
                <w:rFonts w:cstheme="minorHAnsi"/>
                <w:b/>
                <w:bCs/>
                <w:sz w:val="20"/>
                <w:szCs w:val="20"/>
              </w:rPr>
              <w:t>arget/s/</w:t>
            </w:r>
            <w:r>
              <w:rPr>
                <w:rFonts w:cstheme="minorHAnsi"/>
                <w:b/>
                <w:bCs/>
                <w:sz w:val="20"/>
                <w:szCs w:val="20"/>
              </w:rPr>
              <w:t>t</w:t>
            </w:r>
            <w:r w:rsidRPr="00CB3A14">
              <w:rPr>
                <w:rFonts w:cstheme="minorHAnsi"/>
                <w:b/>
                <w:bCs/>
                <w:sz w:val="20"/>
                <w:szCs w:val="20"/>
              </w:rPr>
              <w:t>est</w:t>
            </w:r>
            <w:r>
              <w:rPr>
                <w:rFonts w:cstheme="minorHAnsi"/>
                <w:b/>
                <w:bCs/>
                <w:sz w:val="20"/>
                <w:szCs w:val="20"/>
              </w:rPr>
              <w:t>. (First author, date)</w:t>
            </w:r>
          </w:p>
        </w:tc>
        <w:tc>
          <w:tcPr>
            <w:tcW w:w="2268" w:type="dxa"/>
          </w:tcPr>
          <w:p w:rsidRPr="00CB3A14" w:rsidR="00823E83" w:rsidP="00AF4A52" w:rsidRDefault="00823E83" w14:paraId="5B0ABEB5" w14:textId="77777777">
            <w:pPr>
              <w:rPr>
                <w:rFonts w:cstheme="minorHAnsi"/>
                <w:b/>
                <w:bCs/>
                <w:sz w:val="20"/>
                <w:szCs w:val="20"/>
              </w:rPr>
            </w:pPr>
            <w:r w:rsidRPr="00CB3A14">
              <w:rPr>
                <w:rFonts w:cstheme="minorHAnsi"/>
                <w:b/>
                <w:bCs/>
                <w:sz w:val="20"/>
                <w:szCs w:val="20"/>
              </w:rPr>
              <w:t>Indication</w:t>
            </w:r>
          </w:p>
        </w:tc>
        <w:tc>
          <w:tcPr>
            <w:tcW w:w="2551" w:type="dxa"/>
          </w:tcPr>
          <w:p w:rsidRPr="00CB3A14" w:rsidR="00823E83" w:rsidP="00AF4A52" w:rsidRDefault="00823E83" w14:paraId="464301D7" w14:textId="77777777">
            <w:pPr>
              <w:rPr>
                <w:rFonts w:cstheme="minorHAnsi"/>
                <w:b/>
                <w:bCs/>
                <w:sz w:val="20"/>
                <w:szCs w:val="20"/>
              </w:rPr>
            </w:pPr>
            <w:r w:rsidRPr="00CB3A14">
              <w:rPr>
                <w:rFonts w:cstheme="minorHAnsi"/>
                <w:b/>
                <w:bCs/>
                <w:sz w:val="20"/>
                <w:szCs w:val="20"/>
              </w:rPr>
              <w:t>Function</w:t>
            </w:r>
          </w:p>
        </w:tc>
      </w:tr>
      <w:tr w:rsidRPr="00CB3A14" w:rsidR="00823E83" w:rsidTr="00AF4A52" w14:paraId="4E7002B9" w14:textId="77777777">
        <w:tc>
          <w:tcPr>
            <w:tcW w:w="1880" w:type="dxa"/>
          </w:tcPr>
          <w:p w:rsidRPr="00CB3A14" w:rsidR="00823E83" w:rsidP="00AF4A52" w:rsidRDefault="00823E83" w14:paraId="0DCADBF1" w14:textId="77777777">
            <w:pPr>
              <w:rPr>
                <w:rFonts w:cstheme="minorHAnsi"/>
                <w:b/>
                <w:bCs/>
                <w:sz w:val="20"/>
                <w:szCs w:val="20"/>
              </w:rPr>
            </w:pPr>
            <w:r w:rsidRPr="00CB3A14">
              <w:rPr>
                <w:rFonts w:cstheme="minorHAnsi"/>
                <w:b/>
                <w:bCs/>
                <w:sz w:val="20"/>
                <w:szCs w:val="20"/>
              </w:rPr>
              <w:t>Single gene</w:t>
            </w:r>
          </w:p>
        </w:tc>
        <w:tc>
          <w:tcPr>
            <w:tcW w:w="2368" w:type="dxa"/>
          </w:tcPr>
          <w:p w:rsidRPr="00CB3A14" w:rsidR="00823E83" w:rsidP="00AF4A52" w:rsidRDefault="00823E83" w14:paraId="3A645FA7" w14:textId="7F82C013">
            <w:pPr>
              <w:rPr>
                <w:rFonts w:cstheme="minorHAnsi"/>
                <w:b/>
                <w:bCs/>
                <w:sz w:val="20"/>
                <w:szCs w:val="20"/>
              </w:rPr>
            </w:pPr>
            <w:r w:rsidRPr="00CB3A14">
              <w:rPr>
                <w:rFonts w:cstheme="minorHAnsi"/>
                <w:color w:val="000000"/>
                <w:sz w:val="20"/>
                <w:szCs w:val="20"/>
              </w:rPr>
              <w:t>CYP2D6 (</w:t>
            </w:r>
            <w:r>
              <w:rPr>
                <w:rFonts w:cstheme="minorHAnsi"/>
                <w:color w:val="000000"/>
                <w:sz w:val="20"/>
                <w:szCs w:val="20"/>
              </w:rPr>
              <w:t>3</w:t>
            </w:r>
            <w:r w:rsidRPr="00CB3A14">
              <w:rPr>
                <w:rFonts w:cstheme="minorHAnsi"/>
                <w:color w:val="000000"/>
                <w:sz w:val="20"/>
                <w:szCs w:val="20"/>
              </w:rPr>
              <w:t>)</w:t>
            </w:r>
          </w:p>
        </w:tc>
        <w:tc>
          <w:tcPr>
            <w:tcW w:w="2268" w:type="dxa"/>
          </w:tcPr>
          <w:p w:rsidRPr="00CB3A14" w:rsidR="00823E83" w:rsidP="00AF4A52" w:rsidRDefault="00823E83" w14:paraId="37B65EDD" w14:textId="77777777">
            <w:pPr>
              <w:rPr>
                <w:rFonts w:cstheme="minorHAnsi"/>
                <w:b/>
                <w:bCs/>
                <w:sz w:val="20"/>
                <w:szCs w:val="20"/>
              </w:rPr>
            </w:pPr>
            <w:proofErr w:type="spellStart"/>
            <w:r w:rsidRPr="00CB3A14">
              <w:rPr>
                <w:rFonts w:cstheme="minorHAnsi"/>
                <w:sz w:val="20"/>
                <w:szCs w:val="20"/>
              </w:rPr>
              <w:t>Estrogen</w:t>
            </w:r>
            <w:proofErr w:type="spellEnd"/>
            <w:r w:rsidRPr="00CB3A14">
              <w:rPr>
                <w:rFonts w:cstheme="minorHAnsi"/>
                <w:sz w:val="20"/>
                <w:szCs w:val="20"/>
              </w:rPr>
              <w:t xml:space="preserve"> receptor positive early breast cancer</w:t>
            </w:r>
          </w:p>
        </w:tc>
        <w:tc>
          <w:tcPr>
            <w:tcW w:w="2551" w:type="dxa"/>
          </w:tcPr>
          <w:p w:rsidRPr="00CB3A14" w:rsidR="00823E83" w:rsidP="00AF4A52" w:rsidRDefault="00823E83" w14:paraId="6A620BEA" w14:textId="77777777">
            <w:pPr>
              <w:rPr>
                <w:rFonts w:cstheme="minorHAnsi"/>
                <w:b/>
                <w:bCs/>
                <w:sz w:val="20"/>
                <w:szCs w:val="20"/>
              </w:rPr>
            </w:pPr>
            <w:r w:rsidRPr="00CB3A14">
              <w:rPr>
                <w:rFonts w:cstheme="minorHAnsi"/>
                <w:color w:val="000000"/>
                <w:sz w:val="20"/>
                <w:szCs w:val="20"/>
              </w:rPr>
              <w:t>To inform the targeted use of tamoxi</w:t>
            </w:r>
            <w:r w:rsidRPr="00CB3A14">
              <w:rPr>
                <w:rFonts w:cstheme="minorHAnsi"/>
                <w:color w:val="000000"/>
                <w:sz w:val="20"/>
                <w:szCs w:val="20"/>
              </w:rPr>
              <w:softHyphen/>
              <w:t>fen for treatment in the adjuvant setting</w:t>
            </w:r>
          </w:p>
        </w:tc>
      </w:tr>
      <w:tr w:rsidRPr="00CB3A14" w:rsidR="00823E83" w:rsidTr="00AF4A52" w14:paraId="1EB46034" w14:textId="77777777">
        <w:tc>
          <w:tcPr>
            <w:tcW w:w="1880" w:type="dxa"/>
          </w:tcPr>
          <w:p w:rsidRPr="00CB3A14" w:rsidR="00823E83" w:rsidP="00AF4A52" w:rsidRDefault="00823E83" w14:paraId="3A255092" w14:textId="77777777">
            <w:pPr>
              <w:rPr>
                <w:rFonts w:cstheme="minorHAnsi"/>
                <w:b/>
                <w:bCs/>
                <w:sz w:val="20"/>
                <w:szCs w:val="20"/>
              </w:rPr>
            </w:pPr>
            <w:r w:rsidRPr="00CB3A14">
              <w:rPr>
                <w:rFonts w:cstheme="minorHAnsi"/>
                <w:b/>
                <w:bCs/>
                <w:sz w:val="20"/>
                <w:szCs w:val="20"/>
              </w:rPr>
              <w:t>Multiple gene</w:t>
            </w:r>
          </w:p>
        </w:tc>
        <w:tc>
          <w:tcPr>
            <w:tcW w:w="2368" w:type="dxa"/>
          </w:tcPr>
          <w:p w:rsidRPr="00CB3A14" w:rsidR="00823E83" w:rsidP="00AF4A52" w:rsidRDefault="00823E83" w14:paraId="4490B0F4" w14:textId="77777777">
            <w:pPr>
              <w:rPr>
                <w:rFonts w:cstheme="minorHAnsi"/>
                <w:sz w:val="20"/>
                <w:szCs w:val="20"/>
              </w:rPr>
            </w:pPr>
            <w:r w:rsidRPr="00CB3A14">
              <w:rPr>
                <w:rFonts w:cstheme="minorHAnsi"/>
                <w:sz w:val="20"/>
                <w:szCs w:val="20"/>
              </w:rPr>
              <w:t>Epidermal growth factor receptor (EGFR)</w:t>
            </w:r>
          </w:p>
          <w:p w:rsidRPr="00CB3A14" w:rsidR="00823E83" w:rsidP="00AF4A52" w:rsidRDefault="00823E83" w14:paraId="7DE15827" w14:textId="77777777">
            <w:pPr>
              <w:rPr>
                <w:rFonts w:cstheme="minorHAnsi"/>
                <w:sz w:val="20"/>
                <w:szCs w:val="20"/>
              </w:rPr>
            </w:pPr>
            <w:r w:rsidRPr="00CB3A14">
              <w:rPr>
                <w:rFonts w:cstheme="minorHAnsi"/>
                <w:sz w:val="20"/>
                <w:szCs w:val="20"/>
              </w:rPr>
              <w:t xml:space="preserve">Anaplastic lymphoma kinase (ALK) </w:t>
            </w:r>
          </w:p>
          <w:p w:rsidRPr="00CB3A14" w:rsidR="00823E83" w:rsidP="00AF4A52" w:rsidRDefault="00823E83" w14:paraId="48FFD65D" w14:textId="77777777">
            <w:pPr>
              <w:rPr>
                <w:rFonts w:cstheme="minorHAnsi"/>
                <w:sz w:val="20"/>
                <w:szCs w:val="20"/>
              </w:rPr>
            </w:pPr>
            <w:r w:rsidRPr="00CB3A14">
              <w:rPr>
                <w:rFonts w:cstheme="minorHAnsi"/>
                <w:sz w:val="20"/>
                <w:szCs w:val="20"/>
              </w:rPr>
              <w:t>BRAF</w:t>
            </w:r>
          </w:p>
          <w:p w:rsidRPr="00CB3A14" w:rsidR="00823E83" w:rsidP="00AF4A52" w:rsidRDefault="00823E83" w14:paraId="19CF93EA" w14:textId="77777777">
            <w:pPr>
              <w:rPr>
                <w:rFonts w:cstheme="minorHAnsi"/>
                <w:sz w:val="20"/>
                <w:szCs w:val="20"/>
              </w:rPr>
            </w:pPr>
            <w:r w:rsidRPr="00CB3A14">
              <w:rPr>
                <w:rFonts w:cstheme="minorHAnsi"/>
                <w:sz w:val="20"/>
                <w:szCs w:val="20"/>
              </w:rPr>
              <w:t>RET</w:t>
            </w:r>
          </w:p>
          <w:p w:rsidRPr="00CB3A14" w:rsidR="00823E83" w:rsidP="00AF4A52" w:rsidRDefault="00823E83" w14:paraId="4B6A4196" w14:textId="77777777">
            <w:pPr>
              <w:rPr>
                <w:rFonts w:cstheme="minorHAnsi"/>
                <w:sz w:val="20"/>
                <w:szCs w:val="20"/>
              </w:rPr>
            </w:pPr>
            <w:r w:rsidRPr="00CB3A14">
              <w:rPr>
                <w:rFonts w:cstheme="minorHAnsi"/>
                <w:sz w:val="20"/>
                <w:szCs w:val="20"/>
              </w:rPr>
              <w:t>ROS1</w:t>
            </w:r>
          </w:p>
          <w:p w:rsidRPr="00CB3A14" w:rsidR="00823E83" w:rsidP="00AF4A52" w:rsidRDefault="00823E83" w14:paraId="4662FF91" w14:textId="77777777">
            <w:pPr>
              <w:rPr>
                <w:rFonts w:cstheme="minorHAnsi"/>
                <w:sz w:val="20"/>
                <w:szCs w:val="20"/>
                <w:lang w:val="da-DK"/>
              </w:rPr>
            </w:pPr>
            <w:r w:rsidRPr="00CB3A14">
              <w:rPr>
                <w:rFonts w:cstheme="minorHAnsi"/>
                <w:sz w:val="20"/>
                <w:szCs w:val="20"/>
                <w:lang w:val="da-DK"/>
              </w:rPr>
              <w:t>HER2</w:t>
            </w:r>
          </w:p>
          <w:p w:rsidRPr="00CB3A14" w:rsidR="00823E83" w:rsidP="00AF4A52" w:rsidRDefault="00823E83" w14:paraId="5EF342FA" w14:textId="4B62E34A">
            <w:pPr>
              <w:rPr>
                <w:rFonts w:cstheme="minorHAnsi"/>
                <w:b/>
                <w:bCs/>
                <w:sz w:val="20"/>
                <w:szCs w:val="20"/>
                <w:lang w:val="da-DK"/>
              </w:rPr>
            </w:pPr>
            <w:r w:rsidRPr="00CB3A14">
              <w:rPr>
                <w:rFonts w:cstheme="minorHAnsi"/>
                <w:sz w:val="20"/>
                <w:szCs w:val="20"/>
                <w:lang w:val="da-DK"/>
              </w:rPr>
              <w:t>MET mutations (</w:t>
            </w:r>
            <w:r>
              <w:rPr>
                <w:rFonts w:cstheme="minorHAnsi"/>
                <w:sz w:val="20"/>
                <w:szCs w:val="20"/>
                <w:lang w:val="da-DK"/>
              </w:rPr>
              <w:t>1</w:t>
            </w:r>
            <w:r w:rsidRPr="00CB3A14">
              <w:rPr>
                <w:rFonts w:cstheme="minorHAnsi"/>
                <w:sz w:val="20"/>
                <w:szCs w:val="20"/>
                <w:lang w:val="da-DK"/>
              </w:rPr>
              <w:t>)</w:t>
            </w:r>
          </w:p>
        </w:tc>
        <w:tc>
          <w:tcPr>
            <w:tcW w:w="2268" w:type="dxa"/>
          </w:tcPr>
          <w:p w:rsidRPr="00CB3A14" w:rsidR="00823E83" w:rsidP="00AF4A52" w:rsidRDefault="00823E83" w14:paraId="355D60D7" w14:textId="77777777">
            <w:pPr>
              <w:rPr>
                <w:rFonts w:cstheme="minorHAnsi"/>
                <w:b/>
                <w:bCs/>
                <w:sz w:val="20"/>
                <w:szCs w:val="20"/>
              </w:rPr>
            </w:pPr>
            <w:r w:rsidRPr="00CB3A14">
              <w:rPr>
                <w:rFonts w:cstheme="minorHAnsi"/>
                <w:sz w:val="20"/>
                <w:szCs w:val="20"/>
              </w:rPr>
              <w:t>Advanced Non-Small Cell Lung Cancer</w:t>
            </w:r>
          </w:p>
        </w:tc>
        <w:tc>
          <w:tcPr>
            <w:tcW w:w="2551" w:type="dxa"/>
          </w:tcPr>
          <w:p w:rsidRPr="00CB3A14" w:rsidR="00823E83" w:rsidP="00AF4A52" w:rsidRDefault="00823E83" w14:paraId="5A58E0C9" w14:textId="77777777">
            <w:pPr>
              <w:rPr>
                <w:rFonts w:cstheme="minorHAnsi"/>
                <w:sz w:val="20"/>
                <w:szCs w:val="20"/>
              </w:rPr>
            </w:pPr>
            <w:r w:rsidRPr="00CB3A14">
              <w:rPr>
                <w:rFonts w:cstheme="minorHAnsi"/>
                <w:sz w:val="20"/>
                <w:szCs w:val="20"/>
              </w:rPr>
              <w:t>To identify patients who could benefit from targeted therapies</w:t>
            </w:r>
          </w:p>
        </w:tc>
      </w:tr>
      <w:tr w:rsidRPr="00CB3A14" w:rsidR="00823E83" w:rsidTr="00AF4A52" w14:paraId="4BE004DE" w14:textId="77777777">
        <w:tc>
          <w:tcPr>
            <w:tcW w:w="1880" w:type="dxa"/>
          </w:tcPr>
          <w:p w:rsidRPr="00CB3A14" w:rsidR="00823E83" w:rsidP="00AF4A52" w:rsidRDefault="00823E83" w14:paraId="08DB74EC" w14:textId="77777777">
            <w:pPr>
              <w:rPr>
                <w:rFonts w:cstheme="minorHAnsi"/>
                <w:b/>
                <w:bCs/>
                <w:sz w:val="20"/>
                <w:szCs w:val="20"/>
              </w:rPr>
            </w:pPr>
            <w:r w:rsidRPr="00CB3A14">
              <w:rPr>
                <w:rFonts w:cstheme="minorHAnsi"/>
                <w:b/>
                <w:bCs/>
                <w:sz w:val="20"/>
                <w:szCs w:val="20"/>
              </w:rPr>
              <w:t>Polygenic risk score</w:t>
            </w:r>
          </w:p>
        </w:tc>
        <w:tc>
          <w:tcPr>
            <w:tcW w:w="2368" w:type="dxa"/>
          </w:tcPr>
          <w:p w:rsidRPr="00CB3A14" w:rsidR="00823E83" w:rsidP="00AF4A52" w:rsidRDefault="00823E83" w14:paraId="662146E4" w14:textId="0E004F52">
            <w:pPr>
              <w:rPr>
                <w:rFonts w:cstheme="minorHAnsi"/>
                <w:color w:val="000000"/>
                <w:sz w:val="20"/>
                <w:szCs w:val="20"/>
              </w:rPr>
            </w:pPr>
            <w:r w:rsidRPr="00CB3A14">
              <w:rPr>
                <w:rFonts w:cstheme="minorHAnsi"/>
                <w:color w:val="000000"/>
                <w:sz w:val="20"/>
                <w:szCs w:val="20"/>
              </w:rPr>
              <w:t>Oncotype Dx (</w:t>
            </w:r>
            <w:r>
              <w:rPr>
                <w:rFonts w:cstheme="minorHAnsi"/>
                <w:color w:val="000000"/>
                <w:sz w:val="20"/>
                <w:szCs w:val="20"/>
              </w:rPr>
              <w:t>4</w:t>
            </w:r>
            <w:r w:rsidRPr="00CB3A14">
              <w:rPr>
                <w:rFonts w:cstheme="minorHAnsi"/>
                <w:color w:val="000000"/>
                <w:sz w:val="20"/>
                <w:szCs w:val="20"/>
              </w:rPr>
              <w:t>)</w:t>
            </w:r>
          </w:p>
          <w:p w:rsidRPr="00CB3A14" w:rsidR="00823E83" w:rsidP="00AF4A52" w:rsidRDefault="00823E83" w14:paraId="25A98BC5" w14:textId="77777777">
            <w:pPr>
              <w:rPr>
                <w:rFonts w:cstheme="minorHAnsi"/>
                <w:b/>
                <w:bCs/>
                <w:sz w:val="20"/>
                <w:szCs w:val="20"/>
              </w:rPr>
            </w:pPr>
          </w:p>
        </w:tc>
        <w:tc>
          <w:tcPr>
            <w:tcW w:w="2268" w:type="dxa"/>
            <w:shd w:val="clear" w:color="auto" w:fill="auto"/>
          </w:tcPr>
          <w:p w:rsidRPr="00CB3A14" w:rsidR="00823E83" w:rsidP="00AF4A52" w:rsidRDefault="00823E83" w14:paraId="7463D077" w14:textId="77777777">
            <w:pPr>
              <w:rPr>
                <w:rFonts w:cstheme="minorHAnsi"/>
                <w:b/>
                <w:bCs/>
                <w:sz w:val="20"/>
                <w:szCs w:val="20"/>
              </w:rPr>
            </w:pPr>
            <w:proofErr w:type="spellStart"/>
            <w:r w:rsidRPr="00CB3A14">
              <w:rPr>
                <w:rFonts w:cstheme="minorHAnsi"/>
                <w:sz w:val="20"/>
                <w:szCs w:val="20"/>
                <w:shd w:val="clear" w:color="auto" w:fill="FFFFFF"/>
              </w:rPr>
              <w:t>Estrogen</w:t>
            </w:r>
            <w:proofErr w:type="spellEnd"/>
            <w:r w:rsidRPr="00CB3A14">
              <w:rPr>
                <w:rFonts w:cstheme="minorHAnsi"/>
                <w:sz w:val="20"/>
                <w:szCs w:val="20"/>
                <w:shd w:val="clear" w:color="auto" w:fill="FFFFFF"/>
              </w:rPr>
              <w:t xml:space="preserve"> receptor-positive (ER</w:t>
            </w:r>
            <w:r w:rsidRPr="00CB3A14">
              <w:rPr>
                <w:rFonts w:cstheme="minorHAnsi"/>
                <w:sz w:val="20"/>
                <w:szCs w:val="20"/>
                <w:shd w:val="clear" w:color="auto" w:fill="FFFFFF"/>
                <w:vertAlign w:val="superscript"/>
              </w:rPr>
              <w:t>+</w:t>
            </w:r>
            <w:r w:rsidRPr="00CB3A14">
              <w:rPr>
                <w:rFonts w:cstheme="minorHAnsi"/>
                <w:sz w:val="20"/>
                <w:szCs w:val="20"/>
                <w:shd w:val="clear" w:color="auto" w:fill="FFFFFF"/>
              </w:rPr>
              <w:t xml:space="preserve">), node-negative or </w:t>
            </w:r>
            <w:proofErr w:type="spellStart"/>
            <w:r w:rsidRPr="00CB3A14">
              <w:rPr>
                <w:rFonts w:cstheme="minorHAnsi"/>
                <w:sz w:val="20"/>
                <w:szCs w:val="20"/>
                <w:shd w:val="clear" w:color="auto" w:fill="FFFFFF"/>
              </w:rPr>
              <w:t>micrometastatic</w:t>
            </w:r>
            <w:proofErr w:type="spellEnd"/>
            <w:r w:rsidRPr="00CB3A14">
              <w:rPr>
                <w:rFonts w:cstheme="minorHAnsi"/>
                <w:sz w:val="20"/>
                <w:szCs w:val="20"/>
                <w:shd w:val="clear" w:color="auto" w:fill="FFFFFF"/>
              </w:rPr>
              <w:t xml:space="preserve"> (pN1mic) early-stage breast cancer</w:t>
            </w:r>
          </w:p>
        </w:tc>
        <w:tc>
          <w:tcPr>
            <w:tcW w:w="2551" w:type="dxa"/>
          </w:tcPr>
          <w:p w:rsidRPr="00CB3A14" w:rsidR="00823E83" w:rsidP="00AF4A52" w:rsidRDefault="00823E83" w14:paraId="34416582" w14:textId="77777777">
            <w:pPr>
              <w:rPr>
                <w:rFonts w:cstheme="minorHAnsi"/>
                <w:sz w:val="20"/>
                <w:szCs w:val="20"/>
              </w:rPr>
            </w:pPr>
            <w:r w:rsidRPr="00CB3A14">
              <w:rPr>
                <w:rFonts w:cstheme="minorHAnsi"/>
                <w:sz w:val="20"/>
                <w:szCs w:val="20"/>
              </w:rPr>
              <w:t>To inform adjuvant chemotherapy recommendations</w:t>
            </w:r>
          </w:p>
        </w:tc>
      </w:tr>
      <w:tr w:rsidRPr="00CB3A14" w:rsidR="00823E83" w:rsidTr="00AF4A52" w14:paraId="4C55F48D" w14:textId="77777777">
        <w:tc>
          <w:tcPr>
            <w:tcW w:w="1880" w:type="dxa"/>
          </w:tcPr>
          <w:p w:rsidRPr="00CB3A14" w:rsidR="00823E83" w:rsidP="00AF4A52" w:rsidRDefault="00823E83" w14:paraId="6C278DEA" w14:textId="77777777">
            <w:pPr>
              <w:rPr>
                <w:rFonts w:cstheme="minorHAnsi"/>
                <w:b/>
                <w:bCs/>
                <w:sz w:val="20"/>
                <w:szCs w:val="20"/>
              </w:rPr>
            </w:pPr>
            <w:r w:rsidRPr="00CB3A14">
              <w:rPr>
                <w:rFonts w:cstheme="minorHAnsi"/>
                <w:b/>
                <w:bCs/>
                <w:sz w:val="20"/>
                <w:szCs w:val="20"/>
              </w:rPr>
              <w:t>Whole genome/exome/ transcriptome</w:t>
            </w:r>
          </w:p>
        </w:tc>
        <w:tc>
          <w:tcPr>
            <w:tcW w:w="2368" w:type="dxa"/>
          </w:tcPr>
          <w:p w:rsidRPr="00CB3A14" w:rsidR="00823E83" w:rsidP="00AF4A52" w:rsidRDefault="00823E83" w14:paraId="447C3EF9" w14:textId="77777777">
            <w:pPr>
              <w:rPr>
                <w:rFonts w:cstheme="minorHAnsi"/>
                <w:sz w:val="20"/>
                <w:szCs w:val="20"/>
              </w:rPr>
            </w:pPr>
            <w:r w:rsidRPr="00CB3A14">
              <w:rPr>
                <w:rFonts w:cstheme="minorHAnsi"/>
                <w:sz w:val="20"/>
                <w:szCs w:val="20"/>
              </w:rPr>
              <w:t>Whole exome sequencing</w:t>
            </w:r>
          </w:p>
          <w:p w:rsidRPr="00CB3A14" w:rsidR="00823E83" w:rsidP="00AF4A52" w:rsidRDefault="00823E83" w14:paraId="6D889EC3" w14:textId="7F1EF31E">
            <w:pPr>
              <w:rPr>
                <w:rFonts w:cstheme="minorHAnsi"/>
                <w:sz w:val="20"/>
                <w:szCs w:val="20"/>
              </w:rPr>
            </w:pPr>
            <w:r w:rsidRPr="00CB3A14">
              <w:rPr>
                <w:rFonts w:cstheme="minorHAnsi"/>
                <w:sz w:val="20"/>
                <w:szCs w:val="20"/>
              </w:rPr>
              <w:t>(</w:t>
            </w:r>
            <w:r>
              <w:rPr>
                <w:rFonts w:cstheme="minorHAnsi"/>
                <w:sz w:val="20"/>
                <w:szCs w:val="20"/>
              </w:rPr>
              <w:t>5</w:t>
            </w:r>
            <w:r w:rsidRPr="00CB3A14">
              <w:rPr>
                <w:rFonts w:cstheme="minorHAnsi"/>
                <w:sz w:val="20"/>
                <w:szCs w:val="20"/>
              </w:rPr>
              <w:t>)</w:t>
            </w:r>
          </w:p>
          <w:p w:rsidRPr="00CB3A14" w:rsidR="00823E83" w:rsidP="00AF4A52" w:rsidRDefault="00823E83" w14:paraId="2D3F838C" w14:textId="77777777">
            <w:pPr>
              <w:rPr>
                <w:rFonts w:cstheme="minorHAnsi"/>
                <w:sz w:val="20"/>
                <w:szCs w:val="20"/>
              </w:rPr>
            </w:pPr>
          </w:p>
        </w:tc>
        <w:tc>
          <w:tcPr>
            <w:tcW w:w="2268" w:type="dxa"/>
          </w:tcPr>
          <w:p w:rsidRPr="00CB3A14" w:rsidR="00823E83" w:rsidP="00AF4A52" w:rsidRDefault="00823E83" w14:paraId="78A64A21" w14:textId="77777777">
            <w:pPr>
              <w:rPr>
                <w:rFonts w:cstheme="minorHAnsi"/>
                <w:sz w:val="20"/>
                <w:szCs w:val="20"/>
              </w:rPr>
            </w:pPr>
            <w:r w:rsidRPr="00CB3A14">
              <w:rPr>
                <w:rFonts w:cstheme="minorHAnsi"/>
                <w:sz w:val="20"/>
                <w:szCs w:val="20"/>
              </w:rPr>
              <w:t>Paediatric muscle diseases</w:t>
            </w:r>
          </w:p>
        </w:tc>
        <w:tc>
          <w:tcPr>
            <w:tcW w:w="2551" w:type="dxa"/>
          </w:tcPr>
          <w:p w:rsidRPr="00CB3A14" w:rsidR="00823E83" w:rsidP="00AF4A52" w:rsidRDefault="00823E83" w14:paraId="1E76BDA4" w14:textId="77777777">
            <w:pPr>
              <w:rPr>
                <w:rFonts w:cstheme="minorHAnsi"/>
                <w:sz w:val="20"/>
                <w:szCs w:val="20"/>
              </w:rPr>
            </w:pPr>
            <w:r w:rsidRPr="00CB3A14">
              <w:rPr>
                <w:rFonts w:cstheme="minorHAnsi"/>
                <w:sz w:val="20"/>
                <w:szCs w:val="20"/>
              </w:rPr>
              <w:t>Diagnosis</w:t>
            </w:r>
          </w:p>
        </w:tc>
      </w:tr>
    </w:tbl>
    <w:p w:rsidR="00E62231" w:rsidRDefault="006A6C47" w14:paraId="41A3B30B" w14:textId="2815CBFE"/>
    <w:p w:rsidR="00823E83" w:rsidP="00823E83" w:rsidRDefault="00823E83" w14:paraId="673F9F5F" w14:textId="19F5AE42">
      <w:pPr>
        <w:pStyle w:val="Heading2"/>
      </w:pPr>
      <w:r>
        <w:t>References</w:t>
      </w:r>
    </w:p>
    <w:p w:rsidR="00823E83" w:rsidP="00823E83" w:rsidRDefault="00823E83" w14:paraId="012ACE81" w14:textId="6240EB00"/>
    <w:p w:rsidRPr="00EC7F85" w:rsidR="0036739A" w:rsidP="0036739A" w:rsidRDefault="0036739A" w14:paraId="06A2FA12" w14:textId="77777777">
      <w:pPr>
        <w:pStyle w:val="ListParagraph"/>
        <w:numPr>
          <w:ilvl w:val="0"/>
          <w:numId w:val="1"/>
        </w:numPr>
        <w:rPr>
          <w:rFonts w:cstheme="minorHAnsi"/>
          <w:color w:val="222222"/>
          <w:shd w:val="clear" w:color="auto" w:fill="FFFFFF"/>
        </w:rPr>
      </w:pPr>
      <w:proofErr w:type="spellStart"/>
      <w:r w:rsidRPr="00EC7F85">
        <w:rPr>
          <w:rFonts w:cstheme="minorHAnsi"/>
          <w:color w:val="222222"/>
          <w:shd w:val="clear" w:color="auto" w:fill="FFFFFF"/>
        </w:rPr>
        <w:t>Steuten</w:t>
      </w:r>
      <w:proofErr w:type="spellEnd"/>
      <w:r w:rsidRPr="00EC7F85">
        <w:rPr>
          <w:rFonts w:cstheme="minorHAnsi"/>
          <w:color w:val="222222"/>
          <w:shd w:val="clear" w:color="auto" w:fill="FFFFFF"/>
        </w:rPr>
        <w:t xml:space="preserve"> L, Goulart B, </w:t>
      </w:r>
      <w:proofErr w:type="spellStart"/>
      <w:r w:rsidRPr="00EC7F85">
        <w:rPr>
          <w:rFonts w:cstheme="minorHAnsi"/>
          <w:color w:val="222222"/>
          <w:shd w:val="clear" w:color="auto" w:fill="FFFFFF"/>
        </w:rPr>
        <w:t>Meropol</w:t>
      </w:r>
      <w:proofErr w:type="spellEnd"/>
      <w:r w:rsidRPr="00EC7F85">
        <w:rPr>
          <w:rFonts w:cstheme="minorHAnsi"/>
          <w:color w:val="222222"/>
          <w:shd w:val="clear" w:color="auto" w:fill="FFFFFF"/>
        </w:rPr>
        <w:t xml:space="preserve"> NJ, Pritchard D, Ramsey SD. Cost effectiveness of multigene panel sequencing for patients with advanced non–small-cell lung cancer. JCO clinical cancer informatics. 2019 </w:t>
      </w:r>
      <w:proofErr w:type="gramStart"/>
      <w:r w:rsidRPr="00EC7F85">
        <w:rPr>
          <w:rFonts w:cstheme="minorHAnsi"/>
          <w:color w:val="222222"/>
          <w:shd w:val="clear" w:color="auto" w:fill="FFFFFF"/>
        </w:rPr>
        <w:t>Jun;3:1</w:t>
      </w:r>
      <w:proofErr w:type="gramEnd"/>
      <w:r w:rsidRPr="00EC7F85">
        <w:rPr>
          <w:rFonts w:cstheme="minorHAnsi"/>
          <w:color w:val="222222"/>
          <w:shd w:val="clear" w:color="auto" w:fill="FFFFFF"/>
        </w:rPr>
        <w:t>-0.</w:t>
      </w:r>
    </w:p>
    <w:p w:rsidRPr="00EC7F85" w:rsidR="00A8790B" w:rsidP="00A8790B" w:rsidRDefault="00A8790B" w14:paraId="0BF9386D" w14:textId="0B1592F6">
      <w:pPr>
        <w:pStyle w:val="ListParagraph"/>
        <w:numPr>
          <w:ilvl w:val="0"/>
          <w:numId w:val="1"/>
        </w:numPr>
        <w:rPr>
          <w:rFonts w:cstheme="minorHAnsi"/>
          <w:color w:val="000000"/>
        </w:rPr>
      </w:pPr>
      <w:proofErr w:type="spellStart"/>
      <w:r w:rsidRPr="00EC7F85">
        <w:rPr>
          <w:rFonts w:cstheme="minorHAnsi"/>
          <w:color w:val="000000"/>
          <w:lang w:val="es-ES_tradnl"/>
        </w:rPr>
        <w:t>Burris</w:t>
      </w:r>
      <w:proofErr w:type="spellEnd"/>
      <w:r w:rsidRPr="00EC7F85">
        <w:rPr>
          <w:rFonts w:cstheme="minorHAnsi"/>
          <w:color w:val="000000"/>
          <w:lang w:val="es-ES_tradnl"/>
        </w:rPr>
        <w:t xml:space="preserve">, H. A., </w:t>
      </w:r>
      <w:proofErr w:type="spellStart"/>
      <w:r w:rsidRPr="00EC7F85">
        <w:rPr>
          <w:rFonts w:cstheme="minorHAnsi"/>
          <w:color w:val="000000"/>
          <w:lang w:val="es-ES_tradnl"/>
        </w:rPr>
        <w:t>Saltz</w:t>
      </w:r>
      <w:proofErr w:type="spellEnd"/>
      <w:r w:rsidRPr="00EC7F85">
        <w:rPr>
          <w:rFonts w:cstheme="minorHAnsi"/>
          <w:color w:val="000000"/>
          <w:lang w:val="es-ES_tradnl"/>
        </w:rPr>
        <w:t xml:space="preserve">, L. B., &amp; </w:t>
      </w:r>
      <w:proofErr w:type="spellStart"/>
      <w:r w:rsidRPr="00EC7F85">
        <w:rPr>
          <w:rFonts w:cstheme="minorHAnsi"/>
          <w:color w:val="000000"/>
          <w:lang w:val="es-ES_tradnl"/>
        </w:rPr>
        <w:t>Yu</w:t>
      </w:r>
      <w:proofErr w:type="spellEnd"/>
      <w:r w:rsidRPr="00EC7F85">
        <w:rPr>
          <w:rFonts w:cstheme="minorHAnsi"/>
          <w:color w:val="000000"/>
          <w:lang w:val="es-ES_tradnl"/>
        </w:rPr>
        <w:t xml:space="preserve">, P. P. (2018). </w:t>
      </w:r>
      <w:r w:rsidRPr="00EC7F85">
        <w:rPr>
          <w:rFonts w:cstheme="minorHAnsi"/>
          <w:color w:val="000000"/>
        </w:rPr>
        <w:t xml:space="preserve">Assessing the value of next-generation sequencing tests in a dynamic environment. American Society of Clinical Oncology Educational Book, 38, 139-146. </w:t>
      </w:r>
    </w:p>
    <w:p w:rsidRPr="00EC7F85" w:rsidR="00821A73" w:rsidP="00821A73" w:rsidRDefault="00821A73" w14:paraId="06B2D7E4" w14:textId="77777777">
      <w:pPr>
        <w:pStyle w:val="ListParagraph"/>
        <w:numPr>
          <w:ilvl w:val="0"/>
          <w:numId w:val="1"/>
        </w:numPr>
        <w:rPr>
          <w:rFonts w:cstheme="minorHAnsi"/>
          <w:color w:val="000000"/>
        </w:rPr>
      </w:pPr>
      <w:proofErr w:type="spellStart"/>
      <w:r w:rsidRPr="00EC7F85">
        <w:rPr>
          <w:rFonts w:cstheme="minorHAnsi"/>
          <w:color w:val="000000"/>
        </w:rPr>
        <w:t>Fleeman</w:t>
      </w:r>
      <w:proofErr w:type="spellEnd"/>
      <w:r w:rsidRPr="00EC7F85">
        <w:rPr>
          <w:rFonts w:cstheme="minorHAnsi"/>
          <w:color w:val="000000"/>
        </w:rPr>
        <w:t xml:space="preserve">, N., Payne, K., Newman, W. G., Howell, S. J., Boland, A., </w:t>
      </w:r>
      <w:proofErr w:type="spellStart"/>
      <w:r w:rsidRPr="00EC7F85">
        <w:rPr>
          <w:rFonts w:cstheme="minorHAnsi"/>
          <w:color w:val="000000"/>
        </w:rPr>
        <w:t>Oyee</w:t>
      </w:r>
      <w:proofErr w:type="spellEnd"/>
      <w:r w:rsidRPr="00EC7F85">
        <w:rPr>
          <w:rFonts w:cstheme="minorHAnsi"/>
          <w:color w:val="000000"/>
        </w:rPr>
        <w:t xml:space="preserve">, J., . . . Dickson, R. (2013). Are health technology assessments of pharmacogenetic tests feasible? A case study of CYP2D6 testing in the treatment of breast cancer with tamoxifen. Personalized Medicine, 10(6), 601-611. </w:t>
      </w:r>
      <w:proofErr w:type="spellStart"/>
      <w:proofErr w:type="gramStart"/>
      <w:r w:rsidRPr="00EC7F85">
        <w:rPr>
          <w:rFonts w:cstheme="minorHAnsi"/>
          <w:color w:val="000000"/>
        </w:rPr>
        <w:t>doi:http</w:t>
      </w:r>
      <w:proofErr w:type="spellEnd"/>
      <w:r w:rsidRPr="00EC7F85">
        <w:rPr>
          <w:rFonts w:cstheme="minorHAnsi"/>
          <w:color w:val="000000"/>
        </w:rPr>
        <w:t>://dx.doi.org/10.2217/pme.13.60</w:t>
      </w:r>
      <w:proofErr w:type="gramEnd"/>
    </w:p>
    <w:p w:rsidR="00EC7F85" w:rsidP="00EC7F85" w:rsidRDefault="00723B88" w14:paraId="21016508" w14:textId="77777777">
      <w:pPr>
        <w:pStyle w:val="ListParagraph"/>
        <w:numPr>
          <w:ilvl w:val="0"/>
          <w:numId w:val="1"/>
        </w:numPr>
        <w:rPr>
          <w:rFonts w:cstheme="minorHAnsi"/>
        </w:rPr>
      </w:pPr>
      <w:r w:rsidRPr="00EC7F85">
        <w:rPr>
          <w:rFonts w:cstheme="minorHAnsi"/>
        </w:rPr>
        <w:t xml:space="preserve">Kip M, </w:t>
      </w:r>
      <w:proofErr w:type="spellStart"/>
      <w:r w:rsidRPr="00EC7F85">
        <w:rPr>
          <w:rFonts w:cstheme="minorHAnsi"/>
        </w:rPr>
        <w:t>Monteban</w:t>
      </w:r>
      <w:proofErr w:type="spellEnd"/>
      <w:r w:rsidRPr="00EC7F85">
        <w:rPr>
          <w:rFonts w:cstheme="minorHAnsi"/>
        </w:rPr>
        <w:t xml:space="preserve"> H, </w:t>
      </w:r>
      <w:proofErr w:type="spellStart"/>
      <w:r w:rsidRPr="00EC7F85">
        <w:rPr>
          <w:rFonts w:cstheme="minorHAnsi"/>
        </w:rPr>
        <w:t>Steuten</w:t>
      </w:r>
      <w:proofErr w:type="spellEnd"/>
      <w:r w:rsidRPr="00EC7F85">
        <w:rPr>
          <w:rFonts w:cstheme="minorHAnsi"/>
        </w:rPr>
        <w:t xml:space="preserve"> L. Long-term cost-effectiveness of Oncotype DX(R) versus current clinical practice from a Dutch cost perspective. Journal of comparative effectiveness research. Sep 2015;4(5):433-445</w:t>
      </w:r>
    </w:p>
    <w:p w:rsidRPr="00EC7F85" w:rsidR="00EC7F85" w:rsidP="00EC7F85" w:rsidRDefault="00EC7F85" w14:paraId="01B5754A" w14:textId="1AB4B145">
      <w:pPr>
        <w:pStyle w:val="ListParagraph"/>
        <w:numPr>
          <w:ilvl w:val="0"/>
          <w:numId w:val="1"/>
        </w:numPr>
        <w:rPr>
          <w:rFonts w:cstheme="minorHAnsi"/>
        </w:rPr>
      </w:pPr>
      <w:r w:rsidRPr="00EC7F85">
        <w:rPr>
          <w:rFonts w:cstheme="minorHAnsi"/>
          <w:color w:val="222222"/>
          <w:shd w:val="clear" w:color="auto" w:fill="FFFFFF"/>
        </w:rPr>
        <w:t xml:space="preserve">Schofield D, </w:t>
      </w:r>
      <w:proofErr w:type="spellStart"/>
      <w:r w:rsidRPr="00EC7F85">
        <w:rPr>
          <w:rFonts w:cstheme="minorHAnsi"/>
          <w:color w:val="222222"/>
          <w:shd w:val="clear" w:color="auto" w:fill="FFFFFF"/>
        </w:rPr>
        <w:t>Alam</w:t>
      </w:r>
      <w:proofErr w:type="spellEnd"/>
      <w:r w:rsidRPr="00EC7F85">
        <w:rPr>
          <w:rFonts w:cstheme="minorHAnsi"/>
          <w:color w:val="222222"/>
          <w:shd w:val="clear" w:color="auto" w:fill="FFFFFF"/>
        </w:rPr>
        <w:t xml:space="preserve"> K, Douglas L, Shrestha R, MacArthur DG, Davis M, Laing NG, Clarke NF, Burns J, Cooper ST, North KN. Cost-effectiveness of massively parallel sequencing for diagnosis of paediatric muscle diseases. NPJ genomic medicine. 2017 Mar 3;2(1):1-7.</w:t>
      </w:r>
    </w:p>
    <w:p w:rsidRPr="00EC7F85" w:rsidR="00823E83" w:rsidP="00823E83" w:rsidRDefault="00823E83" w14:paraId="19C7836D" w14:textId="77777777"/>
    <w:sectPr w:rsidRPr="00EC7F85" w:rsidR="00823E83">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295365"/>
    <w:multiLevelType w:val="hybridMultilevel"/>
    <w:tmpl w:val="C58ABAD0"/>
    <w:lvl w:ilvl="0" w:tplc="0809000F">
      <w:start w:val="1"/>
      <w:numFmt w:val="decimal"/>
      <w:lvlText w:val="%1."/>
      <w:lvlJc w:val="left"/>
      <w:pPr>
        <w:ind w:left="64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3763943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3E83"/>
    <w:rsid w:val="0000160E"/>
    <w:rsid w:val="000022C6"/>
    <w:rsid w:val="00002A67"/>
    <w:rsid w:val="00025228"/>
    <w:rsid w:val="00054A5E"/>
    <w:rsid w:val="00056933"/>
    <w:rsid w:val="000706C8"/>
    <w:rsid w:val="0007628F"/>
    <w:rsid w:val="00081902"/>
    <w:rsid w:val="0008684B"/>
    <w:rsid w:val="000A1F0D"/>
    <w:rsid w:val="000A66D2"/>
    <w:rsid w:val="000B19B8"/>
    <w:rsid w:val="000B2AAE"/>
    <w:rsid w:val="000B5E07"/>
    <w:rsid w:val="000C35B9"/>
    <w:rsid w:val="000D33BF"/>
    <w:rsid w:val="00101589"/>
    <w:rsid w:val="00103FCB"/>
    <w:rsid w:val="00105513"/>
    <w:rsid w:val="00106225"/>
    <w:rsid w:val="00111484"/>
    <w:rsid w:val="00111C4D"/>
    <w:rsid w:val="00124960"/>
    <w:rsid w:val="00132FB4"/>
    <w:rsid w:val="001629D1"/>
    <w:rsid w:val="00170314"/>
    <w:rsid w:val="00172644"/>
    <w:rsid w:val="00181B10"/>
    <w:rsid w:val="001A4B2F"/>
    <w:rsid w:val="001A6AE2"/>
    <w:rsid w:val="001B182C"/>
    <w:rsid w:val="001C6E67"/>
    <w:rsid w:val="001C6EA1"/>
    <w:rsid w:val="001C7AB0"/>
    <w:rsid w:val="001E3856"/>
    <w:rsid w:val="001F64AA"/>
    <w:rsid w:val="00210203"/>
    <w:rsid w:val="002132A5"/>
    <w:rsid w:val="00224D88"/>
    <w:rsid w:val="002303DE"/>
    <w:rsid w:val="00230E7B"/>
    <w:rsid w:val="00242786"/>
    <w:rsid w:val="00245CD2"/>
    <w:rsid w:val="00253883"/>
    <w:rsid w:val="002622D5"/>
    <w:rsid w:val="00270C64"/>
    <w:rsid w:val="002724E8"/>
    <w:rsid w:val="002744A5"/>
    <w:rsid w:val="00275815"/>
    <w:rsid w:val="00281974"/>
    <w:rsid w:val="002820FA"/>
    <w:rsid w:val="00283CE0"/>
    <w:rsid w:val="00293A64"/>
    <w:rsid w:val="00297723"/>
    <w:rsid w:val="002A65E0"/>
    <w:rsid w:val="002B07B3"/>
    <w:rsid w:val="002C6347"/>
    <w:rsid w:val="002C7891"/>
    <w:rsid w:val="002E4E1A"/>
    <w:rsid w:val="002F0844"/>
    <w:rsid w:val="00301D29"/>
    <w:rsid w:val="0030403D"/>
    <w:rsid w:val="0030799B"/>
    <w:rsid w:val="00322586"/>
    <w:rsid w:val="00332CCD"/>
    <w:rsid w:val="00335448"/>
    <w:rsid w:val="00362078"/>
    <w:rsid w:val="0036739A"/>
    <w:rsid w:val="00375132"/>
    <w:rsid w:val="003768B8"/>
    <w:rsid w:val="003772FC"/>
    <w:rsid w:val="00380373"/>
    <w:rsid w:val="003828D2"/>
    <w:rsid w:val="00384A2F"/>
    <w:rsid w:val="00386540"/>
    <w:rsid w:val="00393F29"/>
    <w:rsid w:val="003A0C4A"/>
    <w:rsid w:val="003B228B"/>
    <w:rsid w:val="003B54DB"/>
    <w:rsid w:val="003D3974"/>
    <w:rsid w:val="003D5A42"/>
    <w:rsid w:val="003E6E7E"/>
    <w:rsid w:val="003F207E"/>
    <w:rsid w:val="00424997"/>
    <w:rsid w:val="00433E2A"/>
    <w:rsid w:val="00435003"/>
    <w:rsid w:val="00437F98"/>
    <w:rsid w:val="004431A1"/>
    <w:rsid w:val="004445E3"/>
    <w:rsid w:val="00463505"/>
    <w:rsid w:val="00464326"/>
    <w:rsid w:val="00484249"/>
    <w:rsid w:val="00492411"/>
    <w:rsid w:val="004A4914"/>
    <w:rsid w:val="004B6B0A"/>
    <w:rsid w:val="004D4646"/>
    <w:rsid w:val="004D74FD"/>
    <w:rsid w:val="004E31D3"/>
    <w:rsid w:val="004E4BAC"/>
    <w:rsid w:val="004F0BB3"/>
    <w:rsid w:val="004F65E8"/>
    <w:rsid w:val="004F7485"/>
    <w:rsid w:val="0051173E"/>
    <w:rsid w:val="00511799"/>
    <w:rsid w:val="00522982"/>
    <w:rsid w:val="005245C6"/>
    <w:rsid w:val="0053372A"/>
    <w:rsid w:val="005357DE"/>
    <w:rsid w:val="00540037"/>
    <w:rsid w:val="00541644"/>
    <w:rsid w:val="005432A7"/>
    <w:rsid w:val="00544AE5"/>
    <w:rsid w:val="00544DE5"/>
    <w:rsid w:val="00550E9F"/>
    <w:rsid w:val="00561CDB"/>
    <w:rsid w:val="00564D34"/>
    <w:rsid w:val="00571646"/>
    <w:rsid w:val="00580A17"/>
    <w:rsid w:val="00584542"/>
    <w:rsid w:val="005871EA"/>
    <w:rsid w:val="005A4319"/>
    <w:rsid w:val="005A45E9"/>
    <w:rsid w:val="005A6756"/>
    <w:rsid w:val="005B5391"/>
    <w:rsid w:val="005C3AC3"/>
    <w:rsid w:val="005C6AFE"/>
    <w:rsid w:val="005C71D0"/>
    <w:rsid w:val="005D207A"/>
    <w:rsid w:val="005D2755"/>
    <w:rsid w:val="005E094C"/>
    <w:rsid w:val="005E3FBC"/>
    <w:rsid w:val="005E5E13"/>
    <w:rsid w:val="0060707B"/>
    <w:rsid w:val="006170D8"/>
    <w:rsid w:val="0063706D"/>
    <w:rsid w:val="00651836"/>
    <w:rsid w:val="00661318"/>
    <w:rsid w:val="00664465"/>
    <w:rsid w:val="00673195"/>
    <w:rsid w:val="006800DE"/>
    <w:rsid w:val="006827B2"/>
    <w:rsid w:val="006A14D6"/>
    <w:rsid w:val="006A23F7"/>
    <w:rsid w:val="006A6C47"/>
    <w:rsid w:val="006B23F9"/>
    <w:rsid w:val="006C2D6E"/>
    <w:rsid w:val="006C51F3"/>
    <w:rsid w:val="006E278E"/>
    <w:rsid w:val="006E454B"/>
    <w:rsid w:val="006E7CEE"/>
    <w:rsid w:val="006F07FF"/>
    <w:rsid w:val="006F34BC"/>
    <w:rsid w:val="0070520E"/>
    <w:rsid w:val="00721DB0"/>
    <w:rsid w:val="00722D4B"/>
    <w:rsid w:val="00723B88"/>
    <w:rsid w:val="00733230"/>
    <w:rsid w:val="0073598D"/>
    <w:rsid w:val="00741867"/>
    <w:rsid w:val="00741A18"/>
    <w:rsid w:val="00766768"/>
    <w:rsid w:val="007803AE"/>
    <w:rsid w:val="00781CF9"/>
    <w:rsid w:val="0079024F"/>
    <w:rsid w:val="00792F52"/>
    <w:rsid w:val="007950AD"/>
    <w:rsid w:val="007B0B8C"/>
    <w:rsid w:val="007B3BCA"/>
    <w:rsid w:val="007B67AA"/>
    <w:rsid w:val="007C1820"/>
    <w:rsid w:val="007D2C93"/>
    <w:rsid w:val="007E430C"/>
    <w:rsid w:val="007E7CD1"/>
    <w:rsid w:val="007F68AD"/>
    <w:rsid w:val="008011C9"/>
    <w:rsid w:val="00805635"/>
    <w:rsid w:val="00812016"/>
    <w:rsid w:val="00821A73"/>
    <w:rsid w:val="00823E83"/>
    <w:rsid w:val="00843A2B"/>
    <w:rsid w:val="00847815"/>
    <w:rsid w:val="008521D2"/>
    <w:rsid w:val="0086128E"/>
    <w:rsid w:val="00866C9F"/>
    <w:rsid w:val="008738FA"/>
    <w:rsid w:val="008800D2"/>
    <w:rsid w:val="008A3A74"/>
    <w:rsid w:val="008B09EF"/>
    <w:rsid w:val="008B54BB"/>
    <w:rsid w:val="008C1A22"/>
    <w:rsid w:val="008C57F4"/>
    <w:rsid w:val="008C6EED"/>
    <w:rsid w:val="008D57FF"/>
    <w:rsid w:val="008E5D46"/>
    <w:rsid w:val="00920879"/>
    <w:rsid w:val="009238DA"/>
    <w:rsid w:val="0093522C"/>
    <w:rsid w:val="0093571B"/>
    <w:rsid w:val="0094022B"/>
    <w:rsid w:val="009440A2"/>
    <w:rsid w:val="00952EBA"/>
    <w:rsid w:val="0095400E"/>
    <w:rsid w:val="00955024"/>
    <w:rsid w:val="009579D1"/>
    <w:rsid w:val="00961B88"/>
    <w:rsid w:val="00963A6F"/>
    <w:rsid w:val="00977B2B"/>
    <w:rsid w:val="00981114"/>
    <w:rsid w:val="00991340"/>
    <w:rsid w:val="00994AED"/>
    <w:rsid w:val="00996189"/>
    <w:rsid w:val="009A1641"/>
    <w:rsid w:val="009A227B"/>
    <w:rsid w:val="009A56FF"/>
    <w:rsid w:val="009A77BF"/>
    <w:rsid w:val="009C0B0A"/>
    <w:rsid w:val="009C3903"/>
    <w:rsid w:val="009D190A"/>
    <w:rsid w:val="009D3DEE"/>
    <w:rsid w:val="009D443B"/>
    <w:rsid w:val="009E4467"/>
    <w:rsid w:val="009F5950"/>
    <w:rsid w:val="00A152D7"/>
    <w:rsid w:val="00A157E3"/>
    <w:rsid w:val="00A16A06"/>
    <w:rsid w:val="00A3252A"/>
    <w:rsid w:val="00A32E30"/>
    <w:rsid w:val="00A4265C"/>
    <w:rsid w:val="00A44BED"/>
    <w:rsid w:val="00A5554B"/>
    <w:rsid w:val="00A6197B"/>
    <w:rsid w:val="00A71357"/>
    <w:rsid w:val="00A8162C"/>
    <w:rsid w:val="00A81907"/>
    <w:rsid w:val="00A841DD"/>
    <w:rsid w:val="00A85902"/>
    <w:rsid w:val="00A8790B"/>
    <w:rsid w:val="00AA17AD"/>
    <w:rsid w:val="00AB33B4"/>
    <w:rsid w:val="00AC5777"/>
    <w:rsid w:val="00AC5BF4"/>
    <w:rsid w:val="00AD3C5C"/>
    <w:rsid w:val="00AF08FD"/>
    <w:rsid w:val="00AF31CD"/>
    <w:rsid w:val="00AF5576"/>
    <w:rsid w:val="00B205EC"/>
    <w:rsid w:val="00B232D0"/>
    <w:rsid w:val="00B33EDB"/>
    <w:rsid w:val="00B4247C"/>
    <w:rsid w:val="00B50E65"/>
    <w:rsid w:val="00B55054"/>
    <w:rsid w:val="00B61861"/>
    <w:rsid w:val="00B6262D"/>
    <w:rsid w:val="00B62A28"/>
    <w:rsid w:val="00B637C9"/>
    <w:rsid w:val="00B655E4"/>
    <w:rsid w:val="00B676C6"/>
    <w:rsid w:val="00B97C13"/>
    <w:rsid w:val="00B97E88"/>
    <w:rsid w:val="00BA5F99"/>
    <w:rsid w:val="00BC0428"/>
    <w:rsid w:val="00BC07DB"/>
    <w:rsid w:val="00BC6BF0"/>
    <w:rsid w:val="00BD21BB"/>
    <w:rsid w:val="00BD6961"/>
    <w:rsid w:val="00BE6CED"/>
    <w:rsid w:val="00BF105A"/>
    <w:rsid w:val="00BF2B2E"/>
    <w:rsid w:val="00C12357"/>
    <w:rsid w:val="00C22A1A"/>
    <w:rsid w:val="00C251D7"/>
    <w:rsid w:val="00C30E00"/>
    <w:rsid w:val="00C31B2E"/>
    <w:rsid w:val="00C37CD7"/>
    <w:rsid w:val="00C41BE6"/>
    <w:rsid w:val="00C633BA"/>
    <w:rsid w:val="00C63ACB"/>
    <w:rsid w:val="00C70C68"/>
    <w:rsid w:val="00C734D6"/>
    <w:rsid w:val="00C77E28"/>
    <w:rsid w:val="00C94EC5"/>
    <w:rsid w:val="00CA114A"/>
    <w:rsid w:val="00CA3EF7"/>
    <w:rsid w:val="00CA799E"/>
    <w:rsid w:val="00CC1546"/>
    <w:rsid w:val="00CC2AD8"/>
    <w:rsid w:val="00CD7318"/>
    <w:rsid w:val="00CE1CA3"/>
    <w:rsid w:val="00CE4493"/>
    <w:rsid w:val="00CE44E3"/>
    <w:rsid w:val="00CE4821"/>
    <w:rsid w:val="00CF0243"/>
    <w:rsid w:val="00CF1257"/>
    <w:rsid w:val="00CF290B"/>
    <w:rsid w:val="00CF32E8"/>
    <w:rsid w:val="00CF6BE7"/>
    <w:rsid w:val="00D06FEE"/>
    <w:rsid w:val="00D14122"/>
    <w:rsid w:val="00D414F6"/>
    <w:rsid w:val="00D44BA0"/>
    <w:rsid w:val="00D573C4"/>
    <w:rsid w:val="00D636EF"/>
    <w:rsid w:val="00D71280"/>
    <w:rsid w:val="00D72AF3"/>
    <w:rsid w:val="00D7362D"/>
    <w:rsid w:val="00D74D63"/>
    <w:rsid w:val="00D91B01"/>
    <w:rsid w:val="00D955BD"/>
    <w:rsid w:val="00DB1045"/>
    <w:rsid w:val="00DC1683"/>
    <w:rsid w:val="00DC1B18"/>
    <w:rsid w:val="00DD43B7"/>
    <w:rsid w:val="00DE15CB"/>
    <w:rsid w:val="00DE7E85"/>
    <w:rsid w:val="00E00FD2"/>
    <w:rsid w:val="00E236FD"/>
    <w:rsid w:val="00E2581C"/>
    <w:rsid w:val="00E30EFD"/>
    <w:rsid w:val="00E32C80"/>
    <w:rsid w:val="00E36285"/>
    <w:rsid w:val="00E41A4C"/>
    <w:rsid w:val="00E46C91"/>
    <w:rsid w:val="00E54E53"/>
    <w:rsid w:val="00E72637"/>
    <w:rsid w:val="00E72904"/>
    <w:rsid w:val="00E75494"/>
    <w:rsid w:val="00E86018"/>
    <w:rsid w:val="00E91A88"/>
    <w:rsid w:val="00E95EF4"/>
    <w:rsid w:val="00E967BF"/>
    <w:rsid w:val="00EB65C0"/>
    <w:rsid w:val="00EC2403"/>
    <w:rsid w:val="00EC39F7"/>
    <w:rsid w:val="00EC4716"/>
    <w:rsid w:val="00EC7F85"/>
    <w:rsid w:val="00F0669C"/>
    <w:rsid w:val="00F52FF4"/>
    <w:rsid w:val="00F5387D"/>
    <w:rsid w:val="00F55FE9"/>
    <w:rsid w:val="00F62F61"/>
    <w:rsid w:val="00F77614"/>
    <w:rsid w:val="00F80262"/>
    <w:rsid w:val="00F80ABF"/>
    <w:rsid w:val="00F814E5"/>
    <w:rsid w:val="00F9623F"/>
    <w:rsid w:val="00F96CFF"/>
    <w:rsid w:val="00FA4FD8"/>
    <w:rsid w:val="00FB2B9F"/>
    <w:rsid w:val="00FD141D"/>
    <w:rsid w:val="00FD3A7F"/>
    <w:rsid w:val="00FE30B6"/>
    <w:rsid w:val="00FE4A16"/>
    <w:rsid w:val="00FE62DA"/>
    <w:rsid w:val="00FF04E8"/>
    <w:rsid w:val="1A2E115E"/>
    <w:rsid w:val="27A366FD"/>
    <w:rsid w:val="3D679680"/>
    <w:rsid w:val="4D2B5264"/>
    <w:rsid w:val="70FB076B"/>
    <w:rsid w:val="71C42ABC"/>
    <w:rsid w:val="7432A82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5B8CA"/>
  <w15:chartTrackingRefBased/>
  <w15:docId w15:val="{0E3F9678-F06B-4D91-8A14-6A02D4718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823E83"/>
  </w:style>
  <w:style w:type="paragraph" w:styleId="Heading1">
    <w:name w:val="heading 1"/>
    <w:basedOn w:val="Normal"/>
    <w:next w:val="Normal"/>
    <w:link w:val="Heading1Char"/>
    <w:uiPriority w:val="9"/>
    <w:qFormat/>
    <w:rsid w:val="00823E83"/>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23E83"/>
    <w:pPr>
      <w:keepNext/>
      <w:keepLines/>
      <w:spacing w:before="40" w:after="0"/>
      <w:outlineLvl w:val="1"/>
    </w:pPr>
    <w:rPr>
      <w:rFonts w:asciiTheme="majorHAnsi" w:hAnsiTheme="majorHAnsi" w:eastAsiaTheme="majorEastAsia" w:cstheme="majorBidi"/>
      <w:color w:val="2F5496" w:themeColor="accent1" w:themeShade="BF"/>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823E83"/>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mmentReference">
    <w:name w:val="annotation reference"/>
    <w:basedOn w:val="DefaultParagraphFont"/>
    <w:uiPriority w:val="99"/>
    <w:semiHidden/>
    <w:unhideWhenUsed/>
    <w:rsid w:val="00823E83"/>
    <w:rPr>
      <w:sz w:val="16"/>
      <w:szCs w:val="16"/>
    </w:rPr>
  </w:style>
  <w:style w:type="paragraph" w:styleId="CommentText">
    <w:name w:val="annotation text"/>
    <w:basedOn w:val="Normal"/>
    <w:link w:val="CommentTextChar"/>
    <w:uiPriority w:val="99"/>
    <w:semiHidden/>
    <w:unhideWhenUsed/>
    <w:rsid w:val="00823E83"/>
    <w:pPr>
      <w:spacing w:line="240" w:lineRule="auto"/>
    </w:pPr>
    <w:rPr>
      <w:sz w:val="20"/>
      <w:szCs w:val="20"/>
    </w:rPr>
  </w:style>
  <w:style w:type="character" w:styleId="CommentTextChar" w:customStyle="1">
    <w:name w:val="Comment Text Char"/>
    <w:basedOn w:val="DefaultParagraphFont"/>
    <w:link w:val="CommentText"/>
    <w:uiPriority w:val="99"/>
    <w:semiHidden/>
    <w:rsid w:val="00823E83"/>
    <w:rPr>
      <w:sz w:val="20"/>
      <w:szCs w:val="20"/>
    </w:rPr>
  </w:style>
  <w:style w:type="character" w:styleId="Heading1Char" w:customStyle="1">
    <w:name w:val="Heading 1 Char"/>
    <w:basedOn w:val="DefaultParagraphFont"/>
    <w:link w:val="Heading1"/>
    <w:uiPriority w:val="9"/>
    <w:rsid w:val="00823E83"/>
    <w:rPr>
      <w:rFonts w:asciiTheme="majorHAnsi" w:hAnsiTheme="majorHAnsi" w:eastAsiaTheme="majorEastAsia" w:cstheme="majorBidi"/>
      <w:color w:val="2F5496" w:themeColor="accent1" w:themeShade="BF"/>
      <w:sz w:val="32"/>
      <w:szCs w:val="32"/>
    </w:rPr>
  </w:style>
  <w:style w:type="character" w:styleId="Heading2Char" w:customStyle="1">
    <w:name w:val="Heading 2 Char"/>
    <w:basedOn w:val="DefaultParagraphFont"/>
    <w:link w:val="Heading2"/>
    <w:uiPriority w:val="9"/>
    <w:rsid w:val="00823E83"/>
    <w:rPr>
      <w:rFonts w:asciiTheme="majorHAnsi" w:hAnsiTheme="majorHAnsi" w:eastAsiaTheme="majorEastAsia" w:cstheme="majorBidi"/>
      <w:color w:val="2F5496" w:themeColor="accent1" w:themeShade="BF"/>
      <w:sz w:val="26"/>
      <w:szCs w:val="26"/>
    </w:rPr>
  </w:style>
  <w:style w:type="paragraph" w:styleId="ListParagraph">
    <w:name w:val="List Paragraph"/>
    <w:basedOn w:val="Normal"/>
    <w:uiPriority w:val="34"/>
    <w:qFormat/>
    <w:rsid w:val="00823E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Janet Bouttell</dc:creator>
  <keywords/>
  <dc:description/>
  <lastModifiedBy>Janet Bouttell</lastModifiedBy>
  <revision>3</revision>
  <dcterms:created xsi:type="dcterms:W3CDTF">2022-04-05T13:13:00.0000000Z</dcterms:created>
  <dcterms:modified xsi:type="dcterms:W3CDTF">2022-04-29T13:37:33.0561011Z</dcterms:modified>
</coreProperties>
</file>