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0ADAF5" w14:textId="57F5E7ED" w:rsidR="00B43C92" w:rsidRDefault="00D22CB9" w:rsidP="00B43C92">
      <w:pPr>
        <w:spacing w:after="0"/>
        <w:rPr>
          <w:b/>
          <w:bCs/>
          <w:sz w:val="24"/>
          <w:szCs w:val="24"/>
        </w:rPr>
      </w:pPr>
      <w:bookmarkStart w:id="0" w:name="_Toc96294225"/>
      <w:r>
        <w:rPr>
          <w:b/>
          <w:bCs/>
          <w:sz w:val="24"/>
          <w:szCs w:val="24"/>
        </w:rPr>
        <w:t>Supplementary Table 3</w:t>
      </w:r>
      <w:r w:rsidR="00B43C92" w:rsidRPr="00B43C92">
        <w:rPr>
          <w:b/>
          <w:bCs/>
          <w:sz w:val="24"/>
          <w:szCs w:val="24"/>
        </w:rPr>
        <w:t xml:space="preserve">: </w:t>
      </w:r>
      <w:r>
        <w:rPr>
          <w:b/>
          <w:bCs/>
          <w:sz w:val="24"/>
          <w:szCs w:val="24"/>
        </w:rPr>
        <w:t>Special features in key organisations</w:t>
      </w:r>
      <w:r w:rsidR="00B43C92" w:rsidRPr="00B43C92">
        <w:rPr>
          <w:b/>
          <w:bCs/>
          <w:sz w:val="24"/>
          <w:szCs w:val="24"/>
        </w:rPr>
        <w:t xml:space="preserve"> (N=</w:t>
      </w:r>
      <w:r>
        <w:rPr>
          <w:b/>
          <w:bCs/>
          <w:sz w:val="24"/>
          <w:szCs w:val="24"/>
        </w:rPr>
        <w:t>7</w:t>
      </w:r>
      <w:r w:rsidR="00B43C92" w:rsidRPr="00B43C92">
        <w:rPr>
          <w:b/>
          <w:bCs/>
          <w:sz w:val="24"/>
          <w:szCs w:val="24"/>
        </w:rPr>
        <w:t>)</w:t>
      </w:r>
      <w:bookmarkEnd w:id="0"/>
    </w:p>
    <w:p w14:paraId="3CC005D5" w14:textId="77777777" w:rsidR="00D22CB9" w:rsidRDefault="00D22CB9" w:rsidP="00B43C92">
      <w:pPr>
        <w:spacing w:after="0"/>
        <w:rPr>
          <w:b/>
          <w:bCs/>
          <w:sz w:val="24"/>
          <w:szCs w:val="24"/>
        </w:rPr>
      </w:pPr>
    </w:p>
    <w:tbl>
      <w:tblPr>
        <w:tblW w:w="9072" w:type="dxa"/>
        <w:tblBorders>
          <w:insideH w:val="single" w:sz="4" w:space="0" w:color="auto"/>
        </w:tblBorders>
        <w:tblLayout w:type="fixed"/>
        <w:tblLook w:val="04A0" w:firstRow="1" w:lastRow="0" w:firstColumn="1" w:lastColumn="0" w:noHBand="0" w:noVBand="1"/>
      </w:tblPr>
      <w:tblGrid>
        <w:gridCol w:w="1418"/>
        <w:gridCol w:w="7654"/>
      </w:tblGrid>
      <w:tr w:rsidR="00D22CB9" w:rsidRPr="00D22CB9" w14:paraId="55953581" w14:textId="77777777" w:rsidTr="00612901">
        <w:trPr>
          <w:trHeight w:val="670"/>
          <w:tblHeader/>
        </w:trPr>
        <w:tc>
          <w:tcPr>
            <w:tcW w:w="1418" w:type="dxa"/>
            <w:tcBorders>
              <w:top w:val="single" w:sz="4" w:space="0" w:color="auto"/>
              <w:bottom w:val="single" w:sz="4" w:space="0" w:color="auto"/>
            </w:tcBorders>
            <w:shd w:val="clear" w:color="auto" w:fill="auto"/>
            <w:hideMark/>
          </w:tcPr>
          <w:p w14:paraId="544EAF75" w14:textId="77777777" w:rsidR="00D22CB9" w:rsidRPr="00D22CB9" w:rsidRDefault="00D22CB9" w:rsidP="00D22CB9">
            <w:pPr>
              <w:spacing w:after="100" w:afterAutospacing="1" w:line="240" w:lineRule="auto"/>
              <w:rPr>
                <w:rFonts w:ascii="Calibri" w:eastAsia="Calibri" w:hAnsi="Calibri" w:cs="Calibri"/>
                <w:b/>
                <w:bCs/>
                <w:color w:val="000000"/>
                <w:lang w:eastAsia="en-GB"/>
              </w:rPr>
            </w:pPr>
            <w:r w:rsidRPr="00D22CB9">
              <w:rPr>
                <w:rFonts w:ascii="Calibri" w:eastAsia="Calibri" w:hAnsi="Calibri" w:cs="Calibri"/>
                <w:b/>
                <w:bCs/>
                <w:color w:val="000000"/>
                <w:lang w:eastAsia="en-GB"/>
              </w:rPr>
              <w:t>HTA organisation</w:t>
            </w:r>
          </w:p>
        </w:tc>
        <w:tc>
          <w:tcPr>
            <w:tcW w:w="7654" w:type="dxa"/>
            <w:tcBorders>
              <w:top w:val="single" w:sz="4" w:space="0" w:color="auto"/>
              <w:bottom w:val="single" w:sz="4" w:space="0" w:color="auto"/>
            </w:tcBorders>
            <w:shd w:val="clear" w:color="auto" w:fill="auto"/>
            <w:hideMark/>
          </w:tcPr>
          <w:p w14:paraId="69AE0F7E" w14:textId="7A186991" w:rsidR="00D22CB9" w:rsidRPr="00D22CB9" w:rsidRDefault="00D22CB9" w:rsidP="00D22CB9">
            <w:pPr>
              <w:spacing w:after="100" w:afterAutospacing="1" w:line="240" w:lineRule="auto"/>
              <w:rPr>
                <w:rFonts w:ascii="Calibri" w:eastAsia="Calibri" w:hAnsi="Calibri" w:cs="Calibri"/>
                <w:b/>
                <w:bCs/>
                <w:color w:val="000000"/>
                <w:lang w:eastAsia="en-GB"/>
              </w:rPr>
            </w:pPr>
            <w:r>
              <w:rPr>
                <w:rFonts w:ascii="Calibri" w:eastAsia="Calibri" w:hAnsi="Calibri" w:cs="Calibri"/>
                <w:b/>
                <w:bCs/>
                <w:color w:val="000000"/>
                <w:lang w:eastAsia="en-GB"/>
              </w:rPr>
              <w:t>Special</w:t>
            </w:r>
            <w:r w:rsidRPr="00D22CB9">
              <w:rPr>
                <w:rFonts w:ascii="Calibri" w:eastAsia="Calibri" w:hAnsi="Calibri" w:cs="Calibri"/>
                <w:b/>
                <w:bCs/>
                <w:color w:val="000000"/>
                <w:lang w:eastAsia="en-GB"/>
              </w:rPr>
              <w:t xml:space="preserve"> features</w:t>
            </w:r>
            <w:r>
              <w:rPr>
                <w:rFonts w:ascii="Calibri" w:eastAsia="Calibri" w:hAnsi="Calibri" w:cs="Calibri"/>
                <w:b/>
                <w:bCs/>
                <w:color w:val="000000"/>
                <w:lang w:eastAsia="en-GB"/>
              </w:rPr>
              <w:t xml:space="preserve"> noted in data abstraction for key organisations</w:t>
            </w:r>
          </w:p>
        </w:tc>
      </w:tr>
      <w:tr w:rsidR="00D22CB9" w:rsidRPr="00D22CB9" w14:paraId="372973BF" w14:textId="77777777" w:rsidTr="00612901">
        <w:trPr>
          <w:trHeight w:val="2900"/>
        </w:trPr>
        <w:tc>
          <w:tcPr>
            <w:tcW w:w="1418" w:type="dxa"/>
            <w:tcBorders>
              <w:top w:val="single" w:sz="4" w:space="0" w:color="auto"/>
            </w:tcBorders>
            <w:shd w:val="clear" w:color="auto" w:fill="auto"/>
            <w:hideMark/>
          </w:tcPr>
          <w:p w14:paraId="583282CF" w14:textId="77777777" w:rsidR="00D22CB9" w:rsidRPr="00D22CB9" w:rsidRDefault="00D22CB9" w:rsidP="00D22CB9">
            <w:pPr>
              <w:spacing w:after="60" w:line="480" w:lineRule="auto"/>
              <w:rPr>
                <w:rFonts w:ascii="Calibri" w:eastAsia="Calibri" w:hAnsi="Calibri" w:cs="Calibri"/>
                <w:color w:val="000000"/>
                <w:lang w:eastAsia="en-GB"/>
              </w:rPr>
            </w:pPr>
            <w:r w:rsidRPr="00D22CB9">
              <w:rPr>
                <w:rFonts w:ascii="Calibri" w:eastAsia="Calibri" w:hAnsi="Calibri" w:cs="Calibri"/>
                <w:color w:val="000000"/>
                <w:lang w:eastAsia="en-GB"/>
              </w:rPr>
              <w:t>AHRQ</w:t>
            </w:r>
          </w:p>
        </w:tc>
        <w:tc>
          <w:tcPr>
            <w:tcW w:w="7654" w:type="dxa"/>
            <w:tcBorders>
              <w:top w:val="single" w:sz="4" w:space="0" w:color="auto"/>
            </w:tcBorders>
            <w:shd w:val="clear" w:color="auto" w:fill="auto"/>
            <w:hideMark/>
          </w:tcPr>
          <w:p w14:paraId="24D11D16" w14:textId="77777777" w:rsidR="00D22CB9" w:rsidRPr="00D22CB9" w:rsidRDefault="00D22CB9" w:rsidP="00D22CB9">
            <w:pPr>
              <w:numPr>
                <w:ilvl w:val="0"/>
                <w:numId w:val="1"/>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 xml:space="preserve">Use of the AHRQ ‘analytic framework’ as a lynch pin of reviews. The framework is first developed during topic development (scoping), and is used to provide clarity, consistency and depth to the whole systematic review process. The framework is used to set out the ‘chain’ of outcomes that lead from the test itself to downstream health outcomes. </w:t>
            </w:r>
          </w:p>
          <w:p w14:paraId="05559F53" w14:textId="77777777" w:rsidR="00D22CB9" w:rsidRPr="00D22CB9" w:rsidRDefault="00D22CB9" w:rsidP="00D22CB9">
            <w:pPr>
              <w:numPr>
                <w:ilvl w:val="0"/>
                <w:numId w:val="1"/>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“HTA” by Evidence Practice Centers are conceived as systematic reviews of the evidence on tests possibly augmented by modelling. The system for making policy decisions/guidance does not sit within the remit of AHRQ, but with the US Centers for Medicare and Medicaid Services who make coverage decisions using AHRQ HTA reports.</w:t>
            </w:r>
          </w:p>
          <w:p w14:paraId="40CDEDD2" w14:textId="7F210129" w:rsidR="00D22CB9" w:rsidRPr="00D22CB9" w:rsidRDefault="00D22CB9" w:rsidP="00D22CB9">
            <w:pPr>
              <w:numPr>
                <w:ilvl w:val="0"/>
                <w:numId w:val="1"/>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Special attention given to the part</w:t>
            </w:r>
            <w:r w:rsidR="00CB600F">
              <w:rPr>
                <w:rFonts w:ascii="Calibri" w:eastAsia="Calibri" w:hAnsi="Calibri" w:cs="Calibri"/>
                <w:color w:val="000000"/>
                <w:lang w:eastAsia="en-GB"/>
              </w:rPr>
              <w:t>icular needs of genetic tests [1</w:t>
            </w:r>
            <w:r w:rsidRPr="00D22CB9">
              <w:rPr>
                <w:rFonts w:ascii="Calibri" w:eastAsia="Calibri" w:hAnsi="Calibri" w:cs="Calibri"/>
                <w:color w:val="000000"/>
                <w:lang w:eastAsia="en-GB"/>
              </w:rPr>
              <w:t>, Cha</w:t>
            </w:r>
            <w:r w:rsidR="00CB600F">
              <w:rPr>
                <w:rFonts w:ascii="Calibri" w:eastAsia="Calibri" w:hAnsi="Calibri" w:cs="Calibri"/>
                <w:color w:val="000000"/>
                <w:lang w:eastAsia="en-GB"/>
              </w:rPr>
              <w:t>pter 11] and prognostic tests [1</w:t>
            </w:r>
            <w:r w:rsidRPr="00D22CB9">
              <w:rPr>
                <w:rFonts w:ascii="Calibri" w:eastAsia="Calibri" w:hAnsi="Calibri" w:cs="Calibri"/>
                <w:color w:val="000000"/>
                <w:lang w:eastAsia="en-GB"/>
              </w:rPr>
              <w:t>, Chapter 12].</w:t>
            </w:r>
          </w:p>
        </w:tc>
      </w:tr>
      <w:tr w:rsidR="00D22CB9" w:rsidRPr="00D22CB9" w14:paraId="5A1FCB13" w14:textId="77777777" w:rsidTr="00D22CB9">
        <w:trPr>
          <w:trHeight w:val="381"/>
        </w:trPr>
        <w:tc>
          <w:tcPr>
            <w:tcW w:w="1418" w:type="dxa"/>
            <w:shd w:val="clear" w:color="auto" w:fill="auto"/>
            <w:hideMark/>
          </w:tcPr>
          <w:p w14:paraId="4C4A33CA" w14:textId="77777777" w:rsidR="00D22CB9" w:rsidRPr="00D22CB9" w:rsidRDefault="00D22CB9" w:rsidP="00D22CB9">
            <w:pPr>
              <w:spacing w:after="0" w:line="480" w:lineRule="auto"/>
              <w:rPr>
                <w:rFonts w:ascii="Calibri" w:eastAsia="Calibri" w:hAnsi="Calibri" w:cs="Calibri"/>
                <w:color w:val="000000"/>
                <w:lang w:eastAsia="en-GB"/>
              </w:rPr>
            </w:pPr>
            <w:r w:rsidRPr="00D22CB9">
              <w:rPr>
                <w:rFonts w:ascii="Calibri" w:eastAsia="Calibri" w:hAnsi="Calibri" w:cs="Calibri"/>
                <w:color w:val="000000"/>
                <w:lang w:eastAsia="en-GB"/>
              </w:rPr>
              <w:t>CADTH</w:t>
            </w:r>
          </w:p>
        </w:tc>
        <w:tc>
          <w:tcPr>
            <w:tcW w:w="7654" w:type="dxa"/>
            <w:shd w:val="clear" w:color="auto" w:fill="auto"/>
            <w:hideMark/>
          </w:tcPr>
          <w:p w14:paraId="19292291" w14:textId="77777777" w:rsidR="00D22CB9" w:rsidRPr="00D22CB9" w:rsidRDefault="00D22CB9" w:rsidP="00D22CB9">
            <w:pPr>
              <w:numPr>
                <w:ilvl w:val="0"/>
                <w:numId w:val="2"/>
              </w:numPr>
              <w:spacing w:after="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Appendix dedicated to health economic evaluation of codependent tests.</w:t>
            </w:r>
          </w:p>
        </w:tc>
      </w:tr>
      <w:tr w:rsidR="00D22CB9" w:rsidRPr="00D22CB9" w14:paraId="39EFD445" w14:textId="77777777" w:rsidTr="00612901">
        <w:trPr>
          <w:trHeight w:val="870"/>
        </w:trPr>
        <w:tc>
          <w:tcPr>
            <w:tcW w:w="1418" w:type="dxa"/>
            <w:shd w:val="clear" w:color="auto" w:fill="auto"/>
            <w:hideMark/>
          </w:tcPr>
          <w:p w14:paraId="10BE6CCD" w14:textId="77777777" w:rsidR="00D22CB9" w:rsidRPr="00D22CB9" w:rsidRDefault="00D22CB9" w:rsidP="00D22CB9">
            <w:pPr>
              <w:spacing w:after="60" w:line="480" w:lineRule="auto"/>
              <w:rPr>
                <w:rFonts w:ascii="Calibri" w:eastAsia="Calibri" w:hAnsi="Calibri" w:cs="Calibri"/>
                <w:color w:val="000000"/>
                <w:lang w:eastAsia="en-GB"/>
              </w:rPr>
            </w:pPr>
            <w:r w:rsidRPr="00D22CB9">
              <w:rPr>
                <w:rFonts w:ascii="Calibri" w:eastAsia="Calibri" w:hAnsi="Calibri" w:cs="Calibri"/>
                <w:color w:val="000000"/>
                <w:lang w:eastAsia="en-GB"/>
              </w:rPr>
              <w:t>IQWiG</w:t>
            </w:r>
          </w:p>
        </w:tc>
        <w:tc>
          <w:tcPr>
            <w:tcW w:w="7654" w:type="dxa"/>
            <w:shd w:val="clear" w:color="auto" w:fill="auto"/>
            <w:hideMark/>
          </w:tcPr>
          <w:p w14:paraId="7460A03A" w14:textId="77777777" w:rsidR="00D22CB9" w:rsidRPr="00D22CB9" w:rsidRDefault="00D22CB9" w:rsidP="00D22CB9">
            <w:pPr>
              <w:numPr>
                <w:ilvl w:val="0"/>
                <w:numId w:val="3"/>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Strong preference for evidence based on RCTs even for tests, and that an absence of such evidence should result in a recommendation that it is not possible to make reliable recommendations.</w:t>
            </w:r>
          </w:p>
        </w:tc>
      </w:tr>
      <w:tr w:rsidR="00D22CB9" w:rsidRPr="00D22CB9" w14:paraId="3F0A3FFC" w14:textId="77777777" w:rsidTr="00612901">
        <w:trPr>
          <w:trHeight w:val="5812"/>
        </w:trPr>
        <w:tc>
          <w:tcPr>
            <w:tcW w:w="1418" w:type="dxa"/>
            <w:shd w:val="clear" w:color="auto" w:fill="auto"/>
            <w:hideMark/>
          </w:tcPr>
          <w:p w14:paraId="40AF3701" w14:textId="77777777" w:rsidR="00D22CB9" w:rsidRPr="00D22CB9" w:rsidRDefault="00D22CB9" w:rsidP="00D22CB9">
            <w:pPr>
              <w:spacing w:after="60" w:line="480" w:lineRule="auto"/>
              <w:rPr>
                <w:rFonts w:ascii="Calibri" w:eastAsia="Calibri" w:hAnsi="Calibri" w:cs="Calibri"/>
                <w:color w:val="000000"/>
                <w:lang w:eastAsia="en-GB"/>
              </w:rPr>
            </w:pPr>
            <w:r w:rsidRPr="00D22CB9">
              <w:rPr>
                <w:rFonts w:ascii="Calibri" w:eastAsia="Calibri" w:hAnsi="Calibri" w:cs="Calibri"/>
                <w:color w:val="000000"/>
                <w:lang w:eastAsia="en-GB"/>
              </w:rPr>
              <w:t>MSAC</w:t>
            </w:r>
          </w:p>
        </w:tc>
        <w:tc>
          <w:tcPr>
            <w:tcW w:w="7654" w:type="dxa"/>
            <w:shd w:val="clear" w:color="auto" w:fill="auto"/>
            <w:hideMark/>
          </w:tcPr>
          <w:p w14:paraId="1CDDF656" w14:textId="726217D8" w:rsidR="00D22CB9" w:rsidRPr="00D22CB9" w:rsidRDefault="00D22CB9" w:rsidP="00D22CB9">
            <w:pPr>
              <w:numPr>
                <w:ilvl w:val="0"/>
                <w:numId w:val="3"/>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Rigorousl</w:t>
            </w:r>
            <w:r w:rsidR="00CB600F">
              <w:rPr>
                <w:rFonts w:ascii="Calibri" w:eastAsia="Calibri" w:hAnsi="Calibri" w:cs="Calibri"/>
                <w:color w:val="000000"/>
                <w:lang w:eastAsia="en-GB"/>
              </w:rPr>
              <w:t>y developed process framework [3.</w:t>
            </w:r>
            <w:r w:rsidRPr="00D22CB9">
              <w:rPr>
                <w:rFonts w:ascii="Calibri" w:eastAsia="Calibri" w:hAnsi="Calibri" w:cs="Calibri"/>
                <w:color w:val="000000"/>
                <w:lang w:eastAsia="en-GB"/>
              </w:rPr>
              <w:t>] that incorporates tailoring for HTAs of tests.</w:t>
            </w:r>
          </w:p>
          <w:p w14:paraId="0A3FF3F9" w14:textId="77777777" w:rsidR="00D22CB9" w:rsidRPr="00D22CB9" w:rsidRDefault="00D22CB9" w:rsidP="00D22CB9">
            <w:pPr>
              <w:numPr>
                <w:ilvl w:val="0"/>
                <w:numId w:val="3"/>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The health–related claims of testing underpin all elements of the HTA approach, and a structure is provided to assemble the claim in a standardised manner, the ‘assessment framework’.</w:t>
            </w:r>
          </w:p>
          <w:p w14:paraId="527F49CF" w14:textId="77777777" w:rsidR="00D22CB9" w:rsidRPr="00D22CB9" w:rsidRDefault="00D22CB9" w:rsidP="00D22CB9">
            <w:pPr>
              <w:numPr>
                <w:ilvl w:val="0"/>
                <w:numId w:val="3"/>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The review of clinical evidence and cost–effectiveness analysis are explicitly linked by the claims of the test.</w:t>
            </w:r>
          </w:p>
          <w:p w14:paraId="783F666F" w14:textId="74F492F5" w:rsidR="00D22CB9" w:rsidRPr="00D22CB9" w:rsidRDefault="00D22CB9" w:rsidP="00D22CB9">
            <w:pPr>
              <w:numPr>
                <w:ilvl w:val="0"/>
                <w:numId w:val="3"/>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 xml:space="preserve">Specific and extended information on what is meant by a linked evidence approach </w:t>
            </w:r>
            <w:r w:rsidR="00DC1331">
              <w:rPr>
                <w:rFonts w:ascii="Calibri" w:eastAsia="Calibri" w:hAnsi="Calibri" w:cs="Calibri"/>
                <w:color w:val="000000"/>
                <w:lang w:eastAsia="en-GB"/>
              </w:rPr>
              <w:t>[</w:t>
            </w:r>
            <w:r w:rsidR="00CB600F">
              <w:rPr>
                <w:rFonts w:ascii="Calibri" w:eastAsia="Calibri" w:hAnsi="Calibri" w:cs="Calibri"/>
                <w:color w:val="000000"/>
                <w:lang w:eastAsia="en-GB"/>
              </w:rPr>
              <w:t xml:space="preserve">2. </w:t>
            </w:r>
            <w:r w:rsidRPr="00D22CB9">
              <w:rPr>
                <w:rFonts w:ascii="Calibri" w:eastAsia="Calibri" w:hAnsi="Calibri" w:cs="Calibri"/>
                <w:color w:val="000000"/>
                <w:lang w:eastAsia="en-GB"/>
              </w:rPr>
              <w:t xml:space="preserve">TG </w:t>
            </w:r>
            <w:r w:rsidR="00DC1331">
              <w:rPr>
                <w:rFonts w:ascii="Calibri" w:eastAsia="Calibri" w:hAnsi="Calibri" w:cs="Calibri"/>
                <w:color w:val="000000"/>
                <w:lang w:eastAsia="en-GB"/>
              </w:rPr>
              <w:t>11–13]</w:t>
            </w:r>
            <w:r w:rsidRPr="00D22CB9">
              <w:rPr>
                <w:rFonts w:ascii="Calibri" w:eastAsia="Calibri" w:hAnsi="Calibri" w:cs="Calibri"/>
                <w:color w:val="000000"/>
                <w:lang w:eastAsia="en-GB"/>
              </w:rPr>
              <w:t>.</w:t>
            </w:r>
          </w:p>
          <w:p w14:paraId="3349A12B" w14:textId="7E88908D" w:rsidR="00D22CB9" w:rsidRPr="00D22CB9" w:rsidRDefault="00D22CB9" w:rsidP="00D22CB9">
            <w:pPr>
              <w:numPr>
                <w:ilvl w:val="0"/>
                <w:numId w:val="3"/>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Separating non-inferiority and superiority of accuracy, with some detailed guidance, e.g. Figure</w:t>
            </w:r>
            <w:r w:rsidR="006E346F">
              <w:rPr>
                <w:rFonts w:ascii="Calibri" w:eastAsia="Calibri" w:hAnsi="Calibri" w:cs="Calibri"/>
                <w:color w:val="000000"/>
                <w:lang w:eastAsia="en-GB"/>
              </w:rPr>
              <w:t xml:space="preserve"> 9 [2.</w:t>
            </w:r>
            <w:r w:rsidRPr="00D22CB9">
              <w:rPr>
                <w:rFonts w:ascii="Calibri" w:eastAsia="Calibri" w:hAnsi="Calibri" w:cs="Calibri"/>
                <w:color w:val="000000"/>
                <w:lang w:eastAsia="en-GB"/>
              </w:rPr>
              <w:t xml:space="preserve"> p.83] and Appendix </w:t>
            </w:r>
            <w:r w:rsidR="006E346F">
              <w:rPr>
                <w:rFonts w:ascii="Calibri" w:eastAsia="Calibri" w:hAnsi="Calibri" w:cs="Calibri"/>
                <w:color w:val="000000"/>
                <w:lang w:eastAsia="en-GB"/>
              </w:rPr>
              <w:t>5 [2.</w:t>
            </w:r>
            <w:r w:rsidRPr="00D22CB9">
              <w:rPr>
                <w:rFonts w:ascii="Calibri" w:eastAsia="Calibri" w:hAnsi="Calibri" w:cs="Calibri"/>
                <w:color w:val="000000"/>
                <w:lang w:eastAsia="en-GB"/>
              </w:rPr>
              <w:t xml:space="preserve"> p.267].</w:t>
            </w:r>
          </w:p>
          <w:p w14:paraId="2AB8B761" w14:textId="77777777" w:rsidR="00D22CB9" w:rsidRPr="00D22CB9" w:rsidRDefault="00D22CB9" w:rsidP="00D22CB9">
            <w:pPr>
              <w:numPr>
                <w:ilvl w:val="0"/>
                <w:numId w:val="3"/>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Specific considerations of other test types throughout the Guidance, including screening, monitoring, prognosis, predictive, genetic and artificial intelligence/machine learning tests.</w:t>
            </w:r>
          </w:p>
          <w:p w14:paraId="0B5FC607" w14:textId="77777777" w:rsidR="00D22CB9" w:rsidRPr="00D22CB9" w:rsidRDefault="00D22CB9" w:rsidP="00D22CB9">
            <w:pPr>
              <w:numPr>
                <w:ilvl w:val="0"/>
                <w:numId w:val="3"/>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An additional special chapter is included for particular types of tests, discussing the following key considerations:</w:t>
            </w:r>
          </w:p>
          <w:p w14:paraId="743CC073" w14:textId="521F4FAD" w:rsidR="00D22CB9" w:rsidRPr="00D22CB9" w:rsidRDefault="00D22CB9" w:rsidP="00D22CB9">
            <w:pPr>
              <w:numPr>
                <w:ilvl w:val="1"/>
                <w:numId w:val="3"/>
              </w:numPr>
              <w:spacing w:after="60" w:line="240" w:lineRule="auto"/>
              <w:ind w:left="603"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 xml:space="preserve">“Screening can encompass broad or narrow populations. Considerations relevant to the assessment of universal screening programs, targeted screening, predisposition testing and cascade testing will differ </w:t>
            </w:r>
            <w:r w:rsidR="00DC1331">
              <w:rPr>
                <w:rFonts w:ascii="Calibri" w:eastAsia="Calibri" w:hAnsi="Calibri" w:cs="Calibri"/>
                <w:color w:val="000000"/>
                <w:lang w:eastAsia="en-GB"/>
              </w:rPr>
              <w:t>[</w:t>
            </w:r>
            <w:r w:rsidR="006E346F">
              <w:rPr>
                <w:rFonts w:ascii="Calibri" w:eastAsia="Calibri" w:hAnsi="Calibri" w:cs="Calibri"/>
                <w:color w:val="000000"/>
                <w:lang w:eastAsia="en-GB"/>
              </w:rPr>
              <w:t xml:space="preserve">2. </w:t>
            </w:r>
            <w:r w:rsidR="00DC1331">
              <w:rPr>
                <w:rFonts w:ascii="Calibri" w:eastAsia="Calibri" w:hAnsi="Calibri" w:cs="Calibri"/>
                <w:color w:val="000000"/>
                <w:lang w:eastAsia="en-GB"/>
              </w:rPr>
              <w:t>TG 15.1]</w:t>
            </w:r>
            <w:r w:rsidRPr="00D22CB9">
              <w:rPr>
                <w:rFonts w:ascii="Calibri" w:eastAsia="Calibri" w:hAnsi="Calibri" w:cs="Calibri"/>
                <w:color w:val="000000"/>
                <w:lang w:eastAsia="en-GB"/>
              </w:rPr>
              <w:t>.</w:t>
            </w:r>
          </w:p>
          <w:p w14:paraId="59AFE7AC" w14:textId="528B7A03" w:rsidR="00D22CB9" w:rsidRPr="00D22CB9" w:rsidRDefault="00D22CB9" w:rsidP="00D22CB9">
            <w:pPr>
              <w:numPr>
                <w:ilvl w:val="1"/>
                <w:numId w:val="3"/>
              </w:numPr>
              <w:spacing w:after="60" w:line="240" w:lineRule="auto"/>
              <w:ind w:left="603"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Tests used to determine prognosis may have value relating to improved health outcomes if they inform change in management, or only have benefits that fall within the concept of value of knowing. An assessment of a prognostic test reports how well a test can differentiate future health events compared with current prognostic (often clinical) tests, as well as how this w</w:t>
            </w:r>
            <w:r w:rsidR="00DC1331">
              <w:rPr>
                <w:rFonts w:ascii="Calibri" w:eastAsia="Calibri" w:hAnsi="Calibri" w:cs="Calibri"/>
                <w:color w:val="000000"/>
                <w:lang w:eastAsia="en-GB"/>
              </w:rPr>
              <w:t>ill impact clinical management [</w:t>
            </w:r>
            <w:r w:rsidR="006E346F">
              <w:rPr>
                <w:rFonts w:ascii="Calibri" w:eastAsia="Calibri" w:hAnsi="Calibri" w:cs="Calibri"/>
                <w:color w:val="000000"/>
                <w:lang w:eastAsia="en-GB"/>
              </w:rPr>
              <w:t xml:space="preserve">2. </w:t>
            </w:r>
            <w:r w:rsidR="00DC1331">
              <w:rPr>
                <w:rFonts w:ascii="Calibri" w:eastAsia="Calibri" w:hAnsi="Calibri" w:cs="Calibri"/>
                <w:color w:val="000000"/>
                <w:lang w:eastAsia="en-GB"/>
              </w:rPr>
              <w:t>TG 15.2]</w:t>
            </w:r>
            <w:r w:rsidRPr="00D22CB9">
              <w:rPr>
                <w:rFonts w:ascii="Calibri" w:eastAsia="Calibri" w:hAnsi="Calibri" w:cs="Calibri"/>
                <w:color w:val="000000"/>
                <w:lang w:eastAsia="en-GB"/>
              </w:rPr>
              <w:t>.</w:t>
            </w:r>
          </w:p>
          <w:p w14:paraId="4C57A0E7" w14:textId="79B5E495" w:rsidR="00D22CB9" w:rsidRPr="00D22CB9" w:rsidRDefault="00D22CB9" w:rsidP="00D22CB9">
            <w:pPr>
              <w:numPr>
                <w:ilvl w:val="1"/>
                <w:numId w:val="3"/>
              </w:numPr>
              <w:spacing w:after="60" w:line="240" w:lineRule="auto"/>
              <w:ind w:left="603"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 xml:space="preserve">Predictive tests are used to determine how well a patient would respond to a treatment. Typically, these tests identify a biomarker that inform the eligibility for a treatment and is most commonly applied in a codependent context. A critical concept within predictive testing is the clinical utility standard, and an assessment includes a robust comparison of the proposed test against the clinical utility standard </w:t>
            </w:r>
            <w:r w:rsidR="00DC1331">
              <w:rPr>
                <w:rFonts w:ascii="Calibri" w:eastAsia="Calibri" w:hAnsi="Calibri" w:cs="Calibri"/>
                <w:color w:val="000000"/>
                <w:lang w:eastAsia="en-GB"/>
              </w:rPr>
              <w:t>[</w:t>
            </w:r>
            <w:r w:rsidR="006E346F">
              <w:rPr>
                <w:rFonts w:ascii="Calibri" w:eastAsia="Calibri" w:hAnsi="Calibri" w:cs="Calibri"/>
                <w:color w:val="000000"/>
                <w:lang w:eastAsia="en-GB"/>
              </w:rPr>
              <w:t xml:space="preserve">2. </w:t>
            </w:r>
            <w:r w:rsidRPr="00D22CB9">
              <w:rPr>
                <w:rFonts w:ascii="Calibri" w:eastAsia="Calibri" w:hAnsi="Calibri" w:cs="Calibri"/>
                <w:color w:val="000000"/>
                <w:lang w:eastAsia="en-GB"/>
              </w:rPr>
              <w:t>TG 15.3</w:t>
            </w:r>
            <w:r w:rsidR="00DC1331">
              <w:rPr>
                <w:rFonts w:ascii="Calibri" w:eastAsia="Calibri" w:hAnsi="Calibri" w:cs="Calibri"/>
                <w:color w:val="000000"/>
                <w:lang w:eastAsia="en-GB"/>
              </w:rPr>
              <w:t>]</w:t>
            </w:r>
            <w:r w:rsidRPr="00D22CB9">
              <w:rPr>
                <w:rFonts w:ascii="Calibri" w:eastAsia="Calibri" w:hAnsi="Calibri" w:cs="Calibri"/>
                <w:color w:val="000000"/>
                <w:lang w:eastAsia="en-GB"/>
              </w:rPr>
              <w:t>.</w:t>
            </w:r>
          </w:p>
          <w:p w14:paraId="58C49B94" w14:textId="3D9FC8AA" w:rsidR="00D22CB9" w:rsidRPr="00D22CB9" w:rsidRDefault="00D22CB9" w:rsidP="00D22CB9">
            <w:pPr>
              <w:numPr>
                <w:ilvl w:val="1"/>
                <w:numId w:val="3"/>
              </w:numPr>
              <w:spacing w:after="60" w:line="240" w:lineRule="auto"/>
              <w:ind w:left="603"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The assessment of a test used for monitoring is similar to the assessment of tests for other purposes, using either a direct or linked evidence framework. However, additional aspects of the test, such as its responsiveness to changes in response to an intervention (signal to noise ratio), the detectability of long-term change, and the ease of use and interpretation of</w:t>
            </w:r>
            <w:r w:rsidR="00DC1331">
              <w:rPr>
                <w:rFonts w:ascii="Calibri" w:eastAsia="Calibri" w:hAnsi="Calibri" w:cs="Calibri"/>
                <w:color w:val="000000"/>
                <w:lang w:eastAsia="en-GB"/>
              </w:rPr>
              <w:t xml:space="preserve"> the test, should be discussed [</w:t>
            </w:r>
            <w:r w:rsidR="006E346F">
              <w:rPr>
                <w:rFonts w:ascii="Calibri" w:eastAsia="Calibri" w:hAnsi="Calibri" w:cs="Calibri"/>
                <w:color w:val="000000"/>
                <w:lang w:eastAsia="en-GB"/>
              </w:rPr>
              <w:t xml:space="preserve">2. </w:t>
            </w:r>
            <w:r w:rsidR="00DC1331">
              <w:rPr>
                <w:rFonts w:ascii="Calibri" w:eastAsia="Calibri" w:hAnsi="Calibri" w:cs="Calibri"/>
                <w:color w:val="000000"/>
                <w:lang w:eastAsia="en-GB"/>
              </w:rPr>
              <w:t>TG 15.4]</w:t>
            </w:r>
            <w:r w:rsidRPr="00D22CB9">
              <w:rPr>
                <w:rFonts w:ascii="Calibri" w:eastAsia="Calibri" w:hAnsi="Calibri" w:cs="Calibri"/>
                <w:color w:val="000000"/>
                <w:lang w:eastAsia="en-GB"/>
              </w:rPr>
              <w:t>.</w:t>
            </w:r>
          </w:p>
          <w:p w14:paraId="0991588E" w14:textId="5588A433" w:rsidR="00D22CB9" w:rsidRPr="00D22CB9" w:rsidRDefault="00D22CB9" w:rsidP="00D22CB9">
            <w:pPr>
              <w:numPr>
                <w:ilvl w:val="1"/>
                <w:numId w:val="3"/>
              </w:numPr>
              <w:spacing w:after="60" w:line="240" w:lineRule="auto"/>
              <w:ind w:left="603"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An assessment of a multifactorial algorithm involves the presentation of the biological plausibility, the characteristics of the training and validation sets (for establishing applicability), and additional results to ensure that algorithms (particularly dynamic algorithms) are not subject to bias when use</w:t>
            </w:r>
            <w:r w:rsidR="00DC1331">
              <w:rPr>
                <w:rFonts w:ascii="Calibri" w:eastAsia="Calibri" w:hAnsi="Calibri" w:cs="Calibri"/>
                <w:color w:val="000000"/>
                <w:lang w:eastAsia="en-GB"/>
              </w:rPr>
              <w:t>d in the Australian population [</w:t>
            </w:r>
            <w:r w:rsidR="006E346F">
              <w:rPr>
                <w:rFonts w:ascii="Calibri" w:eastAsia="Calibri" w:hAnsi="Calibri" w:cs="Calibri"/>
                <w:color w:val="000000"/>
                <w:lang w:eastAsia="en-GB"/>
              </w:rPr>
              <w:t xml:space="preserve">2. </w:t>
            </w:r>
            <w:r w:rsidR="00DC1331">
              <w:rPr>
                <w:rFonts w:ascii="Calibri" w:eastAsia="Calibri" w:hAnsi="Calibri" w:cs="Calibri"/>
                <w:color w:val="000000"/>
                <w:lang w:eastAsia="en-GB"/>
              </w:rPr>
              <w:t>TG 15.5]</w:t>
            </w:r>
            <w:r w:rsidRPr="00D22CB9">
              <w:rPr>
                <w:rFonts w:ascii="Calibri" w:eastAsia="Calibri" w:hAnsi="Calibri" w:cs="Calibri"/>
                <w:color w:val="000000"/>
                <w:lang w:eastAsia="en-GB"/>
              </w:rPr>
              <w:t>.</w:t>
            </w:r>
          </w:p>
          <w:p w14:paraId="27FF069F" w14:textId="4D317DC7" w:rsidR="00D22CB9" w:rsidRPr="00D22CB9" w:rsidRDefault="00D22CB9" w:rsidP="00D22CB9">
            <w:pPr>
              <w:numPr>
                <w:ilvl w:val="1"/>
                <w:numId w:val="3"/>
              </w:numPr>
              <w:spacing w:after="60" w:line="240" w:lineRule="auto"/>
              <w:ind w:left="603"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 xml:space="preserve">A </w:t>
            </w:r>
            <w:r w:rsidRPr="00D22CB9">
              <w:rPr>
                <w:rFonts w:ascii="Calibri" w:eastAsia="Calibri" w:hAnsi="Calibri" w:cs="Times New Roman"/>
                <w:lang w:eastAsia="en-GB"/>
              </w:rPr>
              <w:t>codependent</w:t>
            </w:r>
            <w:r w:rsidRPr="00D22CB9">
              <w:rPr>
                <w:rFonts w:ascii="Calibri" w:eastAsia="Calibri" w:hAnsi="Calibri" w:cs="Calibri"/>
                <w:color w:val="000000"/>
                <w:lang w:eastAsia="en-GB"/>
              </w:rPr>
              <w:t xml:space="preserve"> submission is required when the Minister for Health requires advice from 2 different expert advisory committees because listing of the co-dependent technologies involve 2 separate reim</w:t>
            </w:r>
            <w:r w:rsidR="00DC1331">
              <w:rPr>
                <w:rFonts w:ascii="Calibri" w:eastAsia="Calibri" w:hAnsi="Calibri" w:cs="Calibri"/>
                <w:color w:val="000000"/>
                <w:lang w:eastAsia="en-GB"/>
              </w:rPr>
              <w:t>bursement schemes [</w:t>
            </w:r>
            <w:r w:rsidR="006E346F">
              <w:rPr>
                <w:rFonts w:ascii="Calibri" w:eastAsia="Calibri" w:hAnsi="Calibri" w:cs="Calibri"/>
                <w:color w:val="000000"/>
                <w:lang w:eastAsia="en-GB"/>
              </w:rPr>
              <w:t xml:space="preserve">2. </w:t>
            </w:r>
            <w:r w:rsidR="00DC1331">
              <w:rPr>
                <w:rFonts w:ascii="Calibri" w:eastAsia="Calibri" w:hAnsi="Calibri" w:cs="Calibri"/>
                <w:color w:val="000000"/>
                <w:lang w:eastAsia="en-GB"/>
              </w:rPr>
              <w:t>TG 15.6]</w:t>
            </w:r>
            <w:r w:rsidR="006E346F">
              <w:rPr>
                <w:rFonts w:ascii="Calibri" w:eastAsia="Calibri" w:hAnsi="Calibri" w:cs="Calibri"/>
                <w:color w:val="000000"/>
                <w:lang w:eastAsia="en-GB"/>
              </w:rPr>
              <w:t xml:space="preserve">.” </w:t>
            </w:r>
          </w:p>
          <w:p w14:paraId="7DADBCBA" w14:textId="1C962DE9" w:rsidR="00D22CB9" w:rsidRPr="00D22CB9" w:rsidRDefault="00D22CB9" w:rsidP="00D22CB9">
            <w:pPr>
              <w:numPr>
                <w:ilvl w:val="0"/>
                <w:numId w:val="3"/>
              </w:numPr>
              <w:spacing w:after="60" w:line="240" w:lineRule="auto"/>
              <w:ind w:left="319"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Clarification of the specific circumstances in which</w:t>
            </w:r>
            <w:r w:rsidR="006E346F">
              <w:rPr>
                <w:rFonts w:ascii="Calibri" w:eastAsia="Calibri" w:hAnsi="Calibri" w:cs="Calibri"/>
                <w:color w:val="000000"/>
                <w:lang w:eastAsia="en-GB"/>
              </w:rPr>
              <w:t xml:space="preserve"> expert opinion may be useful [2.</w:t>
            </w:r>
            <w:r w:rsidRPr="00D22CB9">
              <w:rPr>
                <w:rFonts w:ascii="Calibri" w:eastAsia="Calibri" w:hAnsi="Calibri" w:cs="Calibri"/>
                <w:color w:val="000000"/>
                <w:lang w:eastAsia="en-GB"/>
              </w:rPr>
              <w:t xml:space="preserve"> Appendix 9].</w:t>
            </w:r>
          </w:p>
          <w:p w14:paraId="0D2E29E7" w14:textId="461A8796" w:rsidR="00D22CB9" w:rsidRPr="00D22CB9" w:rsidRDefault="00D22CB9" w:rsidP="00DC1331">
            <w:pPr>
              <w:numPr>
                <w:ilvl w:val="0"/>
                <w:numId w:val="3"/>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 xml:space="preserve">Specific consideration of impacts that </w:t>
            </w:r>
            <w:r w:rsidR="00DC1331">
              <w:rPr>
                <w:rFonts w:ascii="Calibri" w:eastAsia="Calibri" w:hAnsi="Calibri" w:cs="Calibri"/>
                <w:color w:val="000000"/>
                <w:lang w:eastAsia="en-GB"/>
              </w:rPr>
              <w:t>are not health–related: Equity [</w:t>
            </w:r>
            <w:r w:rsidR="006E346F">
              <w:rPr>
                <w:rFonts w:ascii="Calibri" w:eastAsia="Calibri" w:hAnsi="Calibri" w:cs="Calibri"/>
                <w:color w:val="000000"/>
                <w:lang w:eastAsia="en-GB"/>
              </w:rPr>
              <w:t xml:space="preserve">2. </w:t>
            </w:r>
            <w:r w:rsidRPr="00D22CB9">
              <w:rPr>
                <w:rFonts w:ascii="Calibri" w:eastAsia="Calibri" w:hAnsi="Calibri" w:cs="Calibri"/>
                <w:color w:val="000000"/>
                <w:lang w:eastAsia="en-GB"/>
              </w:rPr>
              <w:t xml:space="preserve">TG </w:t>
            </w:r>
            <w:r w:rsidR="00DC1331">
              <w:rPr>
                <w:rFonts w:ascii="Calibri" w:eastAsia="Calibri" w:hAnsi="Calibri" w:cs="Calibri"/>
                <w:color w:val="000000"/>
                <w:lang w:eastAsia="en-GB"/>
              </w:rPr>
              <w:t>29]</w:t>
            </w:r>
            <w:r w:rsidRPr="00D22CB9">
              <w:rPr>
                <w:rFonts w:ascii="Calibri" w:eastAsia="Calibri" w:hAnsi="Calibri" w:cs="Calibri"/>
                <w:color w:val="000000"/>
                <w:lang w:eastAsia="en-GB"/>
              </w:rPr>
              <w:t>, v</w:t>
            </w:r>
            <w:r w:rsidR="00DC1331">
              <w:rPr>
                <w:rFonts w:ascii="Calibri" w:eastAsia="Calibri" w:hAnsi="Calibri" w:cs="Calibri"/>
                <w:color w:val="000000"/>
                <w:lang w:eastAsia="en-GB"/>
              </w:rPr>
              <w:t>alue of knowing [</w:t>
            </w:r>
            <w:r w:rsidR="006E346F">
              <w:rPr>
                <w:rFonts w:ascii="Calibri" w:eastAsia="Calibri" w:hAnsi="Calibri" w:cs="Calibri"/>
                <w:color w:val="000000"/>
                <w:lang w:eastAsia="en-GB"/>
              </w:rPr>
              <w:t xml:space="preserve">2. </w:t>
            </w:r>
            <w:r w:rsidRPr="00D22CB9">
              <w:rPr>
                <w:rFonts w:ascii="Calibri" w:eastAsia="Calibri" w:hAnsi="Calibri" w:cs="Calibri"/>
                <w:color w:val="000000"/>
                <w:lang w:eastAsia="en-GB"/>
              </w:rPr>
              <w:t xml:space="preserve">TG </w:t>
            </w:r>
            <w:r w:rsidR="00DC1331">
              <w:rPr>
                <w:rFonts w:ascii="Calibri" w:eastAsia="Calibri" w:hAnsi="Calibri" w:cs="Calibri"/>
                <w:color w:val="000000"/>
                <w:lang w:eastAsia="en-GB"/>
              </w:rPr>
              <w:t>28]</w:t>
            </w:r>
            <w:r w:rsidRPr="00D22CB9">
              <w:rPr>
                <w:rFonts w:ascii="Calibri" w:eastAsia="Calibri" w:hAnsi="Calibri" w:cs="Calibri"/>
                <w:color w:val="000000"/>
                <w:lang w:eastAsia="en-GB"/>
              </w:rPr>
              <w:t>, pres</w:t>
            </w:r>
            <w:r w:rsidR="00DC1331">
              <w:rPr>
                <w:rFonts w:ascii="Calibri" w:eastAsia="Calibri" w:hAnsi="Calibri" w:cs="Calibri"/>
                <w:color w:val="000000"/>
                <w:lang w:eastAsia="en-GB"/>
              </w:rPr>
              <w:t>ence of effective alternatives [</w:t>
            </w:r>
            <w:r w:rsidR="006E346F">
              <w:rPr>
                <w:rFonts w:ascii="Calibri" w:eastAsia="Calibri" w:hAnsi="Calibri" w:cs="Calibri"/>
                <w:color w:val="000000"/>
                <w:lang w:eastAsia="en-GB"/>
              </w:rPr>
              <w:t xml:space="preserve">2. </w:t>
            </w:r>
            <w:r w:rsidRPr="00D22CB9">
              <w:rPr>
                <w:rFonts w:ascii="Calibri" w:eastAsia="Calibri" w:hAnsi="Calibri" w:cs="Calibri"/>
                <w:color w:val="000000"/>
                <w:lang w:eastAsia="en-GB"/>
              </w:rPr>
              <w:t xml:space="preserve">TG </w:t>
            </w:r>
            <w:r w:rsidR="00DC1331">
              <w:rPr>
                <w:rFonts w:ascii="Calibri" w:eastAsia="Calibri" w:hAnsi="Calibri" w:cs="Calibri"/>
                <w:color w:val="000000"/>
                <w:lang w:eastAsia="en-GB"/>
              </w:rPr>
              <w:t>29.7]</w:t>
            </w:r>
            <w:r w:rsidRPr="00D22CB9">
              <w:rPr>
                <w:rFonts w:ascii="Calibri" w:eastAsia="Calibri" w:hAnsi="Calibri" w:cs="Calibri"/>
                <w:color w:val="000000"/>
                <w:lang w:eastAsia="en-GB"/>
              </w:rPr>
              <w:t>, organisational issues including efficiency of health delivery, ethical concerns, soc</w:t>
            </w:r>
            <w:r w:rsidR="00DC1331">
              <w:rPr>
                <w:rFonts w:ascii="Calibri" w:eastAsia="Calibri" w:hAnsi="Calibri" w:cs="Calibri"/>
                <w:color w:val="000000"/>
                <w:lang w:eastAsia="en-GB"/>
              </w:rPr>
              <w:t>ial aspects and legal concerns [</w:t>
            </w:r>
            <w:r w:rsidR="006E346F">
              <w:rPr>
                <w:rFonts w:ascii="Calibri" w:eastAsia="Calibri" w:hAnsi="Calibri" w:cs="Calibri"/>
                <w:color w:val="000000"/>
                <w:lang w:eastAsia="en-GB"/>
              </w:rPr>
              <w:t xml:space="preserve">2. </w:t>
            </w:r>
            <w:r w:rsidRPr="00D22CB9">
              <w:rPr>
                <w:rFonts w:ascii="Calibri" w:eastAsia="Calibri" w:hAnsi="Calibri" w:cs="Calibri"/>
                <w:color w:val="000000"/>
                <w:lang w:eastAsia="en-GB"/>
              </w:rPr>
              <w:t>TG 29</w:t>
            </w:r>
            <w:r w:rsidR="00DC1331">
              <w:rPr>
                <w:rFonts w:ascii="Calibri" w:eastAsia="Calibri" w:hAnsi="Calibri" w:cs="Calibri"/>
                <w:color w:val="000000"/>
                <w:lang w:eastAsia="en-GB"/>
              </w:rPr>
              <w:t>]</w:t>
            </w:r>
            <w:r w:rsidRPr="00D22CB9">
              <w:rPr>
                <w:rFonts w:ascii="Calibri" w:eastAsia="Calibri" w:hAnsi="Calibri" w:cs="Calibri"/>
                <w:color w:val="000000"/>
                <w:lang w:eastAsia="en-GB"/>
              </w:rPr>
              <w:t xml:space="preserve">. Environmental aspects are also mentioned </w:t>
            </w:r>
            <w:r w:rsidR="006E346F">
              <w:rPr>
                <w:rFonts w:ascii="Calibri" w:eastAsia="Calibri" w:hAnsi="Calibri" w:cs="Calibri"/>
                <w:color w:val="000000"/>
                <w:lang w:eastAsia="en-GB"/>
              </w:rPr>
              <w:t>(e.g. reduction in emissions) [2.</w:t>
            </w:r>
            <w:r w:rsidR="00DC1331">
              <w:rPr>
                <w:rFonts w:ascii="Calibri" w:eastAsia="Calibri" w:hAnsi="Calibri" w:cs="Calibri"/>
                <w:color w:val="000000"/>
                <w:lang w:eastAsia="en-GB"/>
              </w:rPr>
              <w:t xml:space="preserve"> TG 29.6</w:t>
            </w:r>
            <w:r w:rsidRPr="00D22CB9">
              <w:rPr>
                <w:rFonts w:ascii="Calibri" w:eastAsia="Calibri" w:hAnsi="Calibri" w:cs="Calibri"/>
                <w:color w:val="000000"/>
                <w:lang w:eastAsia="en-GB"/>
              </w:rPr>
              <w:t>].</w:t>
            </w:r>
          </w:p>
        </w:tc>
      </w:tr>
      <w:tr w:rsidR="00D22CB9" w:rsidRPr="00D22CB9" w14:paraId="6078EBD8" w14:textId="77777777" w:rsidTr="00612901">
        <w:trPr>
          <w:trHeight w:val="2320"/>
        </w:trPr>
        <w:tc>
          <w:tcPr>
            <w:tcW w:w="1418" w:type="dxa"/>
            <w:shd w:val="clear" w:color="auto" w:fill="auto"/>
            <w:hideMark/>
          </w:tcPr>
          <w:p w14:paraId="074581D0" w14:textId="77777777" w:rsidR="00D22CB9" w:rsidRPr="00D22CB9" w:rsidRDefault="00D22CB9" w:rsidP="00D22CB9">
            <w:pPr>
              <w:spacing w:after="60" w:line="480" w:lineRule="auto"/>
              <w:rPr>
                <w:rFonts w:ascii="Calibri" w:eastAsia="Calibri" w:hAnsi="Calibri" w:cs="Calibri"/>
                <w:color w:val="000000"/>
                <w:lang w:eastAsia="en-GB"/>
              </w:rPr>
            </w:pPr>
            <w:r w:rsidRPr="00D22CB9">
              <w:rPr>
                <w:rFonts w:ascii="Calibri" w:eastAsia="Calibri" w:hAnsi="Calibri" w:cs="Calibri"/>
                <w:color w:val="000000"/>
                <w:lang w:eastAsia="en-GB"/>
              </w:rPr>
              <w:t>NICE DAP</w:t>
            </w:r>
          </w:p>
        </w:tc>
        <w:tc>
          <w:tcPr>
            <w:tcW w:w="7654" w:type="dxa"/>
            <w:shd w:val="clear" w:color="auto" w:fill="auto"/>
            <w:hideMark/>
          </w:tcPr>
          <w:p w14:paraId="1091C52F" w14:textId="77777777" w:rsidR="00D22CB9" w:rsidRPr="00D22CB9" w:rsidRDefault="00D22CB9" w:rsidP="00D22CB9">
            <w:pPr>
              <w:numPr>
                <w:ilvl w:val="0"/>
                <w:numId w:val="4"/>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Strong attention to process.</w:t>
            </w:r>
          </w:p>
          <w:p w14:paraId="43464D87" w14:textId="77777777" w:rsidR="00D22CB9" w:rsidRPr="00D22CB9" w:rsidRDefault="00D22CB9" w:rsidP="00D22CB9">
            <w:pPr>
              <w:numPr>
                <w:ilvl w:val="0"/>
                <w:numId w:val="4"/>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Prominent involvement of patients.</w:t>
            </w:r>
          </w:p>
          <w:p w14:paraId="7B190962" w14:textId="77777777" w:rsidR="00D22CB9" w:rsidRPr="00D22CB9" w:rsidRDefault="00D22CB9" w:rsidP="00D22CB9">
            <w:pPr>
              <w:numPr>
                <w:ilvl w:val="0"/>
                <w:numId w:val="4"/>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Extensive scoping phase involving stakeholders and care pathway research.</w:t>
            </w:r>
          </w:p>
          <w:p w14:paraId="0A89F089" w14:textId="77777777" w:rsidR="00D22CB9" w:rsidRPr="00D22CB9" w:rsidRDefault="00D22CB9" w:rsidP="00D22CB9">
            <w:pPr>
              <w:numPr>
                <w:ilvl w:val="0"/>
                <w:numId w:val="4"/>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Emphasis on the use of modelling to assess whether the test is clinically and cost-effective – this is the means by which “evidence linkage” is achieved by NICE.</w:t>
            </w:r>
          </w:p>
          <w:p w14:paraId="68DD7C07" w14:textId="77777777" w:rsidR="00D22CB9" w:rsidRPr="00D22CB9" w:rsidRDefault="00D22CB9" w:rsidP="00D22CB9">
            <w:pPr>
              <w:numPr>
                <w:ilvl w:val="0"/>
                <w:numId w:val="4"/>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Final decision on recommendation relies heavily on the estimated cost-effectiveness (consistent with other guidance streams in NICE).</w:t>
            </w:r>
          </w:p>
          <w:p w14:paraId="13EC0498" w14:textId="77777777" w:rsidR="00D22CB9" w:rsidRPr="00D22CB9" w:rsidRDefault="00D22CB9" w:rsidP="00D22CB9">
            <w:pPr>
              <w:numPr>
                <w:ilvl w:val="0"/>
                <w:numId w:val="4"/>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Use of expert elicitation.</w:t>
            </w:r>
          </w:p>
        </w:tc>
      </w:tr>
      <w:tr w:rsidR="00D22CB9" w:rsidRPr="00D22CB9" w14:paraId="2C69B95A" w14:textId="77777777" w:rsidTr="00612901">
        <w:trPr>
          <w:trHeight w:val="870"/>
        </w:trPr>
        <w:tc>
          <w:tcPr>
            <w:tcW w:w="1418" w:type="dxa"/>
            <w:tcBorders>
              <w:bottom w:val="single" w:sz="4" w:space="0" w:color="auto"/>
            </w:tcBorders>
            <w:shd w:val="clear" w:color="auto" w:fill="auto"/>
            <w:hideMark/>
          </w:tcPr>
          <w:p w14:paraId="19FCB941" w14:textId="77777777" w:rsidR="00D22CB9" w:rsidRPr="00D22CB9" w:rsidRDefault="00D22CB9" w:rsidP="00D22CB9">
            <w:pPr>
              <w:spacing w:after="60" w:line="480" w:lineRule="auto"/>
              <w:rPr>
                <w:rFonts w:ascii="Calibri" w:eastAsia="Calibri" w:hAnsi="Calibri" w:cs="Calibri"/>
                <w:color w:val="000000"/>
                <w:lang w:eastAsia="en-GB"/>
              </w:rPr>
            </w:pPr>
            <w:r w:rsidRPr="00D22CB9">
              <w:rPr>
                <w:rFonts w:ascii="Calibri" w:eastAsia="Calibri" w:hAnsi="Calibri" w:cs="Calibri"/>
                <w:color w:val="000000"/>
                <w:lang w:eastAsia="en-GB"/>
              </w:rPr>
              <w:t>SBU</w:t>
            </w:r>
          </w:p>
        </w:tc>
        <w:tc>
          <w:tcPr>
            <w:tcW w:w="7654" w:type="dxa"/>
            <w:tcBorders>
              <w:bottom w:val="single" w:sz="4" w:space="0" w:color="auto"/>
            </w:tcBorders>
            <w:shd w:val="clear" w:color="auto" w:fill="auto"/>
            <w:hideMark/>
          </w:tcPr>
          <w:p w14:paraId="0F5BA8CA" w14:textId="77777777" w:rsidR="00D22CB9" w:rsidRPr="00D22CB9" w:rsidRDefault="00D22CB9" w:rsidP="00D22CB9">
            <w:pPr>
              <w:numPr>
                <w:ilvl w:val="0"/>
                <w:numId w:val="5"/>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Preference for the term ‘diagnostic reliability’, rather than ‘diagnostic accuracy’.</w:t>
            </w:r>
          </w:p>
          <w:p w14:paraId="4A670D5F" w14:textId="77777777" w:rsidR="00D22CB9" w:rsidRPr="00D22CB9" w:rsidRDefault="00D22CB9" w:rsidP="00D22CB9">
            <w:pPr>
              <w:numPr>
                <w:ilvl w:val="0"/>
                <w:numId w:val="5"/>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Use of GRADE approach, modified by SBU, to weight different types of evidence on tests.</w:t>
            </w:r>
          </w:p>
          <w:p w14:paraId="6E78D3FE" w14:textId="77777777" w:rsidR="00D22CB9" w:rsidRPr="00D22CB9" w:rsidRDefault="00D22CB9" w:rsidP="00D22CB9">
            <w:pPr>
              <w:numPr>
                <w:ilvl w:val="0"/>
                <w:numId w:val="5"/>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 xml:space="preserve">Systematic consideration of ethical considerations for all health technologies, including tests. </w:t>
            </w:r>
          </w:p>
        </w:tc>
      </w:tr>
      <w:tr w:rsidR="00D22CB9" w:rsidRPr="00D22CB9" w14:paraId="2D6FF744" w14:textId="77777777" w:rsidTr="00612901">
        <w:trPr>
          <w:trHeight w:val="870"/>
        </w:trPr>
        <w:tc>
          <w:tcPr>
            <w:tcW w:w="1418" w:type="dxa"/>
            <w:tcBorders>
              <w:top w:val="single" w:sz="4" w:space="0" w:color="auto"/>
              <w:bottom w:val="single" w:sz="4" w:space="0" w:color="auto"/>
            </w:tcBorders>
            <w:shd w:val="clear" w:color="auto" w:fill="auto"/>
            <w:hideMark/>
          </w:tcPr>
          <w:p w14:paraId="6EF871C2" w14:textId="77777777" w:rsidR="00D22CB9" w:rsidRPr="00D22CB9" w:rsidRDefault="00D22CB9" w:rsidP="00D22CB9">
            <w:pPr>
              <w:spacing w:after="60" w:line="480" w:lineRule="auto"/>
              <w:rPr>
                <w:rFonts w:ascii="Calibri" w:eastAsia="Calibri" w:hAnsi="Calibri" w:cs="Calibri"/>
                <w:color w:val="000000"/>
                <w:lang w:eastAsia="en-GB"/>
              </w:rPr>
            </w:pPr>
            <w:r w:rsidRPr="00D22CB9">
              <w:rPr>
                <w:rFonts w:ascii="Calibri" w:eastAsia="Calibri" w:hAnsi="Calibri" w:cs="Calibri"/>
                <w:color w:val="000000"/>
                <w:lang w:eastAsia="en-GB"/>
              </w:rPr>
              <w:t>ZIN</w:t>
            </w:r>
          </w:p>
        </w:tc>
        <w:tc>
          <w:tcPr>
            <w:tcW w:w="7654" w:type="dxa"/>
            <w:tcBorders>
              <w:top w:val="single" w:sz="4" w:space="0" w:color="auto"/>
              <w:bottom w:val="single" w:sz="4" w:space="0" w:color="auto"/>
            </w:tcBorders>
            <w:shd w:val="clear" w:color="auto" w:fill="auto"/>
            <w:hideMark/>
          </w:tcPr>
          <w:p w14:paraId="4C3104EE" w14:textId="77777777" w:rsidR="00D22CB9" w:rsidRPr="00D22CB9" w:rsidRDefault="00D22CB9" w:rsidP="00D22CB9">
            <w:pPr>
              <w:numPr>
                <w:ilvl w:val="0"/>
                <w:numId w:val="6"/>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 xml:space="preserve">A framework for comparative analysis when no direct evidence is available. </w:t>
            </w:r>
          </w:p>
          <w:p w14:paraId="0F96F635" w14:textId="1C4E47FF" w:rsidR="00D22CB9" w:rsidRPr="00D22CB9" w:rsidRDefault="00D22CB9" w:rsidP="00DC1331">
            <w:pPr>
              <w:numPr>
                <w:ilvl w:val="0"/>
                <w:numId w:val="6"/>
              </w:numPr>
              <w:spacing w:after="60" w:line="240" w:lineRule="auto"/>
              <w:ind w:left="314" w:hanging="284"/>
              <w:contextualSpacing/>
              <w:rPr>
                <w:rFonts w:ascii="Calibri" w:eastAsia="Calibri" w:hAnsi="Calibri" w:cs="Calibri"/>
                <w:color w:val="000000"/>
                <w:lang w:eastAsia="en-GB"/>
              </w:rPr>
            </w:pPr>
            <w:r w:rsidRPr="00D22CB9">
              <w:rPr>
                <w:rFonts w:ascii="Calibri" w:eastAsia="Calibri" w:hAnsi="Calibri" w:cs="Calibri"/>
                <w:color w:val="000000"/>
                <w:lang w:eastAsia="en-GB"/>
              </w:rPr>
              <w:t>A framework for assessment of a technical modification of an intervention whose effectiveness has been establishe</w:t>
            </w:r>
            <w:r w:rsidR="00C03A89">
              <w:rPr>
                <w:rFonts w:ascii="Calibri" w:eastAsia="Calibri" w:hAnsi="Calibri" w:cs="Calibri"/>
                <w:color w:val="000000"/>
                <w:lang w:eastAsia="en-GB"/>
              </w:rPr>
              <w:t>d or is not open to discussion.</w:t>
            </w:r>
          </w:p>
        </w:tc>
      </w:tr>
    </w:tbl>
    <w:p w14:paraId="2994E138" w14:textId="740F3CE0" w:rsidR="00E16D05" w:rsidRDefault="00EA42CD" w:rsidP="00D22CB9">
      <w:pPr>
        <w:spacing w:after="0"/>
        <w:rPr>
          <w:sz w:val="20"/>
          <w:szCs w:val="20"/>
        </w:rPr>
      </w:pPr>
      <w:r w:rsidRPr="00EA42CD">
        <w:rPr>
          <w:sz w:val="20"/>
          <w:szCs w:val="20"/>
        </w:rPr>
        <w:t>T</w:t>
      </w:r>
      <w:r w:rsidR="00CB600F">
        <w:rPr>
          <w:sz w:val="20"/>
          <w:szCs w:val="20"/>
        </w:rPr>
        <w:t xml:space="preserve">G = technical guidance. </w:t>
      </w:r>
    </w:p>
    <w:p w14:paraId="0A153CDE" w14:textId="404097BB" w:rsidR="00CB600F" w:rsidRPr="00CB600F" w:rsidRDefault="00CB600F" w:rsidP="00CB600F">
      <w:pPr>
        <w:spacing w:after="0"/>
        <w:rPr>
          <w:sz w:val="20"/>
          <w:szCs w:val="20"/>
        </w:rPr>
      </w:pPr>
      <w:r>
        <w:rPr>
          <w:sz w:val="20"/>
          <w:szCs w:val="20"/>
        </w:rPr>
        <w:t>[</w:t>
      </w:r>
      <w:r w:rsidRPr="00CB600F">
        <w:rPr>
          <w:sz w:val="20"/>
          <w:szCs w:val="20"/>
        </w:rPr>
        <w:t>1.</w:t>
      </w:r>
      <w:r>
        <w:rPr>
          <w:sz w:val="20"/>
          <w:szCs w:val="20"/>
        </w:rPr>
        <w:t>]</w:t>
      </w:r>
      <w:r w:rsidRPr="00CB600F">
        <w:rPr>
          <w:sz w:val="20"/>
          <w:szCs w:val="20"/>
        </w:rPr>
        <w:t xml:space="preserve"> Methods Guide for Medical Test Reviews. AHRQ Publication No. 12-Ec017 . Rockville, Md: Agency for Healthcare Research and Quality; June 2012. Downloaded 20th July 2020.</w:t>
      </w:r>
    </w:p>
    <w:p w14:paraId="46EA1D3A" w14:textId="6B30F78C" w:rsidR="00CB600F" w:rsidRPr="00CB600F" w:rsidRDefault="00CB600F" w:rsidP="00CB600F">
      <w:pPr>
        <w:spacing w:after="0"/>
        <w:rPr>
          <w:sz w:val="20"/>
          <w:szCs w:val="20"/>
        </w:rPr>
      </w:pPr>
      <w:r>
        <w:rPr>
          <w:sz w:val="20"/>
          <w:szCs w:val="20"/>
        </w:rPr>
        <w:t>[2.</w:t>
      </w:r>
      <w:r w:rsidRPr="00CB600F">
        <w:rPr>
          <w:sz w:val="20"/>
          <w:szCs w:val="20"/>
        </w:rPr>
        <w:t xml:space="preserve">] Medical Services Advisory Committee. 2021. Guidelines for preparing assessments for the Medical Services Advisory Committee. [Online]. Version 1.0. [Last accessed 16th June 2021]. Available from: http://www.msac.gov.au/internet/msac/publishing.nsf/Content/Documents-for-Applicants-and-Assessment-Groups </w:t>
      </w:r>
    </w:p>
    <w:p w14:paraId="5BC446EB" w14:textId="48AC26C8" w:rsidR="00CB600F" w:rsidRPr="00CB600F" w:rsidRDefault="00CB600F" w:rsidP="00CB600F">
      <w:pPr>
        <w:spacing w:after="0"/>
        <w:rPr>
          <w:sz w:val="20"/>
          <w:szCs w:val="20"/>
        </w:rPr>
      </w:pPr>
      <w:r w:rsidRPr="00CB600F">
        <w:rPr>
          <w:sz w:val="20"/>
          <w:szCs w:val="20"/>
        </w:rPr>
        <w:t>[</w:t>
      </w:r>
      <w:r>
        <w:rPr>
          <w:sz w:val="20"/>
          <w:szCs w:val="20"/>
        </w:rPr>
        <w:t>3.</w:t>
      </w:r>
      <w:r w:rsidRPr="00CB600F">
        <w:rPr>
          <w:sz w:val="20"/>
          <w:szCs w:val="20"/>
        </w:rPr>
        <w:t>] Medical Services Advisory Committee (MSAC) Reform Implementation. 2016. Process Framework. [Online]. Version 1.0. [Last accessed 20th July 2021]. Available from: http://www.msac.gov.au/internet/msac/publishing.nsf/Content/msac-process-framework</w:t>
      </w:r>
    </w:p>
    <w:p w14:paraId="079F617A" w14:textId="77777777" w:rsidR="00CB600F" w:rsidRPr="00B43C92" w:rsidRDefault="00CB600F" w:rsidP="00D22CB9">
      <w:pPr>
        <w:spacing w:after="0"/>
        <w:rPr>
          <w:sz w:val="20"/>
          <w:szCs w:val="20"/>
        </w:rPr>
      </w:pPr>
      <w:bookmarkStart w:id="1" w:name="_GoBack"/>
      <w:bookmarkEnd w:id="1"/>
    </w:p>
    <w:sectPr w:rsidR="00CB600F" w:rsidRPr="00B43C92">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94A19" w14:textId="77777777" w:rsidR="00EA367B" w:rsidRDefault="00EA367B" w:rsidP="00B43C92">
      <w:pPr>
        <w:spacing w:after="0" w:line="240" w:lineRule="auto"/>
      </w:pPr>
      <w:r>
        <w:separator/>
      </w:r>
    </w:p>
  </w:endnote>
  <w:endnote w:type="continuationSeparator" w:id="0">
    <w:p w14:paraId="67181577" w14:textId="77777777" w:rsidR="00EA367B" w:rsidRDefault="00EA367B" w:rsidP="00B43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1646975"/>
      <w:docPartObj>
        <w:docPartGallery w:val="Page Numbers (Bottom of Page)"/>
        <w:docPartUnique/>
      </w:docPartObj>
    </w:sdtPr>
    <w:sdtEndPr>
      <w:rPr>
        <w:noProof/>
      </w:rPr>
    </w:sdtEndPr>
    <w:sdtContent>
      <w:p w14:paraId="5747F912" w14:textId="54E99633" w:rsidR="00B43C92" w:rsidRDefault="00B43C92">
        <w:pPr>
          <w:pStyle w:val="Footer"/>
          <w:jc w:val="right"/>
        </w:pPr>
        <w:r>
          <w:fldChar w:fldCharType="begin"/>
        </w:r>
        <w:r>
          <w:instrText xml:space="preserve"> PAGE   \* MERGEFORMAT </w:instrText>
        </w:r>
        <w:r>
          <w:fldChar w:fldCharType="separate"/>
        </w:r>
        <w:r w:rsidR="00C03A89">
          <w:rPr>
            <w:noProof/>
          </w:rPr>
          <w:t>3</w:t>
        </w:r>
        <w:r>
          <w:rPr>
            <w:noProof/>
          </w:rPr>
          <w:fldChar w:fldCharType="end"/>
        </w:r>
      </w:p>
    </w:sdtContent>
  </w:sdt>
  <w:p w14:paraId="73B0DDB7" w14:textId="77777777" w:rsidR="00B43C92" w:rsidRDefault="00B43C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C253D3" w14:textId="77777777" w:rsidR="00EA367B" w:rsidRDefault="00EA367B" w:rsidP="00B43C92">
      <w:pPr>
        <w:spacing w:after="0" w:line="240" w:lineRule="auto"/>
      </w:pPr>
      <w:r>
        <w:separator/>
      </w:r>
    </w:p>
  </w:footnote>
  <w:footnote w:type="continuationSeparator" w:id="0">
    <w:p w14:paraId="4F597452" w14:textId="77777777" w:rsidR="00EA367B" w:rsidRDefault="00EA367B" w:rsidP="00B43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9B89E" w14:textId="4E4FACD3" w:rsidR="00B43C92" w:rsidRPr="00640E11" w:rsidRDefault="00B43C92" w:rsidP="004E18D1">
    <w:pPr>
      <w:pStyle w:val="Header"/>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C1078"/>
    <w:multiLevelType w:val="hybridMultilevel"/>
    <w:tmpl w:val="03BA6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ADE4E62"/>
    <w:multiLevelType w:val="hybridMultilevel"/>
    <w:tmpl w:val="75687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5DF5798"/>
    <w:multiLevelType w:val="hybridMultilevel"/>
    <w:tmpl w:val="6CA8F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5751FC"/>
    <w:multiLevelType w:val="hybridMultilevel"/>
    <w:tmpl w:val="FB4C2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DA4F0B"/>
    <w:multiLevelType w:val="hybridMultilevel"/>
    <w:tmpl w:val="53484C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FCB48AD"/>
    <w:multiLevelType w:val="hybridMultilevel"/>
    <w:tmpl w:val="56F45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2"/>
  </w:num>
  <w:num w:numId="5">
    <w:abstractNumId w:val="3"/>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C92"/>
    <w:rsid w:val="003B4901"/>
    <w:rsid w:val="005E3284"/>
    <w:rsid w:val="006034C3"/>
    <w:rsid w:val="006E346F"/>
    <w:rsid w:val="00A7730E"/>
    <w:rsid w:val="00B43C92"/>
    <w:rsid w:val="00B9781C"/>
    <w:rsid w:val="00C03A89"/>
    <w:rsid w:val="00CB600F"/>
    <w:rsid w:val="00D22CB9"/>
    <w:rsid w:val="00DC1331"/>
    <w:rsid w:val="00DE079F"/>
    <w:rsid w:val="00E16D05"/>
    <w:rsid w:val="00E82F18"/>
    <w:rsid w:val="00EA367B"/>
    <w:rsid w:val="00EA42CD"/>
    <w:rsid w:val="00F743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DAF80"/>
  <w15:chartTrackingRefBased/>
  <w15:docId w15:val="{2F3CDE47-FA82-4F87-942B-C75092564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43C9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43C92"/>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en-GB"/>
    </w:rPr>
  </w:style>
  <w:style w:type="paragraph" w:styleId="Heading3">
    <w:name w:val="heading 3"/>
    <w:basedOn w:val="Normal"/>
    <w:next w:val="Normal"/>
    <w:link w:val="Heading3Char"/>
    <w:uiPriority w:val="9"/>
    <w:unhideWhenUsed/>
    <w:qFormat/>
    <w:rsid w:val="00B43C9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43C9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3C9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43C92"/>
    <w:rPr>
      <w:rFonts w:asciiTheme="majorHAnsi" w:eastAsiaTheme="majorEastAsia" w:hAnsiTheme="majorHAnsi" w:cstheme="majorBidi"/>
      <w:color w:val="2F5496" w:themeColor="accent1" w:themeShade="BF"/>
      <w:sz w:val="26"/>
      <w:szCs w:val="26"/>
      <w:lang w:eastAsia="en-GB"/>
    </w:rPr>
  </w:style>
  <w:style w:type="character" w:customStyle="1" w:styleId="Heading3Char">
    <w:name w:val="Heading 3 Char"/>
    <w:basedOn w:val="DefaultParagraphFont"/>
    <w:link w:val="Heading3"/>
    <w:uiPriority w:val="9"/>
    <w:rsid w:val="00B43C9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B43C92"/>
    <w:rPr>
      <w:rFonts w:asciiTheme="majorHAnsi" w:eastAsiaTheme="majorEastAsia" w:hAnsiTheme="majorHAnsi" w:cstheme="majorBidi"/>
      <w:i/>
      <w:iCs/>
      <w:color w:val="2F5496" w:themeColor="accent1" w:themeShade="BF"/>
    </w:rPr>
  </w:style>
  <w:style w:type="character" w:styleId="CommentReference">
    <w:name w:val="annotation reference"/>
    <w:basedOn w:val="DefaultParagraphFont"/>
    <w:uiPriority w:val="99"/>
    <w:semiHidden/>
    <w:unhideWhenUsed/>
    <w:rsid w:val="00B43C92"/>
    <w:rPr>
      <w:sz w:val="16"/>
      <w:szCs w:val="16"/>
    </w:rPr>
  </w:style>
  <w:style w:type="paragraph" w:styleId="CommentText">
    <w:name w:val="annotation text"/>
    <w:basedOn w:val="Normal"/>
    <w:link w:val="CommentTextChar"/>
    <w:uiPriority w:val="99"/>
    <w:unhideWhenUsed/>
    <w:rsid w:val="00B43C92"/>
    <w:pPr>
      <w:spacing w:line="240" w:lineRule="auto"/>
    </w:pPr>
    <w:rPr>
      <w:sz w:val="20"/>
      <w:szCs w:val="20"/>
    </w:rPr>
  </w:style>
  <w:style w:type="character" w:customStyle="1" w:styleId="CommentTextChar">
    <w:name w:val="Comment Text Char"/>
    <w:basedOn w:val="DefaultParagraphFont"/>
    <w:link w:val="CommentText"/>
    <w:uiPriority w:val="99"/>
    <w:rsid w:val="00B43C92"/>
    <w:rPr>
      <w:sz w:val="20"/>
      <w:szCs w:val="20"/>
    </w:rPr>
  </w:style>
  <w:style w:type="paragraph" w:styleId="BalloonText">
    <w:name w:val="Balloon Text"/>
    <w:basedOn w:val="Normal"/>
    <w:link w:val="BalloonTextChar"/>
    <w:uiPriority w:val="99"/>
    <w:semiHidden/>
    <w:unhideWhenUsed/>
    <w:rsid w:val="00B43C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3C92"/>
    <w:rPr>
      <w:rFonts w:ascii="Segoe UI" w:hAnsi="Segoe UI" w:cs="Segoe UI"/>
      <w:sz w:val="18"/>
      <w:szCs w:val="18"/>
    </w:rPr>
  </w:style>
  <w:style w:type="table" w:styleId="TableGrid">
    <w:name w:val="Table Grid"/>
    <w:basedOn w:val="TableNormal"/>
    <w:uiPriority w:val="39"/>
    <w:rsid w:val="00B43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B43C9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B43C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3C92"/>
  </w:style>
  <w:style w:type="paragraph" w:styleId="Footer">
    <w:name w:val="footer"/>
    <w:basedOn w:val="Normal"/>
    <w:link w:val="FooterChar"/>
    <w:uiPriority w:val="99"/>
    <w:unhideWhenUsed/>
    <w:rsid w:val="00B43C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3C92"/>
  </w:style>
  <w:style w:type="character" w:styleId="Hyperlink">
    <w:name w:val="Hyperlink"/>
    <w:basedOn w:val="DefaultParagraphFont"/>
    <w:uiPriority w:val="99"/>
    <w:unhideWhenUsed/>
    <w:rsid w:val="00B43C92"/>
    <w:rPr>
      <w:color w:val="0563C1"/>
      <w:u w:val="single"/>
    </w:rPr>
  </w:style>
  <w:style w:type="paragraph" w:styleId="ListParagraph">
    <w:name w:val="List Paragraph"/>
    <w:basedOn w:val="Normal"/>
    <w:uiPriority w:val="34"/>
    <w:qFormat/>
    <w:rsid w:val="00B43C92"/>
    <w:pPr>
      <w:spacing w:after="0" w:line="240" w:lineRule="auto"/>
      <w:ind w:left="720"/>
      <w:contextualSpacing/>
    </w:pPr>
    <w:rPr>
      <w:rFonts w:ascii="Calibri" w:hAnsi="Calibri" w:cs="Calibri"/>
      <w:lang w:eastAsia="en-GB"/>
    </w:rPr>
  </w:style>
  <w:style w:type="character" w:styleId="IntenseEmphasis">
    <w:name w:val="Intense Emphasis"/>
    <w:aliases w:val="Criteria Box"/>
    <w:basedOn w:val="DefaultParagraphFont"/>
    <w:uiPriority w:val="21"/>
    <w:qFormat/>
    <w:rsid w:val="00B43C92"/>
    <w:rPr>
      <w:rFonts w:ascii="Calibri Light" w:hAnsi="Calibri Light"/>
      <w:b/>
      <w:i w:val="0"/>
      <w:iCs/>
      <w:color w:val="4472C4" w:themeColor="accent1"/>
      <w:sz w:val="22"/>
    </w:rPr>
  </w:style>
  <w:style w:type="character" w:styleId="Strong">
    <w:name w:val="Strong"/>
    <w:basedOn w:val="DefaultParagraphFont"/>
    <w:uiPriority w:val="22"/>
    <w:qFormat/>
    <w:rsid w:val="00B43C92"/>
    <w:rPr>
      <w:b/>
      <w:bCs/>
    </w:rPr>
  </w:style>
  <w:style w:type="character" w:customStyle="1" w:styleId="UnresolvedMention1">
    <w:name w:val="Unresolved Mention1"/>
    <w:basedOn w:val="DefaultParagraphFont"/>
    <w:uiPriority w:val="99"/>
    <w:semiHidden/>
    <w:unhideWhenUsed/>
    <w:rsid w:val="00B43C92"/>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B43C92"/>
    <w:pPr>
      <w:spacing w:after="60"/>
    </w:pPr>
    <w:rPr>
      <w:rFonts w:ascii="Calibri" w:hAnsi="Calibri" w:cs="Calibri"/>
      <w:b/>
      <w:bCs/>
      <w:lang w:eastAsia="en-GB"/>
    </w:rPr>
  </w:style>
  <w:style w:type="character" w:customStyle="1" w:styleId="CommentSubjectChar">
    <w:name w:val="Comment Subject Char"/>
    <w:basedOn w:val="CommentTextChar"/>
    <w:link w:val="CommentSubject"/>
    <w:uiPriority w:val="99"/>
    <w:semiHidden/>
    <w:rsid w:val="00B43C92"/>
    <w:rPr>
      <w:rFonts w:ascii="Calibri" w:hAnsi="Calibri" w:cs="Calibri"/>
      <w:b/>
      <w:bCs/>
      <w:sz w:val="20"/>
      <w:szCs w:val="20"/>
      <w:lang w:eastAsia="en-GB"/>
    </w:rPr>
  </w:style>
  <w:style w:type="character" w:customStyle="1" w:styleId="UnresolvedMention2">
    <w:name w:val="Unresolved Mention2"/>
    <w:basedOn w:val="DefaultParagraphFont"/>
    <w:uiPriority w:val="99"/>
    <w:semiHidden/>
    <w:unhideWhenUsed/>
    <w:rsid w:val="00B43C92"/>
    <w:rPr>
      <w:color w:val="605E5C"/>
      <w:shd w:val="clear" w:color="auto" w:fill="E1DFDD"/>
    </w:rPr>
  </w:style>
  <w:style w:type="paragraph" w:customStyle="1" w:styleId="SummaryParaText">
    <w:name w:val="Summary Para Text"/>
    <w:basedOn w:val="Normal"/>
    <w:link w:val="SummaryParaTextChar"/>
    <w:qFormat/>
    <w:rsid w:val="00B43C92"/>
    <w:pPr>
      <w:spacing w:after="120" w:line="240" w:lineRule="auto"/>
    </w:pPr>
    <w:rPr>
      <w:rFonts w:ascii="Calibri" w:hAnsi="Calibri" w:cs="Calibri"/>
      <w:lang w:eastAsia="en-GB"/>
    </w:rPr>
  </w:style>
  <w:style w:type="paragraph" w:customStyle="1" w:styleId="Summarysubheadings">
    <w:name w:val="Summary subheadings"/>
    <w:basedOn w:val="Normal"/>
    <w:link w:val="SummarysubheadingsChar"/>
    <w:qFormat/>
    <w:rsid w:val="00B43C92"/>
    <w:pPr>
      <w:spacing w:before="240" w:after="60" w:line="240" w:lineRule="auto"/>
    </w:pPr>
    <w:rPr>
      <w:rFonts w:ascii="Calibri" w:hAnsi="Calibri" w:cs="Calibri"/>
      <w:b/>
      <w:bCs/>
      <w:lang w:eastAsia="en-GB"/>
    </w:rPr>
  </w:style>
  <w:style w:type="character" w:customStyle="1" w:styleId="SummaryParaTextChar">
    <w:name w:val="Summary Para Text Char"/>
    <w:basedOn w:val="DefaultParagraphFont"/>
    <w:link w:val="SummaryParaText"/>
    <w:rsid w:val="00B43C92"/>
    <w:rPr>
      <w:rFonts w:ascii="Calibri" w:hAnsi="Calibri" w:cs="Calibri"/>
      <w:lang w:eastAsia="en-GB"/>
    </w:rPr>
  </w:style>
  <w:style w:type="character" w:customStyle="1" w:styleId="SummarysubheadingsChar">
    <w:name w:val="Summary subheadings Char"/>
    <w:basedOn w:val="DefaultParagraphFont"/>
    <w:link w:val="Summarysubheadings"/>
    <w:rsid w:val="00B43C92"/>
    <w:rPr>
      <w:rFonts w:ascii="Calibri" w:hAnsi="Calibri" w:cs="Calibri"/>
      <w:b/>
      <w:bCs/>
      <w:lang w:eastAsia="en-GB"/>
    </w:rPr>
  </w:style>
  <w:style w:type="paragraph" w:customStyle="1" w:styleId="Default">
    <w:name w:val="Default"/>
    <w:rsid w:val="00B43C92"/>
    <w:pPr>
      <w:autoSpaceDE w:val="0"/>
      <w:autoSpaceDN w:val="0"/>
      <w:adjustRightInd w:val="0"/>
      <w:spacing w:after="0" w:line="240" w:lineRule="auto"/>
    </w:pPr>
    <w:rPr>
      <w:rFonts w:ascii="Calibri" w:hAnsi="Calibri" w:cs="Calibri"/>
      <w:color w:val="000000"/>
      <w:sz w:val="24"/>
      <w:szCs w:val="24"/>
    </w:rPr>
  </w:style>
  <w:style w:type="paragraph" w:customStyle="1" w:styleId="pf0">
    <w:name w:val="pf0"/>
    <w:basedOn w:val="Normal"/>
    <w:rsid w:val="00B43C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B43C92"/>
    <w:rPr>
      <w:rFonts w:ascii="Segoe UI" w:hAnsi="Segoe UI" w:cs="Segoe UI" w:hint="default"/>
      <w:sz w:val="18"/>
      <w:szCs w:val="18"/>
    </w:rPr>
  </w:style>
  <w:style w:type="character" w:customStyle="1" w:styleId="cf11">
    <w:name w:val="cf11"/>
    <w:basedOn w:val="DefaultParagraphFont"/>
    <w:rsid w:val="00B43C92"/>
    <w:rPr>
      <w:rFonts w:ascii="Segoe UI" w:hAnsi="Segoe UI" w:cs="Segoe UI" w:hint="default"/>
      <w:i/>
      <w:iCs/>
      <w:sz w:val="18"/>
      <w:szCs w:val="18"/>
    </w:rPr>
  </w:style>
  <w:style w:type="character" w:customStyle="1" w:styleId="UnresolvedMention">
    <w:name w:val="Unresolved Mention"/>
    <w:basedOn w:val="DefaultParagraphFont"/>
    <w:uiPriority w:val="99"/>
    <w:semiHidden/>
    <w:unhideWhenUsed/>
    <w:rsid w:val="00B43C92"/>
    <w:rPr>
      <w:color w:val="605E5C"/>
      <w:shd w:val="clear" w:color="auto" w:fill="E1DFDD"/>
    </w:rPr>
  </w:style>
  <w:style w:type="paragraph" w:styleId="Subtitle">
    <w:name w:val="Subtitle"/>
    <w:basedOn w:val="Normal"/>
    <w:next w:val="Normal"/>
    <w:link w:val="SubtitleChar"/>
    <w:uiPriority w:val="11"/>
    <w:qFormat/>
    <w:rsid w:val="00B43C92"/>
    <w:pPr>
      <w:numPr>
        <w:ilvl w:val="1"/>
      </w:numPr>
      <w:spacing w:after="60" w:line="240" w:lineRule="auto"/>
    </w:pPr>
    <w:rPr>
      <w:rFonts w:eastAsiaTheme="minorEastAsia"/>
      <w:color w:val="5A5A5A" w:themeColor="text1" w:themeTint="A5"/>
      <w:spacing w:val="15"/>
      <w:lang w:eastAsia="en-GB"/>
    </w:rPr>
  </w:style>
  <w:style w:type="character" w:customStyle="1" w:styleId="SubtitleChar">
    <w:name w:val="Subtitle Char"/>
    <w:basedOn w:val="DefaultParagraphFont"/>
    <w:link w:val="Subtitle"/>
    <w:uiPriority w:val="11"/>
    <w:rsid w:val="00B43C92"/>
    <w:rPr>
      <w:rFonts w:eastAsiaTheme="minorEastAsia"/>
      <w:color w:val="5A5A5A" w:themeColor="text1" w:themeTint="A5"/>
      <w:spacing w:val="15"/>
      <w:lang w:eastAsia="en-GB"/>
    </w:rPr>
  </w:style>
  <w:style w:type="character" w:styleId="SubtleEmphasis">
    <w:name w:val="Subtle Emphasis"/>
    <w:basedOn w:val="DefaultParagraphFont"/>
    <w:uiPriority w:val="19"/>
    <w:qFormat/>
    <w:rsid w:val="00B43C92"/>
    <w:rPr>
      <w:i/>
      <w:iCs/>
      <w:color w:val="404040" w:themeColor="text1" w:themeTint="BF"/>
    </w:rPr>
  </w:style>
  <w:style w:type="paragraph" w:styleId="FootnoteText">
    <w:name w:val="footnote text"/>
    <w:basedOn w:val="Normal"/>
    <w:link w:val="FootnoteTextChar"/>
    <w:uiPriority w:val="99"/>
    <w:semiHidden/>
    <w:unhideWhenUsed/>
    <w:rsid w:val="00B43C92"/>
    <w:pPr>
      <w:spacing w:after="0" w:line="240" w:lineRule="auto"/>
    </w:pPr>
    <w:rPr>
      <w:rFonts w:ascii="Calibri" w:hAnsi="Calibri" w:cs="Calibri"/>
      <w:sz w:val="20"/>
      <w:szCs w:val="20"/>
      <w:lang w:eastAsia="en-GB"/>
    </w:rPr>
  </w:style>
  <w:style w:type="character" w:customStyle="1" w:styleId="FootnoteTextChar">
    <w:name w:val="Footnote Text Char"/>
    <w:basedOn w:val="DefaultParagraphFont"/>
    <w:link w:val="FootnoteText"/>
    <w:uiPriority w:val="99"/>
    <w:semiHidden/>
    <w:rsid w:val="00B43C92"/>
    <w:rPr>
      <w:rFonts w:ascii="Calibri" w:hAnsi="Calibri" w:cs="Calibri"/>
      <w:sz w:val="20"/>
      <w:szCs w:val="20"/>
      <w:lang w:eastAsia="en-GB"/>
    </w:rPr>
  </w:style>
  <w:style w:type="character" w:styleId="FootnoteReference">
    <w:name w:val="footnote reference"/>
    <w:basedOn w:val="DefaultParagraphFont"/>
    <w:uiPriority w:val="99"/>
    <w:semiHidden/>
    <w:unhideWhenUsed/>
    <w:rsid w:val="00B43C92"/>
    <w:rPr>
      <w:vertAlign w:val="superscript"/>
    </w:rPr>
  </w:style>
  <w:style w:type="character" w:styleId="FollowedHyperlink">
    <w:name w:val="FollowedHyperlink"/>
    <w:basedOn w:val="DefaultParagraphFont"/>
    <w:uiPriority w:val="99"/>
    <w:semiHidden/>
    <w:unhideWhenUsed/>
    <w:rsid w:val="00B43C92"/>
    <w:rPr>
      <w:color w:val="954F72"/>
      <w:u w:val="single"/>
    </w:rPr>
  </w:style>
  <w:style w:type="paragraph" w:customStyle="1" w:styleId="msonormal0">
    <w:name w:val="msonormal"/>
    <w:basedOn w:val="Normal"/>
    <w:rsid w:val="00B43C9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5">
    <w:name w:val="xl65"/>
    <w:basedOn w:val="Normal"/>
    <w:rsid w:val="00B43C92"/>
    <w:pPr>
      <w:spacing w:before="100" w:beforeAutospacing="1" w:after="100" w:afterAutospacing="1" w:line="240" w:lineRule="auto"/>
      <w:textAlignment w:val="top"/>
    </w:pPr>
    <w:rPr>
      <w:rFonts w:ascii="Times New Roman" w:eastAsia="Times New Roman" w:hAnsi="Times New Roman" w:cs="Times New Roman"/>
      <w:sz w:val="20"/>
      <w:szCs w:val="20"/>
      <w:lang w:eastAsia="en-GB"/>
    </w:rPr>
  </w:style>
  <w:style w:type="paragraph" w:customStyle="1" w:styleId="xl66">
    <w:name w:val="xl66"/>
    <w:basedOn w:val="Normal"/>
    <w:rsid w:val="00B43C92"/>
    <w:pPr>
      <w:spacing w:before="100" w:beforeAutospacing="1" w:after="100" w:afterAutospacing="1" w:line="240" w:lineRule="auto"/>
      <w:jc w:val="center"/>
      <w:textAlignment w:val="top"/>
    </w:pPr>
    <w:rPr>
      <w:rFonts w:ascii="Times New Roman" w:eastAsia="Times New Roman" w:hAnsi="Times New Roman" w:cs="Times New Roman"/>
      <w:sz w:val="20"/>
      <w:szCs w:val="20"/>
      <w:lang w:eastAsia="en-GB"/>
    </w:rPr>
  </w:style>
  <w:style w:type="paragraph" w:customStyle="1" w:styleId="xl67">
    <w:name w:val="xl67"/>
    <w:basedOn w:val="Normal"/>
    <w:rsid w:val="00B43C92"/>
    <w:pPr>
      <w:spacing w:before="100" w:beforeAutospacing="1" w:after="100" w:afterAutospacing="1" w:line="240" w:lineRule="auto"/>
      <w:textAlignment w:val="top"/>
    </w:pPr>
    <w:rPr>
      <w:rFonts w:ascii="Times New Roman" w:eastAsia="Times New Roman" w:hAnsi="Times New Roman" w:cs="Times New Roman"/>
      <w:sz w:val="20"/>
      <w:szCs w:val="20"/>
      <w:lang w:eastAsia="en-GB"/>
    </w:rPr>
  </w:style>
  <w:style w:type="paragraph" w:customStyle="1" w:styleId="xl68">
    <w:name w:val="xl68"/>
    <w:basedOn w:val="Normal"/>
    <w:rsid w:val="00B43C92"/>
    <w:pPr>
      <w:spacing w:before="100" w:beforeAutospacing="1" w:after="100" w:afterAutospacing="1" w:line="240" w:lineRule="auto"/>
      <w:textAlignment w:val="top"/>
    </w:pPr>
    <w:rPr>
      <w:rFonts w:ascii="Times New Roman" w:eastAsia="Times New Roman" w:hAnsi="Times New Roman" w:cs="Times New Roman"/>
      <w:sz w:val="20"/>
      <w:szCs w:val="20"/>
      <w:lang w:eastAsia="en-GB"/>
    </w:rPr>
  </w:style>
  <w:style w:type="paragraph" w:customStyle="1" w:styleId="xl69">
    <w:name w:val="xl69"/>
    <w:basedOn w:val="Normal"/>
    <w:rsid w:val="00B43C92"/>
    <w:pPr>
      <w:spacing w:before="100" w:beforeAutospacing="1" w:after="100" w:afterAutospacing="1" w:line="240" w:lineRule="auto"/>
      <w:textAlignment w:val="top"/>
    </w:pPr>
    <w:rPr>
      <w:rFonts w:ascii="Times New Roman" w:eastAsia="Times New Roman" w:hAnsi="Times New Roman" w:cs="Times New Roman"/>
      <w:sz w:val="20"/>
      <w:szCs w:val="20"/>
      <w:lang w:eastAsia="en-GB"/>
    </w:rPr>
  </w:style>
  <w:style w:type="paragraph" w:customStyle="1" w:styleId="xl70">
    <w:name w:val="xl70"/>
    <w:basedOn w:val="Normal"/>
    <w:rsid w:val="00B43C92"/>
    <w:pPr>
      <w:spacing w:before="100" w:beforeAutospacing="1" w:after="100" w:afterAutospacing="1" w:line="240" w:lineRule="auto"/>
      <w:textAlignment w:val="top"/>
    </w:pPr>
    <w:rPr>
      <w:rFonts w:ascii="Times New Roman" w:eastAsia="Times New Roman" w:hAnsi="Times New Roman" w:cs="Times New Roman"/>
      <w:sz w:val="20"/>
      <w:szCs w:val="20"/>
      <w:lang w:eastAsia="en-GB"/>
    </w:rPr>
  </w:style>
  <w:style w:type="paragraph" w:customStyle="1" w:styleId="xl71">
    <w:name w:val="xl71"/>
    <w:basedOn w:val="Normal"/>
    <w:rsid w:val="00B43C92"/>
    <w:pPr>
      <w:spacing w:before="100" w:beforeAutospacing="1" w:after="100" w:afterAutospacing="1" w:line="240" w:lineRule="auto"/>
    </w:pPr>
    <w:rPr>
      <w:rFonts w:ascii="Times New Roman" w:eastAsia="Times New Roman" w:hAnsi="Times New Roman" w:cs="Times New Roman"/>
      <w:sz w:val="20"/>
      <w:szCs w:val="20"/>
      <w:lang w:eastAsia="en-GB"/>
    </w:rPr>
  </w:style>
  <w:style w:type="paragraph" w:customStyle="1" w:styleId="xl72">
    <w:name w:val="xl72"/>
    <w:basedOn w:val="Normal"/>
    <w:rsid w:val="00B43C92"/>
    <w:pPr>
      <w:spacing w:before="100" w:beforeAutospacing="1" w:after="100" w:afterAutospacing="1" w:line="240" w:lineRule="auto"/>
    </w:pPr>
    <w:rPr>
      <w:rFonts w:ascii="Times New Roman" w:eastAsia="Times New Roman" w:hAnsi="Times New Roman" w:cs="Times New Roman"/>
      <w:sz w:val="20"/>
      <w:szCs w:val="20"/>
      <w:lang w:eastAsia="en-GB"/>
    </w:rPr>
  </w:style>
  <w:style w:type="paragraph" w:customStyle="1" w:styleId="xl73">
    <w:name w:val="xl73"/>
    <w:basedOn w:val="Normal"/>
    <w:rsid w:val="00B43C92"/>
    <w:pPr>
      <w:shd w:val="clear" w:color="000000" w:fill="B4C6E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en-GB"/>
    </w:rPr>
  </w:style>
  <w:style w:type="paragraph" w:customStyle="1" w:styleId="xl74">
    <w:name w:val="xl74"/>
    <w:basedOn w:val="Normal"/>
    <w:rsid w:val="00B43C92"/>
    <w:pPr>
      <w:spacing w:before="100" w:beforeAutospacing="1" w:after="100" w:afterAutospacing="1" w:line="240" w:lineRule="auto"/>
      <w:jc w:val="center"/>
    </w:pPr>
    <w:rPr>
      <w:rFonts w:ascii="Times New Roman" w:eastAsia="Times New Roman" w:hAnsi="Times New Roman" w:cs="Times New Roman"/>
      <w:sz w:val="20"/>
      <w:szCs w:val="20"/>
      <w:lang w:eastAsia="en-GB"/>
    </w:rPr>
  </w:style>
  <w:style w:type="paragraph" w:customStyle="1" w:styleId="xl75">
    <w:name w:val="xl75"/>
    <w:basedOn w:val="Normal"/>
    <w:rsid w:val="00B43C92"/>
    <w:pPr>
      <w:shd w:val="clear" w:color="000000" w:fill="B4C6E7"/>
      <w:spacing w:before="100" w:beforeAutospacing="1" w:after="100" w:afterAutospacing="1" w:line="240" w:lineRule="auto"/>
      <w:textAlignment w:val="center"/>
    </w:pPr>
    <w:rPr>
      <w:rFonts w:ascii="Times New Roman" w:eastAsia="Times New Roman" w:hAnsi="Times New Roman" w:cs="Times New Roman"/>
      <w:b/>
      <w:bCs/>
      <w:sz w:val="20"/>
      <w:szCs w:val="20"/>
      <w:lang w:eastAsia="en-GB"/>
    </w:rPr>
  </w:style>
  <w:style w:type="paragraph" w:customStyle="1" w:styleId="xl76">
    <w:name w:val="xl76"/>
    <w:basedOn w:val="Normal"/>
    <w:rsid w:val="00B43C92"/>
    <w:pPr>
      <w:shd w:val="clear" w:color="000000" w:fill="B4C6E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en-GB"/>
    </w:rPr>
  </w:style>
  <w:style w:type="paragraph" w:customStyle="1" w:styleId="xl77">
    <w:name w:val="xl77"/>
    <w:basedOn w:val="Normal"/>
    <w:rsid w:val="00B43C92"/>
    <w:pPr>
      <w:shd w:val="clear" w:color="000000" w:fill="B4C6E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n-GB"/>
    </w:rPr>
  </w:style>
  <w:style w:type="paragraph" w:customStyle="1" w:styleId="xl78">
    <w:name w:val="xl78"/>
    <w:basedOn w:val="Normal"/>
    <w:rsid w:val="00B43C92"/>
    <w:pPr>
      <w:shd w:val="clear" w:color="000000" w:fill="B4C6E7"/>
      <w:spacing w:before="100" w:beforeAutospacing="1" w:after="100" w:afterAutospacing="1" w:line="240" w:lineRule="auto"/>
      <w:textAlignment w:val="top"/>
    </w:pPr>
    <w:rPr>
      <w:rFonts w:ascii="Times New Roman" w:eastAsia="Times New Roman" w:hAnsi="Times New Roman" w:cs="Times New Roman"/>
      <w:b/>
      <w:bCs/>
      <w:sz w:val="20"/>
      <w:szCs w:val="20"/>
      <w:lang w:eastAsia="en-GB"/>
    </w:rPr>
  </w:style>
  <w:style w:type="paragraph" w:customStyle="1" w:styleId="xl79">
    <w:name w:val="xl79"/>
    <w:basedOn w:val="Normal"/>
    <w:rsid w:val="00B43C92"/>
    <w:pPr>
      <w:shd w:val="clear" w:color="000000" w:fill="B4C6E7"/>
      <w:spacing w:before="100" w:beforeAutospacing="1" w:after="100" w:afterAutospacing="1" w:line="240" w:lineRule="auto"/>
    </w:pPr>
    <w:rPr>
      <w:rFonts w:ascii="Times New Roman" w:eastAsia="Times New Roman" w:hAnsi="Times New Roman" w:cs="Times New Roman"/>
      <w:sz w:val="20"/>
      <w:szCs w:val="20"/>
      <w:lang w:eastAsia="en-GB"/>
    </w:rPr>
  </w:style>
  <w:style w:type="paragraph" w:customStyle="1" w:styleId="EndNoteBibliography">
    <w:name w:val="EndNote Bibliography"/>
    <w:basedOn w:val="Normal"/>
    <w:link w:val="EndNoteBibliographyChar"/>
    <w:rsid w:val="00B43C92"/>
    <w:pPr>
      <w:spacing w:after="0" w:line="240" w:lineRule="auto"/>
    </w:pPr>
    <w:rPr>
      <w:rFonts w:ascii="Calibri" w:eastAsia="Times New Roman" w:hAnsi="Calibri" w:cs="Calibri"/>
      <w:noProof/>
      <w:szCs w:val="24"/>
      <w:lang w:val="en-US"/>
    </w:rPr>
  </w:style>
  <w:style w:type="character" w:customStyle="1" w:styleId="EndNoteBibliographyChar">
    <w:name w:val="EndNote Bibliography Char"/>
    <w:basedOn w:val="DefaultParagraphFont"/>
    <w:link w:val="EndNoteBibliography"/>
    <w:rsid w:val="00B43C92"/>
    <w:rPr>
      <w:rFonts w:ascii="Calibri" w:eastAsia="Times New Roman" w:hAnsi="Calibri" w:cs="Calibri"/>
      <w:noProof/>
      <w:szCs w:val="24"/>
      <w:lang w:val="en-US"/>
    </w:rPr>
  </w:style>
  <w:style w:type="paragraph" w:styleId="TOCHeading">
    <w:name w:val="TOC Heading"/>
    <w:basedOn w:val="Heading1"/>
    <w:next w:val="Normal"/>
    <w:uiPriority w:val="39"/>
    <w:unhideWhenUsed/>
    <w:qFormat/>
    <w:rsid w:val="00B43C92"/>
    <w:pPr>
      <w:outlineLvl w:val="9"/>
    </w:pPr>
    <w:rPr>
      <w:lang w:val="en-US"/>
    </w:rPr>
  </w:style>
  <w:style w:type="paragraph" w:styleId="TOC1">
    <w:name w:val="toc 1"/>
    <w:basedOn w:val="Normal"/>
    <w:next w:val="Normal"/>
    <w:autoRedefine/>
    <w:uiPriority w:val="39"/>
    <w:unhideWhenUsed/>
    <w:rsid w:val="00B43C92"/>
    <w:pPr>
      <w:spacing w:after="100"/>
    </w:pPr>
  </w:style>
  <w:style w:type="paragraph" w:styleId="TOC2">
    <w:name w:val="toc 2"/>
    <w:basedOn w:val="Normal"/>
    <w:next w:val="Normal"/>
    <w:autoRedefine/>
    <w:uiPriority w:val="39"/>
    <w:unhideWhenUsed/>
    <w:rsid w:val="00B43C92"/>
    <w:pPr>
      <w:spacing w:after="100"/>
      <w:ind w:left="220"/>
    </w:pPr>
  </w:style>
  <w:style w:type="paragraph" w:styleId="TOC3">
    <w:name w:val="toc 3"/>
    <w:basedOn w:val="Normal"/>
    <w:next w:val="Normal"/>
    <w:autoRedefine/>
    <w:uiPriority w:val="39"/>
    <w:unhideWhenUsed/>
    <w:rsid w:val="00B43C9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958</Words>
  <Characters>5463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Yemisi Takwoingi (Applied Health Research)</dc:creator>
  <cp:keywords/>
  <dc:description/>
  <cp:lastModifiedBy>Hyde, Christopher</cp:lastModifiedBy>
  <cp:revision>3</cp:revision>
  <dcterms:created xsi:type="dcterms:W3CDTF">2022-04-17T16:23:00Z</dcterms:created>
  <dcterms:modified xsi:type="dcterms:W3CDTF">2022-04-17T17:16:00Z</dcterms:modified>
</cp:coreProperties>
</file>