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6B64F" w14:textId="149D88D4" w:rsidR="00BD6644" w:rsidRPr="00BD6644" w:rsidRDefault="00BD6644" w:rsidP="00BD6644">
      <w:pPr>
        <w:spacing w:after="0"/>
        <w:rPr>
          <w:b/>
          <w:bCs/>
          <w:sz w:val="24"/>
          <w:szCs w:val="24"/>
        </w:rPr>
      </w:pPr>
      <w:bookmarkStart w:id="0" w:name="_Toc96340196"/>
      <w:bookmarkStart w:id="1" w:name="_GoBack"/>
      <w:bookmarkEnd w:id="1"/>
      <w:r w:rsidRPr="00BD6644">
        <w:rPr>
          <w:b/>
          <w:bCs/>
          <w:sz w:val="24"/>
          <w:szCs w:val="24"/>
        </w:rPr>
        <w:t xml:space="preserve">Supplementary Table </w:t>
      </w:r>
      <w:r w:rsidR="00944B5A">
        <w:rPr>
          <w:b/>
          <w:bCs/>
          <w:sz w:val="24"/>
          <w:szCs w:val="24"/>
        </w:rPr>
        <w:t>2</w:t>
      </w:r>
      <w:r w:rsidRPr="00BD6644">
        <w:rPr>
          <w:b/>
          <w:bCs/>
          <w:sz w:val="24"/>
          <w:szCs w:val="24"/>
        </w:rPr>
        <w:t>: Remit, capacity and sources used for 7 HTA organisations included in Stage 1 assessment</w:t>
      </w:r>
      <w:bookmarkEnd w:id="0"/>
    </w:p>
    <w:tbl>
      <w:tblPr>
        <w:tblStyle w:val="TableGrid"/>
        <w:tblW w:w="0" w:type="auto"/>
        <w:tblLook w:val="04A0" w:firstRow="1" w:lastRow="0" w:firstColumn="1" w:lastColumn="0" w:noHBand="0" w:noVBand="1"/>
      </w:tblPr>
      <w:tblGrid>
        <w:gridCol w:w="2780"/>
        <w:gridCol w:w="1751"/>
        <w:gridCol w:w="5670"/>
        <w:gridCol w:w="3747"/>
      </w:tblGrid>
      <w:tr w:rsidR="00BD6644" w14:paraId="395F8D8F" w14:textId="77777777" w:rsidTr="00D906F9">
        <w:trPr>
          <w:trHeight w:val="557"/>
          <w:tblHeader/>
        </w:trPr>
        <w:tc>
          <w:tcPr>
            <w:tcW w:w="2780" w:type="dxa"/>
            <w:shd w:val="clear" w:color="auto" w:fill="auto"/>
            <w:vAlign w:val="center"/>
          </w:tcPr>
          <w:p w14:paraId="37ECA388" w14:textId="4B474D1C" w:rsidR="00BD6644" w:rsidRPr="007D07D9" w:rsidRDefault="00BD6644" w:rsidP="00D906F9">
            <w:pPr>
              <w:rPr>
                <w:b/>
                <w:bCs/>
              </w:rPr>
            </w:pPr>
            <w:r w:rsidRPr="007D07D9">
              <w:rPr>
                <w:b/>
                <w:bCs/>
              </w:rPr>
              <w:t>Stage 1 organisation (acronym, country)</w:t>
            </w:r>
          </w:p>
        </w:tc>
        <w:tc>
          <w:tcPr>
            <w:tcW w:w="1751" w:type="dxa"/>
            <w:shd w:val="clear" w:color="auto" w:fill="auto"/>
            <w:vAlign w:val="center"/>
          </w:tcPr>
          <w:p w14:paraId="0C4A600B" w14:textId="77777777" w:rsidR="00BD6644" w:rsidRPr="00FF3431" w:rsidRDefault="00BD6644" w:rsidP="00D906F9">
            <w:pPr>
              <w:rPr>
                <w:b/>
                <w:bCs/>
              </w:rPr>
            </w:pPr>
            <w:r>
              <w:rPr>
                <w:b/>
                <w:bCs/>
              </w:rPr>
              <w:t>HTA remit</w:t>
            </w:r>
          </w:p>
        </w:tc>
        <w:tc>
          <w:tcPr>
            <w:tcW w:w="5670" w:type="dxa"/>
            <w:shd w:val="clear" w:color="auto" w:fill="auto"/>
            <w:vAlign w:val="center"/>
          </w:tcPr>
          <w:p w14:paraId="1C532BFD" w14:textId="77777777" w:rsidR="00BD6644" w:rsidRPr="00FF3431" w:rsidRDefault="00BD6644" w:rsidP="00D906F9">
            <w:pPr>
              <w:rPr>
                <w:b/>
                <w:bCs/>
              </w:rPr>
            </w:pPr>
            <w:r>
              <w:rPr>
                <w:b/>
                <w:bCs/>
              </w:rPr>
              <w:t>Document types and sources</w:t>
            </w:r>
          </w:p>
        </w:tc>
        <w:tc>
          <w:tcPr>
            <w:tcW w:w="3747" w:type="dxa"/>
            <w:shd w:val="clear" w:color="auto" w:fill="auto"/>
            <w:vAlign w:val="center"/>
          </w:tcPr>
          <w:p w14:paraId="3DCB3FE8" w14:textId="77777777" w:rsidR="00BD6644" w:rsidRPr="00FF3431" w:rsidRDefault="00BD6644" w:rsidP="00D906F9">
            <w:pPr>
              <w:rPr>
                <w:b/>
                <w:bCs/>
              </w:rPr>
            </w:pPr>
            <w:r>
              <w:rPr>
                <w:b/>
                <w:bCs/>
              </w:rPr>
              <w:t>HTA setting</w:t>
            </w:r>
          </w:p>
        </w:tc>
      </w:tr>
      <w:tr w:rsidR="00BD6644" w:rsidRPr="00712A61" w14:paraId="5CEE5F88" w14:textId="77777777" w:rsidTr="00D906F9">
        <w:tc>
          <w:tcPr>
            <w:tcW w:w="2780" w:type="dxa"/>
            <w:shd w:val="clear" w:color="auto" w:fill="auto"/>
          </w:tcPr>
          <w:p w14:paraId="21C67E78" w14:textId="77777777" w:rsidR="00BD6644" w:rsidRPr="007D07D9" w:rsidRDefault="00BD6644" w:rsidP="00D906F9">
            <w:pPr>
              <w:rPr>
                <w:b/>
                <w:bCs/>
                <w:sz w:val="20"/>
              </w:rPr>
            </w:pPr>
            <w:r w:rsidRPr="007D07D9">
              <w:rPr>
                <w:b/>
                <w:bCs/>
                <w:sz w:val="20"/>
              </w:rPr>
              <w:t>Agency for Healthcare Research and Quality (AHRQ, USA)</w:t>
            </w:r>
          </w:p>
        </w:tc>
        <w:tc>
          <w:tcPr>
            <w:tcW w:w="1751" w:type="dxa"/>
            <w:shd w:val="clear" w:color="auto" w:fill="auto"/>
          </w:tcPr>
          <w:p w14:paraId="56EE7B10" w14:textId="77777777" w:rsidR="00BD6644" w:rsidRPr="00FF3431" w:rsidRDefault="00BD6644" w:rsidP="00D906F9">
            <w:pPr>
              <w:rPr>
                <w:sz w:val="20"/>
              </w:rPr>
            </w:pPr>
            <w:r>
              <w:rPr>
                <w:sz w:val="20"/>
              </w:rPr>
              <w:t>All healthcare interventions, including all medical tests.</w:t>
            </w:r>
          </w:p>
        </w:tc>
        <w:tc>
          <w:tcPr>
            <w:tcW w:w="5670" w:type="dxa"/>
            <w:shd w:val="clear" w:color="auto" w:fill="auto"/>
          </w:tcPr>
          <w:p w14:paraId="15F3FADE" w14:textId="1CE55609" w:rsidR="00BD6644" w:rsidRPr="00CC1973" w:rsidRDefault="00BD6644" w:rsidP="00D906F9">
            <w:pPr>
              <w:tabs>
                <w:tab w:val="left" w:pos="1185"/>
              </w:tabs>
              <w:rPr>
                <w:sz w:val="20"/>
              </w:rPr>
            </w:pPr>
            <w:r>
              <w:rPr>
                <w:b/>
                <w:bCs/>
                <w:sz w:val="20"/>
              </w:rPr>
              <w:t>Methods guide</w:t>
            </w:r>
            <w:r w:rsidR="00B8448C" w:rsidRPr="00B8448C">
              <w:rPr>
                <w:bCs/>
                <w:sz w:val="20"/>
                <w:vertAlign w:val="superscript"/>
              </w:rPr>
              <w:t>1</w:t>
            </w:r>
            <w:r>
              <w:rPr>
                <w:b/>
                <w:bCs/>
                <w:sz w:val="20"/>
              </w:rPr>
              <w:t xml:space="preserve"> </w:t>
            </w:r>
            <w:r w:rsidRPr="00CC1973">
              <w:rPr>
                <w:sz w:val="20"/>
              </w:rPr>
              <w:t>specific to medical tests.</w:t>
            </w:r>
          </w:p>
          <w:p w14:paraId="4BEBD942" w14:textId="77777777" w:rsidR="00BD6644" w:rsidRDefault="00BD6644" w:rsidP="00D906F9">
            <w:pPr>
              <w:tabs>
                <w:tab w:val="left" w:pos="1185"/>
              </w:tabs>
              <w:rPr>
                <w:b/>
                <w:bCs/>
                <w:sz w:val="20"/>
              </w:rPr>
            </w:pPr>
          </w:p>
          <w:p w14:paraId="31FAA52D" w14:textId="5600C8E2" w:rsidR="00BD6644" w:rsidRDefault="003557E3" w:rsidP="00D906F9">
            <w:pPr>
              <w:tabs>
                <w:tab w:val="left" w:pos="1185"/>
              </w:tabs>
              <w:rPr>
                <w:sz w:val="20"/>
              </w:rPr>
            </w:pPr>
            <w:r>
              <w:rPr>
                <w:sz w:val="20"/>
              </w:rPr>
              <w:t>Other s</w:t>
            </w:r>
            <w:r w:rsidR="00BD6644">
              <w:rPr>
                <w:sz w:val="20"/>
              </w:rPr>
              <w:t xml:space="preserve">ources: </w:t>
            </w:r>
          </w:p>
          <w:p w14:paraId="779F6DE9" w14:textId="77777777" w:rsidR="00BD6644" w:rsidRDefault="00BD6644" w:rsidP="00D906F9">
            <w:pPr>
              <w:pStyle w:val="Default"/>
              <w:spacing w:after="6"/>
              <w:rPr>
                <w:sz w:val="16"/>
                <w:szCs w:val="16"/>
              </w:rPr>
            </w:pPr>
            <w:r>
              <w:rPr>
                <w:sz w:val="16"/>
                <w:szCs w:val="16"/>
              </w:rPr>
              <w:t xml:space="preserve">[1]. </w:t>
            </w:r>
            <w:r>
              <w:rPr>
                <w:b/>
                <w:bCs/>
                <w:i/>
                <w:iCs/>
                <w:sz w:val="16"/>
                <w:szCs w:val="16"/>
              </w:rPr>
              <w:t xml:space="preserve">Agency for Healthcare Research and Quality: A Profile. </w:t>
            </w:r>
            <w:r>
              <w:rPr>
                <w:sz w:val="16"/>
                <w:szCs w:val="16"/>
              </w:rPr>
              <w:t>Content last reviewed March 2018. Agency for Healthcare Research and Quality, Rockville, MD. https://www.ahrq.gov/cpi/about/profile/index.html [last accessed 10</w:t>
            </w:r>
            <w:r>
              <w:rPr>
                <w:sz w:val="10"/>
                <w:szCs w:val="10"/>
              </w:rPr>
              <w:t xml:space="preserve">th </w:t>
            </w:r>
            <w:r>
              <w:rPr>
                <w:sz w:val="16"/>
                <w:szCs w:val="16"/>
              </w:rPr>
              <w:t xml:space="preserve">June 2021] </w:t>
            </w:r>
          </w:p>
          <w:p w14:paraId="3A48772F" w14:textId="77777777" w:rsidR="00BD6644" w:rsidRDefault="00BD6644" w:rsidP="00D906F9">
            <w:pPr>
              <w:pStyle w:val="Default"/>
              <w:spacing w:after="6"/>
              <w:rPr>
                <w:sz w:val="16"/>
                <w:szCs w:val="16"/>
              </w:rPr>
            </w:pPr>
            <w:r>
              <w:rPr>
                <w:sz w:val="16"/>
                <w:szCs w:val="16"/>
              </w:rPr>
              <w:t xml:space="preserve">[2]. </w:t>
            </w:r>
            <w:r>
              <w:rPr>
                <w:b/>
                <w:bCs/>
                <w:i/>
                <w:iCs/>
                <w:sz w:val="16"/>
                <w:szCs w:val="16"/>
              </w:rPr>
              <w:t>EHC Program Topic Nomination and Selection</w:t>
            </w:r>
            <w:r>
              <w:rPr>
                <w:sz w:val="16"/>
                <w:szCs w:val="16"/>
              </w:rPr>
              <w:t>. EHC AHRQ web page, available from: https://effectivehealthcare.ahrq.gov/about/epc/nomination/ [last accessed 20</w:t>
            </w:r>
            <w:r>
              <w:rPr>
                <w:sz w:val="10"/>
                <w:szCs w:val="10"/>
              </w:rPr>
              <w:t xml:space="preserve">th </w:t>
            </w:r>
            <w:r>
              <w:rPr>
                <w:sz w:val="16"/>
                <w:szCs w:val="16"/>
              </w:rPr>
              <w:t xml:space="preserve">July 2020]. </w:t>
            </w:r>
          </w:p>
          <w:p w14:paraId="09112383" w14:textId="77777777" w:rsidR="00BD6644" w:rsidRDefault="00BD6644" w:rsidP="00D906F9">
            <w:pPr>
              <w:pStyle w:val="Default"/>
              <w:spacing w:after="6"/>
              <w:rPr>
                <w:sz w:val="16"/>
                <w:szCs w:val="16"/>
              </w:rPr>
            </w:pPr>
            <w:r>
              <w:rPr>
                <w:sz w:val="16"/>
                <w:szCs w:val="16"/>
              </w:rPr>
              <w:t xml:space="preserve">[3]. </w:t>
            </w:r>
            <w:r>
              <w:rPr>
                <w:b/>
                <w:bCs/>
                <w:i/>
                <w:iCs/>
                <w:sz w:val="16"/>
                <w:szCs w:val="16"/>
              </w:rPr>
              <w:t>Evidence–based Practice Centers</w:t>
            </w:r>
            <w:r>
              <w:rPr>
                <w:sz w:val="16"/>
                <w:szCs w:val="16"/>
              </w:rPr>
              <w:t>. EHC AHRQ web page, available from: https://effectivehealthcare.ahrq.gov/about/epc [last accessed 24</w:t>
            </w:r>
            <w:r>
              <w:rPr>
                <w:sz w:val="10"/>
                <w:szCs w:val="10"/>
              </w:rPr>
              <w:t xml:space="preserve">th </w:t>
            </w:r>
            <w:r>
              <w:rPr>
                <w:sz w:val="16"/>
                <w:szCs w:val="16"/>
              </w:rPr>
              <w:t xml:space="preserve">July 2020]. </w:t>
            </w:r>
          </w:p>
          <w:p w14:paraId="718C1F78" w14:textId="77777777" w:rsidR="00BD6644" w:rsidRDefault="00BD6644" w:rsidP="00D906F9">
            <w:pPr>
              <w:pStyle w:val="Default"/>
              <w:spacing w:after="6"/>
              <w:rPr>
                <w:sz w:val="16"/>
                <w:szCs w:val="16"/>
              </w:rPr>
            </w:pPr>
            <w:r>
              <w:rPr>
                <w:sz w:val="16"/>
                <w:szCs w:val="16"/>
              </w:rPr>
              <w:t xml:space="preserve">[4]. </w:t>
            </w:r>
            <w:r>
              <w:rPr>
                <w:b/>
                <w:bCs/>
                <w:i/>
                <w:iCs/>
                <w:sz w:val="16"/>
                <w:szCs w:val="16"/>
              </w:rPr>
              <w:t xml:space="preserve">About the Evidence Synthesis Process. </w:t>
            </w:r>
            <w:r>
              <w:rPr>
                <w:sz w:val="16"/>
                <w:szCs w:val="16"/>
              </w:rPr>
              <w:t>EHC AHRQ web page, available from: https://effectivehealthcare.ahrq.gov/about/epc/evidence-synthesis [last accessed 24</w:t>
            </w:r>
            <w:r>
              <w:rPr>
                <w:sz w:val="10"/>
                <w:szCs w:val="10"/>
              </w:rPr>
              <w:t xml:space="preserve">th </w:t>
            </w:r>
            <w:r>
              <w:rPr>
                <w:sz w:val="16"/>
                <w:szCs w:val="16"/>
              </w:rPr>
              <w:t xml:space="preserve">July 2020]. </w:t>
            </w:r>
          </w:p>
          <w:p w14:paraId="27A0385B" w14:textId="77777777" w:rsidR="00BD6644" w:rsidRDefault="00BD6644" w:rsidP="00D906F9">
            <w:pPr>
              <w:pStyle w:val="Default"/>
              <w:spacing w:after="6"/>
              <w:rPr>
                <w:sz w:val="16"/>
                <w:szCs w:val="16"/>
              </w:rPr>
            </w:pPr>
            <w:r>
              <w:rPr>
                <w:sz w:val="16"/>
                <w:szCs w:val="16"/>
              </w:rPr>
              <w:t xml:space="preserve">[5]. </w:t>
            </w:r>
            <w:r>
              <w:rPr>
                <w:b/>
                <w:bCs/>
                <w:i/>
                <w:iCs/>
                <w:sz w:val="16"/>
                <w:szCs w:val="16"/>
              </w:rPr>
              <w:t xml:space="preserve">Evidence-based Practice Center Editorial Review Process. </w:t>
            </w:r>
            <w:r>
              <w:rPr>
                <w:sz w:val="16"/>
                <w:szCs w:val="16"/>
              </w:rPr>
              <w:t>EHC AHRQ web page, available from: https://effectivehealthcare.ahrq.gov/about/epc/review [last accessed 24</w:t>
            </w:r>
            <w:r>
              <w:rPr>
                <w:sz w:val="10"/>
                <w:szCs w:val="10"/>
              </w:rPr>
              <w:t xml:space="preserve">th </w:t>
            </w:r>
            <w:r>
              <w:rPr>
                <w:sz w:val="16"/>
                <w:szCs w:val="16"/>
              </w:rPr>
              <w:t xml:space="preserve">July 2020]. </w:t>
            </w:r>
          </w:p>
          <w:p w14:paraId="489EB4FA" w14:textId="77777777" w:rsidR="00BD6644" w:rsidRDefault="00BD6644" w:rsidP="00D906F9">
            <w:pPr>
              <w:pStyle w:val="Default"/>
              <w:spacing w:after="6"/>
              <w:rPr>
                <w:sz w:val="16"/>
                <w:szCs w:val="16"/>
              </w:rPr>
            </w:pPr>
            <w:r>
              <w:rPr>
                <w:sz w:val="16"/>
                <w:szCs w:val="16"/>
              </w:rPr>
              <w:t xml:space="preserve">[6]. </w:t>
            </w:r>
            <w:r>
              <w:rPr>
                <w:b/>
                <w:bCs/>
                <w:i/>
                <w:iCs/>
                <w:sz w:val="16"/>
                <w:szCs w:val="16"/>
              </w:rPr>
              <w:t xml:space="preserve">Evidence-based Practice Center Evidence Report Surveillance Process. </w:t>
            </w:r>
            <w:r>
              <w:rPr>
                <w:sz w:val="16"/>
                <w:szCs w:val="16"/>
              </w:rPr>
              <w:t>EHC AHRQ web page, available from: https://effectivehealthcare.ahrq.gov/about/epc/update [last accessed 24</w:t>
            </w:r>
            <w:r>
              <w:rPr>
                <w:sz w:val="10"/>
                <w:szCs w:val="10"/>
              </w:rPr>
              <w:t xml:space="preserve">th </w:t>
            </w:r>
            <w:r>
              <w:rPr>
                <w:sz w:val="16"/>
                <w:szCs w:val="16"/>
              </w:rPr>
              <w:t xml:space="preserve">July 2020]. </w:t>
            </w:r>
          </w:p>
          <w:p w14:paraId="0B91C453" w14:textId="77777777" w:rsidR="00BD6644" w:rsidRDefault="00BD6644" w:rsidP="00D906F9">
            <w:pPr>
              <w:pStyle w:val="Default"/>
              <w:spacing w:after="6"/>
              <w:rPr>
                <w:sz w:val="16"/>
                <w:szCs w:val="16"/>
              </w:rPr>
            </w:pPr>
            <w:r>
              <w:rPr>
                <w:sz w:val="16"/>
                <w:szCs w:val="16"/>
              </w:rPr>
              <w:t xml:space="preserve">[7]. </w:t>
            </w:r>
            <w:r>
              <w:rPr>
                <w:b/>
                <w:bCs/>
                <w:i/>
                <w:iCs/>
                <w:sz w:val="16"/>
                <w:szCs w:val="16"/>
              </w:rPr>
              <w:t xml:space="preserve">Methods Guide for Medical Test Reviews. </w:t>
            </w:r>
            <w:r>
              <w:rPr>
                <w:sz w:val="16"/>
                <w:szCs w:val="16"/>
              </w:rPr>
              <w:t>AHRQ Publication No. 12-EC017. Rockville, MD: Agency for Healthcare Research and Quality; June 2012. Downloaded 20</w:t>
            </w:r>
            <w:r>
              <w:rPr>
                <w:sz w:val="10"/>
                <w:szCs w:val="10"/>
              </w:rPr>
              <w:t xml:space="preserve">th </w:t>
            </w:r>
            <w:r>
              <w:rPr>
                <w:sz w:val="16"/>
                <w:szCs w:val="16"/>
              </w:rPr>
              <w:t xml:space="preserve">July 2020. </w:t>
            </w:r>
          </w:p>
          <w:p w14:paraId="72254E09" w14:textId="77777777" w:rsidR="00BD6644" w:rsidRPr="00D906F9" w:rsidRDefault="00BD6644" w:rsidP="00D906F9">
            <w:pPr>
              <w:pStyle w:val="Default"/>
              <w:rPr>
                <w:sz w:val="16"/>
                <w:szCs w:val="16"/>
              </w:rPr>
            </w:pPr>
            <w:r>
              <w:rPr>
                <w:sz w:val="16"/>
                <w:szCs w:val="16"/>
              </w:rPr>
              <w:t xml:space="preserve">[8]. </w:t>
            </w:r>
            <w:r>
              <w:rPr>
                <w:b/>
                <w:bCs/>
                <w:i/>
                <w:iCs/>
                <w:sz w:val="16"/>
                <w:szCs w:val="16"/>
              </w:rPr>
              <w:t>EPC Methods Guide for Comparative Effectiveness Reviews</w:t>
            </w:r>
            <w:r>
              <w:rPr>
                <w:sz w:val="16"/>
                <w:szCs w:val="16"/>
              </w:rPr>
              <w:t>. Available at https://effectivehealthcare.ahrq.gov/products/cer-methods-guide [last accessed 6</w:t>
            </w:r>
            <w:r>
              <w:rPr>
                <w:sz w:val="10"/>
                <w:szCs w:val="10"/>
              </w:rPr>
              <w:t xml:space="preserve">th </w:t>
            </w:r>
            <w:r>
              <w:rPr>
                <w:sz w:val="16"/>
                <w:szCs w:val="16"/>
              </w:rPr>
              <w:t xml:space="preserve">June 2021]. </w:t>
            </w:r>
          </w:p>
        </w:tc>
        <w:tc>
          <w:tcPr>
            <w:tcW w:w="3747" w:type="dxa"/>
            <w:shd w:val="clear" w:color="auto" w:fill="auto"/>
          </w:tcPr>
          <w:p w14:paraId="1C2F9DB7" w14:textId="77777777" w:rsidR="00BD6644" w:rsidRPr="00712A61" w:rsidRDefault="00BD6644" w:rsidP="00D906F9">
            <w:pPr>
              <w:rPr>
                <w:sz w:val="20"/>
                <w:szCs w:val="20"/>
              </w:rPr>
            </w:pPr>
            <w:r w:rsidRPr="00712A61">
              <w:rPr>
                <w:sz w:val="20"/>
                <w:szCs w:val="20"/>
              </w:rPr>
              <w:t xml:space="preserve">AHRQ </w:t>
            </w:r>
            <w:r>
              <w:rPr>
                <w:sz w:val="20"/>
                <w:szCs w:val="20"/>
              </w:rPr>
              <w:t xml:space="preserve">is </w:t>
            </w:r>
            <w:r w:rsidRPr="00712A61">
              <w:rPr>
                <w:sz w:val="20"/>
                <w:szCs w:val="20"/>
              </w:rPr>
              <w:t xml:space="preserve">the lead Federal agency for improving the safety and quality of the US’s health care system, including HTA which falls within the remit of AHRQ’s Effective Health Care Program (EHC) [1]. AHRQ </w:t>
            </w:r>
            <w:r>
              <w:rPr>
                <w:sz w:val="20"/>
                <w:szCs w:val="20"/>
              </w:rPr>
              <w:t>conduct</w:t>
            </w:r>
            <w:r w:rsidRPr="00712A61">
              <w:rPr>
                <w:sz w:val="20"/>
                <w:szCs w:val="20"/>
              </w:rPr>
              <w:t xml:space="preserve"> ‘comparative effectiveness reviews’ [8], which are conceived as systematic reviews of the evidence on tests, possibly augmented by modelling. AHRQ</w:t>
            </w:r>
            <w:r>
              <w:rPr>
                <w:sz w:val="20"/>
                <w:szCs w:val="20"/>
              </w:rPr>
              <w:t xml:space="preserve"> provides</w:t>
            </w:r>
            <w:r w:rsidRPr="00712A61">
              <w:rPr>
                <w:sz w:val="20"/>
                <w:szCs w:val="20"/>
              </w:rPr>
              <w:t xml:space="preserve"> </w:t>
            </w:r>
            <w:r>
              <w:rPr>
                <w:sz w:val="20"/>
                <w:szCs w:val="20"/>
              </w:rPr>
              <w:t xml:space="preserve">technology assessments to inform the </w:t>
            </w:r>
            <w:r w:rsidRPr="00712A61">
              <w:rPr>
                <w:sz w:val="20"/>
                <w:szCs w:val="20"/>
              </w:rPr>
              <w:t xml:space="preserve">US Centers for Medicare and Medicaid Services (CMS) coverage decisions. </w:t>
            </w:r>
          </w:p>
          <w:p w14:paraId="69C2456D" w14:textId="77777777" w:rsidR="00BD6644" w:rsidRPr="00712A61" w:rsidRDefault="00BD6644" w:rsidP="00D906F9">
            <w:pPr>
              <w:rPr>
                <w:sz w:val="20"/>
                <w:szCs w:val="20"/>
              </w:rPr>
            </w:pPr>
          </w:p>
        </w:tc>
      </w:tr>
      <w:tr w:rsidR="00BD6644" w:rsidRPr="00712A61" w14:paraId="545E515C" w14:textId="77777777" w:rsidTr="00D906F9">
        <w:tc>
          <w:tcPr>
            <w:tcW w:w="2780" w:type="dxa"/>
            <w:shd w:val="clear" w:color="auto" w:fill="auto"/>
          </w:tcPr>
          <w:p w14:paraId="3FD3C4B0" w14:textId="77777777" w:rsidR="00BD6644" w:rsidRPr="007D07D9" w:rsidRDefault="00BD6644" w:rsidP="00D906F9">
            <w:pPr>
              <w:rPr>
                <w:b/>
                <w:bCs/>
                <w:sz w:val="20"/>
              </w:rPr>
            </w:pPr>
            <w:r w:rsidRPr="007D07D9">
              <w:rPr>
                <w:b/>
                <w:bCs/>
                <w:sz w:val="20"/>
              </w:rPr>
              <w:t>Canadian Agency for Drugs and Technology in Health (CADTH, Canada)</w:t>
            </w:r>
          </w:p>
        </w:tc>
        <w:tc>
          <w:tcPr>
            <w:tcW w:w="1751" w:type="dxa"/>
            <w:shd w:val="clear" w:color="auto" w:fill="auto"/>
          </w:tcPr>
          <w:p w14:paraId="3A2D7D70" w14:textId="77777777" w:rsidR="00BD6644" w:rsidRPr="00FF3431" w:rsidRDefault="00BD6644" w:rsidP="00D906F9">
            <w:pPr>
              <w:rPr>
                <w:sz w:val="20"/>
              </w:rPr>
            </w:pPr>
            <w:r>
              <w:rPr>
                <w:sz w:val="20"/>
              </w:rPr>
              <w:t>All healthcare interventions, including all medical tests.</w:t>
            </w:r>
          </w:p>
        </w:tc>
        <w:tc>
          <w:tcPr>
            <w:tcW w:w="5670" w:type="dxa"/>
            <w:shd w:val="clear" w:color="auto" w:fill="auto"/>
          </w:tcPr>
          <w:p w14:paraId="7E3201EF" w14:textId="39DE49E3" w:rsidR="00BD6644" w:rsidRPr="00C078FC" w:rsidRDefault="00BD6644" w:rsidP="00D906F9">
            <w:pPr>
              <w:rPr>
                <w:sz w:val="20"/>
              </w:rPr>
            </w:pPr>
            <w:r w:rsidRPr="00C078FC">
              <w:rPr>
                <w:b/>
                <w:bCs/>
                <w:sz w:val="20"/>
              </w:rPr>
              <w:t xml:space="preserve">Methods </w:t>
            </w:r>
            <w:r w:rsidRPr="00F06767">
              <w:rPr>
                <w:b/>
                <w:bCs/>
                <w:sz w:val="20"/>
              </w:rPr>
              <w:t>guide</w:t>
            </w:r>
            <w:r w:rsidR="00B8448C" w:rsidRPr="00B8448C">
              <w:rPr>
                <w:bCs/>
                <w:sz w:val="20"/>
                <w:vertAlign w:val="superscript"/>
              </w:rPr>
              <w:t>2</w:t>
            </w:r>
            <w:r w:rsidRPr="00B8448C">
              <w:rPr>
                <w:sz w:val="20"/>
                <w:vertAlign w:val="superscript"/>
              </w:rPr>
              <w:t xml:space="preserve"> </w:t>
            </w:r>
            <w:r w:rsidRPr="00C078FC">
              <w:rPr>
                <w:sz w:val="20"/>
              </w:rPr>
              <w:t>for economic evaluations for all interventions, with reference to tests throughout and an appendix for codependent tests</w:t>
            </w:r>
            <w:r w:rsidR="00B8448C" w:rsidRPr="00B8448C">
              <w:rPr>
                <w:sz w:val="20"/>
                <w:vertAlign w:val="superscript"/>
              </w:rPr>
              <w:t>3</w:t>
            </w:r>
          </w:p>
          <w:p w14:paraId="5F811C44" w14:textId="77777777" w:rsidR="00BD6644" w:rsidRDefault="00BD6644" w:rsidP="00D906F9">
            <w:pPr>
              <w:rPr>
                <w:sz w:val="20"/>
              </w:rPr>
            </w:pPr>
            <w:r>
              <w:rPr>
                <w:sz w:val="20"/>
              </w:rPr>
              <w:t>*</w:t>
            </w:r>
            <w:r w:rsidRPr="00C078FC">
              <w:rPr>
                <w:sz w:val="20"/>
              </w:rPr>
              <w:t>Clin</w:t>
            </w:r>
            <w:r>
              <w:rPr>
                <w:sz w:val="20"/>
              </w:rPr>
              <w:t>ical</w:t>
            </w:r>
            <w:r w:rsidRPr="00C078FC">
              <w:rPr>
                <w:sz w:val="20"/>
              </w:rPr>
              <w:t xml:space="preserve"> Eff</w:t>
            </w:r>
            <w:r>
              <w:rPr>
                <w:sz w:val="20"/>
              </w:rPr>
              <w:t>ectiveness</w:t>
            </w:r>
            <w:r w:rsidRPr="00C078FC">
              <w:rPr>
                <w:sz w:val="20"/>
              </w:rPr>
              <w:t xml:space="preserve"> </w:t>
            </w:r>
            <w:r>
              <w:rPr>
                <w:sz w:val="20"/>
              </w:rPr>
              <w:t>R</w:t>
            </w:r>
            <w:r w:rsidRPr="00C078FC">
              <w:rPr>
                <w:sz w:val="20"/>
              </w:rPr>
              <w:t>eview methods not public</w:t>
            </w:r>
            <w:r>
              <w:rPr>
                <w:sz w:val="20"/>
              </w:rPr>
              <w:t>l</w:t>
            </w:r>
            <w:r w:rsidRPr="00C078FC">
              <w:rPr>
                <w:sz w:val="20"/>
              </w:rPr>
              <w:t>y</w:t>
            </w:r>
            <w:r>
              <w:rPr>
                <w:sz w:val="20"/>
              </w:rPr>
              <w:t xml:space="preserve"> </w:t>
            </w:r>
            <w:r w:rsidRPr="00C078FC">
              <w:rPr>
                <w:sz w:val="20"/>
              </w:rPr>
              <w:t>available.</w:t>
            </w:r>
          </w:p>
          <w:p w14:paraId="77265303" w14:textId="6E34116C" w:rsidR="00BD6644" w:rsidRDefault="003557E3" w:rsidP="00D906F9">
            <w:pPr>
              <w:pStyle w:val="Default"/>
            </w:pPr>
            <w:r>
              <w:rPr>
                <w:sz w:val="20"/>
                <w:szCs w:val="22"/>
              </w:rPr>
              <w:t>Other s</w:t>
            </w:r>
            <w:r w:rsidR="00BD6644">
              <w:rPr>
                <w:sz w:val="20"/>
                <w:szCs w:val="22"/>
              </w:rPr>
              <w:t xml:space="preserve">ources: </w:t>
            </w:r>
            <w:r w:rsidR="00BD6644">
              <w:t xml:space="preserve"> </w:t>
            </w:r>
          </w:p>
          <w:p w14:paraId="144B9307" w14:textId="77777777" w:rsidR="00BD6644" w:rsidRDefault="00BD6644" w:rsidP="00D906F9">
            <w:pPr>
              <w:pStyle w:val="Default"/>
              <w:rPr>
                <w:sz w:val="16"/>
                <w:szCs w:val="16"/>
              </w:rPr>
            </w:pPr>
            <w:r>
              <w:rPr>
                <w:sz w:val="16"/>
                <w:szCs w:val="16"/>
              </w:rPr>
              <w:t xml:space="preserve">[1] </w:t>
            </w:r>
            <w:r>
              <w:rPr>
                <w:b/>
                <w:bCs/>
                <w:i/>
                <w:iCs/>
                <w:sz w:val="16"/>
                <w:szCs w:val="16"/>
              </w:rPr>
              <w:t>About the Health Technology Assessment Service</w:t>
            </w:r>
            <w:r>
              <w:rPr>
                <w:sz w:val="16"/>
                <w:szCs w:val="16"/>
              </w:rPr>
              <w:t xml:space="preserve">, CADTH website: https://www.cadth.ca/about-cadth/what-we-do/products-services/hta (Last Updated 15th June 2021) [last accessed 16th June 2021]. </w:t>
            </w:r>
          </w:p>
          <w:p w14:paraId="32542D9D" w14:textId="77777777" w:rsidR="00BD6644" w:rsidRDefault="00BD6644" w:rsidP="00D906F9">
            <w:pPr>
              <w:pStyle w:val="Default"/>
              <w:rPr>
                <w:sz w:val="16"/>
                <w:szCs w:val="16"/>
              </w:rPr>
            </w:pPr>
            <w:r>
              <w:rPr>
                <w:sz w:val="16"/>
                <w:szCs w:val="16"/>
              </w:rPr>
              <w:t xml:space="preserve">[2] </w:t>
            </w:r>
            <w:r>
              <w:rPr>
                <w:b/>
                <w:bCs/>
                <w:i/>
                <w:iCs/>
                <w:sz w:val="16"/>
                <w:szCs w:val="16"/>
              </w:rPr>
              <w:t>Overview of HTA and OU Medical Devices and Clinical Interventions</w:t>
            </w:r>
            <w:r>
              <w:rPr>
                <w:sz w:val="16"/>
                <w:szCs w:val="16"/>
              </w:rPr>
              <w:t>. [downloaded 24</w:t>
            </w:r>
            <w:r>
              <w:rPr>
                <w:sz w:val="10"/>
                <w:szCs w:val="10"/>
              </w:rPr>
              <w:t xml:space="preserve">th </w:t>
            </w:r>
            <w:r>
              <w:rPr>
                <w:sz w:val="16"/>
                <w:szCs w:val="16"/>
              </w:rPr>
              <w:t xml:space="preserve">July 2020]. Ottawa: CADTH. </w:t>
            </w:r>
          </w:p>
          <w:p w14:paraId="6266B11B" w14:textId="77777777" w:rsidR="00BD6644" w:rsidRDefault="00BD6644" w:rsidP="00D906F9">
            <w:pPr>
              <w:pStyle w:val="Default"/>
              <w:rPr>
                <w:sz w:val="16"/>
                <w:szCs w:val="16"/>
              </w:rPr>
            </w:pPr>
            <w:r>
              <w:rPr>
                <w:sz w:val="16"/>
                <w:szCs w:val="16"/>
              </w:rPr>
              <w:t xml:space="preserve">[3] </w:t>
            </w:r>
            <w:r>
              <w:rPr>
                <w:b/>
                <w:bCs/>
                <w:i/>
                <w:iCs/>
                <w:sz w:val="16"/>
                <w:szCs w:val="16"/>
              </w:rPr>
              <w:t xml:space="preserve">Health Technology Assessment and Optimal Use: Medical Devices; Diagnostic Tests; Medical, Surgical, and Dental Procedures. </w:t>
            </w:r>
            <w:r>
              <w:rPr>
                <w:sz w:val="16"/>
                <w:szCs w:val="16"/>
              </w:rPr>
              <w:t xml:space="preserve">CADTH Topic Identification and </w:t>
            </w:r>
            <w:r>
              <w:rPr>
                <w:sz w:val="16"/>
                <w:szCs w:val="16"/>
              </w:rPr>
              <w:lastRenderedPageBreak/>
              <w:t>Prioritization Process. November 2015 (Version 1.0). Ottawa: CADTH. [downloaded 24</w:t>
            </w:r>
            <w:r>
              <w:rPr>
                <w:sz w:val="10"/>
                <w:szCs w:val="10"/>
              </w:rPr>
              <w:t xml:space="preserve">th </w:t>
            </w:r>
            <w:r>
              <w:rPr>
                <w:sz w:val="16"/>
                <w:szCs w:val="16"/>
              </w:rPr>
              <w:t xml:space="preserve">July 2020]. </w:t>
            </w:r>
          </w:p>
          <w:p w14:paraId="18A5472E" w14:textId="77777777" w:rsidR="00BD6644" w:rsidRDefault="00BD6644" w:rsidP="00D906F9">
            <w:pPr>
              <w:pStyle w:val="Default"/>
              <w:rPr>
                <w:sz w:val="16"/>
                <w:szCs w:val="16"/>
              </w:rPr>
            </w:pPr>
            <w:r>
              <w:rPr>
                <w:sz w:val="16"/>
                <w:szCs w:val="16"/>
              </w:rPr>
              <w:t xml:space="preserve">[4] </w:t>
            </w:r>
            <w:r>
              <w:rPr>
                <w:b/>
                <w:bCs/>
                <w:i/>
                <w:iCs/>
                <w:sz w:val="16"/>
                <w:szCs w:val="16"/>
              </w:rPr>
              <w:t xml:space="preserve">Guidelines for the Economic Evaluation of Health Technologies: Canada. 4th ed. </w:t>
            </w:r>
            <w:r>
              <w:rPr>
                <w:sz w:val="16"/>
                <w:szCs w:val="16"/>
              </w:rPr>
              <w:t>Ottawa: CADTH; 2017 Mar. [downloaded 24</w:t>
            </w:r>
            <w:r>
              <w:rPr>
                <w:sz w:val="10"/>
                <w:szCs w:val="10"/>
              </w:rPr>
              <w:t xml:space="preserve">th </w:t>
            </w:r>
            <w:r>
              <w:rPr>
                <w:sz w:val="16"/>
                <w:szCs w:val="16"/>
              </w:rPr>
              <w:t xml:space="preserve">July 2020]. </w:t>
            </w:r>
          </w:p>
          <w:p w14:paraId="17A8788B" w14:textId="77777777" w:rsidR="00BD6644" w:rsidRDefault="00BD6644" w:rsidP="00D906F9">
            <w:pPr>
              <w:pStyle w:val="Default"/>
              <w:rPr>
                <w:sz w:val="16"/>
                <w:szCs w:val="16"/>
              </w:rPr>
            </w:pPr>
            <w:r>
              <w:rPr>
                <w:sz w:val="16"/>
                <w:szCs w:val="16"/>
              </w:rPr>
              <w:t xml:space="preserve">[5] </w:t>
            </w:r>
            <w:r>
              <w:rPr>
                <w:b/>
                <w:bCs/>
                <w:i/>
                <w:iCs/>
                <w:sz w:val="16"/>
                <w:szCs w:val="16"/>
              </w:rPr>
              <w:t xml:space="preserve">Guidelines for the Economic Evaluation of Health Technologies: Canada. 4th ed. Appendix — Specific guidance for treatments with companion diagnostics. </w:t>
            </w:r>
            <w:r>
              <w:rPr>
                <w:sz w:val="16"/>
                <w:szCs w:val="16"/>
              </w:rPr>
              <w:t>Ottawa: CADTH; 2019 Sep. [downloaded 24</w:t>
            </w:r>
            <w:r>
              <w:rPr>
                <w:sz w:val="10"/>
                <w:szCs w:val="10"/>
              </w:rPr>
              <w:t xml:space="preserve">th </w:t>
            </w:r>
            <w:r>
              <w:rPr>
                <w:sz w:val="16"/>
                <w:szCs w:val="16"/>
              </w:rPr>
              <w:t xml:space="preserve">July 2020]. </w:t>
            </w:r>
          </w:p>
          <w:p w14:paraId="35253541" w14:textId="77777777" w:rsidR="00BD6644" w:rsidRDefault="00BD6644" w:rsidP="00D906F9">
            <w:pPr>
              <w:pStyle w:val="Default"/>
              <w:rPr>
                <w:sz w:val="16"/>
                <w:szCs w:val="16"/>
              </w:rPr>
            </w:pPr>
            <w:r>
              <w:rPr>
                <w:sz w:val="16"/>
                <w:szCs w:val="16"/>
              </w:rPr>
              <w:t xml:space="preserve">[6] </w:t>
            </w:r>
            <w:r>
              <w:rPr>
                <w:b/>
                <w:bCs/>
                <w:i/>
                <w:iCs/>
                <w:sz w:val="16"/>
                <w:szCs w:val="16"/>
              </w:rPr>
              <w:t xml:space="preserve">Guidelines for Authors of CADTH Health Technology Assessment Reports. </w:t>
            </w:r>
            <w:r>
              <w:rPr>
                <w:sz w:val="16"/>
                <w:szCs w:val="16"/>
              </w:rPr>
              <w:t>Revised May 2003. Ottawa: CADTH. [downloaded 23</w:t>
            </w:r>
            <w:r>
              <w:rPr>
                <w:sz w:val="10"/>
                <w:szCs w:val="10"/>
              </w:rPr>
              <w:t xml:space="preserve">rd </w:t>
            </w:r>
            <w:r>
              <w:rPr>
                <w:sz w:val="16"/>
                <w:szCs w:val="16"/>
              </w:rPr>
              <w:t xml:space="preserve">September 2020]. </w:t>
            </w:r>
          </w:p>
          <w:p w14:paraId="6F78C066" w14:textId="77777777" w:rsidR="00BD6644" w:rsidRDefault="00BD6644" w:rsidP="00D906F9">
            <w:pPr>
              <w:pStyle w:val="Default"/>
              <w:rPr>
                <w:sz w:val="16"/>
                <w:szCs w:val="16"/>
              </w:rPr>
            </w:pPr>
            <w:r>
              <w:rPr>
                <w:sz w:val="16"/>
                <w:szCs w:val="16"/>
              </w:rPr>
              <w:t xml:space="preserve">[7] </w:t>
            </w:r>
            <w:r>
              <w:rPr>
                <w:b/>
                <w:bCs/>
                <w:i/>
                <w:iCs/>
                <w:sz w:val="16"/>
                <w:szCs w:val="16"/>
              </w:rPr>
              <w:t>Health Technology Expert Review Panel</w:t>
            </w:r>
            <w:r>
              <w:rPr>
                <w:sz w:val="16"/>
                <w:szCs w:val="16"/>
              </w:rPr>
              <w:t>, CADTH website: https://www.cadth.ca/collaboration-and-outreach/advisory-bodies/health-technology-expert-review-panel (Last Updated 16th June 2021) [last accessed 16</w:t>
            </w:r>
            <w:r>
              <w:rPr>
                <w:sz w:val="10"/>
                <w:szCs w:val="10"/>
              </w:rPr>
              <w:t xml:space="preserve">th </w:t>
            </w:r>
            <w:r>
              <w:rPr>
                <w:sz w:val="16"/>
                <w:szCs w:val="16"/>
              </w:rPr>
              <w:t xml:space="preserve">June 2021]. </w:t>
            </w:r>
          </w:p>
          <w:p w14:paraId="0679F554" w14:textId="77777777" w:rsidR="00BD6644" w:rsidRDefault="00BD6644" w:rsidP="00D906F9">
            <w:pPr>
              <w:pStyle w:val="Default"/>
              <w:rPr>
                <w:sz w:val="16"/>
                <w:szCs w:val="16"/>
              </w:rPr>
            </w:pPr>
            <w:r>
              <w:rPr>
                <w:sz w:val="16"/>
                <w:szCs w:val="16"/>
              </w:rPr>
              <w:t xml:space="preserve">[8] </w:t>
            </w:r>
            <w:r>
              <w:rPr>
                <w:b/>
                <w:bCs/>
                <w:i/>
                <w:iCs/>
                <w:sz w:val="16"/>
                <w:szCs w:val="16"/>
              </w:rPr>
              <w:t>Device Advisory Committee</w:t>
            </w:r>
            <w:r>
              <w:rPr>
                <w:sz w:val="16"/>
                <w:szCs w:val="16"/>
              </w:rPr>
              <w:t>, CADTH website: https://www.cadth.ca/device-advisory-committee-dac (Last Updated 16th June 2021) [last accessed 16</w:t>
            </w:r>
            <w:r>
              <w:rPr>
                <w:sz w:val="10"/>
                <w:szCs w:val="10"/>
              </w:rPr>
              <w:t xml:space="preserve">th </w:t>
            </w:r>
            <w:r>
              <w:rPr>
                <w:sz w:val="16"/>
                <w:szCs w:val="16"/>
              </w:rPr>
              <w:t xml:space="preserve">June 2021]. </w:t>
            </w:r>
          </w:p>
          <w:p w14:paraId="0FC55D21" w14:textId="77777777" w:rsidR="00BD6644" w:rsidRDefault="00BD6644" w:rsidP="00D906F9">
            <w:pPr>
              <w:pStyle w:val="Default"/>
              <w:rPr>
                <w:sz w:val="16"/>
                <w:szCs w:val="16"/>
              </w:rPr>
            </w:pPr>
            <w:r>
              <w:rPr>
                <w:sz w:val="16"/>
                <w:szCs w:val="16"/>
              </w:rPr>
              <w:t xml:space="preserve">[9] </w:t>
            </w:r>
            <w:r>
              <w:rPr>
                <w:b/>
                <w:bCs/>
                <w:i/>
                <w:iCs/>
                <w:sz w:val="16"/>
                <w:szCs w:val="16"/>
              </w:rPr>
              <w:t xml:space="preserve">CADTH Health Technology Expert Review Panel Terms of Reference. </w:t>
            </w:r>
            <w:r>
              <w:rPr>
                <w:sz w:val="16"/>
                <w:szCs w:val="16"/>
              </w:rPr>
              <w:t>March 2020. Ottawa: CADTH. [downloaded 23</w:t>
            </w:r>
            <w:r>
              <w:rPr>
                <w:sz w:val="10"/>
                <w:szCs w:val="10"/>
              </w:rPr>
              <w:t xml:space="preserve">rd </w:t>
            </w:r>
            <w:r>
              <w:rPr>
                <w:sz w:val="16"/>
                <w:szCs w:val="16"/>
              </w:rPr>
              <w:t xml:space="preserve">September 2020]. </w:t>
            </w:r>
          </w:p>
          <w:p w14:paraId="219264A7" w14:textId="77777777" w:rsidR="00BD6644" w:rsidRPr="00D906F9" w:rsidRDefault="00BD6644" w:rsidP="00D906F9">
            <w:pPr>
              <w:pStyle w:val="Default"/>
              <w:rPr>
                <w:sz w:val="16"/>
                <w:szCs w:val="16"/>
              </w:rPr>
            </w:pPr>
            <w:r>
              <w:rPr>
                <w:sz w:val="16"/>
                <w:szCs w:val="16"/>
              </w:rPr>
              <w:t xml:space="preserve">[10] </w:t>
            </w:r>
            <w:r>
              <w:rPr>
                <w:b/>
                <w:bCs/>
                <w:i/>
                <w:iCs/>
                <w:sz w:val="16"/>
                <w:szCs w:val="16"/>
              </w:rPr>
              <w:t>CADTH Health Technology Expert Review Panel Deliberative Framework</w:t>
            </w:r>
            <w:r>
              <w:rPr>
                <w:sz w:val="16"/>
                <w:szCs w:val="16"/>
              </w:rPr>
              <w:t xml:space="preserve">. May 2015. Ottawa: CADTH. </w:t>
            </w:r>
          </w:p>
        </w:tc>
        <w:tc>
          <w:tcPr>
            <w:tcW w:w="3747" w:type="dxa"/>
            <w:shd w:val="clear" w:color="auto" w:fill="auto"/>
          </w:tcPr>
          <w:p w14:paraId="082C0DD9" w14:textId="77777777" w:rsidR="00BD6644" w:rsidRDefault="00BD6644" w:rsidP="00D906F9">
            <w:pPr>
              <w:tabs>
                <w:tab w:val="left" w:pos="1575"/>
              </w:tabs>
              <w:rPr>
                <w:bCs/>
                <w:sz w:val="20"/>
                <w:szCs w:val="20"/>
              </w:rPr>
            </w:pPr>
            <w:r w:rsidRPr="002628DA">
              <w:rPr>
                <w:bCs/>
                <w:sz w:val="20"/>
                <w:szCs w:val="20"/>
              </w:rPr>
              <w:lastRenderedPageBreak/>
              <w:t>CADTH is an independent, not-for-profit organization responsible for providing health care decision-makers with objective evidence to help make informed decisions about the optimal use of health technologies</w:t>
            </w:r>
            <w:r>
              <w:rPr>
                <w:bCs/>
                <w:sz w:val="20"/>
                <w:szCs w:val="20"/>
              </w:rPr>
              <w:t xml:space="preserve">. </w:t>
            </w:r>
            <w:r w:rsidRPr="002628DA">
              <w:rPr>
                <w:bCs/>
                <w:sz w:val="20"/>
                <w:szCs w:val="20"/>
              </w:rPr>
              <w:t>In addition to evidence, it also provides advice, recommendations, and tools.</w:t>
            </w:r>
            <w:r>
              <w:rPr>
                <w:bCs/>
                <w:sz w:val="20"/>
                <w:szCs w:val="20"/>
              </w:rPr>
              <w:t xml:space="preserve"> HTA products include comprehensive HTA reports, </w:t>
            </w:r>
            <w:r w:rsidRPr="002628DA">
              <w:rPr>
                <w:bCs/>
                <w:sz w:val="20"/>
                <w:szCs w:val="20"/>
              </w:rPr>
              <w:t>technology reviews (custom HTAs</w:t>
            </w:r>
            <w:r>
              <w:rPr>
                <w:bCs/>
                <w:i/>
                <w:iCs/>
                <w:sz w:val="20"/>
                <w:szCs w:val="20"/>
              </w:rPr>
              <w:t xml:space="preserve"> “</w:t>
            </w:r>
            <w:r w:rsidRPr="002628DA">
              <w:rPr>
                <w:bCs/>
                <w:i/>
                <w:iCs/>
                <w:sz w:val="20"/>
                <w:szCs w:val="20"/>
              </w:rPr>
              <w:t xml:space="preserve">that contain some </w:t>
            </w:r>
            <w:r w:rsidRPr="002628DA">
              <w:rPr>
                <w:bCs/>
                <w:i/>
                <w:iCs/>
                <w:sz w:val="20"/>
                <w:szCs w:val="20"/>
              </w:rPr>
              <w:lastRenderedPageBreak/>
              <w:t xml:space="preserve">but not all of the elements of a traditional </w:t>
            </w:r>
            <w:r>
              <w:rPr>
                <w:bCs/>
                <w:i/>
                <w:iCs/>
                <w:sz w:val="20"/>
                <w:szCs w:val="20"/>
              </w:rPr>
              <w:t>HTA (for example,</w:t>
            </w:r>
            <w:r w:rsidRPr="002628DA">
              <w:rPr>
                <w:bCs/>
                <w:i/>
                <w:iCs/>
                <w:sz w:val="20"/>
                <w:szCs w:val="20"/>
              </w:rPr>
              <w:t xml:space="preserve"> an economic review without a clinical component</w:t>
            </w:r>
            <w:r>
              <w:rPr>
                <w:bCs/>
                <w:i/>
                <w:iCs/>
                <w:sz w:val="20"/>
                <w:szCs w:val="20"/>
              </w:rPr>
              <w:t>”</w:t>
            </w:r>
            <w:r w:rsidRPr="002628DA">
              <w:rPr>
                <w:bCs/>
                <w:i/>
                <w:iCs/>
                <w:sz w:val="20"/>
                <w:szCs w:val="20"/>
              </w:rPr>
              <w:t xml:space="preserve">. </w:t>
            </w:r>
            <w:r w:rsidRPr="002628DA">
              <w:rPr>
                <w:bCs/>
                <w:sz w:val="20"/>
                <w:szCs w:val="20"/>
              </w:rPr>
              <w:t xml:space="preserve">[1]  </w:t>
            </w:r>
          </w:p>
          <w:p w14:paraId="1D1BF3A2" w14:textId="77777777" w:rsidR="00BD6644" w:rsidRPr="002628DA" w:rsidRDefault="00BD6644" w:rsidP="00D906F9">
            <w:pPr>
              <w:tabs>
                <w:tab w:val="left" w:pos="1575"/>
              </w:tabs>
              <w:rPr>
                <w:bCs/>
                <w:sz w:val="20"/>
                <w:szCs w:val="20"/>
              </w:rPr>
            </w:pPr>
          </w:p>
        </w:tc>
      </w:tr>
      <w:tr w:rsidR="00BD6644" w14:paraId="0A4AFAD5" w14:textId="77777777" w:rsidTr="00D906F9">
        <w:tc>
          <w:tcPr>
            <w:tcW w:w="2780" w:type="dxa"/>
            <w:shd w:val="clear" w:color="auto" w:fill="auto"/>
          </w:tcPr>
          <w:p w14:paraId="41642983" w14:textId="77777777" w:rsidR="00BD6644" w:rsidRPr="007D07D9" w:rsidRDefault="00BD6644" w:rsidP="00D906F9">
            <w:pPr>
              <w:rPr>
                <w:b/>
                <w:bCs/>
                <w:sz w:val="20"/>
              </w:rPr>
            </w:pPr>
            <w:r w:rsidRPr="007D07D9">
              <w:rPr>
                <w:b/>
                <w:bCs/>
                <w:sz w:val="20"/>
              </w:rPr>
              <w:lastRenderedPageBreak/>
              <w:t>Institute for Quality and Efficiency in Health Care (Institut für Qualität und Wirtschaftlichkeit im Gesundheitswesen (IQWiG, Germany)</w:t>
            </w:r>
          </w:p>
        </w:tc>
        <w:tc>
          <w:tcPr>
            <w:tcW w:w="1751" w:type="dxa"/>
            <w:shd w:val="clear" w:color="auto" w:fill="auto"/>
          </w:tcPr>
          <w:p w14:paraId="3A99606E" w14:textId="77777777" w:rsidR="00BD6644" w:rsidRPr="00FF3431" w:rsidRDefault="00BD6644" w:rsidP="00D906F9">
            <w:pPr>
              <w:rPr>
                <w:sz w:val="20"/>
              </w:rPr>
            </w:pPr>
            <w:r>
              <w:rPr>
                <w:sz w:val="20"/>
              </w:rPr>
              <w:t>All healthcare interventions, including all medical tests.</w:t>
            </w:r>
          </w:p>
        </w:tc>
        <w:tc>
          <w:tcPr>
            <w:tcW w:w="5670" w:type="dxa"/>
            <w:shd w:val="clear" w:color="auto" w:fill="auto"/>
          </w:tcPr>
          <w:p w14:paraId="29152DA2" w14:textId="6281CF6F" w:rsidR="00BD6644" w:rsidRDefault="00BD6644" w:rsidP="00D906F9">
            <w:pPr>
              <w:rPr>
                <w:sz w:val="20"/>
              </w:rPr>
            </w:pPr>
            <w:r w:rsidRPr="00924417">
              <w:rPr>
                <w:b/>
                <w:bCs/>
                <w:sz w:val="20"/>
              </w:rPr>
              <w:t>Methods guide</w:t>
            </w:r>
            <w:r w:rsidR="00B8448C" w:rsidRPr="00B8448C">
              <w:rPr>
                <w:bCs/>
                <w:sz w:val="20"/>
                <w:vertAlign w:val="superscript"/>
              </w:rPr>
              <w:t>4</w:t>
            </w:r>
            <w:r w:rsidRPr="00924417">
              <w:rPr>
                <w:sz w:val="20"/>
              </w:rPr>
              <w:t xml:space="preserve"> for all interventions, with test–specific chapters (2020)</w:t>
            </w:r>
          </w:p>
          <w:p w14:paraId="2C84793E" w14:textId="77777777" w:rsidR="00BD6644" w:rsidRDefault="00BD6644" w:rsidP="00D906F9">
            <w:pPr>
              <w:rPr>
                <w:sz w:val="20"/>
              </w:rPr>
            </w:pPr>
          </w:p>
          <w:p w14:paraId="712C0DBF" w14:textId="08610AC7" w:rsidR="00BD6644" w:rsidRDefault="003557E3" w:rsidP="00D906F9">
            <w:pPr>
              <w:pStyle w:val="Default"/>
            </w:pPr>
            <w:r>
              <w:rPr>
                <w:sz w:val="20"/>
                <w:szCs w:val="22"/>
              </w:rPr>
              <w:t>Other s</w:t>
            </w:r>
            <w:r w:rsidR="00BD6644">
              <w:rPr>
                <w:sz w:val="20"/>
                <w:szCs w:val="22"/>
              </w:rPr>
              <w:t xml:space="preserve">ources: </w:t>
            </w:r>
            <w:r w:rsidR="00BD6644">
              <w:t xml:space="preserve"> </w:t>
            </w:r>
          </w:p>
          <w:p w14:paraId="42184A81" w14:textId="77777777" w:rsidR="00BD6644" w:rsidRDefault="00BD6644" w:rsidP="00D906F9">
            <w:pPr>
              <w:pStyle w:val="Default"/>
              <w:rPr>
                <w:sz w:val="16"/>
                <w:szCs w:val="16"/>
              </w:rPr>
            </w:pPr>
            <w:r>
              <w:rPr>
                <w:sz w:val="16"/>
                <w:szCs w:val="16"/>
              </w:rPr>
              <w:t xml:space="preserve">[1] </w:t>
            </w:r>
            <w:r>
              <w:rPr>
                <w:b/>
                <w:bCs/>
                <w:sz w:val="16"/>
                <w:szCs w:val="16"/>
              </w:rPr>
              <w:t>General methods (Version 5.0, 10</w:t>
            </w:r>
            <w:r>
              <w:rPr>
                <w:b/>
                <w:bCs/>
                <w:sz w:val="10"/>
                <w:szCs w:val="10"/>
              </w:rPr>
              <w:t xml:space="preserve">th </w:t>
            </w:r>
            <w:r>
              <w:rPr>
                <w:b/>
                <w:bCs/>
                <w:sz w:val="16"/>
                <w:szCs w:val="16"/>
              </w:rPr>
              <w:t xml:space="preserve">July 2017). </w:t>
            </w:r>
            <w:r>
              <w:rPr>
                <w:sz w:val="16"/>
                <w:szCs w:val="16"/>
              </w:rPr>
              <w:t xml:space="preserve">English translation of </w:t>
            </w:r>
            <w:r>
              <w:rPr>
                <w:i/>
                <w:iCs/>
                <w:sz w:val="16"/>
                <w:szCs w:val="16"/>
              </w:rPr>
              <w:t>Allgemeine Methoden</w:t>
            </w:r>
            <w:r>
              <w:rPr>
                <w:sz w:val="16"/>
                <w:szCs w:val="16"/>
              </w:rPr>
              <w:t>. (Available from: https://www.iqwig.de/en/about-us/methods/methods-paper/). [pdf downloaded 24</w:t>
            </w:r>
            <w:r>
              <w:rPr>
                <w:sz w:val="10"/>
                <w:szCs w:val="10"/>
              </w:rPr>
              <w:t xml:space="preserve">th </w:t>
            </w:r>
            <w:r>
              <w:rPr>
                <w:sz w:val="16"/>
                <w:szCs w:val="16"/>
              </w:rPr>
              <w:t xml:space="preserve">July 2020]. </w:t>
            </w:r>
          </w:p>
          <w:p w14:paraId="38EF02EB" w14:textId="77777777" w:rsidR="00BD6644" w:rsidRDefault="00BD6644" w:rsidP="00D906F9">
            <w:pPr>
              <w:pStyle w:val="Default"/>
              <w:rPr>
                <w:sz w:val="16"/>
                <w:szCs w:val="16"/>
              </w:rPr>
            </w:pPr>
            <w:r>
              <w:rPr>
                <w:sz w:val="16"/>
                <w:szCs w:val="16"/>
              </w:rPr>
              <w:t xml:space="preserve">[2] </w:t>
            </w:r>
            <w:r>
              <w:rPr>
                <w:b/>
                <w:bCs/>
                <w:sz w:val="16"/>
                <w:szCs w:val="16"/>
              </w:rPr>
              <w:t xml:space="preserve">General Methods (Version 6.0, 5th Nov 2020). </w:t>
            </w:r>
            <w:r>
              <w:rPr>
                <w:sz w:val="16"/>
                <w:szCs w:val="16"/>
              </w:rPr>
              <w:t xml:space="preserve">Informal translation of Final Draft of </w:t>
            </w:r>
            <w:r>
              <w:rPr>
                <w:i/>
                <w:iCs/>
                <w:sz w:val="16"/>
                <w:szCs w:val="16"/>
              </w:rPr>
              <w:t>Allgemeine Methoden</w:t>
            </w:r>
            <w:r>
              <w:rPr>
                <w:sz w:val="16"/>
                <w:szCs w:val="16"/>
              </w:rPr>
              <w:t>. (Available from: https://www.iqwig.de/en/about-us/methods/methods-paper/). [pdf downloaded 12</w:t>
            </w:r>
            <w:r>
              <w:rPr>
                <w:sz w:val="10"/>
                <w:szCs w:val="10"/>
              </w:rPr>
              <w:t xml:space="preserve">th </w:t>
            </w:r>
            <w:r>
              <w:rPr>
                <w:sz w:val="16"/>
                <w:szCs w:val="16"/>
              </w:rPr>
              <w:t xml:space="preserve">December 2020]. </w:t>
            </w:r>
          </w:p>
          <w:p w14:paraId="444FB2DC" w14:textId="77777777" w:rsidR="00BD6644" w:rsidRDefault="00BD6644" w:rsidP="00D906F9">
            <w:pPr>
              <w:pStyle w:val="Default"/>
              <w:rPr>
                <w:sz w:val="16"/>
                <w:szCs w:val="16"/>
              </w:rPr>
            </w:pPr>
            <w:r>
              <w:rPr>
                <w:sz w:val="16"/>
                <w:szCs w:val="16"/>
              </w:rPr>
              <w:t xml:space="preserve">[3] </w:t>
            </w:r>
            <w:r>
              <w:rPr>
                <w:b/>
                <w:bCs/>
                <w:sz w:val="16"/>
                <w:szCs w:val="16"/>
              </w:rPr>
              <w:t xml:space="preserve">Basic principles. </w:t>
            </w:r>
            <w:r>
              <w:rPr>
                <w:sz w:val="16"/>
                <w:szCs w:val="16"/>
              </w:rPr>
              <w:t>(Available from: https://www.iqwig.de/en/methods/basic-principles.3314.html]. (Last accessed 24</w:t>
            </w:r>
            <w:r>
              <w:rPr>
                <w:sz w:val="10"/>
                <w:szCs w:val="10"/>
              </w:rPr>
              <w:t xml:space="preserve">th </w:t>
            </w:r>
            <w:r>
              <w:rPr>
                <w:sz w:val="16"/>
                <w:szCs w:val="16"/>
              </w:rPr>
              <w:t xml:space="preserve">July 2020). </w:t>
            </w:r>
          </w:p>
          <w:p w14:paraId="408D7252" w14:textId="77777777" w:rsidR="00BD6644" w:rsidRDefault="00BD6644" w:rsidP="00D906F9">
            <w:pPr>
              <w:pStyle w:val="Default"/>
              <w:rPr>
                <w:sz w:val="16"/>
                <w:szCs w:val="16"/>
              </w:rPr>
            </w:pPr>
            <w:r>
              <w:rPr>
                <w:sz w:val="16"/>
                <w:szCs w:val="16"/>
              </w:rPr>
              <w:t xml:space="preserve">[4] </w:t>
            </w:r>
            <w:r>
              <w:rPr>
                <w:b/>
                <w:bCs/>
                <w:sz w:val="16"/>
                <w:szCs w:val="16"/>
              </w:rPr>
              <w:t xml:space="preserve">Contracting agencies and funding of IQWiG. </w:t>
            </w:r>
            <w:r>
              <w:rPr>
                <w:sz w:val="16"/>
                <w:szCs w:val="16"/>
              </w:rPr>
              <w:t>[available from: https://www.iqwig.de/en/about-us/responsibilities-and-objectives-of-iqwig/contracting-agencies-and-funding.2951.html] (Last accessed 24</w:t>
            </w:r>
            <w:r>
              <w:rPr>
                <w:sz w:val="10"/>
                <w:szCs w:val="10"/>
              </w:rPr>
              <w:t xml:space="preserve">th </w:t>
            </w:r>
            <w:r>
              <w:rPr>
                <w:sz w:val="16"/>
                <w:szCs w:val="16"/>
              </w:rPr>
              <w:t xml:space="preserve">July 2020). </w:t>
            </w:r>
          </w:p>
          <w:p w14:paraId="0D6789CF" w14:textId="77777777" w:rsidR="00BD6644" w:rsidRDefault="00BD6644" w:rsidP="00D906F9">
            <w:pPr>
              <w:pStyle w:val="Default"/>
              <w:rPr>
                <w:sz w:val="16"/>
                <w:szCs w:val="16"/>
              </w:rPr>
            </w:pPr>
            <w:r>
              <w:rPr>
                <w:sz w:val="16"/>
                <w:szCs w:val="16"/>
              </w:rPr>
              <w:t xml:space="preserve">[5] </w:t>
            </w:r>
            <w:r>
              <w:rPr>
                <w:b/>
                <w:bCs/>
                <w:sz w:val="16"/>
                <w:szCs w:val="16"/>
              </w:rPr>
              <w:t xml:space="preserve">Institute structure. </w:t>
            </w:r>
            <w:r>
              <w:rPr>
                <w:sz w:val="16"/>
                <w:szCs w:val="16"/>
              </w:rPr>
              <w:t>(Available from: https://www.iqwig.de/en/about-us/institute-structure.2953.html). (Last accessed 24</w:t>
            </w:r>
            <w:r>
              <w:rPr>
                <w:sz w:val="10"/>
                <w:szCs w:val="10"/>
              </w:rPr>
              <w:t xml:space="preserve">th </w:t>
            </w:r>
            <w:r>
              <w:rPr>
                <w:sz w:val="16"/>
                <w:szCs w:val="16"/>
              </w:rPr>
              <w:t xml:space="preserve">July 2020). </w:t>
            </w:r>
          </w:p>
          <w:p w14:paraId="581E91C1" w14:textId="77777777" w:rsidR="00BD6644" w:rsidRDefault="00BD6644" w:rsidP="00D906F9">
            <w:pPr>
              <w:pStyle w:val="Default"/>
              <w:rPr>
                <w:sz w:val="16"/>
                <w:szCs w:val="16"/>
              </w:rPr>
            </w:pPr>
            <w:r>
              <w:rPr>
                <w:sz w:val="16"/>
                <w:szCs w:val="16"/>
              </w:rPr>
              <w:t xml:space="preserve">[6] </w:t>
            </w:r>
            <w:r>
              <w:rPr>
                <w:b/>
                <w:bCs/>
                <w:sz w:val="16"/>
                <w:szCs w:val="16"/>
              </w:rPr>
              <w:t xml:space="preserve">About us – An introduction to IQWiG. </w:t>
            </w:r>
            <w:r>
              <w:rPr>
                <w:sz w:val="16"/>
                <w:szCs w:val="16"/>
              </w:rPr>
              <w:t>(Available from www.IQWiG.de). [pdf downloaded 24</w:t>
            </w:r>
            <w:r>
              <w:rPr>
                <w:sz w:val="10"/>
                <w:szCs w:val="10"/>
              </w:rPr>
              <w:t xml:space="preserve">th </w:t>
            </w:r>
            <w:r>
              <w:rPr>
                <w:sz w:val="16"/>
                <w:szCs w:val="16"/>
              </w:rPr>
              <w:t xml:space="preserve">July 2020]. </w:t>
            </w:r>
          </w:p>
          <w:p w14:paraId="27CA84DD" w14:textId="77777777" w:rsidR="00BD6644" w:rsidRPr="00D906F9" w:rsidRDefault="00BD6644" w:rsidP="00D906F9">
            <w:pPr>
              <w:pStyle w:val="Default"/>
              <w:rPr>
                <w:sz w:val="16"/>
                <w:szCs w:val="16"/>
              </w:rPr>
            </w:pPr>
            <w:r>
              <w:rPr>
                <w:sz w:val="16"/>
                <w:szCs w:val="16"/>
              </w:rPr>
              <w:t xml:space="preserve">[7] </w:t>
            </w:r>
            <w:r>
              <w:rPr>
                <w:b/>
                <w:bCs/>
                <w:sz w:val="16"/>
                <w:szCs w:val="16"/>
              </w:rPr>
              <w:t xml:space="preserve">Non–drug interventions: responsibilities of the department. </w:t>
            </w:r>
            <w:r>
              <w:rPr>
                <w:sz w:val="16"/>
                <w:szCs w:val="16"/>
              </w:rPr>
              <w:t>(Available from: https://www.iqwig.de/en/about-us/institute-structure/departments/non-drug-interventions.2976.html). (Last accessed 24</w:t>
            </w:r>
            <w:r>
              <w:rPr>
                <w:sz w:val="10"/>
                <w:szCs w:val="10"/>
              </w:rPr>
              <w:t xml:space="preserve">th </w:t>
            </w:r>
            <w:r>
              <w:rPr>
                <w:sz w:val="16"/>
                <w:szCs w:val="16"/>
              </w:rPr>
              <w:t xml:space="preserve">July 2020). </w:t>
            </w:r>
          </w:p>
        </w:tc>
        <w:tc>
          <w:tcPr>
            <w:tcW w:w="3747" w:type="dxa"/>
            <w:shd w:val="clear" w:color="auto" w:fill="auto"/>
          </w:tcPr>
          <w:p w14:paraId="1F57CD68" w14:textId="77777777" w:rsidR="00BD6644" w:rsidRDefault="00BD6644" w:rsidP="00D906F9">
            <w:pPr>
              <w:rPr>
                <w:sz w:val="20"/>
              </w:rPr>
            </w:pPr>
            <w:r w:rsidRPr="00593A69">
              <w:rPr>
                <w:sz w:val="20"/>
              </w:rPr>
              <w:t>IQWiG</w:t>
            </w:r>
            <w:r>
              <w:rPr>
                <w:sz w:val="20"/>
              </w:rPr>
              <w:t xml:space="preserve"> is Germany’s national HTA body</w:t>
            </w:r>
            <w:r w:rsidRPr="00593A69">
              <w:rPr>
                <w:sz w:val="20"/>
              </w:rPr>
              <w:t xml:space="preserve">, </w:t>
            </w:r>
            <w:r>
              <w:rPr>
                <w:sz w:val="20"/>
              </w:rPr>
              <w:t>responsible for providing HTA findings to the Federal Joint Committee (G–BA) to inform decisions on reimbursement</w:t>
            </w:r>
            <w:r w:rsidRPr="00593A69">
              <w:rPr>
                <w:sz w:val="20"/>
              </w:rPr>
              <w:t>. Its tasks encompass</w:t>
            </w:r>
            <w:r>
              <w:rPr>
                <w:sz w:val="20"/>
              </w:rPr>
              <w:t xml:space="preserve"> the production of HTAs [1].</w:t>
            </w:r>
          </w:p>
          <w:p w14:paraId="066FCE53" w14:textId="77777777" w:rsidR="00BD6644" w:rsidRPr="00FF3431" w:rsidRDefault="00BD6644" w:rsidP="00D906F9">
            <w:pPr>
              <w:rPr>
                <w:sz w:val="20"/>
              </w:rPr>
            </w:pPr>
          </w:p>
        </w:tc>
      </w:tr>
      <w:tr w:rsidR="00BD6644" w14:paraId="05E05114" w14:textId="77777777" w:rsidTr="00D906F9">
        <w:tc>
          <w:tcPr>
            <w:tcW w:w="2780" w:type="dxa"/>
            <w:shd w:val="clear" w:color="auto" w:fill="auto"/>
          </w:tcPr>
          <w:p w14:paraId="79856516" w14:textId="77777777" w:rsidR="00BD6644" w:rsidRPr="007D07D9" w:rsidRDefault="00BD6644" w:rsidP="00D906F9">
            <w:pPr>
              <w:rPr>
                <w:b/>
                <w:bCs/>
                <w:sz w:val="20"/>
              </w:rPr>
            </w:pPr>
            <w:r w:rsidRPr="007D07D9">
              <w:rPr>
                <w:b/>
                <w:bCs/>
                <w:sz w:val="20"/>
              </w:rPr>
              <w:t>Medical Services Advisory Committee (MSAC, Australia)</w:t>
            </w:r>
          </w:p>
        </w:tc>
        <w:tc>
          <w:tcPr>
            <w:tcW w:w="1751" w:type="dxa"/>
            <w:shd w:val="clear" w:color="auto" w:fill="auto"/>
          </w:tcPr>
          <w:p w14:paraId="0D84078A" w14:textId="77777777" w:rsidR="00BD6644" w:rsidRDefault="00BD6644" w:rsidP="00D906F9">
            <w:pPr>
              <w:rPr>
                <w:sz w:val="20"/>
              </w:rPr>
            </w:pPr>
            <w:r>
              <w:rPr>
                <w:sz w:val="20"/>
              </w:rPr>
              <w:t>All non–pharmaceutical interventions.</w:t>
            </w:r>
          </w:p>
          <w:p w14:paraId="1D21E711" w14:textId="77777777" w:rsidR="00BD6644" w:rsidRPr="00FF3431" w:rsidRDefault="00BD6644" w:rsidP="00D906F9">
            <w:pPr>
              <w:rPr>
                <w:sz w:val="20"/>
              </w:rPr>
            </w:pPr>
            <w:r>
              <w:rPr>
                <w:sz w:val="20"/>
                <w:szCs w:val="20"/>
              </w:rPr>
              <w:t>‘</w:t>
            </w:r>
            <w:r w:rsidRPr="00BA18E8">
              <w:rPr>
                <w:sz w:val="20"/>
                <w:szCs w:val="20"/>
              </w:rPr>
              <w:t>Investigative services</w:t>
            </w:r>
            <w:r>
              <w:rPr>
                <w:sz w:val="20"/>
                <w:szCs w:val="20"/>
              </w:rPr>
              <w:t>’</w:t>
            </w:r>
            <w:r w:rsidRPr="00BA18E8">
              <w:rPr>
                <w:sz w:val="20"/>
                <w:szCs w:val="20"/>
              </w:rPr>
              <w:t xml:space="preserve"> include all types of medical testing, defined as: “</w:t>
            </w:r>
            <w:r w:rsidRPr="00BA18E8">
              <w:rPr>
                <w:i/>
                <w:iCs/>
                <w:sz w:val="20"/>
                <w:szCs w:val="20"/>
              </w:rPr>
              <w:t>a service that generates clinically-relevant information about the individual to whom the service is rendered</w:t>
            </w:r>
            <w:r w:rsidRPr="00BA18E8">
              <w:rPr>
                <w:sz w:val="20"/>
                <w:szCs w:val="20"/>
              </w:rPr>
              <w:t>” [4, p.8]</w:t>
            </w:r>
            <w:r>
              <w:rPr>
                <w:sz w:val="20"/>
                <w:szCs w:val="20"/>
              </w:rPr>
              <w:t>.</w:t>
            </w:r>
          </w:p>
        </w:tc>
        <w:tc>
          <w:tcPr>
            <w:tcW w:w="5670" w:type="dxa"/>
            <w:shd w:val="clear" w:color="auto" w:fill="auto"/>
          </w:tcPr>
          <w:p w14:paraId="38AA37EA" w14:textId="7D0582D4" w:rsidR="00BD6644" w:rsidRDefault="00BD6644" w:rsidP="00D906F9">
            <w:pPr>
              <w:rPr>
                <w:sz w:val="20"/>
              </w:rPr>
            </w:pPr>
            <w:r w:rsidRPr="00924417">
              <w:rPr>
                <w:b/>
                <w:bCs/>
                <w:sz w:val="20"/>
              </w:rPr>
              <w:t>Methods Guide</w:t>
            </w:r>
            <w:r w:rsidR="00B8448C" w:rsidRPr="00B8448C">
              <w:rPr>
                <w:bCs/>
                <w:sz w:val="20"/>
                <w:vertAlign w:val="superscript"/>
              </w:rPr>
              <w:t>5</w:t>
            </w:r>
            <w:r>
              <w:rPr>
                <w:b/>
                <w:bCs/>
                <w:sz w:val="20"/>
              </w:rPr>
              <w:t xml:space="preserve"> </w:t>
            </w:r>
            <w:r w:rsidRPr="00924417">
              <w:rPr>
                <w:sz w:val="20"/>
              </w:rPr>
              <w:t>for health technologies other than medicines, with test–specific chapters and specific considerations for tests throughout.</w:t>
            </w:r>
          </w:p>
          <w:p w14:paraId="752FE372" w14:textId="77777777" w:rsidR="00BD6644" w:rsidRDefault="00BD6644" w:rsidP="00D906F9">
            <w:pPr>
              <w:rPr>
                <w:b/>
                <w:bCs/>
                <w:sz w:val="20"/>
              </w:rPr>
            </w:pPr>
          </w:p>
          <w:p w14:paraId="49358BA4" w14:textId="5B05519E" w:rsidR="00BD6644" w:rsidRDefault="003557E3" w:rsidP="00D906F9">
            <w:pPr>
              <w:pStyle w:val="Default"/>
            </w:pPr>
            <w:r>
              <w:rPr>
                <w:sz w:val="20"/>
                <w:szCs w:val="22"/>
              </w:rPr>
              <w:t>Other s</w:t>
            </w:r>
            <w:r w:rsidR="00BD6644">
              <w:rPr>
                <w:sz w:val="20"/>
                <w:szCs w:val="22"/>
              </w:rPr>
              <w:t xml:space="preserve">ources: </w:t>
            </w:r>
            <w:r w:rsidR="00BD6644">
              <w:t xml:space="preserve"> </w:t>
            </w:r>
          </w:p>
          <w:p w14:paraId="263AFCE7" w14:textId="77777777" w:rsidR="00BD6644" w:rsidRPr="008107C0" w:rsidRDefault="00BD6644" w:rsidP="00D906F9">
            <w:pPr>
              <w:pStyle w:val="Default"/>
              <w:rPr>
                <w:sz w:val="16"/>
                <w:szCs w:val="16"/>
              </w:rPr>
            </w:pPr>
            <w:r w:rsidRPr="008107C0">
              <w:rPr>
                <w:sz w:val="16"/>
                <w:szCs w:val="16"/>
              </w:rPr>
              <w:t>[1]</w:t>
            </w:r>
            <w:r>
              <w:rPr>
                <w:sz w:val="16"/>
                <w:szCs w:val="16"/>
              </w:rPr>
              <w:t xml:space="preserve"> </w:t>
            </w:r>
            <w:r w:rsidRPr="008107C0">
              <w:rPr>
                <w:sz w:val="16"/>
                <w:szCs w:val="16"/>
              </w:rPr>
              <w:t xml:space="preserve">Medical Services Advisory Committee. 2021. </w:t>
            </w:r>
            <w:r w:rsidRPr="000D10B7">
              <w:rPr>
                <w:b/>
                <w:bCs/>
                <w:i/>
                <w:iCs/>
                <w:sz w:val="16"/>
                <w:szCs w:val="16"/>
              </w:rPr>
              <w:t>Guidelines for preparing assessments for the Medical Services Advisory Committee.</w:t>
            </w:r>
            <w:r w:rsidRPr="008107C0">
              <w:rPr>
                <w:sz w:val="16"/>
                <w:szCs w:val="16"/>
              </w:rPr>
              <w:t xml:space="preserve"> [Online]. Version 1.0. [Last accessed 16th June 2021]. Available from: http://www.msac.gov.au/internet/msac/publishing.nsf/Content/Documents-for-Applicants-and-Assessment-Groups </w:t>
            </w:r>
          </w:p>
          <w:p w14:paraId="4004FA17" w14:textId="77777777" w:rsidR="00BD6644" w:rsidRPr="008107C0" w:rsidRDefault="00BD6644" w:rsidP="00D906F9">
            <w:pPr>
              <w:pStyle w:val="Default"/>
              <w:rPr>
                <w:sz w:val="16"/>
                <w:szCs w:val="16"/>
              </w:rPr>
            </w:pPr>
            <w:r w:rsidRPr="008107C0">
              <w:rPr>
                <w:sz w:val="16"/>
                <w:szCs w:val="16"/>
              </w:rPr>
              <w:t>[2]</w:t>
            </w:r>
            <w:r>
              <w:rPr>
                <w:sz w:val="16"/>
                <w:szCs w:val="16"/>
              </w:rPr>
              <w:t xml:space="preserve"> </w:t>
            </w:r>
            <w:r w:rsidRPr="008107C0">
              <w:rPr>
                <w:sz w:val="16"/>
                <w:szCs w:val="16"/>
              </w:rPr>
              <w:t xml:space="preserve">Medical Services Advisory Committee (MSAC) </w:t>
            </w:r>
            <w:r w:rsidRPr="000D10B7">
              <w:rPr>
                <w:b/>
                <w:bCs/>
                <w:i/>
                <w:iCs/>
                <w:sz w:val="16"/>
                <w:szCs w:val="16"/>
              </w:rPr>
              <w:t>Reform Implementation.</w:t>
            </w:r>
            <w:r w:rsidRPr="008107C0">
              <w:rPr>
                <w:sz w:val="16"/>
                <w:szCs w:val="16"/>
              </w:rPr>
              <w:t xml:space="preserve"> </w:t>
            </w:r>
            <w:r w:rsidRPr="000D10B7">
              <w:rPr>
                <w:b/>
                <w:bCs/>
                <w:i/>
                <w:iCs/>
                <w:sz w:val="16"/>
                <w:szCs w:val="16"/>
              </w:rPr>
              <w:t>2016. Process Framework</w:t>
            </w:r>
            <w:r w:rsidRPr="008107C0">
              <w:rPr>
                <w:sz w:val="16"/>
                <w:szCs w:val="16"/>
              </w:rPr>
              <w:t xml:space="preserve">. [Online]. Version 1.0. [Last accessed 20th July 2021]. Available from: http://www.msac.gov.au/internet/msac/publishing.nsf/Content/msac-process-framework </w:t>
            </w:r>
          </w:p>
          <w:p w14:paraId="19FB2BD6" w14:textId="77777777" w:rsidR="00BD6644" w:rsidRPr="008107C0" w:rsidRDefault="00BD6644" w:rsidP="00D906F9">
            <w:pPr>
              <w:pStyle w:val="Default"/>
              <w:rPr>
                <w:sz w:val="16"/>
                <w:szCs w:val="16"/>
              </w:rPr>
            </w:pPr>
            <w:r w:rsidRPr="008107C0">
              <w:rPr>
                <w:sz w:val="16"/>
                <w:szCs w:val="16"/>
              </w:rPr>
              <w:t>[3]</w:t>
            </w:r>
            <w:r>
              <w:rPr>
                <w:sz w:val="16"/>
                <w:szCs w:val="16"/>
              </w:rPr>
              <w:t xml:space="preserve"> </w:t>
            </w:r>
            <w:r w:rsidRPr="008107C0">
              <w:rPr>
                <w:sz w:val="16"/>
                <w:szCs w:val="16"/>
              </w:rPr>
              <w:t xml:space="preserve">Australian Government Department of Health. 2021. </w:t>
            </w:r>
            <w:r w:rsidRPr="000D10B7">
              <w:rPr>
                <w:b/>
                <w:bCs/>
                <w:i/>
                <w:iCs/>
                <w:sz w:val="16"/>
                <w:szCs w:val="16"/>
              </w:rPr>
              <w:t>Application Form.</w:t>
            </w:r>
            <w:r w:rsidRPr="008107C0">
              <w:rPr>
                <w:sz w:val="16"/>
                <w:szCs w:val="16"/>
              </w:rPr>
              <w:t xml:space="preserve"> [Online]. Version 2.4 [Last accessed 7th July 2021]. Available from: http://www.msac.gov.au/internet/msac/publishing.nsf/Content/Documents-for-Applicants-and-Assessment-Groups </w:t>
            </w:r>
          </w:p>
          <w:p w14:paraId="53CD5E4C" w14:textId="77777777" w:rsidR="00BD6644" w:rsidRPr="008107C0" w:rsidRDefault="00BD6644" w:rsidP="00D906F9">
            <w:pPr>
              <w:pStyle w:val="Default"/>
              <w:rPr>
                <w:sz w:val="16"/>
                <w:szCs w:val="16"/>
              </w:rPr>
            </w:pPr>
            <w:r w:rsidRPr="008107C0">
              <w:rPr>
                <w:sz w:val="16"/>
                <w:szCs w:val="16"/>
              </w:rPr>
              <w:t>[4]</w:t>
            </w:r>
            <w:r>
              <w:rPr>
                <w:sz w:val="16"/>
                <w:szCs w:val="16"/>
              </w:rPr>
              <w:t xml:space="preserve"> </w:t>
            </w:r>
            <w:r w:rsidRPr="008107C0">
              <w:rPr>
                <w:sz w:val="16"/>
                <w:szCs w:val="16"/>
              </w:rPr>
              <w:t>Australian Government Department of Health. 2021</w:t>
            </w:r>
            <w:r w:rsidRPr="000D10B7">
              <w:rPr>
                <w:b/>
                <w:bCs/>
                <w:i/>
                <w:iCs/>
                <w:sz w:val="16"/>
                <w:szCs w:val="16"/>
              </w:rPr>
              <w:t>. MSAC Application Form Instructions.</w:t>
            </w:r>
            <w:r w:rsidRPr="008107C0">
              <w:rPr>
                <w:sz w:val="16"/>
                <w:szCs w:val="16"/>
              </w:rPr>
              <w:t xml:space="preserve"> [Online]. Version 1 [Last accessed 7th July 2021]. Available from: http://www.msac.gov.au/internet/msac/publishing.nsf/Content/Documents-for-Applicants-and-Assessment-Groups </w:t>
            </w:r>
          </w:p>
          <w:p w14:paraId="08A7743C" w14:textId="77777777" w:rsidR="00BD6644" w:rsidRPr="008107C0" w:rsidRDefault="00BD6644" w:rsidP="00D906F9">
            <w:pPr>
              <w:pStyle w:val="Default"/>
              <w:rPr>
                <w:sz w:val="16"/>
                <w:szCs w:val="16"/>
              </w:rPr>
            </w:pPr>
            <w:r w:rsidRPr="008107C0">
              <w:rPr>
                <w:sz w:val="16"/>
                <w:szCs w:val="16"/>
              </w:rPr>
              <w:t>[5]</w:t>
            </w:r>
            <w:r>
              <w:rPr>
                <w:sz w:val="16"/>
                <w:szCs w:val="16"/>
              </w:rPr>
              <w:t xml:space="preserve"> </w:t>
            </w:r>
            <w:r w:rsidRPr="008107C0">
              <w:rPr>
                <w:sz w:val="16"/>
                <w:szCs w:val="16"/>
              </w:rPr>
              <w:t xml:space="preserve">Australian Government Department of Health. 2021. </w:t>
            </w:r>
            <w:r w:rsidRPr="000D10B7">
              <w:rPr>
                <w:b/>
                <w:bCs/>
                <w:i/>
                <w:iCs/>
                <w:sz w:val="16"/>
                <w:szCs w:val="16"/>
              </w:rPr>
              <w:t>PICO Confirmation (To guide a new application to MSAC</w:t>
            </w:r>
            <w:r w:rsidRPr="008107C0">
              <w:rPr>
                <w:sz w:val="16"/>
                <w:szCs w:val="16"/>
              </w:rPr>
              <w:t xml:space="preserve">). [Online]. Version 2.0 [Last accessed 7th July 2021]. Available from: http://www.msac.gov.au/internet/msac/publishing.nsf/Content/Documents-for-Applicants-and-Assessment-Groups </w:t>
            </w:r>
          </w:p>
          <w:p w14:paraId="1B22E77C" w14:textId="77777777" w:rsidR="00BD6644" w:rsidRPr="008107C0" w:rsidRDefault="00BD6644" w:rsidP="00D906F9">
            <w:pPr>
              <w:pStyle w:val="Default"/>
              <w:rPr>
                <w:sz w:val="16"/>
                <w:szCs w:val="16"/>
              </w:rPr>
            </w:pPr>
            <w:r w:rsidRPr="008107C0">
              <w:rPr>
                <w:sz w:val="16"/>
                <w:szCs w:val="16"/>
              </w:rPr>
              <w:t>[6]</w:t>
            </w:r>
            <w:r>
              <w:rPr>
                <w:sz w:val="16"/>
                <w:szCs w:val="16"/>
              </w:rPr>
              <w:t xml:space="preserve"> </w:t>
            </w:r>
            <w:r w:rsidRPr="008107C0">
              <w:rPr>
                <w:sz w:val="16"/>
                <w:szCs w:val="16"/>
              </w:rPr>
              <w:t xml:space="preserve">Medical Services Advisory Committee. 2021. </w:t>
            </w:r>
            <w:r w:rsidRPr="000D10B7">
              <w:rPr>
                <w:b/>
                <w:bCs/>
                <w:i/>
                <w:iCs/>
                <w:sz w:val="16"/>
                <w:szCs w:val="16"/>
              </w:rPr>
              <w:t>ADAR Assessment Report Template</w:t>
            </w:r>
            <w:r w:rsidRPr="008107C0">
              <w:rPr>
                <w:sz w:val="16"/>
                <w:szCs w:val="16"/>
              </w:rPr>
              <w:t>. [Online]. 19th May 2021 [Last accessed 7th July 2021]. Available from: http://www.msac.gov.au/internet/msac/publishing.nsf/Content/Documents-for-Applicants-and-Assessment-Groups</w:t>
            </w:r>
          </w:p>
          <w:p w14:paraId="251730AD" w14:textId="77777777" w:rsidR="00BD6644" w:rsidRPr="008107C0" w:rsidRDefault="00BD6644" w:rsidP="00D906F9">
            <w:pPr>
              <w:pStyle w:val="Default"/>
              <w:rPr>
                <w:sz w:val="16"/>
                <w:szCs w:val="16"/>
              </w:rPr>
            </w:pPr>
            <w:r w:rsidRPr="008107C0">
              <w:rPr>
                <w:sz w:val="16"/>
                <w:szCs w:val="16"/>
              </w:rPr>
              <w:t>[7]</w:t>
            </w:r>
            <w:r>
              <w:rPr>
                <w:sz w:val="16"/>
                <w:szCs w:val="16"/>
              </w:rPr>
              <w:t xml:space="preserve"> </w:t>
            </w:r>
            <w:r w:rsidRPr="008107C0">
              <w:rPr>
                <w:sz w:val="16"/>
                <w:szCs w:val="16"/>
              </w:rPr>
              <w:t xml:space="preserve">Medical Services Advisory Committee. 2021. </w:t>
            </w:r>
            <w:r w:rsidRPr="000D10B7">
              <w:rPr>
                <w:b/>
                <w:bCs/>
                <w:i/>
                <w:iCs/>
                <w:sz w:val="16"/>
                <w:szCs w:val="16"/>
              </w:rPr>
              <w:t>DCAR Assessment Report Template.</w:t>
            </w:r>
            <w:r w:rsidRPr="008107C0">
              <w:rPr>
                <w:sz w:val="16"/>
                <w:szCs w:val="16"/>
              </w:rPr>
              <w:t xml:space="preserve"> [Online]. 19th May 2021 [Last accessed 7th July 2021]. Available from: http://www.msac.gov.au/internet/msac/publishing.nsf/Content/Documents-for-Applicants-and-Assessment-Groups</w:t>
            </w:r>
          </w:p>
          <w:p w14:paraId="05B33245" w14:textId="77777777" w:rsidR="00BD6644" w:rsidRPr="008107C0" w:rsidRDefault="00BD6644" w:rsidP="00D906F9">
            <w:pPr>
              <w:pStyle w:val="Default"/>
              <w:rPr>
                <w:sz w:val="16"/>
                <w:szCs w:val="16"/>
              </w:rPr>
            </w:pPr>
            <w:r w:rsidRPr="008107C0">
              <w:rPr>
                <w:sz w:val="16"/>
                <w:szCs w:val="16"/>
              </w:rPr>
              <w:t>[8]</w:t>
            </w:r>
            <w:r>
              <w:rPr>
                <w:sz w:val="16"/>
                <w:szCs w:val="16"/>
              </w:rPr>
              <w:t xml:space="preserve"> </w:t>
            </w:r>
            <w:r w:rsidRPr="008107C0">
              <w:rPr>
                <w:sz w:val="16"/>
                <w:szCs w:val="16"/>
              </w:rPr>
              <w:t xml:space="preserve">Medical Services Advisory Committee. 2021. </w:t>
            </w:r>
            <w:r w:rsidRPr="000D10B7">
              <w:rPr>
                <w:b/>
                <w:bCs/>
                <w:i/>
                <w:iCs/>
                <w:sz w:val="16"/>
                <w:szCs w:val="16"/>
              </w:rPr>
              <w:t>ADAR Commentary</w:t>
            </w:r>
            <w:r w:rsidRPr="008107C0">
              <w:rPr>
                <w:sz w:val="16"/>
                <w:szCs w:val="16"/>
              </w:rPr>
              <w:t>. [Online]. 19th May 2021 [Last accessed 7th July 2021]. Available from: http://www.msac.gov.au/internet/msac/publishing.nsf/Content/Documents-for-Applicants-and-Assessment-Groups</w:t>
            </w:r>
          </w:p>
          <w:p w14:paraId="469C373D" w14:textId="77777777" w:rsidR="00BD6644" w:rsidRPr="00D906F9" w:rsidRDefault="00BD6644" w:rsidP="00D906F9">
            <w:pPr>
              <w:pStyle w:val="Default"/>
            </w:pPr>
            <w:r w:rsidRPr="008107C0">
              <w:rPr>
                <w:sz w:val="16"/>
                <w:szCs w:val="16"/>
              </w:rPr>
              <w:t>[9]</w:t>
            </w:r>
            <w:r>
              <w:rPr>
                <w:sz w:val="16"/>
                <w:szCs w:val="16"/>
              </w:rPr>
              <w:t xml:space="preserve"> </w:t>
            </w:r>
            <w:r w:rsidRPr="000D10B7">
              <w:rPr>
                <w:sz w:val="16"/>
                <w:szCs w:val="16"/>
              </w:rPr>
              <w:t>Medical Services Advisory Committee</w:t>
            </w:r>
            <w:r w:rsidRPr="008107C0">
              <w:rPr>
                <w:sz w:val="16"/>
                <w:szCs w:val="16"/>
              </w:rPr>
              <w:t xml:space="preserve">. (Page last updated 21st May 2021). </w:t>
            </w:r>
            <w:r w:rsidRPr="000D10B7">
              <w:rPr>
                <w:b/>
                <w:bCs/>
                <w:i/>
                <w:iCs/>
                <w:sz w:val="16"/>
                <w:szCs w:val="16"/>
              </w:rPr>
              <w:t>MSAC Membership</w:t>
            </w:r>
            <w:r w:rsidRPr="008107C0">
              <w:rPr>
                <w:sz w:val="16"/>
                <w:szCs w:val="16"/>
              </w:rPr>
              <w:t xml:space="preserve"> [Online]. Available from: http://www.msac.gov.au/internet/msac/publishing.nsf/Content/msac-membership [Last accessed 12th July 2021].</w:t>
            </w:r>
          </w:p>
        </w:tc>
        <w:tc>
          <w:tcPr>
            <w:tcW w:w="3747" w:type="dxa"/>
            <w:shd w:val="clear" w:color="auto" w:fill="auto"/>
          </w:tcPr>
          <w:p w14:paraId="72000582" w14:textId="77777777" w:rsidR="00BD6644" w:rsidRPr="00BA18E8" w:rsidRDefault="00BD6644" w:rsidP="00D906F9">
            <w:pPr>
              <w:spacing w:line="264" w:lineRule="auto"/>
              <w:rPr>
                <w:sz w:val="20"/>
                <w:szCs w:val="20"/>
              </w:rPr>
            </w:pPr>
            <w:r w:rsidRPr="00BA18E8">
              <w:rPr>
                <w:sz w:val="20"/>
                <w:szCs w:val="20"/>
              </w:rPr>
              <w:t>MSAC is a nonstatutory committee established by the Australian Minister for Health in 1998, who’s role it is to provide recommendations to the Australian Health Ministry on the public funding of new or amended health services [2]. At MSAC HTA reports are termed ‘assessment reports’ and can be performed both by either the applicant or an external HTA group contracted on their behalf (Applicant–led assessment reports, ADARs) [6], or alternatively MSAC can contract an external HTA group directly (Department–led assessment reports, DCARs) [7]. The decision on which path to follow is informed by the applicant’s ability to undertake and engage in the HTA process [2, p.42]. External HTA groups also perform critical summaries of ADARs for consideration by MSAC [8].</w:t>
            </w:r>
          </w:p>
        </w:tc>
      </w:tr>
      <w:tr w:rsidR="00BD6644" w14:paraId="6E8A4AD7" w14:textId="77777777" w:rsidTr="00D906F9">
        <w:tc>
          <w:tcPr>
            <w:tcW w:w="2780" w:type="dxa"/>
            <w:shd w:val="clear" w:color="auto" w:fill="auto"/>
          </w:tcPr>
          <w:p w14:paraId="099321B1" w14:textId="2E3E5B7C" w:rsidR="00BD6644" w:rsidRPr="007D07D9" w:rsidRDefault="00BD6644" w:rsidP="00D906F9">
            <w:pPr>
              <w:rPr>
                <w:b/>
                <w:bCs/>
                <w:sz w:val="20"/>
              </w:rPr>
            </w:pPr>
            <w:r w:rsidRPr="007D07D9">
              <w:rPr>
                <w:b/>
                <w:bCs/>
                <w:sz w:val="20"/>
              </w:rPr>
              <w:t>National Institute for Health and Care Excellence Diagnostics Assessment Programme (NICE DAP, England and Wales)</w:t>
            </w:r>
          </w:p>
        </w:tc>
        <w:tc>
          <w:tcPr>
            <w:tcW w:w="1751" w:type="dxa"/>
            <w:shd w:val="clear" w:color="auto" w:fill="auto"/>
          </w:tcPr>
          <w:p w14:paraId="6C804A55" w14:textId="77777777" w:rsidR="00BD6644" w:rsidRPr="00FF3431" w:rsidRDefault="00BD6644" w:rsidP="00D906F9">
            <w:pPr>
              <w:rPr>
                <w:sz w:val="20"/>
              </w:rPr>
            </w:pPr>
            <w:r>
              <w:rPr>
                <w:sz w:val="20"/>
              </w:rPr>
              <w:t>Medical tests, other than population screening tests</w:t>
            </w:r>
          </w:p>
        </w:tc>
        <w:tc>
          <w:tcPr>
            <w:tcW w:w="5670" w:type="dxa"/>
            <w:shd w:val="clear" w:color="auto" w:fill="auto"/>
          </w:tcPr>
          <w:p w14:paraId="10B08037" w14:textId="7E8C39A3" w:rsidR="00BD6644" w:rsidRPr="000D10B7" w:rsidRDefault="00BD6644" w:rsidP="00D906F9">
            <w:pPr>
              <w:rPr>
                <w:sz w:val="20"/>
                <w:szCs w:val="20"/>
              </w:rPr>
            </w:pPr>
            <w:r w:rsidRPr="000D10B7">
              <w:rPr>
                <w:b/>
                <w:bCs/>
                <w:sz w:val="20"/>
                <w:szCs w:val="20"/>
              </w:rPr>
              <w:t>Methods guide</w:t>
            </w:r>
            <w:r w:rsidR="00B8448C" w:rsidRPr="00B8448C">
              <w:rPr>
                <w:bCs/>
                <w:sz w:val="20"/>
                <w:szCs w:val="20"/>
                <w:vertAlign w:val="superscript"/>
              </w:rPr>
              <w:t>6</w:t>
            </w:r>
            <w:r w:rsidRPr="000D10B7">
              <w:rPr>
                <w:sz w:val="20"/>
                <w:szCs w:val="20"/>
              </w:rPr>
              <w:t xml:space="preserve"> specific to tests (other than population screening).</w:t>
            </w:r>
          </w:p>
          <w:p w14:paraId="5E336FA8" w14:textId="77777777" w:rsidR="00BD6644" w:rsidRPr="000D10B7" w:rsidRDefault="00BD6644" w:rsidP="00D906F9">
            <w:pPr>
              <w:rPr>
                <w:sz w:val="20"/>
                <w:szCs w:val="20"/>
              </w:rPr>
            </w:pPr>
          </w:p>
          <w:p w14:paraId="764F6A47" w14:textId="039F4BAB" w:rsidR="00BD6644" w:rsidRPr="000D10B7" w:rsidRDefault="003557E3" w:rsidP="00D906F9">
            <w:pPr>
              <w:rPr>
                <w:sz w:val="20"/>
                <w:szCs w:val="20"/>
              </w:rPr>
            </w:pPr>
            <w:r>
              <w:rPr>
                <w:sz w:val="20"/>
                <w:szCs w:val="20"/>
              </w:rPr>
              <w:t>Other s</w:t>
            </w:r>
            <w:r w:rsidR="00BD6644" w:rsidRPr="000D10B7">
              <w:rPr>
                <w:sz w:val="20"/>
                <w:szCs w:val="20"/>
              </w:rPr>
              <w:t>ources:</w:t>
            </w:r>
          </w:p>
          <w:p w14:paraId="5FAD155C" w14:textId="77777777" w:rsidR="00BD6644" w:rsidRPr="00D906F9" w:rsidRDefault="00BD6644" w:rsidP="00D906F9">
            <w:pPr>
              <w:ind w:left="316" w:hanging="316"/>
              <w:rPr>
                <w:sz w:val="16"/>
                <w:szCs w:val="16"/>
              </w:rPr>
            </w:pPr>
            <w:r w:rsidRPr="00D906F9">
              <w:rPr>
                <w:sz w:val="16"/>
                <w:szCs w:val="16"/>
              </w:rPr>
              <w:t>[1]</w:t>
            </w:r>
            <w:r w:rsidRPr="00D906F9">
              <w:rPr>
                <w:sz w:val="16"/>
                <w:szCs w:val="16"/>
              </w:rPr>
              <w:tab/>
              <w:t xml:space="preserve">Organisation website: </w:t>
            </w:r>
            <w:hyperlink r:id="rId6" w:history="1">
              <w:r w:rsidRPr="00D906F9">
                <w:rPr>
                  <w:rStyle w:val="Hyperlink"/>
                  <w:sz w:val="16"/>
                  <w:szCs w:val="16"/>
                </w:rPr>
                <w:t>https://www.nice.org.uk/</w:t>
              </w:r>
            </w:hyperlink>
            <w:r w:rsidRPr="00D906F9">
              <w:rPr>
                <w:sz w:val="16"/>
                <w:szCs w:val="16"/>
              </w:rPr>
              <w:t xml:space="preserve"> [last accessed 18/06/21]</w:t>
            </w:r>
          </w:p>
          <w:p w14:paraId="7D08B13B" w14:textId="354CA6B7" w:rsidR="00BD6644" w:rsidRPr="00D906F9" w:rsidRDefault="00BD6644" w:rsidP="00D906F9">
            <w:pPr>
              <w:ind w:left="316" w:hanging="316"/>
              <w:rPr>
                <w:sz w:val="16"/>
                <w:szCs w:val="16"/>
              </w:rPr>
            </w:pPr>
            <w:r w:rsidRPr="00D906F9">
              <w:rPr>
                <w:sz w:val="16"/>
                <w:szCs w:val="16"/>
              </w:rPr>
              <w:t>[2]</w:t>
            </w:r>
            <w:r w:rsidRPr="00D906F9">
              <w:rPr>
                <w:sz w:val="16"/>
                <w:szCs w:val="16"/>
              </w:rPr>
              <w:tab/>
            </w:r>
            <w:r w:rsidRPr="00D906F9">
              <w:rPr>
                <w:b/>
                <w:bCs/>
                <w:i/>
                <w:iCs/>
                <w:sz w:val="16"/>
                <w:szCs w:val="16"/>
              </w:rPr>
              <w:t xml:space="preserve">Medical technologies evaluation programme methods guide. </w:t>
            </w:r>
            <w:r w:rsidRPr="00D906F9">
              <w:rPr>
                <w:sz w:val="16"/>
                <w:szCs w:val="16"/>
              </w:rPr>
              <w:t>NICE; August 2017. Downloaded 11</w:t>
            </w:r>
            <w:r w:rsidRPr="00D906F9">
              <w:rPr>
                <w:sz w:val="16"/>
                <w:szCs w:val="16"/>
                <w:vertAlign w:val="superscript"/>
              </w:rPr>
              <w:t>th</w:t>
            </w:r>
            <w:r w:rsidRPr="00D906F9">
              <w:rPr>
                <w:sz w:val="16"/>
                <w:szCs w:val="16"/>
              </w:rPr>
              <w:t xml:space="preserve"> June 2020. </w:t>
            </w:r>
          </w:p>
          <w:p w14:paraId="51840E75" w14:textId="3BB5ACA7" w:rsidR="00BD6644" w:rsidRPr="00D906F9" w:rsidRDefault="00BD6644" w:rsidP="00D906F9">
            <w:pPr>
              <w:ind w:left="316" w:hanging="316"/>
              <w:rPr>
                <w:sz w:val="16"/>
                <w:szCs w:val="16"/>
              </w:rPr>
            </w:pPr>
            <w:r w:rsidRPr="00D906F9">
              <w:rPr>
                <w:sz w:val="16"/>
                <w:szCs w:val="16"/>
              </w:rPr>
              <w:t>[</w:t>
            </w:r>
            <w:r w:rsidR="005C6C8B">
              <w:rPr>
                <w:sz w:val="16"/>
                <w:szCs w:val="16"/>
              </w:rPr>
              <w:t>3</w:t>
            </w:r>
            <w:r w:rsidRPr="00D906F9">
              <w:rPr>
                <w:sz w:val="16"/>
                <w:szCs w:val="16"/>
              </w:rPr>
              <w:t xml:space="preserve">] </w:t>
            </w:r>
            <w:r w:rsidRPr="00D906F9">
              <w:rPr>
                <w:sz w:val="16"/>
                <w:szCs w:val="16"/>
              </w:rPr>
              <w:tab/>
            </w:r>
            <w:r w:rsidRPr="00D906F9">
              <w:rPr>
                <w:b/>
                <w:bCs/>
                <w:i/>
                <w:iCs/>
                <w:sz w:val="16"/>
                <w:szCs w:val="16"/>
              </w:rPr>
              <w:t>Interim Addendum to the Diagnostics Assessment Programme Manual</w:t>
            </w:r>
            <w:r w:rsidRPr="00D906F9">
              <w:rPr>
                <w:b/>
                <w:bCs/>
                <w:sz w:val="16"/>
                <w:szCs w:val="16"/>
              </w:rPr>
              <w:t xml:space="preserve">. </w:t>
            </w:r>
            <w:r w:rsidRPr="00D906F9">
              <w:rPr>
                <w:sz w:val="16"/>
                <w:szCs w:val="16"/>
              </w:rPr>
              <w:t xml:space="preserve">NICE webpage, available from </w:t>
            </w:r>
            <w:hyperlink r:id="rId7" w:history="1">
              <w:r w:rsidRPr="00D906F9">
                <w:rPr>
                  <w:rStyle w:val="Hyperlink"/>
                  <w:sz w:val="16"/>
                  <w:szCs w:val="16"/>
                </w:rPr>
                <w:t>https://www.nice.org.uk/Media/Default/About/what-we-do/NICE-guidance/NICE-diagnostics-guidance/Diagnostics-interim-addendum-access-proposals.pdf</w:t>
              </w:r>
            </w:hyperlink>
            <w:r w:rsidRPr="00D906F9">
              <w:rPr>
                <w:sz w:val="16"/>
                <w:szCs w:val="16"/>
              </w:rPr>
              <w:t xml:space="preserve"> [last accessed 5</w:t>
            </w:r>
            <w:r w:rsidRPr="00D906F9">
              <w:rPr>
                <w:sz w:val="16"/>
                <w:szCs w:val="16"/>
                <w:vertAlign w:val="superscript"/>
              </w:rPr>
              <w:t>th</w:t>
            </w:r>
            <w:r w:rsidRPr="00D906F9">
              <w:rPr>
                <w:sz w:val="16"/>
                <w:szCs w:val="16"/>
              </w:rPr>
              <w:t xml:space="preserve"> July 2021]</w:t>
            </w:r>
          </w:p>
          <w:p w14:paraId="522B793E" w14:textId="6C723C84" w:rsidR="00BD6644" w:rsidRPr="00D906F9" w:rsidRDefault="00BD6644" w:rsidP="00D906F9">
            <w:pPr>
              <w:ind w:left="316" w:hanging="316"/>
              <w:rPr>
                <w:sz w:val="16"/>
                <w:szCs w:val="16"/>
              </w:rPr>
            </w:pPr>
            <w:r w:rsidRPr="00D906F9">
              <w:rPr>
                <w:sz w:val="16"/>
                <w:szCs w:val="16"/>
              </w:rPr>
              <w:t>[</w:t>
            </w:r>
            <w:r w:rsidR="005C6C8B">
              <w:rPr>
                <w:sz w:val="16"/>
                <w:szCs w:val="16"/>
              </w:rPr>
              <w:t>4</w:t>
            </w:r>
            <w:r w:rsidRPr="00D906F9">
              <w:rPr>
                <w:sz w:val="16"/>
                <w:szCs w:val="16"/>
              </w:rPr>
              <w:t>]</w:t>
            </w:r>
            <w:r w:rsidRPr="00D906F9">
              <w:rPr>
                <w:sz w:val="16"/>
                <w:szCs w:val="16"/>
              </w:rPr>
              <w:tab/>
            </w:r>
            <w:r w:rsidRPr="00D906F9">
              <w:rPr>
                <w:b/>
                <w:bCs/>
                <w:sz w:val="16"/>
                <w:szCs w:val="16"/>
              </w:rPr>
              <w:t xml:space="preserve">Interim addendum to replace existing section 9, Guidance reviews, in DAP programme manual. </w:t>
            </w:r>
            <w:r w:rsidRPr="00D906F9">
              <w:rPr>
                <w:sz w:val="16"/>
                <w:szCs w:val="16"/>
              </w:rPr>
              <w:t xml:space="preserve">NICE webpage, available from </w:t>
            </w:r>
            <w:hyperlink r:id="rId8" w:history="1">
              <w:r w:rsidRPr="00D906F9">
                <w:rPr>
                  <w:rStyle w:val="Hyperlink"/>
                  <w:sz w:val="16"/>
                  <w:szCs w:val="16"/>
                </w:rPr>
                <w:t>https://www.nice.org.uk/Media/Default/About/what-we-do/NICE-guidance/NICE-diagnostics-guidance/Diagnostics-interim-addendum-guidance-reviews.pdf</w:t>
              </w:r>
            </w:hyperlink>
            <w:r w:rsidRPr="00D906F9">
              <w:rPr>
                <w:sz w:val="16"/>
                <w:szCs w:val="16"/>
              </w:rPr>
              <w:t xml:space="preserve"> [last accessed 5</w:t>
            </w:r>
            <w:r w:rsidRPr="00D906F9">
              <w:rPr>
                <w:sz w:val="16"/>
                <w:szCs w:val="16"/>
                <w:vertAlign w:val="superscript"/>
              </w:rPr>
              <w:t>th</w:t>
            </w:r>
            <w:r w:rsidRPr="00D906F9">
              <w:rPr>
                <w:sz w:val="16"/>
                <w:szCs w:val="16"/>
              </w:rPr>
              <w:t xml:space="preserve"> July 2021]</w:t>
            </w:r>
          </w:p>
          <w:p w14:paraId="68D71816" w14:textId="77777777" w:rsidR="00BD6644" w:rsidRPr="000D10B7" w:rsidRDefault="00BD6644" w:rsidP="00D906F9">
            <w:pPr>
              <w:rPr>
                <w:sz w:val="20"/>
                <w:szCs w:val="20"/>
              </w:rPr>
            </w:pPr>
          </w:p>
        </w:tc>
        <w:tc>
          <w:tcPr>
            <w:tcW w:w="3747" w:type="dxa"/>
            <w:shd w:val="clear" w:color="auto" w:fill="auto"/>
          </w:tcPr>
          <w:p w14:paraId="1EC3F8A8" w14:textId="77777777" w:rsidR="00BD6644" w:rsidRDefault="00BD6644" w:rsidP="00D906F9">
            <w:pPr>
              <w:rPr>
                <w:sz w:val="20"/>
              </w:rPr>
            </w:pPr>
            <w:r>
              <w:rPr>
                <w:sz w:val="20"/>
              </w:rPr>
              <w:t xml:space="preserve">The national HTA body for </w:t>
            </w:r>
            <w:r w:rsidRPr="00E56248">
              <w:rPr>
                <w:sz w:val="20"/>
              </w:rPr>
              <w:t xml:space="preserve">England </w:t>
            </w:r>
            <w:r>
              <w:rPr>
                <w:sz w:val="20"/>
              </w:rPr>
              <w:t xml:space="preserve">and Wales, NICE </w:t>
            </w:r>
            <w:r w:rsidRPr="00E56248">
              <w:rPr>
                <w:sz w:val="20"/>
              </w:rPr>
              <w:t xml:space="preserve">is accountable to but independent from the UK Government. NICE guidance technically only covers England but decisions about how NICE guidance applies in other countries in the UK (Wales, Scotland and Northern Ireland) is made by the respective devolved administrations. These other UK countries are often involved </w:t>
            </w:r>
            <w:r>
              <w:rPr>
                <w:sz w:val="20"/>
              </w:rPr>
              <w:t xml:space="preserve">in </w:t>
            </w:r>
            <w:r w:rsidRPr="00E56248">
              <w:rPr>
                <w:sz w:val="20"/>
              </w:rPr>
              <w:t xml:space="preserve">and consulted on the development of NICE Guidance, and NICE has agreements to provide them with certain services and products. </w:t>
            </w:r>
          </w:p>
          <w:p w14:paraId="5F2717C0" w14:textId="13A2D48A" w:rsidR="00BD6644" w:rsidRDefault="00BD6644" w:rsidP="00D906F9">
            <w:pPr>
              <w:autoSpaceDE w:val="0"/>
              <w:autoSpaceDN w:val="0"/>
              <w:adjustRightInd w:val="0"/>
            </w:pPr>
            <w:r>
              <w:rPr>
                <w:sz w:val="20"/>
              </w:rPr>
              <w:t xml:space="preserve">HTA of tests is undertaken across three departments, though new technologies are primarily evaluated within the </w:t>
            </w:r>
            <w:r w:rsidRPr="00E56248">
              <w:rPr>
                <w:sz w:val="20"/>
              </w:rPr>
              <w:t xml:space="preserve">Medical Technology Evaluation Programme </w:t>
            </w:r>
            <w:r>
              <w:rPr>
                <w:sz w:val="20"/>
              </w:rPr>
              <w:t xml:space="preserve">(MTEP) and </w:t>
            </w:r>
            <w:r w:rsidRPr="00E56248">
              <w:rPr>
                <w:sz w:val="20"/>
              </w:rPr>
              <w:t xml:space="preserve">Diagnostics Assessment Programme </w:t>
            </w:r>
            <w:r>
              <w:rPr>
                <w:sz w:val="20"/>
              </w:rPr>
              <w:t xml:space="preserve">(DAP). MTEP receive proposals for diagnostic topics, and assess topics considered (by a topic briefing) to provide </w:t>
            </w:r>
            <w:r w:rsidRPr="00625DCC">
              <w:rPr>
                <w:sz w:val="20"/>
                <w:szCs w:val="20"/>
              </w:rPr>
              <w:t>“</w:t>
            </w:r>
            <w:r w:rsidRPr="00625DCC">
              <w:rPr>
                <w:i/>
                <w:sz w:val="20"/>
                <w:szCs w:val="20"/>
              </w:rPr>
              <w:t>similar health outcomes at less cost, or improved health outcomes at the same cost as current NHS practice”</w:t>
            </w:r>
            <w:r w:rsidR="004860EA" w:rsidRPr="004860EA">
              <w:rPr>
                <w:iCs/>
                <w:sz w:val="20"/>
                <w:szCs w:val="20"/>
                <w:vertAlign w:val="superscript"/>
              </w:rPr>
              <w:t>6</w:t>
            </w:r>
            <w:r w:rsidRPr="00625DCC">
              <w:rPr>
                <w:i/>
                <w:sz w:val="20"/>
                <w:szCs w:val="20"/>
              </w:rPr>
              <w:t xml:space="preserve"> </w:t>
            </w:r>
            <w:r w:rsidRPr="00625DCC">
              <w:rPr>
                <w:sz w:val="20"/>
                <w:szCs w:val="20"/>
              </w:rPr>
              <w:t>[</w:t>
            </w:r>
            <w:r w:rsidR="005C6C8B">
              <w:rPr>
                <w:sz w:val="20"/>
                <w:szCs w:val="20"/>
              </w:rPr>
              <w:t>2</w:t>
            </w:r>
            <w:r w:rsidRPr="00625DCC">
              <w:rPr>
                <w:sz w:val="20"/>
                <w:szCs w:val="20"/>
              </w:rPr>
              <w:t>, pg. 11]</w:t>
            </w:r>
            <w:r>
              <w:rPr>
                <w:sz w:val="20"/>
                <w:szCs w:val="20"/>
              </w:rPr>
              <w:t>. Complex tests</w:t>
            </w:r>
            <w:r w:rsidRPr="00625DCC">
              <w:rPr>
                <w:sz w:val="20"/>
              </w:rPr>
              <w:t xml:space="preserve">, for example where recommendations can only be made on the basis of </w:t>
            </w:r>
            <w:r w:rsidRPr="00625DCC">
              <w:rPr>
                <w:bCs/>
                <w:sz w:val="20"/>
              </w:rPr>
              <w:t>cost-effectiveness analysis, w</w:t>
            </w:r>
            <w:r w:rsidRPr="00625DCC">
              <w:rPr>
                <w:sz w:val="20"/>
              </w:rPr>
              <w:t xml:space="preserve">here </w:t>
            </w:r>
            <w:r>
              <w:rPr>
                <w:sz w:val="20"/>
              </w:rPr>
              <w:t>HTA</w:t>
            </w:r>
            <w:r w:rsidRPr="00625DCC">
              <w:rPr>
                <w:sz w:val="20"/>
              </w:rPr>
              <w:t xml:space="preserve"> </w:t>
            </w:r>
            <w:r>
              <w:rPr>
                <w:sz w:val="20"/>
              </w:rPr>
              <w:t xml:space="preserve">is of </w:t>
            </w:r>
            <w:r w:rsidRPr="00625DCC">
              <w:rPr>
                <w:sz w:val="20"/>
              </w:rPr>
              <w:t xml:space="preserve">multiple technologies or </w:t>
            </w:r>
            <w:r>
              <w:rPr>
                <w:sz w:val="20"/>
              </w:rPr>
              <w:t xml:space="preserve">patient </w:t>
            </w:r>
            <w:r w:rsidRPr="00625DCC">
              <w:rPr>
                <w:bCs/>
                <w:sz w:val="20"/>
              </w:rPr>
              <w:t xml:space="preserve">indications, </w:t>
            </w:r>
            <w:r w:rsidRPr="00625DCC">
              <w:rPr>
                <w:rFonts w:cstheme="minorHAnsi"/>
                <w:sz w:val="20"/>
              </w:rPr>
              <w:t>or</w:t>
            </w:r>
            <w:r w:rsidRPr="00625DCC">
              <w:rPr>
                <w:rFonts w:cstheme="minorHAnsi"/>
                <w:color w:val="282828"/>
                <w:sz w:val="20"/>
              </w:rPr>
              <w:t xml:space="preserve"> </w:t>
            </w:r>
            <w:r>
              <w:rPr>
                <w:rFonts w:cstheme="minorHAnsi"/>
                <w:color w:val="282828"/>
                <w:sz w:val="20"/>
              </w:rPr>
              <w:t xml:space="preserve">tests </w:t>
            </w:r>
            <w:r w:rsidRPr="00625DCC">
              <w:rPr>
                <w:rFonts w:cstheme="minorHAnsi"/>
                <w:color w:val="282828"/>
                <w:sz w:val="20"/>
              </w:rPr>
              <w:t xml:space="preserve">likely to </w:t>
            </w:r>
            <w:r>
              <w:rPr>
                <w:rFonts w:cstheme="minorHAnsi"/>
                <w:color w:val="282828"/>
                <w:sz w:val="20"/>
              </w:rPr>
              <w:t>be more costly</w:t>
            </w:r>
            <w:r w:rsidRPr="00625DCC">
              <w:rPr>
                <w:rFonts w:cstheme="minorHAnsi"/>
                <w:color w:val="282828"/>
                <w:sz w:val="20"/>
              </w:rPr>
              <w:t>,</w:t>
            </w:r>
            <w:r w:rsidRPr="00625DCC">
              <w:rPr>
                <w:rFonts w:cstheme="minorHAnsi"/>
                <w:i/>
                <w:sz w:val="20"/>
              </w:rPr>
              <w:t xml:space="preserve"> </w:t>
            </w:r>
            <w:r w:rsidRPr="00625DCC">
              <w:rPr>
                <w:rFonts w:cstheme="minorHAnsi"/>
                <w:sz w:val="20"/>
              </w:rPr>
              <w:t>are</w:t>
            </w:r>
            <w:r w:rsidRPr="00625DCC">
              <w:rPr>
                <w:sz w:val="20"/>
              </w:rPr>
              <w:t xml:space="preserve"> </w:t>
            </w:r>
            <w:r>
              <w:rPr>
                <w:sz w:val="20"/>
              </w:rPr>
              <w:t xml:space="preserve">considered within the </w:t>
            </w:r>
            <w:r w:rsidRPr="00625DCC">
              <w:rPr>
                <w:sz w:val="20"/>
              </w:rPr>
              <w:t>DAP [</w:t>
            </w:r>
            <w:r w:rsidR="005C6C8B">
              <w:rPr>
                <w:sz w:val="20"/>
              </w:rPr>
              <w:t>2</w:t>
            </w:r>
            <w:r w:rsidRPr="00625DCC">
              <w:rPr>
                <w:sz w:val="20"/>
              </w:rPr>
              <w:t>, pg. 8 and pg. 11</w:t>
            </w:r>
            <w:r w:rsidR="00011802">
              <w:rPr>
                <w:sz w:val="20"/>
              </w:rPr>
              <w:t>]</w:t>
            </w:r>
            <w:r w:rsidRPr="00625DCC">
              <w:rPr>
                <w:sz w:val="20"/>
              </w:rPr>
              <w:t>.</w:t>
            </w:r>
          </w:p>
          <w:p w14:paraId="79C70EF7" w14:textId="77777777" w:rsidR="00BD6644" w:rsidRPr="00E56248" w:rsidRDefault="00BD6644" w:rsidP="00D906F9">
            <w:pPr>
              <w:rPr>
                <w:sz w:val="20"/>
              </w:rPr>
            </w:pPr>
          </w:p>
          <w:p w14:paraId="64962159" w14:textId="77777777" w:rsidR="00BD6644" w:rsidRPr="00FF3431" w:rsidRDefault="00BD6644" w:rsidP="00D906F9">
            <w:pPr>
              <w:rPr>
                <w:sz w:val="20"/>
              </w:rPr>
            </w:pPr>
            <w:r w:rsidRPr="00E56248">
              <w:rPr>
                <w:sz w:val="20"/>
              </w:rPr>
              <w:t>HTA within NICE is undertaken by independently commissioned academic groups</w:t>
            </w:r>
            <w:r>
              <w:rPr>
                <w:sz w:val="20"/>
              </w:rPr>
              <w:t xml:space="preserve"> (External Assessment Groups).</w:t>
            </w:r>
          </w:p>
        </w:tc>
      </w:tr>
      <w:tr w:rsidR="00BD6644" w14:paraId="193A0861" w14:textId="77777777" w:rsidTr="00D906F9">
        <w:tc>
          <w:tcPr>
            <w:tcW w:w="2780" w:type="dxa"/>
            <w:shd w:val="clear" w:color="auto" w:fill="auto"/>
          </w:tcPr>
          <w:p w14:paraId="4A660F71" w14:textId="77777777" w:rsidR="00BD6644" w:rsidRPr="007D07D9" w:rsidRDefault="00BD6644" w:rsidP="00D906F9">
            <w:pPr>
              <w:rPr>
                <w:b/>
                <w:bCs/>
                <w:sz w:val="20"/>
              </w:rPr>
            </w:pPr>
            <w:bookmarkStart w:id="2" w:name="_Hlk96340893"/>
            <w:r w:rsidRPr="007D07D9">
              <w:rPr>
                <w:b/>
                <w:bCs/>
                <w:sz w:val="20"/>
              </w:rPr>
              <w:t>Swedish Agency for Health Technology Assessment and Assessment of Social Services (SBU, Sweden)</w:t>
            </w:r>
            <w:bookmarkEnd w:id="2"/>
          </w:p>
        </w:tc>
        <w:tc>
          <w:tcPr>
            <w:tcW w:w="1751" w:type="dxa"/>
            <w:shd w:val="clear" w:color="auto" w:fill="auto"/>
          </w:tcPr>
          <w:p w14:paraId="486B4D46" w14:textId="77777777" w:rsidR="00BD6644" w:rsidRPr="00FF3431" w:rsidRDefault="00BD6644" w:rsidP="00D906F9">
            <w:pPr>
              <w:rPr>
                <w:sz w:val="20"/>
              </w:rPr>
            </w:pPr>
            <w:r>
              <w:rPr>
                <w:sz w:val="20"/>
              </w:rPr>
              <w:t>All healthcare interventions, including all medical tests.</w:t>
            </w:r>
          </w:p>
        </w:tc>
        <w:tc>
          <w:tcPr>
            <w:tcW w:w="5670" w:type="dxa"/>
            <w:shd w:val="clear" w:color="auto" w:fill="auto"/>
          </w:tcPr>
          <w:p w14:paraId="57804D7F" w14:textId="2CDD840F" w:rsidR="00BD6644" w:rsidRPr="000D10B7" w:rsidRDefault="00BD6644" w:rsidP="00D906F9">
            <w:pPr>
              <w:rPr>
                <w:sz w:val="20"/>
                <w:szCs w:val="20"/>
              </w:rPr>
            </w:pPr>
            <w:r w:rsidRPr="000D10B7">
              <w:rPr>
                <w:b/>
                <w:bCs/>
                <w:sz w:val="20"/>
                <w:szCs w:val="20"/>
              </w:rPr>
              <w:t>Methods guide</w:t>
            </w:r>
            <w:r w:rsidR="00B8448C" w:rsidRPr="00B8448C">
              <w:rPr>
                <w:bCs/>
                <w:sz w:val="20"/>
                <w:szCs w:val="20"/>
                <w:vertAlign w:val="superscript"/>
              </w:rPr>
              <w:t>7</w:t>
            </w:r>
            <w:r w:rsidRPr="000D10B7">
              <w:rPr>
                <w:sz w:val="20"/>
                <w:szCs w:val="20"/>
              </w:rPr>
              <w:t xml:space="preserve"> for all interventions, with test–specific chapters.</w:t>
            </w:r>
          </w:p>
          <w:p w14:paraId="7029DD85" w14:textId="77777777" w:rsidR="00BD6644" w:rsidRPr="000D10B7" w:rsidRDefault="00BD6644" w:rsidP="00D906F9">
            <w:pPr>
              <w:rPr>
                <w:sz w:val="20"/>
                <w:szCs w:val="20"/>
              </w:rPr>
            </w:pPr>
          </w:p>
          <w:p w14:paraId="11243619" w14:textId="634441C7" w:rsidR="00BD6644" w:rsidRPr="000D10B7" w:rsidRDefault="003557E3" w:rsidP="00D906F9">
            <w:pPr>
              <w:ind w:left="720" w:hanging="720"/>
              <w:rPr>
                <w:sz w:val="20"/>
                <w:szCs w:val="20"/>
              </w:rPr>
            </w:pPr>
            <w:r>
              <w:rPr>
                <w:sz w:val="20"/>
                <w:szCs w:val="20"/>
              </w:rPr>
              <w:t>Other s</w:t>
            </w:r>
            <w:r w:rsidR="00BD6644" w:rsidRPr="000D10B7">
              <w:rPr>
                <w:sz w:val="20"/>
                <w:szCs w:val="20"/>
              </w:rPr>
              <w:t>ources:</w:t>
            </w:r>
          </w:p>
          <w:p w14:paraId="66730C23" w14:textId="7D2B173F" w:rsidR="009D08A8" w:rsidRPr="009D08A8" w:rsidRDefault="00BD6644" w:rsidP="009D08A8">
            <w:pPr>
              <w:ind w:left="316" w:hanging="316"/>
              <w:rPr>
                <w:bCs/>
                <w:i/>
                <w:iCs/>
                <w:sz w:val="16"/>
                <w:szCs w:val="16"/>
              </w:rPr>
            </w:pPr>
            <w:r w:rsidRPr="00D906F9">
              <w:rPr>
                <w:sz w:val="16"/>
                <w:szCs w:val="16"/>
              </w:rPr>
              <w:t>[1]</w:t>
            </w:r>
            <w:r w:rsidRPr="00D906F9">
              <w:rPr>
                <w:sz w:val="16"/>
                <w:szCs w:val="16"/>
              </w:rPr>
              <w:tab/>
            </w:r>
            <w:r w:rsidR="009D08A8" w:rsidRPr="009D08A8">
              <w:rPr>
                <w:b/>
                <w:bCs/>
                <w:i/>
                <w:iCs/>
                <w:sz w:val="16"/>
                <w:szCs w:val="16"/>
              </w:rPr>
              <w:t>SBU Method Book (google translation into English), October 2020 [downloaded 10th February 2021].</w:t>
            </w:r>
            <w:r w:rsidR="009D08A8">
              <w:t xml:space="preserve"> </w:t>
            </w:r>
            <w:r w:rsidR="009D08A8" w:rsidRPr="009D08A8">
              <w:rPr>
                <w:bCs/>
                <w:i/>
                <w:iCs/>
                <w:sz w:val="16"/>
                <w:szCs w:val="16"/>
              </w:rPr>
              <w:t xml:space="preserve">https://www.sbu.se/en/method/ </w:t>
            </w:r>
            <w:r w:rsidR="009D08A8">
              <w:rPr>
                <w:bCs/>
                <w:i/>
                <w:iCs/>
                <w:sz w:val="16"/>
                <w:szCs w:val="16"/>
              </w:rPr>
              <w:t>[last accessed 15th April 2022].</w:t>
            </w:r>
          </w:p>
          <w:p w14:paraId="66A582CA" w14:textId="7B4A11D8" w:rsidR="009D08A8" w:rsidRPr="009D08A8" w:rsidRDefault="009D08A8" w:rsidP="009D08A8">
            <w:pPr>
              <w:ind w:left="316" w:hanging="316"/>
              <w:rPr>
                <w:b/>
                <w:bCs/>
                <w:i/>
                <w:iCs/>
                <w:sz w:val="16"/>
                <w:szCs w:val="16"/>
              </w:rPr>
            </w:pPr>
            <w:r w:rsidRPr="00CD1859">
              <w:rPr>
                <w:bCs/>
                <w:iCs/>
                <w:sz w:val="16"/>
                <w:szCs w:val="16"/>
              </w:rPr>
              <w:t>[2]</w:t>
            </w:r>
            <w:r>
              <w:rPr>
                <w:b/>
                <w:bCs/>
                <w:i/>
                <w:iCs/>
                <w:sz w:val="16"/>
                <w:szCs w:val="16"/>
              </w:rPr>
              <w:tab/>
            </w:r>
            <w:r w:rsidRPr="009D08A8">
              <w:rPr>
                <w:b/>
                <w:bCs/>
                <w:i/>
                <w:iCs/>
                <w:sz w:val="16"/>
                <w:szCs w:val="16"/>
              </w:rPr>
              <w:t>Heintz E, Lintamo L, Hultcrantz M,  Jacobson S, Levi R, Munthe C, et al. Framework for Systematic Identification of Ethical Aspects of Healthcare Technologies: The SBU Approach. Int J Technol Assess Health Care 2015;31(3):124–130.</w:t>
            </w:r>
          </w:p>
          <w:p w14:paraId="5E0798BA" w14:textId="28FE7D98" w:rsidR="00BD6644" w:rsidRPr="00D906F9" w:rsidRDefault="009D08A8" w:rsidP="009D08A8">
            <w:pPr>
              <w:ind w:left="316" w:hanging="316"/>
              <w:rPr>
                <w:sz w:val="18"/>
                <w:szCs w:val="18"/>
              </w:rPr>
            </w:pPr>
            <w:r w:rsidRPr="00CD1859">
              <w:rPr>
                <w:bCs/>
                <w:iCs/>
                <w:sz w:val="16"/>
                <w:szCs w:val="16"/>
              </w:rPr>
              <w:t>[3]</w:t>
            </w:r>
            <w:r w:rsidRPr="009D08A8">
              <w:rPr>
                <w:b/>
                <w:bCs/>
                <w:i/>
                <w:iCs/>
                <w:sz w:val="16"/>
                <w:szCs w:val="16"/>
              </w:rPr>
              <w:tab/>
              <w:t xml:space="preserve">Organisation website (English version): https://www.sbu.se/en [last accessed 10th March 2021] </w:t>
            </w:r>
            <w:r w:rsidR="00BD6644" w:rsidRPr="00D906F9">
              <w:rPr>
                <w:sz w:val="16"/>
                <w:szCs w:val="16"/>
              </w:rPr>
              <w:t xml:space="preserve">[8]   </w:t>
            </w:r>
            <w:r w:rsidR="00BD6644" w:rsidRPr="00D906F9">
              <w:rPr>
                <w:b/>
                <w:bCs/>
                <w:i/>
                <w:iCs/>
                <w:sz w:val="16"/>
                <w:szCs w:val="16"/>
              </w:rPr>
              <w:t xml:space="preserve">The HTA network Sweden. </w:t>
            </w:r>
            <w:r w:rsidR="00BD6644" w:rsidRPr="00D906F9">
              <w:rPr>
                <w:sz w:val="16"/>
                <w:szCs w:val="16"/>
              </w:rPr>
              <w:t xml:space="preserve">Available from </w:t>
            </w:r>
            <w:hyperlink r:id="rId9" w:history="1">
              <w:r w:rsidR="00BD6644" w:rsidRPr="00D906F9">
                <w:rPr>
                  <w:rStyle w:val="Hyperlink"/>
                  <w:sz w:val="16"/>
                  <w:szCs w:val="16"/>
                </w:rPr>
                <w:t>https://www.sbu.se/en/collaboration/the-hta-network-sweden/</w:t>
              </w:r>
            </w:hyperlink>
            <w:r w:rsidR="00BD6644" w:rsidRPr="00D906F9">
              <w:rPr>
                <w:rStyle w:val="Hyperlink"/>
                <w:sz w:val="16"/>
                <w:szCs w:val="16"/>
              </w:rPr>
              <w:t xml:space="preserve"> </w:t>
            </w:r>
            <w:r w:rsidR="00BD6644" w:rsidRPr="00D906F9">
              <w:rPr>
                <w:sz w:val="16"/>
                <w:szCs w:val="16"/>
              </w:rPr>
              <w:t>[last accessed 11</w:t>
            </w:r>
            <w:r w:rsidR="00BD6644" w:rsidRPr="00D906F9">
              <w:rPr>
                <w:sz w:val="16"/>
                <w:szCs w:val="16"/>
                <w:vertAlign w:val="superscript"/>
              </w:rPr>
              <w:t>th</w:t>
            </w:r>
            <w:r w:rsidR="00BD6644" w:rsidRPr="00D906F9">
              <w:rPr>
                <w:sz w:val="16"/>
                <w:szCs w:val="16"/>
              </w:rPr>
              <w:t xml:space="preserve"> August 2021].</w:t>
            </w:r>
          </w:p>
        </w:tc>
        <w:tc>
          <w:tcPr>
            <w:tcW w:w="3747" w:type="dxa"/>
            <w:shd w:val="clear" w:color="auto" w:fill="auto"/>
          </w:tcPr>
          <w:p w14:paraId="647AEF4F" w14:textId="43C62745" w:rsidR="00BD6644" w:rsidRPr="001C0C1E" w:rsidRDefault="009D08A8" w:rsidP="00D906F9">
            <w:pPr>
              <w:rPr>
                <w:sz w:val="20"/>
                <w:szCs w:val="20"/>
              </w:rPr>
            </w:pPr>
            <w:r w:rsidRPr="009D08A8">
              <w:rPr>
                <w:sz w:val="20"/>
                <w:szCs w:val="20"/>
              </w:rPr>
              <w:t>He</w:t>
            </w:r>
            <w:r>
              <w:rPr>
                <w:sz w:val="20"/>
                <w:szCs w:val="20"/>
              </w:rPr>
              <w:t>alth technology assessment</w:t>
            </w:r>
            <w:r w:rsidRPr="009D08A8">
              <w:rPr>
                <w:sz w:val="20"/>
                <w:szCs w:val="20"/>
              </w:rPr>
              <w:t xml:space="preserve"> in Sweden is led by its national body, the SBU. SBU together with SBU host a national HTA network where total 25 organisations participates (including the 21 regional HTA centres ) </w:t>
            </w:r>
            <w:r>
              <w:rPr>
                <w:sz w:val="20"/>
                <w:szCs w:val="20"/>
              </w:rPr>
              <w:t>[3</w:t>
            </w:r>
            <w:r w:rsidR="00BD6644">
              <w:rPr>
                <w:sz w:val="20"/>
                <w:szCs w:val="20"/>
              </w:rPr>
              <w:t>]</w:t>
            </w:r>
            <w:r w:rsidR="00BD6644" w:rsidRPr="001C0C1E">
              <w:rPr>
                <w:sz w:val="20"/>
                <w:szCs w:val="20"/>
              </w:rPr>
              <w:t xml:space="preserve">. </w:t>
            </w:r>
          </w:p>
          <w:p w14:paraId="5B3B9E70" w14:textId="77777777" w:rsidR="00BD6644" w:rsidRPr="00FF3431" w:rsidRDefault="00BD6644" w:rsidP="00D906F9">
            <w:pPr>
              <w:rPr>
                <w:sz w:val="20"/>
              </w:rPr>
            </w:pPr>
          </w:p>
        </w:tc>
      </w:tr>
      <w:tr w:rsidR="00BD6644" w14:paraId="0DB8EF25" w14:textId="77777777" w:rsidTr="00D906F9">
        <w:tc>
          <w:tcPr>
            <w:tcW w:w="2780" w:type="dxa"/>
            <w:shd w:val="clear" w:color="auto" w:fill="auto"/>
          </w:tcPr>
          <w:p w14:paraId="626034F9" w14:textId="135E75D5" w:rsidR="00BD6644" w:rsidRPr="007D07D9" w:rsidRDefault="00BD6644" w:rsidP="00D906F9">
            <w:pPr>
              <w:rPr>
                <w:b/>
                <w:bCs/>
                <w:sz w:val="20"/>
              </w:rPr>
            </w:pPr>
            <w:r w:rsidRPr="007D07D9">
              <w:rPr>
                <w:b/>
                <w:bCs/>
                <w:sz w:val="20"/>
              </w:rPr>
              <w:t>National Health Care Institute (Zorginstituut Nederland) (ZIN, Netherlands)</w:t>
            </w:r>
          </w:p>
        </w:tc>
        <w:tc>
          <w:tcPr>
            <w:tcW w:w="1751" w:type="dxa"/>
            <w:shd w:val="clear" w:color="auto" w:fill="auto"/>
          </w:tcPr>
          <w:p w14:paraId="1FDD1617" w14:textId="77777777" w:rsidR="00BD6644" w:rsidRPr="00FF3431" w:rsidRDefault="00BD6644" w:rsidP="00D906F9">
            <w:pPr>
              <w:rPr>
                <w:sz w:val="20"/>
              </w:rPr>
            </w:pPr>
            <w:r>
              <w:rPr>
                <w:sz w:val="20"/>
              </w:rPr>
              <w:t>All healthcare interventions, including all medical tests.</w:t>
            </w:r>
          </w:p>
        </w:tc>
        <w:tc>
          <w:tcPr>
            <w:tcW w:w="5670" w:type="dxa"/>
            <w:shd w:val="clear" w:color="auto" w:fill="auto"/>
          </w:tcPr>
          <w:p w14:paraId="7FA53DD4" w14:textId="1A7904B3" w:rsidR="00BD6644" w:rsidRDefault="00BD6644" w:rsidP="00D906F9">
            <w:pPr>
              <w:rPr>
                <w:sz w:val="20"/>
              </w:rPr>
            </w:pPr>
            <w:r>
              <w:rPr>
                <w:b/>
                <w:bCs/>
                <w:sz w:val="20"/>
              </w:rPr>
              <w:t xml:space="preserve">Methods </w:t>
            </w:r>
            <w:r w:rsidRPr="00BD5B3A">
              <w:rPr>
                <w:b/>
                <w:bCs/>
                <w:sz w:val="20"/>
              </w:rPr>
              <w:t>guide</w:t>
            </w:r>
            <w:r w:rsidR="00B8448C" w:rsidRPr="00B8448C">
              <w:rPr>
                <w:bCs/>
                <w:sz w:val="20"/>
                <w:vertAlign w:val="superscript"/>
              </w:rPr>
              <w:t>8</w:t>
            </w:r>
            <w:r>
              <w:rPr>
                <w:sz w:val="20"/>
              </w:rPr>
              <w:t xml:space="preserve"> specific to medical tests.</w:t>
            </w:r>
          </w:p>
          <w:p w14:paraId="0141E72E" w14:textId="77777777" w:rsidR="00BD6644" w:rsidRDefault="00BD6644" w:rsidP="00D906F9">
            <w:pPr>
              <w:rPr>
                <w:sz w:val="20"/>
              </w:rPr>
            </w:pPr>
          </w:p>
          <w:p w14:paraId="584E783F" w14:textId="0015EED7" w:rsidR="00BD6644" w:rsidRDefault="003557E3" w:rsidP="00D906F9">
            <w:pPr>
              <w:ind w:left="720" w:hanging="720"/>
              <w:rPr>
                <w:sz w:val="20"/>
              </w:rPr>
            </w:pPr>
            <w:r>
              <w:rPr>
                <w:sz w:val="20"/>
              </w:rPr>
              <w:t>Other s</w:t>
            </w:r>
            <w:r w:rsidR="00BD6644">
              <w:rPr>
                <w:sz w:val="20"/>
              </w:rPr>
              <w:t>ources:</w:t>
            </w:r>
          </w:p>
          <w:p w14:paraId="5567ECFE" w14:textId="77777777" w:rsidR="00BD6644" w:rsidRPr="00D906F9" w:rsidRDefault="00BD6644" w:rsidP="00D906F9">
            <w:pPr>
              <w:ind w:left="316" w:hanging="284"/>
              <w:rPr>
                <w:sz w:val="16"/>
                <w:szCs w:val="16"/>
              </w:rPr>
            </w:pPr>
            <w:r w:rsidRPr="00D906F9">
              <w:rPr>
                <w:sz w:val="16"/>
                <w:szCs w:val="16"/>
              </w:rPr>
              <w:t>[1]</w:t>
            </w:r>
            <w:r w:rsidRPr="00D906F9">
              <w:rPr>
                <w:sz w:val="16"/>
                <w:szCs w:val="16"/>
              </w:rPr>
              <w:tab/>
            </w:r>
            <w:r w:rsidRPr="00D906F9">
              <w:rPr>
                <w:b/>
                <w:bCs/>
                <w:i/>
                <w:iCs/>
                <w:sz w:val="16"/>
                <w:szCs w:val="16"/>
              </w:rPr>
              <w:t>Medical tests (assessment of established medical science and medical practice)</w:t>
            </w:r>
            <w:r w:rsidRPr="00D906F9">
              <w:rPr>
                <w:sz w:val="16"/>
                <w:szCs w:val="16"/>
              </w:rPr>
              <w:t>. Approved by CVZ on 20th January 2011. Publication number 293. [downloaded 23</w:t>
            </w:r>
            <w:r w:rsidRPr="00D906F9">
              <w:rPr>
                <w:sz w:val="16"/>
                <w:szCs w:val="16"/>
                <w:vertAlign w:val="superscript"/>
              </w:rPr>
              <w:t>rd</w:t>
            </w:r>
            <w:r w:rsidRPr="00D906F9">
              <w:rPr>
                <w:sz w:val="16"/>
                <w:szCs w:val="16"/>
              </w:rPr>
              <w:t xml:space="preserve"> March 2021] </w:t>
            </w:r>
          </w:p>
          <w:p w14:paraId="0EFBA4FE" w14:textId="77777777" w:rsidR="00BD6644" w:rsidRPr="00D906F9" w:rsidRDefault="00BD6644" w:rsidP="00D906F9">
            <w:pPr>
              <w:ind w:left="316" w:hanging="284"/>
              <w:rPr>
                <w:sz w:val="16"/>
                <w:szCs w:val="16"/>
              </w:rPr>
            </w:pPr>
            <w:r w:rsidRPr="00D906F9">
              <w:rPr>
                <w:sz w:val="16"/>
                <w:szCs w:val="16"/>
              </w:rPr>
              <w:t>[2]</w:t>
            </w:r>
            <w:r w:rsidRPr="00D906F9">
              <w:rPr>
                <w:sz w:val="16"/>
                <w:szCs w:val="16"/>
              </w:rPr>
              <w:tab/>
            </w:r>
            <w:r w:rsidRPr="00D906F9">
              <w:rPr>
                <w:b/>
                <w:bCs/>
                <w:sz w:val="16"/>
                <w:szCs w:val="16"/>
              </w:rPr>
              <w:t>Assessment of ‘established medical science and medical practice’.</w:t>
            </w:r>
            <w:r w:rsidRPr="00D906F9">
              <w:rPr>
                <w:sz w:val="16"/>
                <w:szCs w:val="16"/>
              </w:rPr>
              <w:t xml:space="preserve"> Zorginstituut Nederland. Beoordeling stand van de wetenschap en praktijk. Diemen, 2015. [downloaded 22</w:t>
            </w:r>
            <w:r w:rsidRPr="00D906F9">
              <w:rPr>
                <w:sz w:val="16"/>
                <w:szCs w:val="16"/>
                <w:vertAlign w:val="superscript"/>
              </w:rPr>
              <w:t>nd</w:t>
            </w:r>
            <w:r w:rsidRPr="00D906F9">
              <w:rPr>
                <w:sz w:val="16"/>
                <w:szCs w:val="16"/>
              </w:rPr>
              <w:t xml:space="preserve"> March 2021]. </w:t>
            </w:r>
          </w:p>
          <w:p w14:paraId="66F55A25" w14:textId="77777777" w:rsidR="00BD6644" w:rsidRPr="00D906F9" w:rsidRDefault="00BD6644" w:rsidP="00D906F9">
            <w:pPr>
              <w:ind w:left="316" w:hanging="284"/>
              <w:rPr>
                <w:sz w:val="16"/>
                <w:szCs w:val="16"/>
              </w:rPr>
            </w:pPr>
            <w:r w:rsidRPr="00D906F9">
              <w:rPr>
                <w:sz w:val="16"/>
                <w:szCs w:val="16"/>
              </w:rPr>
              <w:t>[3]</w:t>
            </w:r>
            <w:r w:rsidRPr="00D906F9">
              <w:rPr>
                <w:sz w:val="16"/>
                <w:szCs w:val="16"/>
              </w:rPr>
              <w:tab/>
            </w:r>
            <w:r w:rsidRPr="00D906F9">
              <w:rPr>
                <w:b/>
                <w:bCs/>
                <w:i/>
                <w:iCs/>
                <w:sz w:val="16"/>
                <w:szCs w:val="16"/>
              </w:rPr>
              <w:t>Assessment of ‘established medical science and medical practice’: a technical modification.</w:t>
            </w:r>
            <w:r w:rsidRPr="00D906F9">
              <w:rPr>
                <w:sz w:val="16"/>
                <w:szCs w:val="16"/>
              </w:rPr>
              <w:t xml:space="preserve"> Final version, 23</w:t>
            </w:r>
            <w:r w:rsidRPr="00D906F9">
              <w:rPr>
                <w:sz w:val="16"/>
                <w:szCs w:val="16"/>
                <w:vertAlign w:val="superscript"/>
              </w:rPr>
              <w:t>rd</w:t>
            </w:r>
            <w:r w:rsidRPr="00D906F9">
              <w:rPr>
                <w:sz w:val="16"/>
                <w:szCs w:val="16"/>
              </w:rPr>
              <w:t xml:space="preserve"> April 2019. Series number 2019003598. [downloaded 23</w:t>
            </w:r>
            <w:r w:rsidRPr="00D906F9">
              <w:rPr>
                <w:sz w:val="16"/>
                <w:szCs w:val="16"/>
                <w:vertAlign w:val="superscript"/>
              </w:rPr>
              <w:t>rd</w:t>
            </w:r>
            <w:r w:rsidRPr="00D906F9">
              <w:rPr>
                <w:sz w:val="16"/>
                <w:szCs w:val="16"/>
              </w:rPr>
              <w:t xml:space="preserve"> March 2021]. </w:t>
            </w:r>
          </w:p>
          <w:p w14:paraId="6D902E48" w14:textId="77777777" w:rsidR="00BD6644" w:rsidRPr="00D906F9" w:rsidRDefault="00BD6644" w:rsidP="00D906F9">
            <w:pPr>
              <w:ind w:left="316" w:hanging="284"/>
              <w:rPr>
                <w:sz w:val="16"/>
                <w:szCs w:val="16"/>
              </w:rPr>
            </w:pPr>
            <w:r w:rsidRPr="00D906F9">
              <w:rPr>
                <w:sz w:val="16"/>
                <w:szCs w:val="16"/>
              </w:rPr>
              <w:t>[4]</w:t>
            </w:r>
            <w:r w:rsidRPr="00D906F9">
              <w:rPr>
                <w:sz w:val="16"/>
                <w:szCs w:val="16"/>
              </w:rPr>
              <w:tab/>
            </w:r>
            <w:r w:rsidRPr="00D906F9">
              <w:rPr>
                <w:b/>
                <w:bCs/>
                <w:i/>
                <w:iCs/>
                <w:sz w:val="16"/>
                <w:szCs w:val="16"/>
              </w:rPr>
              <w:t>Guideline for economic evaluations in healthcare.</w:t>
            </w:r>
            <w:r w:rsidRPr="00D906F9">
              <w:rPr>
                <w:sz w:val="16"/>
                <w:szCs w:val="16"/>
              </w:rPr>
              <w:t xml:space="preserve"> Final version, 16</w:t>
            </w:r>
            <w:r w:rsidRPr="00D906F9">
              <w:rPr>
                <w:sz w:val="16"/>
                <w:szCs w:val="16"/>
                <w:vertAlign w:val="superscript"/>
              </w:rPr>
              <w:t>th</w:t>
            </w:r>
            <w:r w:rsidRPr="00D906F9">
              <w:rPr>
                <w:sz w:val="16"/>
                <w:szCs w:val="16"/>
              </w:rPr>
              <w:t xml:space="preserve"> June 2016. Series number 2016077622. [downloaded 22</w:t>
            </w:r>
            <w:r w:rsidRPr="00D906F9">
              <w:rPr>
                <w:sz w:val="16"/>
                <w:szCs w:val="16"/>
                <w:vertAlign w:val="superscript"/>
              </w:rPr>
              <w:t>nd</w:t>
            </w:r>
            <w:r w:rsidRPr="00D906F9">
              <w:rPr>
                <w:sz w:val="16"/>
                <w:szCs w:val="16"/>
              </w:rPr>
              <w:t xml:space="preserve"> March 2021].</w:t>
            </w:r>
          </w:p>
          <w:p w14:paraId="4F4C6F20" w14:textId="77777777" w:rsidR="00BD6644" w:rsidRPr="00D906F9" w:rsidRDefault="00BD6644" w:rsidP="00D906F9">
            <w:pPr>
              <w:ind w:left="316" w:hanging="284"/>
              <w:rPr>
                <w:sz w:val="16"/>
                <w:szCs w:val="16"/>
              </w:rPr>
            </w:pPr>
            <w:r w:rsidRPr="00D906F9">
              <w:rPr>
                <w:sz w:val="16"/>
                <w:szCs w:val="16"/>
              </w:rPr>
              <w:t>[5]</w:t>
            </w:r>
            <w:r w:rsidRPr="00D906F9">
              <w:rPr>
                <w:sz w:val="16"/>
                <w:szCs w:val="16"/>
              </w:rPr>
              <w:tab/>
            </w:r>
            <w:r w:rsidRPr="00D906F9">
              <w:rPr>
                <w:b/>
                <w:bCs/>
                <w:i/>
                <w:iCs/>
                <w:sz w:val="16"/>
                <w:szCs w:val="16"/>
              </w:rPr>
              <w:t>Tasks of the National Health Care Institute.</w:t>
            </w:r>
            <w:r w:rsidRPr="00D906F9">
              <w:rPr>
                <w:sz w:val="16"/>
                <w:szCs w:val="16"/>
              </w:rPr>
              <w:t xml:space="preserve"> Zorginstituut Nederland’s web page, available from: </w:t>
            </w:r>
            <w:hyperlink r:id="rId10" w:history="1">
              <w:r w:rsidRPr="00D906F9">
                <w:rPr>
                  <w:rStyle w:val="Hyperlink"/>
                  <w:sz w:val="16"/>
                  <w:szCs w:val="16"/>
                </w:rPr>
                <w:t>https://english.zorginstituutnederland.nl/about-us/tasks-of-the-national-health-care-institute</w:t>
              </w:r>
            </w:hyperlink>
            <w:r w:rsidRPr="00D906F9">
              <w:rPr>
                <w:sz w:val="16"/>
                <w:szCs w:val="16"/>
              </w:rPr>
              <w:t xml:space="preserve"> [last accessed 6</w:t>
            </w:r>
            <w:r w:rsidRPr="00D906F9">
              <w:rPr>
                <w:sz w:val="16"/>
                <w:szCs w:val="16"/>
                <w:vertAlign w:val="superscript"/>
              </w:rPr>
              <w:t>th</w:t>
            </w:r>
            <w:r w:rsidRPr="00D906F9">
              <w:rPr>
                <w:sz w:val="16"/>
                <w:szCs w:val="16"/>
              </w:rPr>
              <w:t xml:space="preserve"> May 2021].</w:t>
            </w:r>
          </w:p>
          <w:p w14:paraId="424FF8EA" w14:textId="77777777" w:rsidR="00BD6644" w:rsidRPr="00D906F9" w:rsidRDefault="00BD6644" w:rsidP="00D906F9">
            <w:pPr>
              <w:ind w:left="316" w:hanging="284"/>
              <w:rPr>
                <w:sz w:val="16"/>
                <w:szCs w:val="16"/>
              </w:rPr>
            </w:pPr>
            <w:r w:rsidRPr="00D906F9">
              <w:rPr>
                <w:sz w:val="16"/>
                <w:szCs w:val="16"/>
              </w:rPr>
              <w:t>[6]</w:t>
            </w:r>
            <w:r w:rsidRPr="00D906F9">
              <w:rPr>
                <w:sz w:val="16"/>
                <w:szCs w:val="16"/>
              </w:rPr>
              <w:tab/>
            </w:r>
            <w:r w:rsidRPr="00D906F9">
              <w:rPr>
                <w:b/>
                <w:bCs/>
                <w:i/>
                <w:iCs/>
                <w:sz w:val="16"/>
                <w:szCs w:val="16"/>
              </w:rPr>
              <w:t>Working method for the Zinnige Zorg</w:t>
            </w:r>
            <w:r w:rsidRPr="00D906F9">
              <w:rPr>
                <w:sz w:val="16"/>
                <w:szCs w:val="16"/>
              </w:rPr>
              <w:t xml:space="preserve"> (Appropriate Care Programme), National Health Care Institute, August 2018. [downloaded 23</w:t>
            </w:r>
            <w:r w:rsidRPr="00D906F9">
              <w:rPr>
                <w:sz w:val="16"/>
                <w:szCs w:val="16"/>
                <w:vertAlign w:val="superscript"/>
              </w:rPr>
              <w:t>rd</w:t>
            </w:r>
            <w:r w:rsidRPr="00D906F9">
              <w:rPr>
                <w:sz w:val="16"/>
                <w:szCs w:val="16"/>
              </w:rPr>
              <w:t xml:space="preserve"> March 2021]. </w:t>
            </w:r>
          </w:p>
          <w:p w14:paraId="110CFE21" w14:textId="77777777" w:rsidR="00BD6644" w:rsidRPr="00D906F9" w:rsidRDefault="00BD6644" w:rsidP="00D906F9">
            <w:pPr>
              <w:ind w:left="316" w:hanging="284"/>
              <w:rPr>
                <w:sz w:val="18"/>
                <w:szCs w:val="20"/>
              </w:rPr>
            </w:pPr>
            <w:r w:rsidRPr="00D906F9">
              <w:rPr>
                <w:sz w:val="16"/>
                <w:szCs w:val="16"/>
              </w:rPr>
              <w:t>[7]</w:t>
            </w:r>
            <w:r w:rsidRPr="00D906F9">
              <w:rPr>
                <w:sz w:val="16"/>
                <w:szCs w:val="16"/>
              </w:rPr>
              <w:tab/>
            </w:r>
            <w:r w:rsidRPr="00D906F9">
              <w:rPr>
                <w:b/>
                <w:bCs/>
                <w:i/>
                <w:iCs/>
                <w:sz w:val="16"/>
                <w:szCs w:val="16"/>
              </w:rPr>
              <w:t>Appropriate Care</w:t>
            </w:r>
            <w:r w:rsidRPr="00D906F9">
              <w:rPr>
                <w:sz w:val="16"/>
                <w:szCs w:val="16"/>
              </w:rPr>
              <w:t xml:space="preserve">. Zorginstituut Nederland’s web page, available from: </w:t>
            </w:r>
            <w:hyperlink r:id="rId11" w:history="1">
              <w:r w:rsidRPr="00D906F9">
                <w:rPr>
                  <w:rStyle w:val="Hyperlink"/>
                  <w:sz w:val="16"/>
                  <w:szCs w:val="16"/>
                </w:rPr>
                <w:t>https://english.zorginstituutnederland.nl/zinnige-zorg</w:t>
              </w:r>
            </w:hyperlink>
            <w:r w:rsidRPr="00D906F9">
              <w:rPr>
                <w:sz w:val="16"/>
                <w:szCs w:val="16"/>
              </w:rPr>
              <w:t xml:space="preserve"> [last accessed 6</w:t>
            </w:r>
            <w:r w:rsidRPr="00D906F9">
              <w:rPr>
                <w:sz w:val="16"/>
                <w:szCs w:val="16"/>
                <w:vertAlign w:val="superscript"/>
              </w:rPr>
              <w:t>th</w:t>
            </w:r>
            <w:r w:rsidRPr="00D906F9">
              <w:rPr>
                <w:sz w:val="16"/>
                <w:szCs w:val="16"/>
              </w:rPr>
              <w:t xml:space="preserve"> May 2021]. </w:t>
            </w:r>
          </w:p>
        </w:tc>
        <w:tc>
          <w:tcPr>
            <w:tcW w:w="3747" w:type="dxa"/>
            <w:shd w:val="clear" w:color="auto" w:fill="auto"/>
          </w:tcPr>
          <w:p w14:paraId="3A7DF8A7" w14:textId="77777777" w:rsidR="00BD6644" w:rsidRPr="00FF3431" w:rsidRDefault="00BD6644" w:rsidP="00D906F9">
            <w:pPr>
              <w:rPr>
                <w:sz w:val="20"/>
              </w:rPr>
            </w:pPr>
            <w:r>
              <w:rPr>
                <w:sz w:val="20"/>
              </w:rPr>
              <w:t xml:space="preserve">In </w:t>
            </w:r>
            <w:r w:rsidRPr="00F06767">
              <w:rPr>
                <w:sz w:val="20"/>
              </w:rPr>
              <w:t>the Netherlands</w:t>
            </w:r>
            <w:r>
              <w:rPr>
                <w:sz w:val="20"/>
              </w:rPr>
              <w:t>, HTA</w:t>
            </w:r>
            <w:r w:rsidRPr="00F06767">
              <w:rPr>
                <w:sz w:val="20"/>
              </w:rPr>
              <w:t xml:space="preserve"> is carried out by the Dutch National Health Care Institute (Zorginstituut) which is “an advisory and implementing organisation for two statutory health insurance schemes: the Health Insurance Act (Zorgverzekeringswet, Zvw) and the Long­Term Care Act (Wet Langdurige Zorg, Wlz)”[5]. The Institute “assesses whether diagnostics and (therapeutic) interventions are being deployed in a patient-oriented, effective and cost-effective manner.” Its guiding principle is that “Every citizen must be able to count on receiving good health care. No more and no less than is necessary, while also avoiding unnecessary costs.” [6, p.2]. General basic health insurance only includes care (including medical tests) that is considered effective according to the ‘established medical science and medical practice’ [1].</w:t>
            </w:r>
          </w:p>
        </w:tc>
      </w:tr>
    </w:tbl>
    <w:p w14:paraId="426F49AE" w14:textId="77777777" w:rsidR="003557E3" w:rsidRDefault="003557E3" w:rsidP="00BD6644">
      <w:pPr>
        <w:pStyle w:val="EndNoteBibliography"/>
      </w:pPr>
    </w:p>
    <w:p w14:paraId="3BF07AC3" w14:textId="638B91FA" w:rsidR="003557E3" w:rsidRPr="00AE623E" w:rsidRDefault="003557E3" w:rsidP="00BD6644">
      <w:pPr>
        <w:pStyle w:val="EndNoteBibliography"/>
        <w:rPr>
          <w:b/>
          <w:bCs/>
        </w:rPr>
      </w:pPr>
      <w:r w:rsidRPr="00AE623E">
        <w:rPr>
          <w:b/>
          <w:bCs/>
        </w:rPr>
        <w:t>Main sources:</w:t>
      </w:r>
    </w:p>
    <w:p w14:paraId="1241F52D" w14:textId="77777777" w:rsidR="005962FC" w:rsidRDefault="005962FC" w:rsidP="005962FC">
      <w:pPr>
        <w:pStyle w:val="EndNoteBibliography"/>
      </w:pPr>
      <w:r>
        <w:t>1. Methods Guide for Medical Test Reviews. AHRQ Publication No. 12-Ec017 . Rockville, Md: Agency for Healthcare Research and Quality; June 2012. Downloaded 20th July 2020.</w:t>
      </w:r>
    </w:p>
    <w:p w14:paraId="07677CF1" w14:textId="77777777" w:rsidR="005962FC" w:rsidRDefault="005962FC" w:rsidP="005962FC">
      <w:pPr>
        <w:pStyle w:val="EndNoteBibliography"/>
      </w:pPr>
      <w:r>
        <w:t>2. Guidelines for Authors of CADTH Health Technology Assessment Reports. Revised May 2003. Ottawa: CADTH. [Downloaded 23rd September 2020].</w:t>
      </w:r>
    </w:p>
    <w:p w14:paraId="2830E8DE" w14:textId="77777777" w:rsidR="005962FC" w:rsidRDefault="005962FC" w:rsidP="005962FC">
      <w:pPr>
        <w:pStyle w:val="EndNoteBibliography"/>
      </w:pPr>
      <w:r>
        <w:t xml:space="preserve">3. Guidelines for the Economic Evaluation of Health Technologies: Canada. 4th Ed. Appendix — Specific Guidance for Treatments with Companion Diagnostics. Ottawa: Cadth; 2019 Sep. [Downloaded 24th July 2020]. </w:t>
      </w:r>
    </w:p>
    <w:p w14:paraId="776252C7" w14:textId="77777777" w:rsidR="005962FC" w:rsidRDefault="005962FC" w:rsidP="005962FC">
      <w:pPr>
        <w:pStyle w:val="EndNoteBibliography"/>
      </w:pPr>
      <w:r>
        <w:t>4. General Methods (Version 6.0, 5th Nov 2020). Informal Translation of Final Draft of Allgemeine Methoden. (Available From: Https://Www.Iqwig.De/En/About-Us/Methods/Methods-Paper/). [Pdf Downloaded 12th December 2020].</w:t>
      </w:r>
    </w:p>
    <w:p w14:paraId="120E9D19" w14:textId="77777777" w:rsidR="005962FC" w:rsidRDefault="005962FC" w:rsidP="005962FC">
      <w:pPr>
        <w:pStyle w:val="EndNoteBibliography"/>
      </w:pPr>
      <w:r>
        <w:t>5. Guidelines for Preparing Assessments for the Medical Services Advisory Committee. May 2021. Canberra: MSAC.</w:t>
      </w:r>
    </w:p>
    <w:p w14:paraId="55AD84D9" w14:textId="4792DFFF" w:rsidR="005962FC" w:rsidRDefault="005962FC" w:rsidP="005962FC">
      <w:pPr>
        <w:pStyle w:val="EndNoteBibliography"/>
      </w:pPr>
      <w:r>
        <w:t xml:space="preserve">6. </w:t>
      </w:r>
      <w:r w:rsidR="004511CD" w:rsidRPr="004511CD">
        <w:t xml:space="preserve">Diagnostics Assessment Programme manual. NICE; December 2011. Downloaded 28th April 2020. </w:t>
      </w:r>
    </w:p>
    <w:p w14:paraId="7CCE5E95" w14:textId="77777777" w:rsidR="005962FC" w:rsidRDefault="005962FC" w:rsidP="005962FC">
      <w:pPr>
        <w:pStyle w:val="EndNoteBibliography"/>
      </w:pPr>
      <w:r>
        <w:t>7. SBU Method Book (Google Translation into English), October 2020 [Downloaded 10th February 2021].</w:t>
      </w:r>
    </w:p>
    <w:p w14:paraId="140F6D99" w14:textId="1C7E8CB5" w:rsidR="005962FC" w:rsidRDefault="005962FC" w:rsidP="005962FC">
      <w:pPr>
        <w:pStyle w:val="EndNoteBibliography"/>
      </w:pPr>
      <w:r>
        <w:t xml:space="preserve">8. </w:t>
      </w:r>
      <w:r w:rsidR="00701B68" w:rsidRPr="00701B68">
        <w:t>Zorginstituut Nederland. Medical tests (assessment of established medical science and medical practice). Report no 293. Zorginstituut Nederland: Diemen, 2011. Available from:  https://english.zorginstituutnederland.nl/publications/reports/2011/01/20/medical-tests-assessment-of-established-medical-science-and-medical-practice Last accessed 15th April 2022.</w:t>
      </w:r>
    </w:p>
    <w:p w14:paraId="7C6C04D9" w14:textId="77777777" w:rsidR="005962FC" w:rsidRDefault="005962FC" w:rsidP="00BD6644">
      <w:pPr>
        <w:pStyle w:val="EndNoteBibliography"/>
      </w:pPr>
    </w:p>
    <w:p w14:paraId="4B267C17" w14:textId="49BA856F" w:rsidR="00E16D05" w:rsidRDefault="00E16D05" w:rsidP="00BD6644"/>
    <w:sectPr w:rsidR="00E16D05" w:rsidSect="00BD6644">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7A7FF" w14:textId="77777777" w:rsidR="006D439A" w:rsidRDefault="006D439A" w:rsidP="00BD6644">
      <w:pPr>
        <w:spacing w:after="0" w:line="240" w:lineRule="auto"/>
      </w:pPr>
      <w:r>
        <w:separator/>
      </w:r>
    </w:p>
  </w:endnote>
  <w:endnote w:type="continuationSeparator" w:id="0">
    <w:p w14:paraId="29C37F2A" w14:textId="77777777" w:rsidR="006D439A" w:rsidRDefault="006D439A" w:rsidP="00BD6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538917"/>
      <w:docPartObj>
        <w:docPartGallery w:val="Page Numbers (Bottom of Page)"/>
        <w:docPartUnique/>
      </w:docPartObj>
    </w:sdtPr>
    <w:sdtEndPr>
      <w:rPr>
        <w:noProof/>
      </w:rPr>
    </w:sdtEndPr>
    <w:sdtContent>
      <w:p w14:paraId="10B39CB1" w14:textId="71C6BB66" w:rsidR="00BD6644" w:rsidRDefault="00BD6644">
        <w:pPr>
          <w:pStyle w:val="Footer"/>
          <w:jc w:val="right"/>
        </w:pPr>
        <w:r>
          <w:fldChar w:fldCharType="begin"/>
        </w:r>
        <w:r>
          <w:instrText xml:space="preserve"> PAGE   \* MERGEFORMAT </w:instrText>
        </w:r>
        <w:r>
          <w:fldChar w:fldCharType="separate"/>
        </w:r>
        <w:r w:rsidR="00432A3C">
          <w:rPr>
            <w:noProof/>
          </w:rPr>
          <w:t>6</w:t>
        </w:r>
        <w:r>
          <w:rPr>
            <w:noProof/>
          </w:rPr>
          <w:fldChar w:fldCharType="end"/>
        </w:r>
      </w:p>
    </w:sdtContent>
  </w:sdt>
  <w:p w14:paraId="6F1A47E7" w14:textId="77777777" w:rsidR="00BD6644" w:rsidRDefault="00BD6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428FA" w14:textId="77777777" w:rsidR="006D439A" w:rsidRDefault="006D439A" w:rsidP="00BD6644">
      <w:pPr>
        <w:spacing w:after="0" w:line="240" w:lineRule="auto"/>
      </w:pPr>
      <w:r>
        <w:separator/>
      </w:r>
    </w:p>
  </w:footnote>
  <w:footnote w:type="continuationSeparator" w:id="0">
    <w:p w14:paraId="50DACAA5" w14:textId="77777777" w:rsidR="006D439A" w:rsidRDefault="006D439A" w:rsidP="00BD66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44"/>
    <w:rsid w:val="00011802"/>
    <w:rsid w:val="003557E3"/>
    <w:rsid w:val="00432A3C"/>
    <w:rsid w:val="004511CD"/>
    <w:rsid w:val="004706C8"/>
    <w:rsid w:val="004860EA"/>
    <w:rsid w:val="005962FC"/>
    <w:rsid w:val="005C6C8B"/>
    <w:rsid w:val="00626BC5"/>
    <w:rsid w:val="0063011A"/>
    <w:rsid w:val="006D439A"/>
    <w:rsid w:val="00701B68"/>
    <w:rsid w:val="007D07D9"/>
    <w:rsid w:val="008A135C"/>
    <w:rsid w:val="00944B5A"/>
    <w:rsid w:val="009D08A8"/>
    <w:rsid w:val="00AE623E"/>
    <w:rsid w:val="00B8448C"/>
    <w:rsid w:val="00BD6644"/>
    <w:rsid w:val="00CD1859"/>
    <w:rsid w:val="00E16D05"/>
    <w:rsid w:val="00F558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8921"/>
  <w15:chartTrackingRefBased/>
  <w15:docId w15:val="{84CCCC93-8A6A-48B4-8A02-03786C239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644"/>
  </w:style>
  <w:style w:type="paragraph" w:styleId="Heading2">
    <w:name w:val="heading 2"/>
    <w:basedOn w:val="Normal"/>
    <w:next w:val="Normal"/>
    <w:link w:val="Heading2Char"/>
    <w:uiPriority w:val="9"/>
    <w:unhideWhenUsed/>
    <w:qFormat/>
    <w:rsid w:val="00BD6644"/>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D6644"/>
    <w:rPr>
      <w:rFonts w:asciiTheme="majorHAnsi" w:eastAsiaTheme="majorEastAsia" w:hAnsiTheme="majorHAnsi" w:cstheme="majorBidi"/>
      <w:color w:val="2F5496" w:themeColor="accent1" w:themeShade="BF"/>
      <w:sz w:val="26"/>
      <w:szCs w:val="26"/>
      <w:lang w:eastAsia="en-GB"/>
    </w:rPr>
  </w:style>
  <w:style w:type="character" w:styleId="CommentReference">
    <w:name w:val="annotation reference"/>
    <w:basedOn w:val="DefaultParagraphFont"/>
    <w:uiPriority w:val="99"/>
    <w:semiHidden/>
    <w:unhideWhenUsed/>
    <w:rsid w:val="00BD6644"/>
    <w:rPr>
      <w:sz w:val="16"/>
      <w:szCs w:val="16"/>
    </w:rPr>
  </w:style>
  <w:style w:type="paragraph" w:styleId="CommentText">
    <w:name w:val="annotation text"/>
    <w:basedOn w:val="Normal"/>
    <w:link w:val="CommentTextChar"/>
    <w:uiPriority w:val="99"/>
    <w:unhideWhenUsed/>
    <w:rsid w:val="00BD6644"/>
    <w:pPr>
      <w:spacing w:line="240" w:lineRule="auto"/>
    </w:pPr>
    <w:rPr>
      <w:sz w:val="20"/>
      <w:szCs w:val="20"/>
    </w:rPr>
  </w:style>
  <w:style w:type="character" w:customStyle="1" w:styleId="CommentTextChar">
    <w:name w:val="Comment Text Char"/>
    <w:basedOn w:val="DefaultParagraphFont"/>
    <w:link w:val="CommentText"/>
    <w:uiPriority w:val="99"/>
    <w:rsid w:val="00BD6644"/>
    <w:rPr>
      <w:sz w:val="20"/>
      <w:szCs w:val="20"/>
    </w:rPr>
  </w:style>
  <w:style w:type="table" w:styleId="TableGrid">
    <w:name w:val="Table Grid"/>
    <w:basedOn w:val="TableNormal"/>
    <w:uiPriority w:val="39"/>
    <w:rsid w:val="00BD66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D6644"/>
    <w:rPr>
      <w:color w:val="0563C1"/>
      <w:u w:val="single"/>
    </w:rPr>
  </w:style>
  <w:style w:type="paragraph" w:customStyle="1" w:styleId="Default">
    <w:name w:val="Default"/>
    <w:rsid w:val="00BD6644"/>
    <w:pPr>
      <w:autoSpaceDE w:val="0"/>
      <w:autoSpaceDN w:val="0"/>
      <w:adjustRightInd w:val="0"/>
      <w:spacing w:after="0" w:line="240" w:lineRule="auto"/>
    </w:pPr>
    <w:rPr>
      <w:rFonts w:ascii="Calibri" w:hAnsi="Calibri" w:cs="Calibri"/>
      <w:color w:val="000000"/>
      <w:sz w:val="24"/>
      <w:szCs w:val="24"/>
    </w:rPr>
  </w:style>
  <w:style w:type="paragraph" w:customStyle="1" w:styleId="EndNoteBibliography">
    <w:name w:val="EndNote Bibliography"/>
    <w:basedOn w:val="Normal"/>
    <w:link w:val="EndNoteBibliographyChar"/>
    <w:rsid w:val="00BD6644"/>
    <w:pPr>
      <w:spacing w:after="0" w:line="240" w:lineRule="auto"/>
    </w:pPr>
    <w:rPr>
      <w:rFonts w:ascii="Calibri" w:eastAsia="Times New Roman" w:hAnsi="Calibri" w:cs="Calibri"/>
      <w:noProof/>
      <w:szCs w:val="24"/>
      <w:lang w:val="en-US"/>
    </w:rPr>
  </w:style>
  <w:style w:type="character" w:customStyle="1" w:styleId="EndNoteBibliographyChar">
    <w:name w:val="EndNote Bibliography Char"/>
    <w:basedOn w:val="DefaultParagraphFont"/>
    <w:link w:val="EndNoteBibliography"/>
    <w:rsid w:val="00BD6644"/>
    <w:rPr>
      <w:rFonts w:ascii="Calibri" w:eastAsia="Times New Roman" w:hAnsi="Calibri" w:cs="Calibri"/>
      <w:noProof/>
      <w:szCs w:val="24"/>
      <w:lang w:val="en-US"/>
    </w:rPr>
  </w:style>
  <w:style w:type="paragraph" w:styleId="Header">
    <w:name w:val="header"/>
    <w:basedOn w:val="Normal"/>
    <w:link w:val="HeaderChar"/>
    <w:uiPriority w:val="99"/>
    <w:unhideWhenUsed/>
    <w:rsid w:val="00BD66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6644"/>
  </w:style>
  <w:style w:type="paragraph" w:styleId="Footer">
    <w:name w:val="footer"/>
    <w:basedOn w:val="Normal"/>
    <w:link w:val="FooterChar"/>
    <w:uiPriority w:val="99"/>
    <w:unhideWhenUsed/>
    <w:rsid w:val="00BD66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6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ce.org.uk/Media/Default/About/what-we-do/NICE-guidance/NICE-diagnostics-guidance/Diagnostics-interim-addendum-guidance-reviews.pd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nice.org.uk/Media/Default/About/what-we-do/NICE-guidance/NICE-diagnostics-guidance/Diagnostics-interim-addendum-access-proposals.pdf"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ice.org.uk/" TargetMode="External"/><Relationship Id="rId11" Type="http://schemas.openxmlformats.org/officeDocument/2006/relationships/hyperlink" Target="https://english.zorginstituutnederland.nl/zinnige-zorg" TargetMode="External"/><Relationship Id="rId5" Type="http://schemas.openxmlformats.org/officeDocument/2006/relationships/endnotes" Target="endnotes.xml"/><Relationship Id="rId10" Type="http://schemas.openxmlformats.org/officeDocument/2006/relationships/hyperlink" Target="https://english.zorginstituutnederland.nl/about-us/tasks-of-the-national-health-care-institute" TargetMode="External"/><Relationship Id="rId4" Type="http://schemas.openxmlformats.org/officeDocument/2006/relationships/footnotes" Target="footnotes.xml"/><Relationship Id="rId9" Type="http://schemas.openxmlformats.org/officeDocument/2006/relationships/hyperlink" Target="https://www.sbu.se/en/collaboration/the-hta-network-swed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2657</Words>
  <Characters>15146</Characters>
  <Application>Microsoft Office Word</Application>
  <DocSecurity>4</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17768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Yemisi Takwoingi (Applied Health Research)</dc:creator>
  <cp:keywords/>
  <dc:description/>
  <cp:lastModifiedBy>Hyde, Christopher</cp:lastModifiedBy>
  <cp:revision>2</cp:revision>
  <dcterms:created xsi:type="dcterms:W3CDTF">2022-05-17T11:42:00Z</dcterms:created>
  <dcterms:modified xsi:type="dcterms:W3CDTF">2022-05-17T11:42:00Z</dcterms:modified>
</cp:coreProperties>
</file>