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8705A" w14:textId="74AC2064" w:rsidR="0031603E" w:rsidRPr="008A2ED7" w:rsidRDefault="008A2ED7" w:rsidP="008A2ED7">
      <w:pPr>
        <w:pStyle w:val="Heading2"/>
        <w:rPr>
          <w:lang w:val="en-US"/>
        </w:rPr>
      </w:pPr>
      <w:r w:rsidRPr="008A2ED7">
        <w:t xml:space="preserve">Additional File </w:t>
      </w:r>
      <w:r w:rsidR="00BE65ED">
        <w:t xml:space="preserve">2: </w:t>
      </w:r>
      <w:r w:rsidR="00BE65ED" w:rsidRPr="00BE65ED">
        <w:rPr>
          <w:lang w:val="en-US"/>
        </w:rPr>
        <w:t>Details of the included studies</w:t>
      </w:r>
      <w:r w:rsidR="0031603E" w:rsidRPr="0031603E">
        <w:rPr>
          <w:rFonts w:eastAsiaTheme="minorHAnsi" w:cstheme="minorBidi"/>
          <w:lang w:val="en-US" w:bidi="en-GB"/>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8"/>
        <w:gridCol w:w="3466"/>
        <w:gridCol w:w="1456"/>
        <w:gridCol w:w="3155"/>
        <w:gridCol w:w="4095"/>
      </w:tblGrid>
      <w:tr w:rsidR="00F131CF" w:rsidRPr="002E0A56" w14:paraId="44A62E05" w14:textId="77777777" w:rsidTr="00F131CF">
        <w:trPr>
          <w:trHeight w:val="325"/>
        </w:trPr>
        <w:tc>
          <w:tcPr>
            <w:tcW w:w="778" w:type="dxa"/>
            <w:tcBorders>
              <w:top w:val="single" w:sz="4" w:space="0" w:color="000000"/>
              <w:left w:val="single" w:sz="4" w:space="0" w:color="000000"/>
              <w:bottom w:val="single" w:sz="4" w:space="0" w:color="000000"/>
              <w:right w:val="single" w:sz="4" w:space="0" w:color="000000"/>
            </w:tcBorders>
            <w:shd w:val="clear" w:color="auto" w:fill="D9D9D9"/>
            <w:hideMark/>
          </w:tcPr>
          <w:p w14:paraId="1185B97A" w14:textId="77777777" w:rsidR="002E0A56" w:rsidRPr="002E0A56" w:rsidRDefault="002E0A56" w:rsidP="009273EC">
            <w:pPr>
              <w:spacing w:before="0" w:after="0" w:line="240" w:lineRule="auto"/>
              <w:rPr>
                <w:rFonts w:ascii="Calibri" w:eastAsia="Calibri" w:hAnsi="Calibri" w:cs="Times New Roman"/>
                <w:b/>
                <w:sz w:val="16"/>
                <w:szCs w:val="22"/>
                <w:lang w:val="en-US" w:bidi="en-GB"/>
              </w:rPr>
            </w:pPr>
            <w:r w:rsidRPr="002E0A56">
              <w:rPr>
                <w:rFonts w:ascii="Calibri" w:eastAsia="Calibri" w:hAnsi="Calibri" w:cs="Times New Roman"/>
                <w:b/>
                <w:sz w:val="16"/>
                <w:szCs w:val="22"/>
                <w:lang w:val="en-US" w:bidi="en-GB"/>
              </w:rPr>
              <w:t>Study</w:t>
            </w:r>
          </w:p>
        </w:tc>
        <w:tc>
          <w:tcPr>
            <w:tcW w:w="3466" w:type="dxa"/>
            <w:tcBorders>
              <w:top w:val="single" w:sz="4" w:space="0" w:color="000000"/>
              <w:left w:val="single" w:sz="4" w:space="0" w:color="000000"/>
              <w:bottom w:val="single" w:sz="4" w:space="0" w:color="000000"/>
              <w:right w:val="single" w:sz="4" w:space="0" w:color="000000"/>
            </w:tcBorders>
            <w:shd w:val="clear" w:color="auto" w:fill="D9D9D9"/>
            <w:hideMark/>
          </w:tcPr>
          <w:p w14:paraId="5229433A" w14:textId="77777777" w:rsidR="002E0A56" w:rsidRPr="002E0A56" w:rsidRDefault="002E0A56" w:rsidP="009273EC">
            <w:pPr>
              <w:spacing w:before="0" w:after="0" w:line="240" w:lineRule="auto"/>
              <w:rPr>
                <w:rFonts w:ascii="Calibri" w:eastAsia="Calibri" w:hAnsi="Calibri" w:cs="Times New Roman"/>
                <w:b/>
                <w:sz w:val="16"/>
                <w:szCs w:val="22"/>
                <w:lang w:val="en-US" w:bidi="en-GB"/>
              </w:rPr>
            </w:pPr>
            <w:r w:rsidRPr="002E0A56">
              <w:rPr>
                <w:rFonts w:ascii="Calibri" w:eastAsia="Calibri" w:hAnsi="Calibri" w:cs="Times New Roman"/>
                <w:b/>
                <w:sz w:val="16"/>
                <w:szCs w:val="22"/>
                <w:lang w:val="en-US" w:bidi="en-GB"/>
              </w:rPr>
              <w:t>Objective</w:t>
            </w:r>
          </w:p>
        </w:tc>
        <w:tc>
          <w:tcPr>
            <w:tcW w:w="1456" w:type="dxa"/>
            <w:tcBorders>
              <w:top w:val="single" w:sz="4" w:space="0" w:color="000000"/>
              <w:left w:val="single" w:sz="4" w:space="0" w:color="000000"/>
              <w:bottom w:val="single" w:sz="4" w:space="0" w:color="000000"/>
              <w:right w:val="single" w:sz="4" w:space="0" w:color="000000"/>
            </w:tcBorders>
            <w:shd w:val="clear" w:color="auto" w:fill="D9D9D9"/>
            <w:hideMark/>
          </w:tcPr>
          <w:p w14:paraId="1404F3F8" w14:textId="77777777" w:rsidR="002E0A56" w:rsidRPr="002E0A56" w:rsidRDefault="002E0A56" w:rsidP="009273EC">
            <w:pPr>
              <w:spacing w:before="0" w:after="0" w:line="240" w:lineRule="auto"/>
              <w:rPr>
                <w:rFonts w:ascii="Calibri" w:eastAsia="Calibri" w:hAnsi="Calibri" w:cs="Times New Roman"/>
                <w:b/>
                <w:sz w:val="16"/>
                <w:szCs w:val="22"/>
                <w:lang w:val="en-US" w:bidi="en-GB"/>
              </w:rPr>
            </w:pPr>
            <w:r w:rsidRPr="002E0A56">
              <w:rPr>
                <w:rFonts w:ascii="Calibri" w:eastAsia="Calibri" w:hAnsi="Calibri" w:cs="Times New Roman"/>
                <w:b/>
                <w:sz w:val="16"/>
                <w:szCs w:val="22"/>
                <w:lang w:val="en-US" w:bidi="en-GB"/>
              </w:rPr>
              <w:t>Setting</w:t>
            </w:r>
          </w:p>
        </w:tc>
        <w:tc>
          <w:tcPr>
            <w:tcW w:w="3155" w:type="dxa"/>
            <w:tcBorders>
              <w:top w:val="single" w:sz="4" w:space="0" w:color="000000"/>
              <w:left w:val="single" w:sz="4" w:space="0" w:color="000000"/>
              <w:bottom w:val="single" w:sz="4" w:space="0" w:color="000000"/>
              <w:right w:val="single" w:sz="4" w:space="0" w:color="000000"/>
            </w:tcBorders>
            <w:shd w:val="clear" w:color="auto" w:fill="D9D9D9"/>
            <w:hideMark/>
          </w:tcPr>
          <w:p w14:paraId="1D103A27" w14:textId="77777777" w:rsidR="002E0A56" w:rsidRPr="002E0A56" w:rsidRDefault="002E0A56" w:rsidP="009273EC">
            <w:pPr>
              <w:spacing w:before="0" w:after="0" w:line="240" w:lineRule="auto"/>
              <w:rPr>
                <w:rFonts w:ascii="Calibri" w:eastAsia="Calibri" w:hAnsi="Calibri" w:cs="Times New Roman"/>
                <w:b/>
                <w:sz w:val="16"/>
                <w:szCs w:val="22"/>
                <w:lang w:val="en-US" w:bidi="en-GB"/>
              </w:rPr>
            </w:pPr>
            <w:r w:rsidRPr="002E0A56">
              <w:rPr>
                <w:rFonts w:ascii="Calibri" w:eastAsia="Calibri" w:hAnsi="Calibri" w:cs="Times New Roman"/>
                <w:b/>
                <w:sz w:val="16"/>
                <w:szCs w:val="22"/>
                <w:lang w:val="en-US" w:bidi="en-GB"/>
              </w:rPr>
              <w:t>Population</w:t>
            </w:r>
          </w:p>
        </w:tc>
        <w:tc>
          <w:tcPr>
            <w:tcW w:w="4095" w:type="dxa"/>
            <w:tcBorders>
              <w:top w:val="single" w:sz="4" w:space="0" w:color="000000"/>
              <w:left w:val="single" w:sz="4" w:space="0" w:color="000000"/>
              <w:bottom w:val="single" w:sz="4" w:space="0" w:color="000000"/>
              <w:right w:val="single" w:sz="4" w:space="0" w:color="000000"/>
            </w:tcBorders>
            <w:shd w:val="clear" w:color="auto" w:fill="D9D9D9"/>
            <w:hideMark/>
          </w:tcPr>
          <w:p w14:paraId="1293A178" w14:textId="77777777" w:rsidR="002E0A56" w:rsidRPr="002E0A56" w:rsidRDefault="002E0A56" w:rsidP="009273EC">
            <w:pPr>
              <w:spacing w:before="0" w:after="0" w:line="240" w:lineRule="auto"/>
              <w:rPr>
                <w:rFonts w:ascii="Calibri" w:eastAsia="Calibri" w:hAnsi="Calibri" w:cs="Times New Roman"/>
                <w:b/>
                <w:sz w:val="16"/>
                <w:szCs w:val="22"/>
                <w:lang w:val="en-US" w:bidi="en-GB"/>
              </w:rPr>
            </w:pPr>
            <w:r w:rsidRPr="002E0A56">
              <w:rPr>
                <w:rFonts w:ascii="Calibri" w:eastAsia="Calibri" w:hAnsi="Calibri" w:cs="Times New Roman"/>
                <w:b/>
                <w:sz w:val="16"/>
                <w:szCs w:val="22"/>
                <w:lang w:val="en-US" w:bidi="en-GB"/>
              </w:rPr>
              <w:t>Conclusion</w:t>
            </w:r>
          </w:p>
        </w:tc>
      </w:tr>
      <w:tr w:rsidR="009273EC" w:rsidRPr="002E0A56" w14:paraId="2151858F" w14:textId="77777777" w:rsidTr="00F131CF">
        <w:trPr>
          <w:trHeight w:val="1637"/>
        </w:trPr>
        <w:tc>
          <w:tcPr>
            <w:tcW w:w="778" w:type="dxa"/>
            <w:tcBorders>
              <w:top w:val="single" w:sz="4" w:space="0" w:color="000000"/>
              <w:left w:val="single" w:sz="4" w:space="0" w:color="000000"/>
              <w:bottom w:val="single" w:sz="4" w:space="0" w:color="000000"/>
              <w:right w:val="single" w:sz="4" w:space="0" w:color="000000"/>
            </w:tcBorders>
            <w:shd w:val="clear" w:color="auto" w:fill="F1F1F1"/>
          </w:tcPr>
          <w:p w14:paraId="36403CD9" w14:textId="77777777"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Adie et al. 2012</w:t>
            </w:r>
          </w:p>
        </w:tc>
        <w:tc>
          <w:tcPr>
            <w:tcW w:w="3466" w:type="dxa"/>
            <w:tcBorders>
              <w:top w:val="single" w:sz="4" w:space="0" w:color="000000"/>
              <w:left w:val="single" w:sz="4" w:space="0" w:color="000000"/>
              <w:bottom w:val="single" w:sz="4" w:space="0" w:color="000000"/>
              <w:right w:val="single" w:sz="4" w:space="0" w:color="000000"/>
            </w:tcBorders>
          </w:tcPr>
          <w:p w14:paraId="596B322A" w14:textId="77777777"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To compare outcomes up to one year post knee and hip replacement between patients treated in the public and private sectors</w:t>
            </w:r>
          </w:p>
        </w:tc>
        <w:tc>
          <w:tcPr>
            <w:tcW w:w="1456" w:type="dxa"/>
            <w:tcBorders>
              <w:top w:val="single" w:sz="4" w:space="0" w:color="000000"/>
              <w:left w:val="single" w:sz="4" w:space="0" w:color="000000"/>
              <w:bottom w:val="single" w:sz="4" w:space="0" w:color="000000"/>
              <w:right w:val="single" w:sz="4" w:space="0" w:color="000000"/>
            </w:tcBorders>
          </w:tcPr>
          <w:p w14:paraId="00704D3A" w14:textId="77777777"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Public compared with private facilities</w:t>
            </w:r>
          </w:p>
        </w:tc>
        <w:tc>
          <w:tcPr>
            <w:tcW w:w="3155" w:type="dxa"/>
            <w:tcBorders>
              <w:top w:val="single" w:sz="4" w:space="0" w:color="000000"/>
              <w:left w:val="single" w:sz="4" w:space="0" w:color="000000"/>
              <w:bottom w:val="single" w:sz="4" w:space="0" w:color="000000"/>
              <w:right w:val="single" w:sz="4" w:space="0" w:color="000000"/>
            </w:tcBorders>
          </w:tcPr>
          <w:p w14:paraId="6F4F66FC" w14:textId="77777777"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Scheduled hip or knee surgery patients in Sydney, Australia from April 2007 to December 2008. (331 total, 184 public, 147 private; 215 knees, 116 hips).</w:t>
            </w:r>
          </w:p>
        </w:tc>
        <w:tc>
          <w:tcPr>
            <w:tcW w:w="4095" w:type="dxa"/>
            <w:tcBorders>
              <w:top w:val="single" w:sz="4" w:space="0" w:color="000000"/>
              <w:left w:val="single" w:sz="4" w:space="0" w:color="000000"/>
              <w:bottom w:val="single" w:sz="4" w:space="0" w:color="000000"/>
              <w:right w:val="single" w:sz="4" w:space="0" w:color="000000"/>
            </w:tcBorders>
          </w:tcPr>
          <w:p w14:paraId="542EC53D" w14:textId="632C74E4"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 xml:space="preserve">Joint replacement outcomes are similar for patients treated in public and private hospitals. Surgeons should manage patient </w:t>
            </w:r>
            <w:r w:rsidR="005F0166">
              <w:rPr>
                <w:rFonts w:ascii="Calibri" w:eastAsia="Calibri" w:hAnsi="Calibri" w:cs="Times New Roman"/>
                <w:sz w:val="16"/>
                <w:szCs w:val="22"/>
                <w:lang w:val="en-US" w:bidi="en-GB"/>
              </w:rPr>
              <w:t>expectations</w:t>
            </w:r>
            <w:r w:rsidRPr="002E0A56">
              <w:rPr>
                <w:rFonts w:ascii="Calibri" w:eastAsia="Calibri" w:hAnsi="Calibri" w:cs="Times New Roman"/>
                <w:sz w:val="16"/>
                <w:szCs w:val="22"/>
                <w:lang w:val="en-US" w:bidi="en-GB"/>
              </w:rPr>
              <w:t xml:space="preserve"> prior to surgery, particularly in private patients.</w:t>
            </w:r>
          </w:p>
        </w:tc>
      </w:tr>
      <w:tr w:rsidR="009273EC" w:rsidRPr="002E0A56" w14:paraId="67C64BA7" w14:textId="77777777" w:rsidTr="00F131CF">
        <w:trPr>
          <w:trHeight w:val="1637"/>
        </w:trPr>
        <w:tc>
          <w:tcPr>
            <w:tcW w:w="778" w:type="dxa"/>
            <w:tcBorders>
              <w:top w:val="single" w:sz="4" w:space="0" w:color="000000"/>
              <w:left w:val="single" w:sz="4" w:space="0" w:color="000000"/>
              <w:bottom w:val="single" w:sz="4" w:space="0" w:color="000000"/>
              <w:right w:val="single" w:sz="4" w:space="0" w:color="000000"/>
            </w:tcBorders>
            <w:shd w:val="clear" w:color="auto" w:fill="F1F1F1"/>
          </w:tcPr>
          <w:p w14:paraId="4F7D94F7" w14:textId="76018E3C" w:rsidR="002E0A56" w:rsidRPr="002E0A56" w:rsidRDefault="00383ACC" w:rsidP="009273EC">
            <w:pPr>
              <w:spacing w:before="0" w:after="0" w:line="240" w:lineRule="auto"/>
              <w:rPr>
                <w:rFonts w:ascii="Calibri" w:eastAsia="Calibri" w:hAnsi="Calibri" w:cs="Times New Roman"/>
                <w:sz w:val="16"/>
                <w:szCs w:val="22"/>
                <w:lang w:val="en-US" w:bidi="en-GB"/>
              </w:rPr>
            </w:pPr>
            <w:r w:rsidRPr="00383ACC">
              <w:rPr>
                <w:rFonts w:ascii="Calibri" w:eastAsia="Calibri" w:hAnsi="Calibri" w:cs="Times New Roman"/>
                <w:sz w:val="16"/>
                <w:szCs w:val="22"/>
                <w:lang w:bidi="en-GB"/>
              </w:rPr>
              <w:t xml:space="preserve">Andersen and Jakobsen </w:t>
            </w:r>
            <w:r w:rsidR="002E0A56" w:rsidRPr="002E0A56">
              <w:rPr>
                <w:rFonts w:ascii="Calibri" w:eastAsia="Calibri" w:hAnsi="Calibri" w:cs="Times New Roman"/>
                <w:sz w:val="16"/>
                <w:szCs w:val="22"/>
                <w:lang w:val="en-US" w:bidi="en-GB"/>
              </w:rPr>
              <w:t xml:space="preserve">2011 </w:t>
            </w:r>
          </w:p>
        </w:tc>
        <w:tc>
          <w:tcPr>
            <w:tcW w:w="3466" w:type="dxa"/>
            <w:tcBorders>
              <w:top w:val="single" w:sz="4" w:space="0" w:color="000000"/>
              <w:left w:val="single" w:sz="4" w:space="0" w:color="000000"/>
              <w:bottom w:val="single" w:sz="4" w:space="0" w:color="000000"/>
              <w:right w:val="single" w:sz="4" w:space="0" w:color="000000"/>
            </w:tcBorders>
          </w:tcPr>
          <w:p w14:paraId="1FC8B5A7" w14:textId="77777777"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To investigate how the ownership of hip clinics affects the provision of publicly funded professionalized service behavior, treatment quality and patient satisfaction in a competitive environment</w:t>
            </w:r>
          </w:p>
        </w:tc>
        <w:tc>
          <w:tcPr>
            <w:tcW w:w="1456" w:type="dxa"/>
            <w:tcBorders>
              <w:top w:val="single" w:sz="4" w:space="0" w:color="000000"/>
              <w:left w:val="single" w:sz="4" w:space="0" w:color="000000"/>
              <w:bottom w:val="single" w:sz="4" w:space="0" w:color="000000"/>
              <w:right w:val="single" w:sz="4" w:space="0" w:color="000000"/>
            </w:tcBorders>
          </w:tcPr>
          <w:p w14:paraId="71ED8D0D" w14:textId="77777777"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Public compared with private facilities</w:t>
            </w:r>
          </w:p>
        </w:tc>
        <w:tc>
          <w:tcPr>
            <w:tcW w:w="3155" w:type="dxa"/>
            <w:tcBorders>
              <w:top w:val="single" w:sz="4" w:space="0" w:color="000000"/>
              <w:left w:val="single" w:sz="4" w:space="0" w:color="000000"/>
              <w:bottom w:val="single" w:sz="4" w:space="0" w:color="000000"/>
              <w:right w:val="single" w:sz="4" w:space="0" w:color="000000"/>
            </w:tcBorders>
          </w:tcPr>
          <w:p w14:paraId="41490D34" w14:textId="77777777"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Hip Arthroplasty patients. 8 149 patients from 36 public and 20 private clinics in Denmark for fiscal years 2007 to 2008.</w:t>
            </w:r>
          </w:p>
        </w:tc>
        <w:tc>
          <w:tcPr>
            <w:tcW w:w="4095" w:type="dxa"/>
            <w:tcBorders>
              <w:top w:val="single" w:sz="4" w:space="0" w:color="000000"/>
              <w:left w:val="single" w:sz="4" w:space="0" w:color="000000"/>
              <w:bottom w:val="single" w:sz="4" w:space="0" w:color="000000"/>
              <w:right w:val="single" w:sz="4" w:space="0" w:color="000000"/>
            </w:tcBorders>
          </w:tcPr>
          <w:p w14:paraId="2A8C69DF" w14:textId="77777777"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More research must be done in varying institutional contexts before we can draw firm conclusions.</w:t>
            </w:r>
          </w:p>
        </w:tc>
      </w:tr>
      <w:tr w:rsidR="009273EC" w:rsidRPr="002E0A56" w14:paraId="67126A2D" w14:textId="77777777" w:rsidTr="00F131CF">
        <w:trPr>
          <w:trHeight w:val="1637"/>
        </w:trPr>
        <w:tc>
          <w:tcPr>
            <w:tcW w:w="778" w:type="dxa"/>
            <w:tcBorders>
              <w:top w:val="single" w:sz="4" w:space="0" w:color="000000"/>
              <w:left w:val="single" w:sz="4" w:space="0" w:color="000000"/>
              <w:bottom w:val="single" w:sz="4" w:space="0" w:color="000000"/>
              <w:right w:val="single" w:sz="4" w:space="0" w:color="000000"/>
            </w:tcBorders>
            <w:shd w:val="clear" w:color="auto" w:fill="F1F1F1"/>
          </w:tcPr>
          <w:p w14:paraId="3D5135FC" w14:textId="77777777"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 xml:space="preserve">Bannister et al. 2010 </w:t>
            </w:r>
          </w:p>
        </w:tc>
        <w:tc>
          <w:tcPr>
            <w:tcW w:w="3466" w:type="dxa"/>
            <w:tcBorders>
              <w:top w:val="single" w:sz="4" w:space="0" w:color="000000"/>
              <w:left w:val="single" w:sz="4" w:space="0" w:color="000000"/>
              <w:bottom w:val="single" w:sz="4" w:space="0" w:color="000000"/>
              <w:right w:val="single" w:sz="4" w:space="0" w:color="000000"/>
            </w:tcBorders>
          </w:tcPr>
          <w:p w14:paraId="6F90E919" w14:textId="75613791"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To compare the short-term complications after</w:t>
            </w:r>
            <w:r w:rsidR="00835B51">
              <w:rPr>
                <w:rFonts w:ascii="Calibri" w:eastAsia="Calibri" w:hAnsi="Calibri" w:cs="Times New Roman"/>
                <w:sz w:val="16"/>
                <w:szCs w:val="22"/>
                <w:lang w:val="en-US" w:bidi="en-GB"/>
              </w:rPr>
              <w:t xml:space="preserve"> total hip replacement</w:t>
            </w:r>
            <w:r w:rsidRPr="002E0A56">
              <w:rPr>
                <w:rFonts w:ascii="Calibri" w:eastAsia="Calibri" w:hAnsi="Calibri" w:cs="Times New Roman"/>
                <w:sz w:val="16"/>
                <w:szCs w:val="22"/>
                <w:lang w:val="en-US" w:bidi="en-GB"/>
              </w:rPr>
              <w:t xml:space="preserve"> and</w:t>
            </w:r>
            <w:r w:rsidR="00835B51">
              <w:rPr>
                <w:rFonts w:ascii="Calibri" w:eastAsia="Calibri" w:hAnsi="Calibri" w:cs="Times New Roman"/>
                <w:sz w:val="16"/>
                <w:szCs w:val="22"/>
                <w:lang w:val="en-US" w:bidi="en-GB"/>
              </w:rPr>
              <w:t xml:space="preserve"> total knee replacement</w:t>
            </w:r>
            <w:r w:rsidRPr="002E0A56">
              <w:rPr>
                <w:rFonts w:ascii="Calibri" w:eastAsia="Calibri" w:hAnsi="Calibri" w:cs="Times New Roman"/>
                <w:sz w:val="16"/>
                <w:szCs w:val="22"/>
                <w:lang w:val="en-US" w:bidi="en-GB"/>
              </w:rPr>
              <w:t xml:space="preserve"> at one NHS hospital and two ISTCs</w:t>
            </w:r>
          </w:p>
        </w:tc>
        <w:tc>
          <w:tcPr>
            <w:tcW w:w="1456" w:type="dxa"/>
            <w:tcBorders>
              <w:top w:val="single" w:sz="4" w:space="0" w:color="000000"/>
              <w:left w:val="single" w:sz="4" w:space="0" w:color="000000"/>
              <w:bottom w:val="single" w:sz="4" w:space="0" w:color="000000"/>
              <w:right w:val="single" w:sz="4" w:space="0" w:color="000000"/>
            </w:tcBorders>
          </w:tcPr>
          <w:p w14:paraId="254B5B25" w14:textId="77777777"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Public compared with private facilities</w:t>
            </w:r>
          </w:p>
        </w:tc>
        <w:tc>
          <w:tcPr>
            <w:tcW w:w="3155" w:type="dxa"/>
            <w:tcBorders>
              <w:top w:val="single" w:sz="4" w:space="0" w:color="000000"/>
              <w:left w:val="single" w:sz="4" w:space="0" w:color="000000"/>
              <w:bottom w:val="single" w:sz="4" w:space="0" w:color="000000"/>
              <w:right w:val="single" w:sz="4" w:space="0" w:color="000000"/>
            </w:tcBorders>
          </w:tcPr>
          <w:p w14:paraId="56F4660B" w14:textId="58C903C4"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 xml:space="preserve">Hip and knee arthroplasty patients in the UK from October 2003 to March 2005. Patients who had 880 total hip and 874 total knee arthroplasties at a regional orthopedic hospital with 368 </w:t>
            </w:r>
            <w:r w:rsidR="00835B51" w:rsidRPr="00835B51">
              <w:rPr>
                <w:rFonts w:ascii="Calibri" w:eastAsia="Calibri" w:hAnsi="Calibri" w:cs="Times New Roman"/>
                <w:sz w:val="16"/>
                <w:szCs w:val="22"/>
                <w:lang w:val="en-US" w:bidi="en-GB"/>
              </w:rPr>
              <w:t>total hip</w:t>
            </w:r>
            <w:r w:rsidRPr="002E0A56">
              <w:rPr>
                <w:rFonts w:ascii="Calibri" w:eastAsia="Calibri" w:hAnsi="Calibri" w:cs="Times New Roman"/>
                <w:sz w:val="16"/>
                <w:szCs w:val="22"/>
                <w:lang w:val="en-US" w:bidi="en-GB"/>
              </w:rPr>
              <w:t xml:space="preserve"> and 365</w:t>
            </w:r>
            <w:r w:rsidR="00835B51" w:rsidRPr="00835B51">
              <w:rPr>
                <w:rFonts w:ascii="Calibri" w:eastAsia="Calibri" w:hAnsi="Calibri" w:cs="Times New Roman"/>
                <w:sz w:val="16"/>
                <w:szCs w:val="22"/>
                <w:lang w:val="en-US" w:bidi="en-GB"/>
              </w:rPr>
              <w:t xml:space="preserve"> total knee arthroplasties </w:t>
            </w:r>
            <w:r w:rsidRPr="002E0A56">
              <w:rPr>
                <w:rFonts w:ascii="Calibri" w:eastAsia="Calibri" w:hAnsi="Calibri" w:cs="Times New Roman"/>
                <w:sz w:val="16"/>
                <w:szCs w:val="22"/>
                <w:lang w:val="en-US" w:bidi="en-GB"/>
              </w:rPr>
              <w:t xml:space="preserve">from an NHS and 67 </w:t>
            </w:r>
            <w:r w:rsidR="00835B51" w:rsidRPr="00835B51">
              <w:rPr>
                <w:rFonts w:ascii="Calibri" w:eastAsia="Calibri" w:hAnsi="Calibri" w:cs="Times New Roman"/>
                <w:sz w:val="16"/>
                <w:szCs w:val="22"/>
                <w:lang w:val="en-US" w:bidi="en-GB"/>
              </w:rPr>
              <w:t>total hip</w:t>
            </w:r>
            <w:r w:rsidRPr="002E0A56">
              <w:rPr>
                <w:rFonts w:ascii="Calibri" w:eastAsia="Calibri" w:hAnsi="Calibri" w:cs="Times New Roman"/>
                <w:sz w:val="16"/>
                <w:szCs w:val="22"/>
                <w:lang w:val="en-US" w:bidi="en-GB"/>
              </w:rPr>
              <w:t xml:space="preserve"> and 86 </w:t>
            </w:r>
            <w:r w:rsidR="00835B51" w:rsidRPr="00835B51">
              <w:rPr>
                <w:rFonts w:ascii="Calibri" w:eastAsia="Calibri" w:hAnsi="Calibri" w:cs="Times New Roman"/>
                <w:sz w:val="16"/>
                <w:szCs w:val="22"/>
                <w:lang w:val="en-US" w:bidi="en-GB"/>
              </w:rPr>
              <w:t>total knee arthroplasties</w:t>
            </w:r>
            <w:r w:rsidRPr="002E0A56">
              <w:rPr>
                <w:rFonts w:ascii="Calibri" w:eastAsia="Calibri" w:hAnsi="Calibri" w:cs="Times New Roman"/>
                <w:sz w:val="16"/>
                <w:szCs w:val="22"/>
                <w:lang w:val="en-US" w:bidi="en-GB"/>
              </w:rPr>
              <w:t xml:space="preserve"> from a private hospital independent treatment </w:t>
            </w:r>
            <w:proofErr w:type="spellStart"/>
            <w:r w:rsidRPr="002E0A56">
              <w:rPr>
                <w:rFonts w:ascii="Calibri" w:eastAsia="Calibri" w:hAnsi="Calibri" w:cs="Times New Roman"/>
                <w:sz w:val="16"/>
                <w:szCs w:val="22"/>
                <w:lang w:val="en-US" w:bidi="en-GB"/>
              </w:rPr>
              <w:t>centre</w:t>
            </w:r>
            <w:proofErr w:type="spellEnd"/>
            <w:r w:rsidRPr="002E0A56">
              <w:rPr>
                <w:rFonts w:ascii="Calibri" w:eastAsia="Calibri" w:hAnsi="Calibri" w:cs="Times New Roman"/>
                <w:sz w:val="16"/>
                <w:szCs w:val="22"/>
                <w:lang w:val="en-US" w:bidi="en-GB"/>
              </w:rPr>
              <w:t>.</w:t>
            </w:r>
          </w:p>
        </w:tc>
        <w:tc>
          <w:tcPr>
            <w:tcW w:w="4095" w:type="dxa"/>
            <w:tcBorders>
              <w:top w:val="single" w:sz="4" w:space="0" w:color="000000"/>
              <w:left w:val="single" w:sz="4" w:space="0" w:color="000000"/>
              <w:bottom w:val="single" w:sz="4" w:space="0" w:color="000000"/>
              <w:right w:val="single" w:sz="4" w:space="0" w:color="000000"/>
            </w:tcBorders>
          </w:tcPr>
          <w:p w14:paraId="78FB9866" w14:textId="0506619A"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 xml:space="preserve">Results and </w:t>
            </w:r>
            <w:r w:rsidR="005F0166">
              <w:rPr>
                <w:rFonts w:ascii="Calibri" w:eastAsia="Calibri" w:hAnsi="Calibri" w:cs="Times New Roman"/>
                <w:sz w:val="16"/>
                <w:szCs w:val="22"/>
                <w:lang w:val="en-US" w:bidi="en-GB"/>
              </w:rPr>
              <w:t>audits</w:t>
            </w:r>
            <w:r w:rsidRPr="002E0A56">
              <w:rPr>
                <w:rFonts w:ascii="Calibri" w:eastAsia="Calibri" w:hAnsi="Calibri" w:cs="Times New Roman"/>
                <w:sz w:val="16"/>
                <w:szCs w:val="22"/>
                <w:lang w:val="en-US" w:bidi="en-GB"/>
              </w:rPr>
              <w:t xml:space="preserve"> from </w:t>
            </w:r>
            <w:r w:rsidR="00EA5C41">
              <w:rPr>
                <w:rFonts w:ascii="Calibri" w:eastAsia="Calibri" w:hAnsi="Calibri" w:cs="Times New Roman"/>
                <w:sz w:val="16"/>
                <w:szCs w:val="22"/>
                <w:lang w:val="en-US" w:bidi="en-GB"/>
              </w:rPr>
              <w:t>ISTCs</w:t>
            </w:r>
            <w:r w:rsidRPr="002E0A56">
              <w:rPr>
                <w:rFonts w:ascii="Calibri" w:eastAsia="Calibri" w:hAnsi="Calibri" w:cs="Times New Roman"/>
                <w:sz w:val="16"/>
                <w:szCs w:val="22"/>
                <w:lang w:val="en-US" w:bidi="en-GB"/>
              </w:rPr>
              <w:t xml:space="preserve"> are variable and patients should be warned of this before undergoing treatment at them.</w:t>
            </w:r>
          </w:p>
        </w:tc>
      </w:tr>
      <w:tr w:rsidR="009273EC" w:rsidRPr="002E0A56" w14:paraId="26A6C4EB" w14:textId="77777777" w:rsidTr="00F131CF">
        <w:trPr>
          <w:trHeight w:val="1637"/>
        </w:trPr>
        <w:tc>
          <w:tcPr>
            <w:tcW w:w="778" w:type="dxa"/>
            <w:tcBorders>
              <w:top w:val="single" w:sz="4" w:space="0" w:color="000000"/>
              <w:left w:val="single" w:sz="4" w:space="0" w:color="000000"/>
              <w:bottom w:val="single" w:sz="4" w:space="0" w:color="000000"/>
              <w:right w:val="single" w:sz="4" w:space="0" w:color="000000"/>
            </w:tcBorders>
            <w:shd w:val="clear" w:color="auto" w:fill="F1F1F1"/>
          </w:tcPr>
          <w:p w14:paraId="48803A8E" w14:textId="77777777"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 xml:space="preserve">Barbieri et al. 2007 </w:t>
            </w:r>
          </w:p>
        </w:tc>
        <w:tc>
          <w:tcPr>
            <w:tcW w:w="3466" w:type="dxa"/>
            <w:tcBorders>
              <w:top w:val="single" w:sz="4" w:space="0" w:color="000000"/>
              <w:left w:val="single" w:sz="4" w:space="0" w:color="000000"/>
              <w:bottom w:val="single" w:sz="4" w:space="0" w:color="000000"/>
              <w:right w:val="single" w:sz="4" w:space="0" w:color="000000"/>
            </w:tcBorders>
          </w:tcPr>
          <w:p w14:paraId="7A533D3D" w14:textId="77777777"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To detect geographic variations in the hospitalization of patients with cataract in Austria and to explain possible differences in demand for and supply of cataract treatment</w:t>
            </w:r>
          </w:p>
        </w:tc>
        <w:tc>
          <w:tcPr>
            <w:tcW w:w="1456" w:type="dxa"/>
            <w:tcBorders>
              <w:top w:val="single" w:sz="4" w:space="0" w:color="000000"/>
              <w:left w:val="single" w:sz="4" w:space="0" w:color="000000"/>
              <w:bottom w:val="single" w:sz="4" w:space="0" w:color="000000"/>
              <w:right w:val="single" w:sz="4" w:space="0" w:color="000000"/>
            </w:tcBorders>
          </w:tcPr>
          <w:p w14:paraId="66613D53" w14:textId="77777777"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Public compared with private facilities</w:t>
            </w:r>
          </w:p>
        </w:tc>
        <w:tc>
          <w:tcPr>
            <w:tcW w:w="3155" w:type="dxa"/>
            <w:tcBorders>
              <w:top w:val="single" w:sz="4" w:space="0" w:color="000000"/>
              <w:left w:val="single" w:sz="4" w:space="0" w:color="000000"/>
              <w:bottom w:val="single" w:sz="4" w:space="0" w:color="000000"/>
              <w:right w:val="single" w:sz="4" w:space="0" w:color="000000"/>
            </w:tcBorders>
          </w:tcPr>
          <w:p w14:paraId="3B7A9635" w14:textId="77777777"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Patients admitted to hospital who were diagnosed with cataracts or underwent cataract surgeries in Austria, from 2001-2002. Public hospitals in 2001 (48 443 patients) and of public (47 797 patients) and private hospitals (5100 patients) in 2002.</w:t>
            </w:r>
          </w:p>
        </w:tc>
        <w:tc>
          <w:tcPr>
            <w:tcW w:w="4095" w:type="dxa"/>
            <w:tcBorders>
              <w:top w:val="single" w:sz="4" w:space="0" w:color="000000"/>
              <w:left w:val="single" w:sz="4" w:space="0" w:color="000000"/>
              <w:bottom w:val="single" w:sz="4" w:space="0" w:color="000000"/>
              <w:right w:val="single" w:sz="4" w:space="0" w:color="000000"/>
            </w:tcBorders>
          </w:tcPr>
          <w:p w14:paraId="68E14F29" w14:textId="77777777"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Differences in the supply by hospitals between districts depend on the availability of hospitals with departments of ophthalmology. The overall demand for cataract surgery in Austria finds its proper supply in many Austrian regions, but needs further development.</w:t>
            </w:r>
          </w:p>
        </w:tc>
      </w:tr>
      <w:tr w:rsidR="009273EC" w:rsidRPr="002E0A56" w14:paraId="1DF22B05" w14:textId="77777777" w:rsidTr="00F131CF">
        <w:trPr>
          <w:trHeight w:val="1637"/>
        </w:trPr>
        <w:tc>
          <w:tcPr>
            <w:tcW w:w="778" w:type="dxa"/>
            <w:tcBorders>
              <w:top w:val="single" w:sz="4" w:space="0" w:color="000000"/>
              <w:left w:val="single" w:sz="4" w:space="0" w:color="000000"/>
              <w:bottom w:val="single" w:sz="4" w:space="0" w:color="000000"/>
              <w:right w:val="single" w:sz="4" w:space="0" w:color="000000"/>
            </w:tcBorders>
            <w:shd w:val="clear" w:color="auto" w:fill="F1F1F1"/>
          </w:tcPr>
          <w:p w14:paraId="66DD29DC" w14:textId="77777777"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 xml:space="preserve">Browne et al. 2008 </w:t>
            </w:r>
          </w:p>
        </w:tc>
        <w:tc>
          <w:tcPr>
            <w:tcW w:w="3466" w:type="dxa"/>
            <w:tcBorders>
              <w:top w:val="single" w:sz="4" w:space="0" w:color="000000"/>
              <w:left w:val="single" w:sz="4" w:space="0" w:color="000000"/>
              <w:bottom w:val="single" w:sz="4" w:space="0" w:color="000000"/>
              <w:right w:val="single" w:sz="4" w:space="0" w:color="000000"/>
            </w:tcBorders>
          </w:tcPr>
          <w:p w14:paraId="4D9BC97E" w14:textId="71140308"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To compare the case-mix and patients' reported outcomes of surgery in ISTCs and in NHS providers</w:t>
            </w:r>
          </w:p>
        </w:tc>
        <w:tc>
          <w:tcPr>
            <w:tcW w:w="1456" w:type="dxa"/>
            <w:tcBorders>
              <w:top w:val="single" w:sz="4" w:space="0" w:color="000000"/>
              <w:left w:val="single" w:sz="4" w:space="0" w:color="000000"/>
              <w:bottom w:val="single" w:sz="4" w:space="0" w:color="000000"/>
              <w:right w:val="single" w:sz="4" w:space="0" w:color="000000"/>
            </w:tcBorders>
          </w:tcPr>
          <w:p w14:paraId="6C8DC82E" w14:textId="77777777"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Public compared with private facilities</w:t>
            </w:r>
          </w:p>
        </w:tc>
        <w:tc>
          <w:tcPr>
            <w:tcW w:w="3155" w:type="dxa"/>
            <w:tcBorders>
              <w:top w:val="single" w:sz="4" w:space="0" w:color="000000"/>
              <w:left w:val="single" w:sz="4" w:space="0" w:color="000000"/>
              <w:bottom w:val="single" w:sz="4" w:space="0" w:color="000000"/>
              <w:right w:val="single" w:sz="4" w:space="0" w:color="000000"/>
            </w:tcBorders>
          </w:tcPr>
          <w:p w14:paraId="16456BA6" w14:textId="328C2FB5"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769 patients (inguinal hernia, varicose vein, and cataract) treated in six private and 1895 treated in 20 public facilities in England during 2006-07.</w:t>
            </w:r>
          </w:p>
        </w:tc>
        <w:tc>
          <w:tcPr>
            <w:tcW w:w="4095" w:type="dxa"/>
            <w:tcBorders>
              <w:top w:val="single" w:sz="4" w:space="0" w:color="000000"/>
              <w:left w:val="single" w:sz="4" w:space="0" w:color="000000"/>
              <w:bottom w:val="single" w:sz="4" w:space="0" w:color="000000"/>
              <w:right w:val="single" w:sz="4" w:space="0" w:color="000000"/>
            </w:tcBorders>
          </w:tcPr>
          <w:p w14:paraId="003F782E" w14:textId="77777777"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The case-mix of patients treated in ISTCs differs from that in NHS providers, in line with the intention of the contracts. Caution is needed in interpreting the observation that patients treated in ISTCs reported slightly better outcomes as very few ISTCs participated, case-mix adjustment might have been insufficient, and patients' reports might have been biased as they were more likely to be satisfied with the way they were treated.</w:t>
            </w:r>
          </w:p>
        </w:tc>
      </w:tr>
      <w:tr w:rsidR="005F3D2B" w:rsidRPr="002E0A56" w14:paraId="57E81303" w14:textId="77777777" w:rsidTr="00F131CF">
        <w:trPr>
          <w:trHeight w:val="1637"/>
        </w:trPr>
        <w:tc>
          <w:tcPr>
            <w:tcW w:w="778" w:type="dxa"/>
            <w:tcBorders>
              <w:top w:val="single" w:sz="4" w:space="0" w:color="000000"/>
              <w:left w:val="single" w:sz="4" w:space="0" w:color="000000"/>
              <w:bottom w:val="single" w:sz="4" w:space="0" w:color="000000"/>
              <w:right w:val="single" w:sz="4" w:space="0" w:color="000000"/>
            </w:tcBorders>
            <w:shd w:val="clear" w:color="auto" w:fill="F1F1F1"/>
          </w:tcPr>
          <w:p w14:paraId="5D328D91" w14:textId="0F088292" w:rsidR="005F3D2B" w:rsidRPr="002E0A56" w:rsidRDefault="005F3D2B" w:rsidP="009273EC">
            <w:pPr>
              <w:spacing w:before="0" w:after="0" w:line="240" w:lineRule="auto"/>
              <w:rPr>
                <w:rFonts w:ascii="Calibri" w:eastAsia="Calibri" w:hAnsi="Calibri" w:cs="Times New Roman"/>
                <w:sz w:val="16"/>
                <w:szCs w:val="22"/>
                <w:lang w:val="en-US" w:bidi="en-GB"/>
              </w:rPr>
            </w:pPr>
            <w:r>
              <w:rPr>
                <w:rFonts w:ascii="Calibri" w:eastAsia="Calibri" w:hAnsi="Calibri" w:cs="Times New Roman"/>
                <w:sz w:val="16"/>
                <w:szCs w:val="22"/>
                <w:lang w:val="en-US" w:bidi="en-GB"/>
              </w:rPr>
              <w:lastRenderedPageBreak/>
              <w:t>Chhabra et al. 2022</w:t>
            </w:r>
          </w:p>
        </w:tc>
        <w:tc>
          <w:tcPr>
            <w:tcW w:w="3466" w:type="dxa"/>
            <w:tcBorders>
              <w:top w:val="single" w:sz="4" w:space="0" w:color="000000"/>
              <w:left w:val="single" w:sz="4" w:space="0" w:color="000000"/>
              <w:bottom w:val="single" w:sz="4" w:space="0" w:color="000000"/>
              <w:right w:val="single" w:sz="4" w:space="0" w:color="000000"/>
            </w:tcBorders>
          </w:tcPr>
          <w:p w14:paraId="44CA7BA4" w14:textId="5AA09625" w:rsidR="005F3D2B" w:rsidRPr="005F3D2B" w:rsidRDefault="005F3D2B" w:rsidP="005F3D2B">
            <w:pPr>
              <w:spacing w:before="0" w:after="0" w:line="240" w:lineRule="auto"/>
              <w:rPr>
                <w:rFonts w:ascii="Calibri" w:eastAsia="Calibri" w:hAnsi="Calibri" w:cs="Times New Roman"/>
                <w:sz w:val="16"/>
                <w:szCs w:val="22"/>
                <w:lang w:val="en-US" w:bidi="en-GB"/>
              </w:rPr>
            </w:pPr>
            <w:r>
              <w:rPr>
                <w:rFonts w:ascii="Calibri" w:eastAsia="Calibri" w:hAnsi="Calibri" w:cs="Times New Roman"/>
                <w:sz w:val="16"/>
                <w:szCs w:val="22"/>
                <w:lang w:val="en-US" w:bidi="en-GB"/>
              </w:rPr>
              <w:t>T</w:t>
            </w:r>
            <w:r w:rsidRPr="005F3D2B">
              <w:rPr>
                <w:rFonts w:ascii="Calibri" w:eastAsia="Calibri" w:hAnsi="Calibri" w:cs="Times New Roman"/>
                <w:sz w:val="16"/>
                <w:szCs w:val="22"/>
                <w:lang w:val="en-US" w:bidi="en-GB"/>
              </w:rPr>
              <w:t>o investigate</w:t>
            </w:r>
            <w:r>
              <w:rPr>
                <w:rFonts w:ascii="Calibri" w:eastAsia="Calibri" w:hAnsi="Calibri" w:cs="Times New Roman"/>
                <w:sz w:val="16"/>
                <w:szCs w:val="22"/>
                <w:lang w:val="en-US" w:bidi="en-GB"/>
              </w:rPr>
              <w:t xml:space="preserve"> </w:t>
            </w:r>
            <w:r w:rsidRPr="005F3D2B">
              <w:rPr>
                <w:rFonts w:ascii="Calibri" w:eastAsia="Calibri" w:hAnsi="Calibri" w:cs="Times New Roman"/>
                <w:sz w:val="16"/>
                <w:szCs w:val="22"/>
                <w:lang w:val="en-US" w:bidi="en-GB"/>
              </w:rPr>
              <w:t>factors associated with unplanned 30-day</w:t>
            </w:r>
            <w:r>
              <w:rPr>
                <w:rFonts w:ascii="Calibri" w:eastAsia="Calibri" w:hAnsi="Calibri" w:cs="Times New Roman"/>
                <w:sz w:val="16"/>
                <w:szCs w:val="22"/>
                <w:lang w:val="en-US" w:bidi="en-GB"/>
              </w:rPr>
              <w:t xml:space="preserve"> </w:t>
            </w:r>
            <w:r w:rsidRPr="005F3D2B">
              <w:rPr>
                <w:rFonts w:ascii="Calibri" w:eastAsia="Calibri" w:hAnsi="Calibri" w:cs="Times New Roman"/>
                <w:sz w:val="16"/>
                <w:szCs w:val="22"/>
                <w:lang w:val="en-US" w:bidi="en-GB"/>
              </w:rPr>
              <w:t>readmissions</w:t>
            </w:r>
            <w:r>
              <w:rPr>
                <w:rFonts w:ascii="Calibri" w:eastAsia="Calibri" w:hAnsi="Calibri" w:cs="Times New Roman"/>
                <w:sz w:val="16"/>
                <w:szCs w:val="22"/>
                <w:lang w:val="en-US" w:bidi="en-GB"/>
              </w:rPr>
              <w:t xml:space="preserve"> </w:t>
            </w:r>
            <w:r w:rsidRPr="005F3D2B">
              <w:rPr>
                <w:rFonts w:ascii="Calibri" w:eastAsia="Calibri" w:hAnsi="Calibri" w:cs="Times New Roman"/>
                <w:sz w:val="16"/>
                <w:szCs w:val="22"/>
                <w:lang w:val="en-US" w:bidi="en-GB"/>
              </w:rPr>
              <w:t>following total knee arthroplasty (TKA), including</w:t>
            </w:r>
            <w:r>
              <w:rPr>
                <w:rFonts w:ascii="Calibri" w:eastAsia="Calibri" w:hAnsi="Calibri" w:cs="Times New Roman"/>
                <w:sz w:val="16"/>
                <w:szCs w:val="22"/>
                <w:lang w:val="en-US" w:bidi="en-GB"/>
              </w:rPr>
              <w:t xml:space="preserve"> </w:t>
            </w:r>
            <w:r w:rsidRPr="005F3D2B">
              <w:rPr>
                <w:rFonts w:ascii="Calibri" w:eastAsia="Calibri" w:hAnsi="Calibri" w:cs="Times New Roman"/>
                <w:sz w:val="16"/>
                <w:szCs w:val="22"/>
                <w:lang w:val="en-US" w:bidi="en-GB"/>
              </w:rPr>
              <w:t>association with post-hospital</w:t>
            </w:r>
          </w:p>
          <w:p w14:paraId="776DC9FD" w14:textId="5481B7B5" w:rsidR="005F3D2B" w:rsidRPr="002E0A56" w:rsidRDefault="005F3D2B" w:rsidP="005F3D2B">
            <w:pPr>
              <w:spacing w:before="0" w:after="0" w:line="240" w:lineRule="auto"/>
              <w:rPr>
                <w:rFonts w:ascii="Calibri" w:eastAsia="Calibri" w:hAnsi="Calibri" w:cs="Times New Roman"/>
                <w:sz w:val="16"/>
                <w:szCs w:val="22"/>
                <w:lang w:val="en-US" w:bidi="en-GB"/>
              </w:rPr>
            </w:pPr>
            <w:r w:rsidRPr="005F3D2B">
              <w:rPr>
                <w:rFonts w:ascii="Calibri" w:eastAsia="Calibri" w:hAnsi="Calibri" w:cs="Times New Roman"/>
                <w:sz w:val="16"/>
                <w:szCs w:val="22"/>
                <w:lang w:val="en-US" w:bidi="en-GB"/>
              </w:rPr>
              <w:t>syndrome, patient</w:t>
            </w:r>
            <w:r>
              <w:rPr>
                <w:rFonts w:ascii="Calibri" w:eastAsia="Calibri" w:hAnsi="Calibri" w:cs="Times New Roman"/>
                <w:sz w:val="16"/>
                <w:szCs w:val="22"/>
                <w:lang w:val="en-US" w:bidi="en-GB"/>
              </w:rPr>
              <w:t xml:space="preserve"> </w:t>
            </w:r>
            <w:r w:rsidRPr="005F3D2B">
              <w:rPr>
                <w:rFonts w:ascii="Calibri" w:eastAsia="Calibri" w:hAnsi="Calibri" w:cs="Times New Roman"/>
                <w:sz w:val="16"/>
                <w:szCs w:val="22"/>
                <w:lang w:val="en-US" w:bidi="en-GB"/>
              </w:rPr>
              <w:t>enablement and transition from hospital to home.</w:t>
            </w:r>
          </w:p>
        </w:tc>
        <w:tc>
          <w:tcPr>
            <w:tcW w:w="1456" w:type="dxa"/>
            <w:tcBorders>
              <w:top w:val="single" w:sz="4" w:space="0" w:color="000000"/>
              <w:left w:val="single" w:sz="4" w:space="0" w:color="000000"/>
              <w:bottom w:val="single" w:sz="4" w:space="0" w:color="000000"/>
              <w:right w:val="single" w:sz="4" w:space="0" w:color="000000"/>
            </w:tcBorders>
          </w:tcPr>
          <w:p w14:paraId="49EAF8B4" w14:textId="17EA4AAF" w:rsidR="005F3D2B" w:rsidRPr="002E0A56" w:rsidRDefault="005F3D2B" w:rsidP="009273EC">
            <w:pPr>
              <w:spacing w:before="0" w:after="0" w:line="240" w:lineRule="auto"/>
              <w:rPr>
                <w:rFonts w:ascii="Calibri" w:eastAsia="Calibri" w:hAnsi="Calibri" w:cs="Times New Roman"/>
                <w:sz w:val="16"/>
                <w:szCs w:val="22"/>
                <w:lang w:val="en-US" w:bidi="en-GB"/>
              </w:rPr>
            </w:pPr>
            <w:r w:rsidRPr="005F3D2B">
              <w:rPr>
                <w:rFonts w:ascii="Calibri" w:eastAsia="Calibri" w:hAnsi="Calibri" w:cs="Times New Roman"/>
                <w:sz w:val="16"/>
                <w:szCs w:val="22"/>
                <w:lang w:val="en-US" w:bidi="en-GB"/>
              </w:rPr>
              <w:t>Public compared with private facilities</w:t>
            </w:r>
          </w:p>
        </w:tc>
        <w:tc>
          <w:tcPr>
            <w:tcW w:w="3155" w:type="dxa"/>
            <w:tcBorders>
              <w:top w:val="single" w:sz="4" w:space="0" w:color="000000"/>
              <w:left w:val="single" w:sz="4" w:space="0" w:color="000000"/>
              <w:bottom w:val="single" w:sz="4" w:space="0" w:color="000000"/>
              <w:right w:val="single" w:sz="4" w:space="0" w:color="000000"/>
            </w:tcBorders>
          </w:tcPr>
          <w:p w14:paraId="5653ECBA" w14:textId="01B942FA" w:rsidR="005F3D2B" w:rsidRPr="002E0A56" w:rsidRDefault="005F3D2B" w:rsidP="005F3D2B">
            <w:pPr>
              <w:spacing w:before="0" w:after="0" w:line="240" w:lineRule="auto"/>
              <w:rPr>
                <w:rFonts w:ascii="Calibri" w:eastAsia="Calibri" w:hAnsi="Calibri" w:cs="Times New Roman"/>
                <w:sz w:val="16"/>
                <w:szCs w:val="22"/>
                <w:lang w:val="en-US" w:bidi="en-GB"/>
              </w:rPr>
            </w:pPr>
            <w:r w:rsidRPr="005F3D2B">
              <w:rPr>
                <w:rFonts w:ascii="Calibri" w:eastAsia="Calibri" w:hAnsi="Calibri" w:cs="Times New Roman"/>
                <w:sz w:val="16"/>
                <w:szCs w:val="22"/>
                <w:lang w:val="en-US" w:bidi="en-GB"/>
              </w:rPr>
              <w:t>Consecutive patients over the age of 16 years, attending</w:t>
            </w:r>
            <w:r>
              <w:rPr>
                <w:rFonts w:ascii="Calibri" w:eastAsia="Calibri" w:hAnsi="Calibri" w:cs="Times New Roman"/>
                <w:sz w:val="16"/>
                <w:szCs w:val="22"/>
                <w:lang w:val="en-US" w:bidi="en-GB"/>
              </w:rPr>
              <w:t xml:space="preserve"> </w:t>
            </w:r>
            <w:r w:rsidRPr="005F3D2B">
              <w:rPr>
                <w:rFonts w:ascii="Calibri" w:eastAsia="Calibri" w:hAnsi="Calibri" w:cs="Times New Roman"/>
                <w:sz w:val="16"/>
                <w:szCs w:val="22"/>
                <w:lang w:val="en-US" w:bidi="en-GB"/>
              </w:rPr>
              <w:t>a 6-week</w:t>
            </w:r>
            <w:r>
              <w:rPr>
                <w:rFonts w:ascii="Calibri" w:eastAsia="Calibri" w:hAnsi="Calibri" w:cs="Times New Roman"/>
                <w:sz w:val="16"/>
                <w:szCs w:val="22"/>
                <w:lang w:val="en-US" w:bidi="en-GB"/>
              </w:rPr>
              <w:t xml:space="preserve"> </w:t>
            </w:r>
            <w:r w:rsidRPr="005F3D2B">
              <w:rPr>
                <w:rFonts w:ascii="Calibri" w:eastAsia="Calibri" w:hAnsi="Calibri" w:cs="Times New Roman"/>
                <w:sz w:val="16"/>
                <w:szCs w:val="22"/>
                <w:lang w:val="en-US" w:bidi="en-GB"/>
              </w:rPr>
              <w:t>follow-up</w:t>
            </w:r>
            <w:r>
              <w:rPr>
                <w:rFonts w:ascii="Calibri" w:eastAsia="Calibri" w:hAnsi="Calibri" w:cs="Times New Roman"/>
                <w:sz w:val="16"/>
                <w:szCs w:val="22"/>
                <w:lang w:val="en-US" w:bidi="en-GB"/>
              </w:rPr>
              <w:t xml:space="preserve"> </w:t>
            </w:r>
            <w:r w:rsidRPr="005F3D2B">
              <w:rPr>
                <w:rFonts w:ascii="Calibri" w:eastAsia="Calibri" w:hAnsi="Calibri" w:cs="Times New Roman"/>
                <w:sz w:val="16"/>
                <w:szCs w:val="22"/>
                <w:lang w:val="en-US" w:bidi="en-GB"/>
              </w:rPr>
              <w:t>appointment after undergoing TKA at</w:t>
            </w:r>
            <w:r>
              <w:rPr>
                <w:rFonts w:ascii="Calibri" w:eastAsia="Calibri" w:hAnsi="Calibri" w:cs="Times New Roman"/>
                <w:sz w:val="16"/>
                <w:szCs w:val="22"/>
                <w:lang w:val="en-US" w:bidi="en-GB"/>
              </w:rPr>
              <w:t xml:space="preserve"> </w:t>
            </w:r>
            <w:r w:rsidRPr="005F3D2B">
              <w:rPr>
                <w:rFonts w:ascii="Calibri" w:eastAsia="Calibri" w:hAnsi="Calibri" w:cs="Times New Roman"/>
                <w:sz w:val="16"/>
                <w:szCs w:val="22"/>
                <w:lang w:val="en-US" w:bidi="en-GB"/>
              </w:rPr>
              <w:t xml:space="preserve">one of four private and public clinical services between </w:t>
            </w:r>
            <w:r>
              <w:rPr>
                <w:rFonts w:ascii="Calibri" w:eastAsia="Calibri" w:hAnsi="Calibri" w:cs="Times New Roman"/>
                <w:sz w:val="16"/>
                <w:szCs w:val="22"/>
                <w:lang w:val="en-US" w:bidi="en-GB"/>
              </w:rPr>
              <w:t>1 February</w:t>
            </w:r>
            <w:r w:rsidRPr="005F3D2B">
              <w:rPr>
                <w:rFonts w:ascii="Calibri" w:eastAsia="Calibri" w:hAnsi="Calibri" w:cs="Times New Roman"/>
                <w:sz w:val="16"/>
                <w:szCs w:val="22"/>
                <w:lang w:val="en-US" w:bidi="en-GB"/>
              </w:rPr>
              <w:t xml:space="preserve"> 2018 and 31 January 2019.</w:t>
            </w:r>
          </w:p>
        </w:tc>
        <w:tc>
          <w:tcPr>
            <w:tcW w:w="4095" w:type="dxa"/>
            <w:tcBorders>
              <w:top w:val="single" w:sz="4" w:space="0" w:color="000000"/>
              <w:left w:val="single" w:sz="4" w:space="0" w:color="000000"/>
              <w:bottom w:val="single" w:sz="4" w:space="0" w:color="000000"/>
              <w:right w:val="single" w:sz="4" w:space="0" w:color="000000"/>
            </w:tcBorders>
          </w:tcPr>
          <w:p w14:paraId="6CAD8584" w14:textId="1E8B1C54" w:rsidR="005F3D2B" w:rsidRPr="002E0A56" w:rsidRDefault="005F3D2B" w:rsidP="005F3D2B">
            <w:pPr>
              <w:spacing w:before="0" w:after="0" w:line="240" w:lineRule="auto"/>
              <w:rPr>
                <w:rFonts w:ascii="Calibri" w:eastAsia="Calibri" w:hAnsi="Calibri" w:cs="Times New Roman"/>
                <w:sz w:val="16"/>
                <w:szCs w:val="22"/>
                <w:lang w:val="en-US" w:bidi="en-GB"/>
              </w:rPr>
            </w:pPr>
            <w:r w:rsidRPr="005F3D2B">
              <w:rPr>
                <w:rFonts w:ascii="Calibri" w:eastAsia="Calibri" w:hAnsi="Calibri" w:cs="Times New Roman"/>
                <w:sz w:val="16"/>
                <w:szCs w:val="22"/>
                <w:lang w:val="en-US" w:bidi="en-GB"/>
              </w:rPr>
              <w:t>Public patients were significantly</w:t>
            </w:r>
            <w:r>
              <w:rPr>
                <w:rFonts w:ascii="Calibri" w:eastAsia="Calibri" w:hAnsi="Calibri" w:cs="Times New Roman"/>
                <w:sz w:val="16"/>
                <w:szCs w:val="22"/>
                <w:lang w:val="en-US" w:bidi="en-GB"/>
              </w:rPr>
              <w:t xml:space="preserve"> </w:t>
            </w:r>
            <w:r w:rsidRPr="005F3D2B">
              <w:rPr>
                <w:rFonts w:ascii="Calibri" w:eastAsia="Calibri" w:hAnsi="Calibri" w:cs="Times New Roman"/>
                <w:sz w:val="16"/>
                <w:szCs w:val="22"/>
                <w:lang w:val="en-US" w:bidi="en-GB"/>
              </w:rPr>
              <w:t>more likely to be readmitted within 30 days compared</w:t>
            </w:r>
            <w:r>
              <w:rPr>
                <w:rFonts w:ascii="Calibri" w:eastAsia="Calibri" w:hAnsi="Calibri" w:cs="Times New Roman"/>
                <w:sz w:val="16"/>
                <w:szCs w:val="22"/>
                <w:lang w:val="en-US" w:bidi="en-GB"/>
              </w:rPr>
              <w:t xml:space="preserve"> </w:t>
            </w:r>
            <w:r w:rsidRPr="005F3D2B">
              <w:rPr>
                <w:rFonts w:ascii="Calibri" w:eastAsia="Calibri" w:hAnsi="Calibri" w:cs="Times New Roman"/>
                <w:sz w:val="16"/>
                <w:szCs w:val="22"/>
                <w:lang w:val="en-US" w:bidi="en-GB"/>
              </w:rPr>
              <w:t>with private patients</w:t>
            </w:r>
            <w:r>
              <w:rPr>
                <w:rFonts w:ascii="Calibri" w:eastAsia="Calibri" w:hAnsi="Calibri" w:cs="Times New Roman"/>
                <w:sz w:val="16"/>
                <w:szCs w:val="22"/>
                <w:lang w:val="en-US" w:bidi="en-GB"/>
              </w:rPr>
              <w:t xml:space="preserve">. </w:t>
            </w:r>
            <w:r w:rsidRPr="005F3D2B">
              <w:rPr>
                <w:rFonts w:ascii="Calibri" w:eastAsia="Calibri" w:hAnsi="Calibri" w:cs="Times New Roman"/>
                <w:sz w:val="16"/>
                <w:szCs w:val="22"/>
                <w:lang w:val="en-US" w:bidi="en-GB"/>
              </w:rPr>
              <w:t>The increased likelihood of</w:t>
            </w:r>
            <w:r>
              <w:rPr>
                <w:rFonts w:ascii="Calibri" w:eastAsia="Calibri" w:hAnsi="Calibri" w:cs="Times New Roman"/>
                <w:sz w:val="16"/>
                <w:szCs w:val="22"/>
                <w:lang w:val="en-US" w:bidi="en-GB"/>
              </w:rPr>
              <w:t xml:space="preserve"> </w:t>
            </w:r>
            <w:r w:rsidRPr="005F3D2B">
              <w:rPr>
                <w:rFonts w:ascii="Calibri" w:eastAsia="Calibri" w:hAnsi="Calibri" w:cs="Times New Roman"/>
                <w:sz w:val="16"/>
                <w:szCs w:val="22"/>
                <w:lang w:val="en-US" w:bidi="en-GB"/>
              </w:rPr>
              <w:t>readmission for public patients might be</w:t>
            </w:r>
            <w:r>
              <w:rPr>
                <w:rFonts w:ascii="Calibri" w:eastAsia="Calibri" w:hAnsi="Calibri" w:cs="Times New Roman"/>
                <w:sz w:val="16"/>
                <w:szCs w:val="22"/>
                <w:lang w:val="en-US" w:bidi="en-GB"/>
              </w:rPr>
              <w:t xml:space="preserve"> </w:t>
            </w:r>
            <w:r w:rsidRPr="005F3D2B">
              <w:rPr>
                <w:rFonts w:ascii="Calibri" w:eastAsia="Calibri" w:hAnsi="Calibri" w:cs="Times New Roman"/>
                <w:sz w:val="16"/>
                <w:szCs w:val="22"/>
                <w:lang w:val="en-US" w:bidi="en-GB"/>
              </w:rPr>
              <w:t>explained by</w:t>
            </w:r>
            <w:r>
              <w:rPr>
                <w:rFonts w:ascii="Calibri" w:eastAsia="Calibri" w:hAnsi="Calibri" w:cs="Times New Roman"/>
                <w:sz w:val="16"/>
                <w:szCs w:val="22"/>
                <w:lang w:val="en-US" w:bidi="en-GB"/>
              </w:rPr>
              <w:t xml:space="preserve"> </w:t>
            </w:r>
            <w:r w:rsidRPr="005F3D2B">
              <w:rPr>
                <w:rFonts w:ascii="Calibri" w:eastAsia="Calibri" w:hAnsi="Calibri" w:cs="Times New Roman"/>
                <w:sz w:val="16"/>
                <w:szCs w:val="22"/>
                <w:lang w:val="en-US" w:bidi="en-GB"/>
              </w:rPr>
              <w:t>several contributing factors such as</w:t>
            </w:r>
            <w:r>
              <w:rPr>
                <w:rFonts w:ascii="Calibri" w:eastAsia="Calibri" w:hAnsi="Calibri" w:cs="Times New Roman"/>
                <w:sz w:val="16"/>
                <w:szCs w:val="22"/>
                <w:lang w:val="en-US" w:bidi="en-GB"/>
              </w:rPr>
              <w:t xml:space="preserve"> </w:t>
            </w:r>
            <w:r w:rsidRPr="005F3D2B">
              <w:rPr>
                <w:rFonts w:ascii="Calibri" w:eastAsia="Calibri" w:hAnsi="Calibri" w:cs="Times New Roman"/>
                <w:sz w:val="16"/>
                <w:szCs w:val="22"/>
                <w:lang w:val="en-US" w:bidi="en-GB"/>
              </w:rPr>
              <w:t>socioeconomic status,</w:t>
            </w:r>
            <w:r w:rsidRPr="005F3D2B">
              <w:rPr>
                <w:rFonts w:ascii="NewBaskerville-Roman" w:hAnsi="NewBaskerville-Roman" w:cs="NewBaskerville-Roman"/>
                <w:lang w:val="en-US"/>
              </w:rPr>
              <w:t xml:space="preserve"> </w:t>
            </w:r>
            <w:r w:rsidRPr="005F3D2B">
              <w:rPr>
                <w:rFonts w:ascii="Calibri" w:eastAsia="Calibri" w:hAnsi="Calibri" w:cs="Times New Roman"/>
                <w:sz w:val="16"/>
                <w:szCs w:val="22"/>
                <w:lang w:val="en-US" w:bidi="en-GB"/>
              </w:rPr>
              <w:t>longer waiting times resulting in increased impairment</w:t>
            </w:r>
            <w:r>
              <w:rPr>
                <w:rFonts w:ascii="Calibri" w:eastAsia="Calibri" w:hAnsi="Calibri" w:cs="Times New Roman"/>
                <w:sz w:val="16"/>
                <w:szCs w:val="22"/>
                <w:lang w:val="en-US" w:bidi="en-GB"/>
              </w:rPr>
              <w:t xml:space="preserve"> and disease complexity. </w:t>
            </w:r>
          </w:p>
        </w:tc>
      </w:tr>
      <w:tr w:rsidR="009273EC" w:rsidRPr="002E0A56" w14:paraId="749A791F" w14:textId="77777777" w:rsidTr="00F131CF">
        <w:trPr>
          <w:trHeight w:val="1637"/>
        </w:trPr>
        <w:tc>
          <w:tcPr>
            <w:tcW w:w="778" w:type="dxa"/>
            <w:tcBorders>
              <w:top w:val="single" w:sz="4" w:space="0" w:color="000000"/>
              <w:left w:val="single" w:sz="4" w:space="0" w:color="000000"/>
              <w:bottom w:val="single" w:sz="4" w:space="0" w:color="000000"/>
              <w:right w:val="single" w:sz="4" w:space="0" w:color="000000"/>
            </w:tcBorders>
            <w:shd w:val="clear" w:color="auto" w:fill="F1F1F1"/>
          </w:tcPr>
          <w:p w14:paraId="6E691C08" w14:textId="77777777"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Chard et al. 2011</w:t>
            </w:r>
          </w:p>
        </w:tc>
        <w:tc>
          <w:tcPr>
            <w:tcW w:w="3466" w:type="dxa"/>
            <w:tcBorders>
              <w:top w:val="single" w:sz="4" w:space="0" w:color="000000"/>
              <w:left w:val="single" w:sz="4" w:space="0" w:color="000000"/>
              <w:bottom w:val="single" w:sz="4" w:space="0" w:color="000000"/>
              <w:right w:val="single" w:sz="4" w:space="0" w:color="000000"/>
            </w:tcBorders>
          </w:tcPr>
          <w:p w14:paraId="5165567E" w14:textId="77777777"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To compare characteristics of the patients and outcomes after elective surgery in ISTCs and NHS providers</w:t>
            </w:r>
          </w:p>
        </w:tc>
        <w:tc>
          <w:tcPr>
            <w:tcW w:w="1456" w:type="dxa"/>
            <w:tcBorders>
              <w:top w:val="single" w:sz="4" w:space="0" w:color="000000"/>
              <w:left w:val="single" w:sz="4" w:space="0" w:color="000000"/>
              <w:bottom w:val="single" w:sz="4" w:space="0" w:color="000000"/>
              <w:right w:val="single" w:sz="4" w:space="0" w:color="000000"/>
            </w:tcBorders>
          </w:tcPr>
          <w:p w14:paraId="37B3F5B8" w14:textId="77777777"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Public compared with private facilities</w:t>
            </w:r>
          </w:p>
        </w:tc>
        <w:tc>
          <w:tcPr>
            <w:tcW w:w="3155" w:type="dxa"/>
            <w:tcBorders>
              <w:top w:val="single" w:sz="4" w:space="0" w:color="000000"/>
              <w:left w:val="single" w:sz="4" w:space="0" w:color="000000"/>
              <w:bottom w:val="single" w:sz="4" w:space="0" w:color="000000"/>
              <w:right w:val="single" w:sz="4" w:space="0" w:color="000000"/>
            </w:tcBorders>
          </w:tcPr>
          <w:p w14:paraId="0DE6546F" w14:textId="77777777"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Patients undergoing hip or knee replacement (5671 in ISTCs and 14 292 in NHS), inguinal hernia repair (640 and 2023, respectively), or surgery for varicose veins (248 and 1336, respectively) in the UK from June 2008 to September 2009.</w:t>
            </w:r>
          </w:p>
        </w:tc>
        <w:tc>
          <w:tcPr>
            <w:tcW w:w="4095" w:type="dxa"/>
            <w:tcBorders>
              <w:top w:val="single" w:sz="4" w:space="0" w:color="000000"/>
              <w:left w:val="single" w:sz="4" w:space="0" w:color="000000"/>
              <w:bottom w:val="single" w:sz="4" w:space="0" w:color="000000"/>
              <w:right w:val="single" w:sz="4" w:space="0" w:color="000000"/>
            </w:tcBorders>
          </w:tcPr>
          <w:p w14:paraId="5841EFD4" w14:textId="77777777"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Patients undergoing surgery in ISTCs were healthier and had less severe conditions than those undergoing surgery in NHS providers. Some outcomes were better in ISTCs, but differences were small compared with the impact ISTCs could have on the provision of elective services.</w:t>
            </w:r>
          </w:p>
        </w:tc>
      </w:tr>
      <w:tr w:rsidR="009273EC" w:rsidRPr="002E0A56" w14:paraId="3C3B90C4" w14:textId="77777777" w:rsidTr="00F131CF">
        <w:trPr>
          <w:trHeight w:val="1637"/>
        </w:trPr>
        <w:tc>
          <w:tcPr>
            <w:tcW w:w="778" w:type="dxa"/>
            <w:tcBorders>
              <w:top w:val="single" w:sz="4" w:space="0" w:color="000000"/>
              <w:left w:val="single" w:sz="4" w:space="0" w:color="000000"/>
              <w:bottom w:val="single" w:sz="4" w:space="0" w:color="000000"/>
              <w:right w:val="single" w:sz="4" w:space="0" w:color="000000"/>
            </w:tcBorders>
            <w:shd w:val="clear" w:color="auto" w:fill="F1F1F1"/>
          </w:tcPr>
          <w:p w14:paraId="652583AF" w14:textId="77777777"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 xml:space="preserve">Cooper et al. 2018 </w:t>
            </w:r>
          </w:p>
        </w:tc>
        <w:tc>
          <w:tcPr>
            <w:tcW w:w="3466" w:type="dxa"/>
            <w:tcBorders>
              <w:top w:val="single" w:sz="4" w:space="0" w:color="000000"/>
              <w:left w:val="single" w:sz="4" w:space="0" w:color="000000"/>
              <w:bottom w:val="single" w:sz="4" w:space="0" w:color="000000"/>
              <w:right w:val="single" w:sz="4" w:space="0" w:color="000000"/>
            </w:tcBorders>
          </w:tcPr>
          <w:p w14:paraId="6B39C04A" w14:textId="436BF4C4"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 xml:space="preserve">To evaluate the impact of a government program which facilitated the entry of for- profit ISTCs to compete (the impact of competition from these surgical </w:t>
            </w:r>
            <w:proofErr w:type="spellStart"/>
            <w:r w:rsidRPr="002E0A56">
              <w:rPr>
                <w:rFonts w:ascii="Calibri" w:eastAsia="Calibri" w:hAnsi="Calibri" w:cs="Times New Roman"/>
                <w:sz w:val="16"/>
                <w:szCs w:val="22"/>
                <w:lang w:val="en-US" w:bidi="en-GB"/>
              </w:rPr>
              <w:t>centres</w:t>
            </w:r>
            <w:proofErr w:type="spellEnd"/>
            <w:r w:rsidRPr="002E0A56">
              <w:rPr>
                <w:rFonts w:ascii="Calibri" w:eastAsia="Calibri" w:hAnsi="Calibri" w:cs="Times New Roman"/>
                <w:sz w:val="16"/>
                <w:szCs w:val="22"/>
                <w:lang w:val="en-US" w:bidi="en-GB"/>
              </w:rPr>
              <w:t xml:space="preserve"> on the efficiency – measured by </w:t>
            </w:r>
            <w:proofErr w:type="spellStart"/>
            <w:r w:rsidRPr="002E0A56">
              <w:rPr>
                <w:rFonts w:ascii="Calibri" w:eastAsia="Calibri" w:hAnsi="Calibri" w:cs="Times New Roman"/>
                <w:sz w:val="16"/>
                <w:szCs w:val="22"/>
                <w:lang w:val="en-US" w:bidi="en-GB"/>
              </w:rPr>
              <w:t>presurgery</w:t>
            </w:r>
            <w:proofErr w:type="spellEnd"/>
            <w:r w:rsidRPr="002E0A56">
              <w:rPr>
                <w:rFonts w:ascii="Calibri" w:eastAsia="Calibri" w:hAnsi="Calibri" w:cs="Times New Roman"/>
                <w:sz w:val="16"/>
                <w:szCs w:val="22"/>
                <w:lang w:val="en-US" w:bidi="en-GB"/>
              </w:rPr>
              <w:t xml:space="preserve"> </w:t>
            </w:r>
            <w:r w:rsidR="006A579C" w:rsidRPr="006A579C">
              <w:rPr>
                <w:rFonts w:ascii="Calibri" w:eastAsia="Calibri" w:hAnsi="Calibri" w:cs="Times New Roman"/>
                <w:sz w:val="16"/>
                <w:szCs w:val="22"/>
                <w:lang w:val="en-US" w:bidi="en-GB"/>
              </w:rPr>
              <w:t>length of stay</w:t>
            </w:r>
            <w:r w:rsidRPr="002E0A56">
              <w:rPr>
                <w:rFonts w:ascii="Calibri" w:eastAsia="Calibri" w:hAnsi="Calibri" w:cs="Times New Roman"/>
                <w:sz w:val="16"/>
                <w:szCs w:val="22"/>
                <w:lang w:val="en-US" w:bidi="en-GB"/>
              </w:rPr>
              <w:t xml:space="preserve"> for hip and knee replacement patients – and case mix of incumbent public hospitals) against NHS hospitals in England</w:t>
            </w:r>
          </w:p>
        </w:tc>
        <w:tc>
          <w:tcPr>
            <w:tcW w:w="1456" w:type="dxa"/>
            <w:tcBorders>
              <w:top w:val="single" w:sz="4" w:space="0" w:color="000000"/>
              <w:left w:val="single" w:sz="4" w:space="0" w:color="000000"/>
              <w:bottom w:val="single" w:sz="4" w:space="0" w:color="000000"/>
              <w:right w:val="single" w:sz="4" w:space="0" w:color="000000"/>
            </w:tcBorders>
          </w:tcPr>
          <w:p w14:paraId="2192D06B" w14:textId="77777777"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Public compared with private facilities</w:t>
            </w:r>
          </w:p>
        </w:tc>
        <w:tc>
          <w:tcPr>
            <w:tcW w:w="3155" w:type="dxa"/>
            <w:tcBorders>
              <w:top w:val="single" w:sz="4" w:space="0" w:color="000000"/>
              <w:left w:val="single" w:sz="4" w:space="0" w:color="000000"/>
              <w:bottom w:val="single" w:sz="4" w:space="0" w:color="000000"/>
              <w:right w:val="single" w:sz="4" w:space="0" w:color="000000"/>
            </w:tcBorders>
          </w:tcPr>
          <w:p w14:paraId="18526454" w14:textId="77777777"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All elective hip and knee replacements (478 226) on patients aged 55-100 performed between financial years 2002/3 and 2008/9 in England.</w:t>
            </w:r>
          </w:p>
        </w:tc>
        <w:tc>
          <w:tcPr>
            <w:tcW w:w="4095" w:type="dxa"/>
            <w:tcBorders>
              <w:top w:val="single" w:sz="4" w:space="0" w:color="000000"/>
              <w:left w:val="single" w:sz="4" w:space="0" w:color="000000"/>
              <w:bottom w:val="single" w:sz="4" w:space="0" w:color="000000"/>
              <w:right w:val="single" w:sz="4" w:space="0" w:color="000000"/>
            </w:tcBorders>
          </w:tcPr>
          <w:p w14:paraId="2BDF9A9F" w14:textId="77777777"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The entry of ISTCs raised incumbent hospitals productivity. In markets where payments are regulated, competition can raise hospitals efficiency. The entry of ISTCs left public hospitals with a riskier mix of patients. The entry of ISTCs likely to leave existing providers treating a sicker patient mix and worse off financially, unless it is accompanied by a reimbursement system that adequately adjusts payments to reflect patient severity.</w:t>
            </w:r>
          </w:p>
        </w:tc>
      </w:tr>
      <w:tr w:rsidR="009273EC" w:rsidRPr="002E0A56" w14:paraId="4CD4F37C" w14:textId="77777777" w:rsidTr="00F131CF">
        <w:trPr>
          <w:trHeight w:val="1637"/>
        </w:trPr>
        <w:tc>
          <w:tcPr>
            <w:tcW w:w="778" w:type="dxa"/>
            <w:tcBorders>
              <w:top w:val="single" w:sz="4" w:space="0" w:color="000000"/>
              <w:left w:val="single" w:sz="4" w:space="0" w:color="000000"/>
              <w:bottom w:val="single" w:sz="4" w:space="0" w:color="000000"/>
              <w:right w:val="single" w:sz="4" w:space="0" w:color="000000"/>
            </w:tcBorders>
            <w:shd w:val="clear" w:color="auto" w:fill="F1F1F1"/>
          </w:tcPr>
          <w:p w14:paraId="542D8239" w14:textId="77777777"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Fitzpatrick et al. 2004</w:t>
            </w:r>
            <w:r w:rsidRPr="002E0A56">
              <w:rPr>
                <w:rFonts w:ascii="Calibri" w:eastAsia="Calibri" w:hAnsi="Calibri" w:cs="Times New Roman"/>
                <w:sz w:val="16"/>
                <w:szCs w:val="22"/>
                <w:lang w:val="en-US" w:bidi="en-GB"/>
              </w:rPr>
              <w:tab/>
            </w:r>
          </w:p>
        </w:tc>
        <w:tc>
          <w:tcPr>
            <w:tcW w:w="3466" w:type="dxa"/>
            <w:tcBorders>
              <w:top w:val="single" w:sz="4" w:space="0" w:color="000000"/>
              <w:left w:val="single" w:sz="4" w:space="0" w:color="000000"/>
              <w:bottom w:val="single" w:sz="4" w:space="0" w:color="000000"/>
              <w:right w:val="single" w:sz="4" w:space="0" w:color="000000"/>
            </w:tcBorders>
          </w:tcPr>
          <w:p w14:paraId="70E9A86F" w14:textId="5D384927"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To explore sociodemographic and health status factors associated with waiting times both for first outpatient appointment and for total hip replacement surgery</w:t>
            </w:r>
          </w:p>
        </w:tc>
        <w:tc>
          <w:tcPr>
            <w:tcW w:w="1456" w:type="dxa"/>
            <w:tcBorders>
              <w:top w:val="single" w:sz="4" w:space="0" w:color="000000"/>
              <w:left w:val="single" w:sz="4" w:space="0" w:color="000000"/>
              <w:bottom w:val="single" w:sz="4" w:space="0" w:color="000000"/>
              <w:right w:val="single" w:sz="4" w:space="0" w:color="000000"/>
            </w:tcBorders>
          </w:tcPr>
          <w:p w14:paraId="4EEFA176" w14:textId="77777777"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Public compared with private facilities</w:t>
            </w:r>
          </w:p>
        </w:tc>
        <w:tc>
          <w:tcPr>
            <w:tcW w:w="3155" w:type="dxa"/>
            <w:tcBorders>
              <w:top w:val="single" w:sz="4" w:space="0" w:color="000000"/>
              <w:left w:val="single" w:sz="4" w:space="0" w:color="000000"/>
              <w:bottom w:val="single" w:sz="4" w:space="0" w:color="000000"/>
              <w:right w:val="single" w:sz="4" w:space="0" w:color="000000"/>
            </w:tcBorders>
          </w:tcPr>
          <w:p w14:paraId="5A11FE83" w14:textId="77777777"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Patients of recruited physicians in need of hip replacement surgery in England from</w:t>
            </w:r>
            <w:r w:rsidRPr="002E0A56">
              <w:rPr>
                <w:rFonts w:eastAsiaTheme="minorHAnsi" w:cstheme="minorBidi"/>
                <w:sz w:val="22"/>
                <w:szCs w:val="22"/>
                <w:lang w:val="en-US"/>
              </w:rPr>
              <w:t xml:space="preserve"> </w:t>
            </w:r>
            <w:r w:rsidRPr="002E0A56">
              <w:rPr>
                <w:rFonts w:ascii="Calibri" w:eastAsia="Calibri" w:hAnsi="Calibri" w:cs="Times New Roman"/>
                <w:sz w:val="16"/>
                <w:szCs w:val="22"/>
                <w:lang w:val="en-US" w:bidi="en-GB"/>
              </w:rPr>
              <w:t>September 1996 and October 1997. 13 343 surgeries were performed in 143 public hospital sand 390 private firms.</w:t>
            </w:r>
          </w:p>
        </w:tc>
        <w:tc>
          <w:tcPr>
            <w:tcW w:w="4095" w:type="dxa"/>
            <w:tcBorders>
              <w:top w:val="single" w:sz="4" w:space="0" w:color="000000"/>
              <w:left w:val="single" w:sz="4" w:space="0" w:color="000000"/>
              <w:bottom w:val="single" w:sz="4" w:space="0" w:color="000000"/>
              <w:right w:val="single" w:sz="4" w:space="0" w:color="000000"/>
            </w:tcBorders>
          </w:tcPr>
          <w:p w14:paraId="7F5DCED6" w14:textId="77777777"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There were significant differences in waiting time according to social, geographical and health care system factors</w:t>
            </w:r>
          </w:p>
        </w:tc>
      </w:tr>
      <w:tr w:rsidR="009273EC" w:rsidRPr="002E0A56" w14:paraId="42F49376" w14:textId="77777777" w:rsidTr="00F131CF">
        <w:trPr>
          <w:trHeight w:val="1637"/>
        </w:trPr>
        <w:tc>
          <w:tcPr>
            <w:tcW w:w="778" w:type="dxa"/>
            <w:tcBorders>
              <w:top w:val="single" w:sz="4" w:space="0" w:color="000000"/>
              <w:left w:val="single" w:sz="4" w:space="0" w:color="000000"/>
              <w:bottom w:val="single" w:sz="4" w:space="0" w:color="000000"/>
              <w:right w:val="single" w:sz="4" w:space="0" w:color="000000"/>
            </w:tcBorders>
            <w:shd w:val="clear" w:color="auto" w:fill="F1F1F1"/>
          </w:tcPr>
          <w:p w14:paraId="208DACBF" w14:textId="77777777"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 xml:space="preserve">Harris et al. 2019 </w:t>
            </w:r>
          </w:p>
        </w:tc>
        <w:tc>
          <w:tcPr>
            <w:tcW w:w="3466" w:type="dxa"/>
            <w:tcBorders>
              <w:top w:val="single" w:sz="4" w:space="0" w:color="000000"/>
              <w:left w:val="single" w:sz="4" w:space="0" w:color="000000"/>
              <w:bottom w:val="single" w:sz="4" w:space="0" w:color="000000"/>
              <w:right w:val="single" w:sz="4" w:space="0" w:color="000000"/>
            </w:tcBorders>
          </w:tcPr>
          <w:p w14:paraId="7628E6E9" w14:textId="7C3DA59D"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 xml:space="preserve">To determine the contributing factors of hospital sector (private versus public) variation in revision rates after elective </w:t>
            </w:r>
            <w:r w:rsidR="00B90C60">
              <w:rPr>
                <w:rFonts w:ascii="Calibri" w:eastAsia="Calibri" w:hAnsi="Calibri" w:cs="Times New Roman"/>
                <w:sz w:val="16"/>
                <w:szCs w:val="22"/>
                <w:lang w:val="en-US" w:bidi="en-GB"/>
              </w:rPr>
              <w:t>total hip replacement</w:t>
            </w:r>
            <w:r w:rsidRPr="002E0A56">
              <w:rPr>
                <w:rFonts w:ascii="Calibri" w:eastAsia="Calibri" w:hAnsi="Calibri" w:cs="Times New Roman"/>
                <w:sz w:val="16"/>
                <w:szCs w:val="22"/>
                <w:lang w:val="en-US" w:bidi="en-GB"/>
              </w:rPr>
              <w:t xml:space="preserve"> for hip fracture, and elective </w:t>
            </w:r>
            <w:r w:rsidR="00B90C60">
              <w:rPr>
                <w:rFonts w:ascii="Calibri" w:eastAsia="Calibri" w:hAnsi="Calibri" w:cs="Times New Roman"/>
                <w:sz w:val="16"/>
                <w:szCs w:val="22"/>
                <w:lang w:val="en-US" w:bidi="en-GB"/>
              </w:rPr>
              <w:t>total knee replacement</w:t>
            </w:r>
          </w:p>
        </w:tc>
        <w:tc>
          <w:tcPr>
            <w:tcW w:w="1456" w:type="dxa"/>
            <w:tcBorders>
              <w:top w:val="single" w:sz="4" w:space="0" w:color="000000"/>
              <w:left w:val="single" w:sz="4" w:space="0" w:color="000000"/>
              <w:bottom w:val="single" w:sz="4" w:space="0" w:color="000000"/>
              <w:right w:val="single" w:sz="4" w:space="0" w:color="000000"/>
            </w:tcBorders>
          </w:tcPr>
          <w:p w14:paraId="1A2F7C72" w14:textId="77777777"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 xml:space="preserve">Public compared with private facilities </w:t>
            </w:r>
          </w:p>
        </w:tc>
        <w:tc>
          <w:tcPr>
            <w:tcW w:w="3155" w:type="dxa"/>
            <w:tcBorders>
              <w:top w:val="single" w:sz="4" w:space="0" w:color="000000"/>
              <w:left w:val="single" w:sz="4" w:space="0" w:color="000000"/>
              <w:bottom w:val="single" w:sz="4" w:space="0" w:color="000000"/>
              <w:right w:val="single" w:sz="4" w:space="0" w:color="000000"/>
            </w:tcBorders>
          </w:tcPr>
          <w:p w14:paraId="2AC5E85F" w14:textId="77777777"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Patients who received primary hip and knee replacement between 2003 and 2016 in Australia. (Hip: 210 828 private, 100 931 public, Knee: 338 259 private, 160 642 public procedures.)</w:t>
            </w:r>
          </w:p>
        </w:tc>
        <w:tc>
          <w:tcPr>
            <w:tcW w:w="4095" w:type="dxa"/>
            <w:tcBorders>
              <w:top w:val="single" w:sz="4" w:space="0" w:color="000000"/>
              <w:left w:val="single" w:sz="4" w:space="0" w:color="000000"/>
              <w:bottom w:val="single" w:sz="4" w:space="0" w:color="000000"/>
              <w:right w:val="single" w:sz="4" w:space="0" w:color="000000"/>
            </w:tcBorders>
          </w:tcPr>
          <w:p w14:paraId="05705EE1" w14:textId="2D6832FE"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 xml:space="preserve">Considerable variation was seen in the revision rate after </w:t>
            </w:r>
            <w:r w:rsidR="00835B51" w:rsidRPr="00835B51">
              <w:rPr>
                <w:rFonts w:ascii="Calibri" w:eastAsia="Calibri" w:hAnsi="Calibri" w:cs="Times New Roman"/>
                <w:sz w:val="16"/>
                <w:szCs w:val="22"/>
                <w:lang w:val="en-US" w:bidi="en-GB"/>
              </w:rPr>
              <w:t>total hip replacement</w:t>
            </w:r>
            <w:r w:rsidRPr="002E0A56">
              <w:rPr>
                <w:rFonts w:ascii="Calibri" w:eastAsia="Calibri" w:hAnsi="Calibri" w:cs="Times New Roman"/>
                <w:sz w:val="16"/>
                <w:szCs w:val="22"/>
                <w:lang w:val="en-US" w:bidi="en-GB"/>
              </w:rPr>
              <w:t xml:space="preserve"> and </w:t>
            </w:r>
            <w:r w:rsidR="00835B51" w:rsidRPr="00835B51">
              <w:rPr>
                <w:rFonts w:ascii="Calibri" w:eastAsia="Calibri" w:hAnsi="Calibri" w:cs="Times New Roman"/>
                <w:sz w:val="16"/>
                <w:szCs w:val="22"/>
                <w:lang w:val="en-US" w:bidi="en-GB"/>
              </w:rPr>
              <w:t xml:space="preserve">total </w:t>
            </w:r>
            <w:r w:rsidR="00835B51">
              <w:rPr>
                <w:rFonts w:ascii="Calibri" w:eastAsia="Calibri" w:hAnsi="Calibri" w:cs="Times New Roman"/>
                <w:sz w:val="16"/>
                <w:szCs w:val="22"/>
                <w:lang w:val="en-US" w:bidi="en-GB"/>
              </w:rPr>
              <w:t>knee</w:t>
            </w:r>
            <w:r w:rsidR="00835B51" w:rsidRPr="00835B51">
              <w:rPr>
                <w:rFonts w:ascii="Calibri" w:eastAsia="Calibri" w:hAnsi="Calibri" w:cs="Times New Roman"/>
                <w:sz w:val="16"/>
                <w:szCs w:val="22"/>
                <w:lang w:val="en-US" w:bidi="en-GB"/>
              </w:rPr>
              <w:t xml:space="preserve"> replacement </w:t>
            </w:r>
            <w:r w:rsidRPr="002E0A56">
              <w:rPr>
                <w:rFonts w:ascii="Calibri" w:eastAsia="Calibri" w:hAnsi="Calibri" w:cs="Times New Roman"/>
                <w:sz w:val="16"/>
                <w:szCs w:val="22"/>
                <w:lang w:val="en-US" w:bidi="en-GB"/>
              </w:rPr>
              <w:t>between hospital sectors in Australia. The variation was largely due to differences in prosthesis selection.</w:t>
            </w:r>
          </w:p>
        </w:tc>
      </w:tr>
      <w:tr w:rsidR="00FC3C31" w:rsidRPr="002E0A56" w14:paraId="6D2D376E" w14:textId="77777777" w:rsidTr="00F131CF">
        <w:trPr>
          <w:trHeight w:val="1637"/>
        </w:trPr>
        <w:tc>
          <w:tcPr>
            <w:tcW w:w="778" w:type="dxa"/>
            <w:tcBorders>
              <w:top w:val="single" w:sz="4" w:space="0" w:color="000000"/>
              <w:left w:val="single" w:sz="4" w:space="0" w:color="000000"/>
              <w:bottom w:val="single" w:sz="4" w:space="0" w:color="000000"/>
              <w:right w:val="single" w:sz="4" w:space="0" w:color="000000"/>
            </w:tcBorders>
            <w:shd w:val="clear" w:color="auto" w:fill="F1F1F1"/>
          </w:tcPr>
          <w:p w14:paraId="5F2F7F32" w14:textId="7E79D9E8" w:rsidR="00FC3C31" w:rsidRPr="002E0A56" w:rsidRDefault="00FC3C31" w:rsidP="009273EC">
            <w:pPr>
              <w:spacing w:before="0" w:after="0" w:line="240" w:lineRule="auto"/>
              <w:rPr>
                <w:rFonts w:ascii="Calibri" w:eastAsia="Calibri" w:hAnsi="Calibri" w:cs="Times New Roman"/>
                <w:sz w:val="16"/>
                <w:szCs w:val="22"/>
                <w:lang w:val="en-US" w:bidi="en-GB"/>
              </w:rPr>
            </w:pPr>
            <w:r>
              <w:rPr>
                <w:rFonts w:ascii="Calibri" w:eastAsia="Calibri" w:hAnsi="Calibri" w:cs="Times New Roman"/>
                <w:sz w:val="16"/>
                <w:szCs w:val="22"/>
                <w:lang w:val="en-US" w:bidi="en-GB"/>
              </w:rPr>
              <w:lastRenderedPageBreak/>
              <w:t>Heath et al. 2022</w:t>
            </w:r>
          </w:p>
        </w:tc>
        <w:tc>
          <w:tcPr>
            <w:tcW w:w="3466" w:type="dxa"/>
            <w:tcBorders>
              <w:top w:val="single" w:sz="4" w:space="0" w:color="000000"/>
              <w:left w:val="single" w:sz="4" w:space="0" w:color="000000"/>
              <w:bottom w:val="single" w:sz="4" w:space="0" w:color="000000"/>
              <w:right w:val="single" w:sz="4" w:space="0" w:color="000000"/>
            </w:tcBorders>
          </w:tcPr>
          <w:p w14:paraId="7155EAC9" w14:textId="23652797" w:rsidR="00FC3C31" w:rsidRPr="00FC3C31" w:rsidRDefault="00FC3C31" w:rsidP="00FC3C31">
            <w:pPr>
              <w:spacing w:before="0" w:after="0" w:line="240" w:lineRule="auto"/>
              <w:rPr>
                <w:rFonts w:ascii="Calibri" w:eastAsia="Calibri" w:hAnsi="Calibri" w:cs="Times New Roman"/>
                <w:sz w:val="16"/>
                <w:szCs w:val="22"/>
                <w:lang w:val="en-US" w:bidi="en-GB"/>
              </w:rPr>
            </w:pPr>
            <w:r>
              <w:rPr>
                <w:rFonts w:ascii="Calibri" w:eastAsia="Calibri" w:hAnsi="Calibri" w:cs="Times New Roman"/>
                <w:sz w:val="16"/>
                <w:szCs w:val="22"/>
                <w:lang w:val="en-US" w:bidi="en-GB"/>
              </w:rPr>
              <w:t>T</w:t>
            </w:r>
            <w:r w:rsidRPr="00FC3C31">
              <w:rPr>
                <w:rFonts w:ascii="Calibri" w:eastAsia="Calibri" w:hAnsi="Calibri" w:cs="Times New Roman"/>
                <w:sz w:val="16"/>
                <w:szCs w:val="22"/>
                <w:lang w:val="en-US" w:bidi="en-GB"/>
              </w:rPr>
              <w:t>o evaluate the</w:t>
            </w:r>
            <w:r>
              <w:rPr>
                <w:rFonts w:ascii="Calibri" w:eastAsia="Calibri" w:hAnsi="Calibri" w:cs="Times New Roman"/>
                <w:sz w:val="16"/>
                <w:szCs w:val="22"/>
                <w:lang w:val="en-US" w:bidi="en-GB"/>
              </w:rPr>
              <w:t xml:space="preserve"> </w:t>
            </w:r>
            <w:r w:rsidRPr="00FC3C31">
              <w:rPr>
                <w:rFonts w:ascii="Calibri" w:eastAsia="Calibri" w:hAnsi="Calibri" w:cs="Times New Roman"/>
                <w:sz w:val="16"/>
                <w:szCs w:val="22"/>
                <w:lang w:val="en-US" w:bidi="en-GB"/>
              </w:rPr>
              <w:t xml:space="preserve">hospital- and surgeon-level variation in the severity of </w:t>
            </w:r>
            <w:r>
              <w:rPr>
                <w:rFonts w:ascii="Calibri" w:eastAsia="Calibri" w:hAnsi="Calibri" w:cs="Times New Roman"/>
                <w:sz w:val="16"/>
                <w:szCs w:val="22"/>
                <w:lang w:val="en-US" w:bidi="en-GB"/>
              </w:rPr>
              <w:t xml:space="preserve">patient-reported </w:t>
            </w:r>
            <w:r w:rsidRPr="00FC3C31">
              <w:rPr>
                <w:rFonts w:ascii="Calibri" w:eastAsia="Calibri" w:hAnsi="Calibri" w:cs="Times New Roman"/>
                <w:sz w:val="16"/>
                <w:szCs w:val="22"/>
                <w:lang w:val="en-US" w:bidi="en-GB"/>
              </w:rPr>
              <w:t>symptoms prior to THR and TKR surgery. The study also</w:t>
            </w:r>
          </w:p>
          <w:p w14:paraId="3C2F99A6" w14:textId="2EE157EC" w:rsidR="00FC3C31" w:rsidRPr="002E0A56" w:rsidRDefault="00FC3C31" w:rsidP="00FC3C31">
            <w:pPr>
              <w:spacing w:before="0" w:after="0" w:line="240" w:lineRule="auto"/>
              <w:rPr>
                <w:rFonts w:ascii="Calibri" w:eastAsia="Calibri" w:hAnsi="Calibri" w:cs="Times New Roman"/>
                <w:sz w:val="16"/>
                <w:szCs w:val="22"/>
                <w:lang w:val="en-US" w:bidi="en-GB"/>
              </w:rPr>
            </w:pPr>
            <w:r w:rsidRPr="00FC3C31">
              <w:rPr>
                <w:rFonts w:ascii="Calibri" w:eastAsia="Calibri" w:hAnsi="Calibri" w:cs="Times New Roman"/>
                <w:sz w:val="16"/>
                <w:szCs w:val="22"/>
                <w:lang w:val="en-US" w:bidi="en-GB"/>
              </w:rPr>
              <w:t>aimed to examine hospital- and surgeon-level factors associated</w:t>
            </w:r>
            <w:r>
              <w:rPr>
                <w:rFonts w:ascii="Calibri" w:eastAsia="Calibri" w:hAnsi="Calibri" w:cs="Times New Roman"/>
                <w:sz w:val="16"/>
                <w:szCs w:val="22"/>
                <w:lang w:val="en-US" w:bidi="en-GB"/>
              </w:rPr>
              <w:t xml:space="preserve"> </w:t>
            </w:r>
            <w:r w:rsidRPr="00FC3C31">
              <w:rPr>
                <w:rFonts w:ascii="Calibri" w:eastAsia="Calibri" w:hAnsi="Calibri" w:cs="Times New Roman"/>
                <w:sz w:val="16"/>
                <w:szCs w:val="22"/>
                <w:lang w:val="en-US" w:bidi="en-GB"/>
              </w:rPr>
              <w:t>with symptom severity prior to surgery.</w:t>
            </w:r>
          </w:p>
        </w:tc>
        <w:tc>
          <w:tcPr>
            <w:tcW w:w="1456" w:type="dxa"/>
            <w:tcBorders>
              <w:top w:val="single" w:sz="4" w:space="0" w:color="000000"/>
              <w:left w:val="single" w:sz="4" w:space="0" w:color="000000"/>
              <w:bottom w:val="single" w:sz="4" w:space="0" w:color="000000"/>
              <w:right w:val="single" w:sz="4" w:space="0" w:color="000000"/>
            </w:tcBorders>
          </w:tcPr>
          <w:p w14:paraId="09265225" w14:textId="2B8DB2C0" w:rsidR="00FC3C31" w:rsidRPr="002E0A56" w:rsidRDefault="00F40B73" w:rsidP="009273EC">
            <w:pPr>
              <w:spacing w:before="0" w:after="0" w:line="240" w:lineRule="auto"/>
              <w:rPr>
                <w:rFonts w:ascii="Calibri" w:eastAsia="Calibri" w:hAnsi="Calibri" w:cs="Times New Roman"/>
                <w:sz w:val="16"/>
                <w:szCs w:val="22"/>
                <w:lang w:val="en-US" w:bidi="en-GB"/>
              </w:rPr>
            </w:pPr>
            <w:r w:rsidRPr="00F40B73">
              <w:rPr>
                <w:rFonts w:ascii="Calibri" w:eastAsia="Calibri" w:hAnsi="Calibri" w:cs="Times New Roman"/>
                <w:sz w:val="16"/>
                <w:szCs w:val="22"/>
                <w:lang w:val="en-US" w:bidi="en-GB"/>
              </w:rPr>
              <w:t>Public compared with private facilities</w:t>
            </w:r>
          </w:p>
        </w:tc>
        <w:tc>
          <w:tcPr>
            <w:tcW w:w="3155" w:type="dxa"/>
            <w:tcBorders>
              <w:top w:val="single" w:sz="4" w:space="0" w:color="000000"/>
              <w:left w:val="single" w:sz="4" w:space="0" w:color="000000"/>
              <w:bottom w:val="single" w:sz="4" w:space="0" w:color="000000"/>
              <w:right w:val="single" w:sz="4" w:space="0" w:color="000000"/>
            </w:tcBorders>
          </w:tcPr>
          <w:p w14:paraId="41DA9C79" w14:textId="7A238E41" w:rsidR="00FC3C31" w:rsidRPr="00FC3C31" w:rsidRDefault="00FC3C31" w:rsidP="00FC3C31">
            <w:pPr>
              <w:spacing w:before="0" w:after="0" w:line="240" w:lineRule="auto"/>
              <w:rPr>
                <w:rFonts w:ascii="Calibri" w:eastAsia="Calibri" w:hAnsi="Calibri" w:cs="Times New Roman"/>
                <w:sz w:val="16"/>
                <w:szCs w:val="22"/>
                <w:lang w:val="en-US" w:bidi="en-GB"/>
              </w:rPr>
            </w:pPr>
            <w:r>
              <w:rPr>
                <w:rFonts w:ascii="Calibri" w:eastAsia="Calibri" w:hAnsi="Calibri" w:cs="Times New Roman"/>
                <w:sz w:val="16"/>
                <w:szCs w:val="22"/>
                <w:lang w:val="en-US" w:bidi="en-GB"/>
              </w:rPr>
              <w:t>P</w:t>
            </w:r>
            <w:r w:rsidRPr="00FC3C31">
              <w:rPr>
                <w:rFonts w:ascii="Calibri" w:eastAsia="Calibri" w:hAnsi="Calibri" w:cs="Times New Roman"/>
                <w:sz w:val="16"/>
                <w:szCs w:val="22"/>
                <w:lang w:val="en-US" w:bidi="en-GB"/>
              </w:rPr>
              <w:t>atients undergoing primary THR (specifically total conventional</w:t>
            </w:r>
            <w:r>
              <w:rPr>
                <w:rFonts w:ascii="Calibri" w:eastAsia="Calibri" w:hAnsi="Calibri" w:cs="Times New Roman"/>
                <w:sz w:val="16"/>
                <w:szCs w:val="22"/>
                <w:lang w:val="en-US" w:bidi="en-GB"/>
              </w:rPr>
              <w:t xml:space="preserve"> </w:t>
            </w:r>
            <w:r w:rsidRPr="00FC3C31">
              <w:rPr>
                <w:rFonts w:ascii="Calibri" w:eastAsia="Calibri" w:hAnsi="Calibri" w:cs="Times New Roman"/>
                <w:sz w:val="16"/>
                <w:szCs w:val="22"/>
                <w:lang w:val="en-US" w:bidi="en-GB"/>
              </w:rPr>
              <w:t>hip replacement) or TKR for osteoarthritis between July</w:t>
            </w:r>
            <w:r>
              <w:rPr>
                <w:rFonts w:ascii="Calibri" w:eastAsia="Calibri" w:hAnsi="Calibri" w:cs="Times New Roman"/>
                <w:sz w:val="16"/>
                <w:szCs w:val="22"/>
                <w:lang w:val="en-US" w:bidi="en-GB"/>
              </w:rPr>
              <w:t xml:space="preserve"> </w:t>
            </w:r>
            <w:r w:rsidRPr="00FC3C31">
              <w:rPr>
                <w:rFonts w:ascii="Calibri" w:eastAsia="Calibri" w:hAnsi="Calibri" w:cs="Times New Roman"/>
                <w:sz w:val="16"/>
                <w:szCs w:val="22"/>
                <w:lang w:val="en-US" w:bidi="en-GB"/>
              </w:rPr>
              <w:t>2018 and April 2020 who participated in the AOANJRR PROMs</w:t>
            </w:r>
          </w:p>
          <w:p w14:paraId="1E2A0AF1" w14:textId="3CBF51A7" w:rsidR="00FC3C31" w:rsidRPr="002E0A56" w:rsidRDefault="00FC3C31" w:rsidP="00FC3C31">
            <w:pPr>
              <w:spacing w:before="0" w:after="0" w:line="240" w:lineRule="auto"/>
              <w:rPr>
                <w:rFonts w:ascii="Calibri" w:eastAsia="Calibri" w:hAnsi="Calibri" w:cs="Times New Roman"/>
                <w:sz w:val="16"/>
                <w:szCs w:val="22"/>
                <w:lang w:val="en-US" w:bidi="en-GB"/>
              </w:rPr>
            </w:pPr>
            <w:r w:rsidRPr="00FC3C31">
              <w:rPr>
                <w:rFonts w:ascii="Calibri" w:eastAsia="Calibri" w:hAnsi="Calibri" w:cs="Times New Roman"/>
                <w:sz w:val="16"/>
                <w:szCs w:val="22"/>
                <w:lang w:val="en-US" w:bidi="en-GB"/>
              </w:rPr>
              <w:t>program were included in this analysis</w:t>
            </w:r>
            <w:r>
              <w:rPr>
                <w:rFonts w:ascii="Calibri" w:eastAsia="Calibri" w:hAnsi="Calibri" w:cs="Times New Roman"/>
                <w:sz w:val="16"/>
                <w:szCs w:val="22"/>
                <w:lang w:val="en-US" w:bidi="en-GB"/>
              </w:rPr>
              <w:t xml:space="preserve"> (</w:t>
            </w:r>
            <w:r w:rsidRPr="00FC3C31">
              <w:rPr>
                <w:rFonts w:ascii="Calibri" w:eastAsia="Calibri" w:hAnsi="Calibri" w:cs="Times New Roman"/>
                <w:sz w:val="16"/>
                <w:szCs w:val="22"/>
                <w:lang w:val="en-US" w:bidi="en-GB"/>
              </w:rPr>
              <w:t>4330 THR patients and 7054 TKR</w:t>
            </w:r>
            <w:r>
              <w:rPr>
                <w:rFonts w:ascii="Calibri" w:eastAsia="Calibri" w:hAnsi="Calibri" w:cs="Times New Roman"/>
                <w:sz w:val="16"/>
                <w:szCs w:val="22"/>
                <w:lang w:val="en-US" w:bidi="en-GB"/>
              </w:rPr>
              <w:t xml:space="preserve"> </w:t>
            </w:r>
            <w:r w:rsidRPr="00FC3C31">
              <w:rPr>
                <w:rFonts w:ascii="Calibri" w:eastAsia="Calibri" w:hAnsi="Calibri" w:cs="Times New Roman"/>
                <w:sz w:val="16"/>
                <w:szCs w:val="22"/>
                <w:lang w:val="en-US" w:bidi="en-GB"/>
              </w:rPr>
              <w:t>patients</w:t>
            </w:r>
            <w:r>
              <w:rPr>
                <w:rFonts w:ascii="Calibri" w:eastAsia="Calibri" w:hAnsi="Calibri" w:cs="Times New Roman"/>
                <w:sz w:val="16"/>
                <w:szCs w:val="22"/>
                <w:lang w:val="en-US" w:bidi="en-GB"/>
              </w:rPr>
              <w:t>)</w:t>
            </w:r>
          </w:p>
        </w:tc>
        <w:tc>
          <w:tcPr>
            <w:tcW w:w="4095" w:type="dxa"/>
            <w:tcBorders>
              <w:top w:val="single" w:sz="4" w:space="0" w:color="000000"/>
              <w:left w:val="single" w:sz="4" w:space="0" w:color="000000"/>
              <w:bottom w:val="single" w:sz="4" w:space="0" w:color="000000"/>
              <w:right w:val="single" w:sz="4" w:space="0" w:color="000000"/>
            </w:tcBorders>
          </w:tcPr>
          <w:p w14:paraId="4DF28D8D" w14:textId="39974A11" w:rsidR="00FC3C31" w:rsidRPr="002E0A56" w:rsidRDefault="00F40B73" w:rsidP="00F40B73">
            <w:pPr>
              <w:spacing w:before="0" w:after="0" w:line="240" w:lineRule="auto"/>
              <w:rPr>
                <w:rFonts w:ascii="Calibri" w:eastAsia="Calibri" w:hAnsi="Calibri" w:cs="Times New Roman"/>
                <w:sz w:val="16"/>
                <w:szCs w:val="22"/>
                <w:lang w:val="en-US" w:bidi="en-GB"/>
              </w:rPr>
            </w:pPr>
            <w:r>
              <w:rPr>
                <w:rFonts w:ascii="Calibri" w:eastAsia="Calibri" w:hAnsi="Calibri" w:cs="Times New Roman"/>
                <w:sz w:val="16"/>
                <w:szCs w:val="22"/>
                <w:lang w:val="en-US" w:bidi="en-GB"/>
              </w:rPr>
              <w:t>P</w:t>
            </w:r>
            <w:r w:rsidRPr="00F40B73">
              <w:rPr>
                <w:rFonts w:ascii="Calibri" w:eastAsia="Calibri" w:hAnsi="Calibri" w:cs="Times New Roman"/>
                <w:sz w:val="16"/>
                <w:szCs w:val="22"/>
                <w:lang w:val="en-US" w:bidi="en-GB"/>
              </w:rPr>
              <w:t>atients who underwent</w:t>
            </w:r>
            <w:r>
              <w:rPr>
                <w:rFonts w:ascii="Calibri" w:eastAsia="Calibri" w:hAnsi="Calibri" w:cs="Times New Roman"/>
                <w:sz w:val="16"/>
                <w:szCs w:val="22"/>
                <w:lang w:val="en-US" w:bidi="en-GB"/>
              </w:rPr>
              <w:t xml:space="preserve"> </w:t>
            </w:r>
            <w:r w:rsidRPr="00F40B73">
              <w:rPr>
                <w:rFonts w:ascii="Calibri" w:eastAsia="Calibri" w:hAnsi="Calibri" w:cs="Times New Roman"/>
                <w:sz w:val="16"/>
                <w:szCs w:val="22"/>
                <w:lang w:val="en-US" w:bidi="en-GB"/>
              </w:rPr>
              <w:t>primary THR or TKR for osteoarthritis had significantly worse</w:t>
            </w:r>
            <w:r>
              <w:rPr>
                <w:rFonts w:ascii="Calibri" w:eastAsia="Calibri" w:hAnsi="Calibri" w:cs="Times New Roman"/>
                <w:sz w:val="16"/>
                <w:szCs w:val="22"/>
                <w:lang w:val="en-US" w:bidi="en-GB"/>
              </w:rPr>
              <w:t xml:space="preserve"> </w:t>
            </w:r>
            <w:r w:rsidRPr="00F40B73">
              <w:rPr>
                <w:rFonts w:ascii="Calibri" w:eastAsia="Calibri" w:hAnsi="Calibri" w:cs="Times New Roman"/>
                <w:sz w:val="16"/>
                <w:szCs w:val="22"/>
                <w:lang w:val="en-US" w:bidi="en-GB"/>
              </w:rPr>
              <w:t>pre-operative symptom severity if their surgery was performed at a</w:t>
            </w:r>
            <w:r>
              <w:rPr>
                <w:rFonts w:ascii="Calibri" w:eastAsia="Calibri" w:hAnsi="Calibri" w:cs="Times New Roman"/>
                <w:sz w:val="16"/>
                <w:szCs w:val="22"/>
                <w:lang w:val="en-US" w:bidi="en-GB"/>
              </w:rPr>
              <w:t xml:space="preserve"> </w:t>
            </w:r>
            <w:r w:rsidRPr="00F40B73">
              <w:rPr>
                <w:rFonts w:ascii="Calibri" w:eastAsia="Calibri" w:hAnsi="Calibri" w:cs="Times New Roman"/>
                <w:sz w:val="16"/>
                <w:szCs w:val="22"/>
                <w:lang w:val="en-US" w:bidi="en-GB"/>
              </w:rPr>
              <w:t>public hospital</w:t>
            </w:r>
            <w:r>
              <w:rPr>
                <w:rFonts w:ascii="Calibri" w:eastAsia="Calibri" w:hAnsi="Calibri" w:cs="Times New Roman"/>
                <w:sz w:val="16"/>
                <w:szCs w:val="22"/>
                <w:lang w:val="en-US" w:bidi="en-GB"/>
              </w:rPr>
              <w:t xml:space="preserve"> </w:t>
            </w:r>
            <w:r w:rsidRPr="00F40B73">
              <w:rPr>
                <w:rFonts w:ascii="Calibri" w:eastAsia="Calibri" w:hAnsi="Calibri" w:cs="Times New Roman"/>
                <w:sz w:val="16"/>
                <w:szCs w:val="22"/>
                <w:lang w:val="en-US" w:bidi="en-GB"/>
              </w:rPr>
              <w:t>which may reflect variation in access to surgery, and surgeon</w:t>
            </w:r>
            <w:r>
              <w:rPr>
                <w:rFonts w:ascii="Calibri" w:eastAsia="Calibri" w:hAnsi="Calibri" w:cs="Times New Roman"/>
                <w:sz w:val="16"/>
                <w:szCs w:val="22"/>
                <w:lang w:val="en-US" w:bidi="en-GB"/>
              </w:rPr>
              <w:t xml:space="preserve"> </w:t>
            </w:r>
            <w:r w:rsidRPr="00F40B73">
              <w:rPr>
                <w:rFonts w:ascii="Calibri" w:eastAsia="Calibri" w:hAnsi="Calibri" w:cs="Times New Roman"/>
                <w:sz w:val="16"/>
                <w:szCs w:val="22"/>
                <w:lang w:val="en-US" w:bidi="en-GB"/>
              </w:rPr>
              <w:t>and patient preferences between these groups.</w:t>
            </w:r>
          </w:p>
        </w:tc>
      </w:tr>
      <w:tr w:rsidR="009273EC" w:rsidRPr="002E0A56" w14:paraId="1DB36B41" w14:textId="77777777" w:rsidTr="00F131CF">
        <w:trPr>
          <w:trHeight w:val="1637"/>
        </w:trPr>
        <w:tc>
          <w:tcPr>
            <w:tcW w:w="778" w:type="dxa"/>
            <w:tcBorders>
              <w:top w:val="single" w:sz="4" w:space="0" w:color="000000"/>
              <w:left w:val="single" w:sz="4" w:space="0" w:color="000000"/>
              <w:bottom w:val="single" w:sz="4" w:space="0" w:color="000000"/>
              <w:right w:val="single" w:sz="4" w:space="0" w:color="000000"/>
            </w:tcBorders>
            <w:shd w:val="clear" w:color="auto" w:fill="F1F1F1"/>
          </w:tcPr>
          <w:p w14:paraId="3BC9F8C6" w14:textId="5D4EC0A5" w:rsidR="002E0A56" w:rsidRPr="002E0A56" w:rsidRDefault="00383ACC" w:rsidP="009273EC">
            <w:pPr>
              <w:spacing w:before="0" w:after="0" w:line="240" w:lineRule="auto"/>
              <w:rPr>
                <w:rFonts w:ascii="Calibri" w:eastAsia="Calibri" w:hAnsi="Calibri" w:cs="Times New Roman"/>
                <w:sz w:val="16"/>
                <w:szCs w:val="22"/>
                <w:lang w:val="en-US" w:bidi="en-GB"/>
              </w:rPr>
            </w:pPr>
            <w:proofErr w:type="spellStart"/>
            <w:r w:rsidRPr="00383ACC">
              <w:rPr>
                <w:rFonts w:ascii="Calibri" w:eastAsia="Calibri" w:hAnsi="Calibri" w:cs="Times New Roman"/>
                <w:sz w:val="16"/>
                <w:szCs w:val="22"/>
                <w:lang w:bidi="en-GB"/>
              </w:rPr>
              <w:t>Holom</w:t>
            </w:r>
            <w:proofErr w:type="spellEnd"/>
            <w:r w:rsidRPr="00383ACC">
              <w:rPr>
                <w:rFonts w:ascii="Calibri" w:eastAsia="Calibri" w:hAnsi="Calibri" w:cs="Times New Roman"/>
                <w:sz w:val="16"/>
                <w:szCs w:val="22"/>
                <w:lang w:bidi="en-GB"/>
              </w:rPr>
              <w:t xml:space="preserve"> </w:t>
            </w:r>
            <w:r>
              <w:rPr>
                <w:rFonts w:ascii="Calibri" w:eastAsia="Calibri" w:hAnsi="Calibri" w:cs="Times New Roman"/>
                <w:sz w:val="16"/>
                <w:szCs w:val="22"/>
                <w:lang w:bidi="en-GB"/>
              </w:rPr>
              <w:t xml:space="preserve">and </w:t>
            </w:r>
            <w:r w:rsidRPr="00383ACC">
              <w:rPr>
                <w:rFonts w:ascii="Calibri" w:eastAsia="Calibri" w:hAnsi="Calibri" w:cs="Times New Roman"/>
                <w:sz w:val="16"/>
                <w:szCs w:val="22"/>
                <w:lang w:bidi="en-GB"/>
              </w:rPr>
              <w:t>Hagen</w:t>
            </w:r>
            <w:r w:rsidRPr="00383ACC">
              <w:rPr>
                <w:rFonts w:ascii="Calibri" w:eastAsia="Calibri" w:hAnsi="Calibri" w:cs="Times New Roman"/>
                <w:sz w:val="16"/>
                <w:szCs w:val="22"/>
                <w:lang w:val="en-US" w:bidi="en-GB"/>
              </w:rPr>
              <w:t xml:space="preserve"> </w:t>
            </w:r>
            <w:r w:rsidR="002E0A56" w:rsidRPr="002E0A56">
              <w:rPr>
                <w:rFonts w:ascii="Calibri" w:eastAsia="Calibri" w:hAnsi="Calibri" w:cs="Times New Roman"/>
                <w:sz w:val="16"/>
                <w:szCs w:val="22"/>
                <w:lang w:val="en-US" w:bidi="en-GB"/>
              </w:rPr>
              <w:t xml:space="preserve">2017 </w:t>
            </w:r>
          </w:p>
        </w:tc>
        <w:tc>
          <w:tcPr>
            <w:tcW w:w="3466" w:type="dxa"/>
            <w:tcBorders>
              <w:top w:val="single" w:sz="4" w:space="0" w:color="000000"/>
              <w:left w:val="single" w:sz="4" w:space="0" w:color="000000"/>
              <w:bottom w:val="single" w:sz="4" w:space="0" w:color="000000"/>
              <w:right w:val="single" w:sz="4" w:space="0" w:color="000000"/>
            </w:tcBorders>
          </w:tcPr>
          <w:p w14:paraId="4E5994C7" w14:textId="6DC85C2C"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To compare the quality of care among patients treated at private for-profit hospital</w:t>
            </w:r>
            <w:r w:rsidR="00B90C60">
              <w:rPr>
                <w:rFonts w:ascii="Calibri" w:eastAsia="Calibri" w:hAnsi="Calibri" w:cs="Times New Roman"/>
                <w:sz w:val="16"/>
                <w:szCs w:val="22"/>
                <w:lang w:val="en-US" w:bidi="en-GB"/>
              </w:rPr>
              <w:t>s</w:t>
            </w:r>
            <w:r w:rsidRPr="002E0A56">
              <w:rPr>
                <w:rFonts w:ascii="Calibri" w:eastAsia="Calibri" w:hAnsi="Calibri" w:cs="Times New Roman"/>
                <w:sz w:val="16"/>
                <w:szCs w:val="22"/>
                <w:lang w:val="en-US" w:bidi="en-GB"/>
              </w:rPr>
              <w:t xml:space="preserve">, private non-profit hospitals and public hospitals </w:t>
            </w:r>
          </w:p>
        </w:tc>
        <w:tc>
          <w:tcPr>
            <w:tcW w:w="1456" w:type="dxa"/>
            <w:tcBorders>
              <w:top w:val="single" w:sz="4" w:space="0" w:color="000000"/>
              <w:left w:val="single" w:sz="4" w:space="0" w:color="000000"/>
              <w:bottom w:val="single" w:sz="4" w:space="0" w:color="000000"/>
              <w:right w:val="single" w:sz="4" w:space="0" w:color="000000"/>
            </w:tcBorders>
          </w:tcPr>
          <w:p w14:paraId="5DAD6FC2" w14:textId="59A116F0"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Public compared with private facilities</w:t>
            </w:r>
          </w:p>
        </w:tc>
        <w:tc>
          <w:tcPr>
            <w:tcW w:w="3155" w:type="dxa"/>
            <w:tcBorders>
              <w:top w:val="single" w:sz="4" w:space="0" w:color="000000"/>
              <w:left w:val="single" w:sz="4" w:space="0" w:color="000000"/>
              <w:bottom w:val="single" w:sz="4" w:space="0" w:color="000000"/>
              <w:right w:val="single" w:sz="4" w:space="0" w:color="000000"/>
            </w:tcBorders>
          </w:tcPr>
          <w:p w14:paraId="61A53AAB" w14:textId="77777777"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All publicly financed patients having primary total hip (37 897 patients) or primary total knee arthroplasty (25 802 patients) at one of the three hospital types from 2009 to 2014 in Norway.</w:t>
            </w:r>
          </w:p>
        </w:tc>
        <w:tc>
          <w:tcPr>
            <w:tcW w:w="4095" w:type="dxa"/>
            <w:tcBorders>
              <w:top w:val="single" w:sz="4" w:space="0" w:color="000000"/>
              <w:left w:val="single" w:sz="4" w:space="0" w:color="000000"/>
              <w:bottom w:val="single" w:sz="4" w:space="0" w:color="000000"/>
              <w:right w:val="single" w:sz="4" w:space="0" w:color="000000"/>
            </w:tcBorders>
          </w:tcPr>
          <w:p w14:paraId="1AC8A01E" w14:textId="1388CFC4"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 xml:space="preserve">Quality differences between hospital types were small; however, </w:t>
            </w:r>
            <w:r w:rsidR="00B90C60" w:rsidRPr="00B90C60">
              <w:rPr>
                <w:rFonts w:ascii="Calibri" w:eastAsia="Calibri" w:hAnsi="Calibri" w:cs="Times New Roman"/>
                <w:sz w:val="16"/>
                <w:szCs w:val="22"/>
                <w:lang w:val="en-US" w:bidi="en-GB"/>
              </w:rPr>
              <w:t xml:space="preserve">private non-profit hospitals </w:t>
            </w:r>
            <w:r w:rsidRPr="002E0A56">
              <w:rPr>
                <w:rFonts w:ascii="Calibri" w:eastAsia="Calibri" w:hAnsi="Calibri" w:cs="Times New Roman"/>
                <w:sz w:val="16"/>
                <w:szCs w:val="22"/>
                <w:lang w:val="en-US" w:bidi="en-GB"/>
              </w:rPr>
              <w:t>had significantly lower readmission rates compared with pubic hospitals among patients having total hip arthroplasty. Public hospitals received the larger part of the readmitted patients across hospital types and thus play an essential role in the care of more complex patients and for readmissions, regardless of any quality differences.</w:t>
            </w:r>
          </w:p>
        </w:tc>
      </w:tr>
      <w:tr w:rsidR="009273EC" w:rsidRPr="002E0A56" w14:paraId="300D46E7" w14:textId="77777777" w:rsidTr="00F131CF">
        <w:trPr>
          <w:trHeight w:val="1637"/>
        </w:trPr>
        <w:tc>
          <w:tcPr>
            <w:tcW w:w="778" w:type="dxa"/>
            <w:tcBorders>
              <w:top w:val="single" w:sz="4" w:space="0" w:color="000000"/>
              <w:left w:val="single" w:sz="4" w:space="0" w:color="000000"/>
              <w:bottom w:val="single" w:sz="4" w:space="0" w:color="000000"/>
              <w:right w:val="single" w:sz="4" w:space="0" w:color="000000"/>
            </w:tcBorders>
            <w:shd w:val="clear" w:color="auto" w:fill="F1F1F1"/>
          </w:tcPr>
          <w:p w14:paraId="0726539D" w14:textId="77777777"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 xml:space="preserve">Karnon et al. 2018 </w:t>
            </w:r>
          </w:p>
        </w:tc>
        <w:tc>
          <w:tcPr>
            <w:tcW w:w="3466" w:type="dxa"/>
            <w:tcBorders>
              <w:top w:val="single" w:sz="4" w:space="0" w:color="000000"/>
              <w:left w:val="single" w:sz="4" w:space="0" w:color="000000"/>
              <w:bottom w:val="single" w:sz="4" w:space="0" w:color="000000"/>
              <w:right w:val="single" w:sz="4" w:space="0" w:color="000000"/>
            </w:tcBorders>
          </w:tcPr>
          <w:p w14:paraId="64626DF2" w14:textId="2EE26BDD"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To evaluate the cost- effectiveness of implementing a private contracting model to meet alternative maximum waiting time targets for publicly funded patients undergoing total knee replacement surgery in Australia</w:t>
            </w:r>
          </w:p>
        </w:tc>
        <w:tc>
          <w:tcPr>
            <w:tcW w:w="1456" w:type="dxa"/>
            <w:tcBorders>
              <w:top w:val="single" w:sz="4" w:space="0" w:color="000000"/>
              <w:left w:val="single" w:sz="4" w:space="0" w:color="000000"/>
              <w:bottom w:val="single" w:sz="4" w:space="0" w:color="000000"/>
              <w:right w:val="single" w:sz="4" w:space="0" w:color="000000"/>
            </w:tcBorders>
          </w:tcPr>
          <w:p w14:paraId="2F20DACC" w14:textId="77777777"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Public compared with private facilities</w:t>
            </w:r>
          </w:p>
        </w:tc>
        <w:tc>
          <w:tcPr>
            <w:tcW w:w="3155" w:type="dxa"/>
            <w:tcBorders>
              <w:top w:val="single" w:sz="4" w:space="0" w:color="000000"/>
              <w:left w:val="single" w:sz="4" w:space="0" w:color="000000"/>
              <w:bottom w:val="single" w:sz="4" w:space="0" w:color="000000"/>
              <w:right w:val="single" w:sz="4" w:space="0" w:color="000000"/>
            </w:tcBorders>
          </w:tcPr>
          <w:p w14:paraId="1A767D95" w14:textId="3CA1CB80"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 xml:space="preserve">Non-urgent patients for </w:t>
            </w:r>
            <w:r w:rsidR="00835B51" w:rsidRPr="00835B51">
              <w:rPr>
                <w:rFonts w:ascii="Calibri" w:eastAsia="Calibri" w:hAnsi="Calibri" w:cs="Times New Roman"/>
                <w:sz w:val="16"/>
                <w:szCs w:val="22"/>
                <w:lang w:val="en-US" w:bidi="en-GB"/>
              </w:rPr>
              <w:t xml:space="preserve">total knee replacement </w:t>
            </w:r>
            <w:r w:rsidRPr="002E0A56">
              <w:rPr>
                <w:rFonts w:ascii="Calibri" w:eastAsia="Calibri" w:hAnsi="Calibri" w:cs="Times New Roman"/>
                <w:sz w:val="16"/>
                <w:szCs w:val="22"/>
                <w:lang w:val="en-US" w:bidi="en-GB"/>
              </w:rPr>
              <w:t>surgery to a maximum age of 100 years in Australia. Used data inputs from published sources in a modelling study.</w:t>
            </w:r>
            <w:r w:rsidR="00370F9A">
              <w:rPr>
                <w:rFonts w:ascii="Calibri" w:eastAsia="Calibri" w:hAnsi="Calibri" w:cs="Times New Roman"/>
                <w:sz w:val="16"/>
                <w:szCs w:val="22"/>
                <w:lang w:val="en-US" w:bidi="en-GB"/>
              </w:rPr>
              <w:t xml:space="preserve"> </w:t>
            </w:r>
          </w:p>
        </w:tc>
        <w:tc>
          <w:tcPr>
            <w:tcW w:w="4095" w:type="dxa"/>
            <w:tcBorders>
              <w:top w:val="single" w:sz="4" w:space="0" w:color="000000"/>
              <w:left w:val="single" w:sz="4" w:space="0" w:color="000000"/>
              <w:bottom w:val="single" w:sz="4" w:space="0" w:color="000000"/>
              <w:right w:val="single" w:sz="4" w:space="0" w:color="000000"/>
            </w:tcBorders>
          </w:tcPr>
          <w:p w14:paraId="4EBC7CD1" w14:textId="4619B71F"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 xml:space="preserve">The reported </w:t>
            </w:r>
            <w:r w:rsidR="006A579C">
              <w:rPr>
                <w:rFonts w:ascii="Calibri" w:eastAsia="Calibri" w:hAnsi="Calibri" w:cs="Times New Roman"/>
                <w:sz w:val="16"/>
                <w:szCs w:val="22"/>
                <w:lang w:val="en-US" w:bidi="en-GB"/>
              </w:rPr>
              <w:t>cost effectiveness</w:t>
            </w:r>
            <w:r w:rsidRPr="002E0A56">
              <w:rPr>
                <w:rFonts w:ascii="Calibri" w:eastAsia="Calibri" w:hAnsi="Calibri" w:cs="Times New Roman"/>
                <w:sz w:val="16"/>
                <w:szCs w:val="22"/>
                <w:lang w:val="en-US" w:bidi="en-GB"/>
              </w:rPr>
              <w:t xml:space="preserve"> analysis of alternative options for increased government funding of </w:t>
            </w:r>
            <w:r w:rsidR="00835B51" w:rsidRPr="00835B51">
              <w:rPr>
                <w:rFonts w:ascii="Calibri" w:eastAsia="Calibri" w:hAnsi="Calibri" w:cs="Times New Roman"/>
                <w:sz w:val="16"/>
                <w:szCs w:val="22"/>
                <w:lang w:val="en-US" w:bidi="en-GB"/>
              </w:rPr>
              <w:t xml:space="preserve">total knee replacement </w:t>
            </w:r>
            <w:r w:rsidRPr="002E0A56">
              <w:rPr>
                <w:rFonts w:ascii="Calibri" w:eastAsia="Calibri" w:hAnsi="Calibri" w:cs="Times New Roman"/>
                <w:sz w:val="16"/>
                <w:szCs w:val="22"/>
                <w:lang w:val="en-US" w:bidi="en-GB"/>
              </w:rPr>
              <w:t>suggests that these options may be more cost-effective than many new pharmaceuticals that are publicly funded in Australia. More evidence on the value of expanded capacity or new models of care may inform new funding models to support such investments and reduced prices for new technologies, leading to more efficient and sustainable publicly funded healthcare systems.</w:t>
            </w:r>
          </w:p>
        </w:tc>
      </w:tr>
      <w:tr w:rsidR="009273EC" w:rsidRPr="002E0A56" w14:paraId="61A05996" w14:textId="77777777" w:rsidTr="00F131CF">
        <w:trPr>
          <w:trHeight w:val="1637"/>
        </w:trPr>
        <w:tc>
          <w:tcPr>
            <w:tcW w:w="778" w:type="dxa"/>
            <w:tcBorders>
              <w:top w:val="single" w:sz="4" w:space="0" w:color="000000"/>
              <w:left w:val="single" w:sz="4" w:space="0" w:color="000000"/>
              <w:bottom w:val="single" w:sz="4" w:space="0" w:color="000000"/>
              <w:right w:val="single" w:sz="4" w:space="0" w:color="000000"/>
            </w:tcBorders>
            <w:shd w:val="clear" w:color="auto" w:fill="F1F1F1"/>
          </w:tcPr>
          <w:p w14:paraId="0865D1C1" w14:textId="4E888FC6" w:rsidR="002E0A56" w:rsidRPr="002E0A56" w:rsidRDefault="00E75891" w:rsidP="009273EC">
            <w:pPr>
              <w:spacing w:before="0" w:after="0" w:line="240" w:lineRule="auto"/>
              <w:rPr>
                <w:rFonts w:ascii="Calibri" w:eastAsia="Calibri" w:hAnsi="Calibri" w:cs="Times New Roman"/>
                <w:sz w:val="16"/>
                <w:szCs w:val="22"/>
                <w:lang w:val="en-US" w:bidi="en-GB"/>
              </w:rPr>
            </w:pPr>
            <w:r w:rsidRPr="00E75891">
              <w:rPr>
                <w:rFonts w:ascii="Calibri" w:eastAsia="Calibri" w:hAnsi="Calibri" w:cs="Times New Roman"/>
                <w:sz w:val="16"/>
                <w:szCs w:val="22"/>
                <w:lang w:bidi="en-GB"/>
              </w:rPr>
              <w:t xml:space="preserve">Kelly and </w:t>
            </w:r>
            <w:proofErr w:type="spellStart"/>
            <w:r w:rsidRPr="00E75891">
              <w:rPr>
                <w:rFonts w:ascii="Calibri" w:eastAsia="Calibri" w:hAnsi="Calibri" w:cs="Times New Roman"/>
                <w:sz w:val="16"/>
                <w:szCs w:val="22"/>
                <w:lang w:bidi="en-GB"/>
              </w:rPr>
              <w:t>Stoye</w:t>
            </w:r>
            <w:proofErr w:type="spellEnd"/>
            <w:r w:rsidRPr="00E75891" w:rsidDel="00E75891">
              <w:rPr>
                <w:rFonts w:ascii="Calibri" w:eastAsia="Calibri" w:hAnsi="Calibri" w:cs="Times New Roman"/>
                <w:sz w:val="16"/>
                <w:szCs w:val="22"/>
                <w:lang w:val="en-US" w:bidi="en-GB"/>
              </w:rPr>
              <w:t xml:space="preserve"> </w:t>
            </w:r>
            <w:r w:rsidR="002E0A56" w:rsidRPr="002E0A56">
              <w:rPr>
                <w:rFonts w:ascii="Calibri" w:eastAsia="Calibri" w:hAnsi="Calibri" w:cs="Times New Roman"/>
                <w:sz w:val="16"/>
                <w:szCs w:val="22"/>
                <w:lang w:val="en-US" w:bidi="en-GB"/>
              </w:rPr>
              <w:t xml:space="preserve">2016 </w:t>
            </w:r>
          </w:p>
        </w:tc>
        <w:tc>
          <w:tcPr>
            <w:tcW w:w="3466" w:type="dxa"/>
            <w:tcBorders>
              <w:top w:val="single" w:sz="4" w:space="0" w:color="000000"/>
              <w:left w:val="single" w:sz="4" w:space="0" w:color="000000"/>
              <w:bottom w:val="single" w:sz="4" w:space="0" w:color="000000"/>
              <w:right w:val="single" w:sz="4" w:space="0" w:color="000000"/>
            </w:tcBorders>
          </w:tcPr>
          <w:p w14:paraId="452C97AE" w14:textId="4D010E1C"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 xml:space="preserve">To identify whether the introduction of </w:t>
            </w:r>
            <w:r w:rsidR="00B90C60">
              <w:rPr>
                <w:rFonts w:ascii="Calibri" w:eastAsia="Calibri" w:hAnsi="Calibri" w:cs="Times New Roman"/>
                <w:sz w:val="16"/>
                <w:szCs w:val="22"/>
                <w:lang w:val="en-US" w:bidi="en-GB"/>
              </w:rPr>
              <w:t>independent sector providers</w:t>
            </w:r>
            <w:r w:rsidRPr="002E0A56">
              <w:rPr>
                <w:rFonts w:ascii="Calibri" w:eastAsia="Calibri" w:hAnsi="Calibri" w:cs="Times New Roman"/>
                <w:sz w:val="16"/>
                <w:szCs w:val="22"/>
                <w:lang w:val="en-US" w:bidi="en-GB"/>
              </w:rPr>
              <w:t xml:space="preserve"> led to a shift in demand for elective hip replacement</w:t>
            </w:r>
          </w:p>
        </w:tc>
        <w:tc>
          <w:tcPr>
            <w:tcW w:w="1456" w:type="dxa"/>
            <w:tcBorders>
              <w:top w:val="single" w:sz="4" w:space="0" w:color="000000"/>
              <w:left w:val="single" w:sz="4" w:space="0" w:color="000000"/>
              <w:bottom w:val="single" w:sz="4" w:space="0" w:color="000000"/>
              <w:right w:val="single" w:sz="4" w:space="0" w:color="000000"/>
            </w:tcBorders>
          </w:tcPr>
          <w:p w14:paraId="5AC3BB63" w14:textId="77777777"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Public compared with private facilities</w:t>
            </w:r>
          </w:p>
        </w:tc>
        <w:tc>
          <w:tcPr>
            <w:tcW w:w="3155" w:type="dxa"/>
            <w:tcBorders>
              <w:top w:val="single" w:sz="4" w:space="0" w:color="000000"/>
              <w:left w:val="single" w:sz="4" w:space="0" w:color="000000"/>
              <w:bottom w:val="single" w:sz="4" w:space="0" w:color="000000"/>
              <w:right w:val="single" w:sz="4" w:space="0" w:color="000000"/>
            </w:tcBorders>
          </w:tcPr>
          <w:p w14:paraId="21F8A241" w14:textId="77777777"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Elective hip replacement patients between April 2002 and March 2011 analyzed for 6 781 aggregated geographic areas.</w:t>
            </w:r>
          </w:p>
        </w:tc>
        <w:tc>
          <w:tcPr>
            <w:tcW w:w="4095" w:type="dxa"/>
            <w:tcBorders>
              <w:top w:val="single" w:sz="4" w:space="0" w:color="000000"/>
              <w:left w:val="single" w:sz="4" w:space="0" w:color="000000"/>
              <w:bottom w:val="single" w:sz="4" w:space="0" w:color="000000"/>
              <w:right w:val="single" w:sz="4" w:space="0" w:color="000000"/>
            </w:tcBorders>
          </w:tcPr>
          <w:p w14:paraId="5A75508F" w14:textId="0BA9A1B6"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The introduction of</w:t>
            </w:r>
            <w:r w:rsidR="00B90C60" w:rsidRPr="00B90C60">
              <w:rPr>
                <w:rFonts w:ascii="Calibri" w:eastAsia="Calibri" w:hAnsi="Calibri" w:cs="Times New Roman"/>
                <w:sz w:val="16"/>
                <w:szCs w:val="22"/>
                <w:lang w:val="en-US" w:bidi="en-GB"/>
              </w:rPr>
              <w:t xml:space="preserve"> independent sector providers </w:t>
            </w:r>
            <w:r w:rsidRPr="002E0A56">
              <w:rPr>
                <w:rFonts w:ascii="Calibri" w:eastAsia="Calibri" w:hAnsi="Calibri" w:cs="Times New Roman"/>
                <w:sz w:val="16"/>
                <w:szCs w:val="22"/>
                <w:lang w:val="en-US" w:bidi="en-GB"/>
              </w:rPr>
              <w:t>increases demand for elective hip replacements remains unchanged.</w:t>
            </w:r>
          </w:p>
        </w:tc>
      </w:tr>
      <w:tr w:rsidR="009273EC" w:rsidRPr="002E0A56" w14:paraId="19B3BEAF" w14:textId="77777777" w:rsidTr="00F131CF">
        <w:trPr>
          <w:trHeight w:val="1637"/>
        </w:trPr>
        <w:tc>
          <w:tcPr>
            <w:tcW w:w="778" w:type="dxa"/>
            <w:tcBorders>
              <w:top w:val="single" w:sz="4" w:space="0" w:color="000000"/>
              <w:left w:val="single" w:sz="4" w:space="0" w:color="000000"/>
              <w:bottom w:val="single" w:sz="4" w:space="0" w:color="000000"/>
              <w:right w:val="single" w:sz="4" w:space="0" w:color="000000"/>
            </w:tcBorders>
            <w:shd w:val="clear" w:color="auto" w:fill="F1F1F1"/>
          </w:tcPr>
          <w:p w14:paraId="5F99AEF3" w14:textId="68007133" w:rsidR="002E0A56" w:rsidRPr="002E0A56" w:rsidRDefault="00E75891" w:rsidP="009273EC">
            <w:pPr>
              <w:spacing w:before="0" w:after="0" w:line="240" w:lineRule="auto"/>
              <w:rPr>
                <w:rFonts w:ascii="Calibri" w:eastAsia="Calibri" w:hAnsi="Calibri" w:cs="Times New Roman"/>
                <w:sz w:val="16"/>
                <w:szCs w:val="22"/>
                <w:lang w:val="en-US" w:bidi="en-GB"/>
              </w:rPr>
            </w:pPr>
            <w:r w:rsidRPr="00E75891">
              <w:rPr>
                <w:rFonts w:ascii="Calibri" w:eastAsia="Calibri" w:hAnsi="Calibri" w:cs="Times New Roman"/>
                <w:sz w:val="16"/>
                <w:szCs w:val="22"/>
                <w:lang w:bidi="en-GB"/>
              </w:rPr>
              <w:t xml:space="preserve">Kelly and </w:t>
            </w:r>
            <w:proofErr w:type="spellStart"/>
            <w:r w:rsidRPr="00E75891">
              <w:rPr>
                <w:rFonts w:ascii="Calibri" w:eastAsia="Calibri" w:hAnsi="Calibri" w:cs="Times New Roman"/>
                <w:sz w:val="16"/>
                <w:szCs w:val="22"/>
                <w:lang w:bidi="en-GB"/>
              </w:rPr>
              <w:t>Stoye</w:t>
            </w:r>
            <w:proofErr w:type="spellEnd"/>
            <w:r w:rsidRPr="00E75891" w:rsidDel="00E75891">
              <w:rPr>
                <w:rFonts w:ascii="Calibri" w:eastAsia="Calibri" w:hAnsi="Calibri" w:cs="Times New Roman"/>
                <w:sz w:val="16"/>
                <w:szCs w:val="22"/>
                <w:lang w:val="en-US" w:bidi="en-GB"/>
              </w:rPr>
              <w:t xml:space="preserve"> </w:t>
            </w:r>
            <w:r w:rsidR="002E0A56" w:rsidRPr="002E0A56">
              <w:rPr>
                <w:rFonts w:ascii="Calibri" w:eastAsia="Calibri" w:hAnsi="Calibri" w:cs="Times New Roman"/>
                <w:sz w:val="16"/>
                <w:szCs w:val="22"/>
                <w:lang w:val="en-US" w:bidi="en-GB"/>
              </w:rPr>
              <w:t>2020</w:t>
            </w:r>
          </w:p>
        </w:tc>
        <w:tc>
          <w:tcPr>
            <w:tcW w:w="3466" w:type="dxa"/>
            <w:tcBorders>
              <w:top w:val="single" w:sz="4" w:space="0" w:color="000000"/>
              <w:left w:val="single" w:sz="4" w:space="0" w:color="000000"/>
              <w:bottom w:val="single" w:sz="4" w:space="0" w:color="000000"/>
              <w:right w:val="single" w:sz="4" w:space="0" w:color="000000"/>
            </w:tcBorders>
          </w:tcPr>
          <w:p w14:paraId="25D989DA" w14:textId="77777777"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To evaluate the impacts of the entry of private hospitals on the publicly funded elective market for hip replacements</w:t>
            </w:r>
          </w:p>
        </w:tc>
        <w:tc>
          <w:tcPr>
            <w:tcW w:w="1456" w:type="dxa"/>
            <w:tcBorders>
              <w:top w:val="single" w:sz="4" w:space="0" w:color="000000"/>
              <w:left w:val="single" w:sz="4" w:space="0" w:color="000000"/>
              <w:bottom w:val="single" w:sz="4" w:space="0" w:color="000000"/>
              <w:right w:val="single" w:sz="4" w:space="0" w:color="000000"/>
            </w:tcBorders>
          </w:tcPr>
          <w:p w14:paraId="258A476A" w14:textId="77777777"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Public compared with private providers (including both ISTCs and private hospitals)</w:t>
            </w:r>
          </w:p>
        </w:tc>
        <w:tc>
          <w:tcPr>
            <w:tcW w:w="3155" w:type="dxa"/>
            <w:tcBorders>
              <w:top w:val="single" w:sz="4" w:space="0" w:color="000000"/>
              <w:left w:val="single" w:sz="4" w:space="0" w:color="000000"/>
              <w:bottom w:val="single" w:sz="4" w:space="0" w:color="000000"/>
              <w:right w:val="single" w:sz="4" w:space="0" w:color="000000"/>
            </w:tcBorders>
          </w:tcPr>
          <w:p w14:paraId="44E27178" w14:textId="77777777"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Elective hip replacement patients (</w:t>
            </w:r>
            <w:r w:rsidRPr="002E0A56">
              <w:rPr>
                <w:rFonts w:eastAsiaTheme="minorHAnsi" w:cstheme="minorBidi"/>
                <w:sz w:val="16"/>
                <w:szCs w:val="16"/>
                <w:lang w:val="en-US"/>
              </w:rPr>
              <w:t xml:space="preserve">615,281 patients) </w:t>
            </w:r>
            <w:r w:rsidRPr="002E0A56">
              <w:rPr>
                <w:rFonts w:ascii="Calibri" w:eastAsia="Calibri" w:hAnsi="Calibri" w:cs="Times New Roman"/>
                <w:sz w:val="16"/>
                <w:szCs w:val="22"/>
                <w:lang w:val="en-US" w:bidi="en-GB"/>
              </w:rPr>
              <w:t>between April 2002 and March 2013.</w:t>
            </w:r>
          </w:p>
        </w:tc>
        <w:tc>
          <w:tcPr>
            <w:tcW w:w="4095" w:type="dxa"/>
            <w:tcBorders>
              <w:top w:val="single" w:sz="4" w:space="0" w:color="000000"/>
              <w:left w:val="single" w:sz="4" w:space="0" w:color="000000"/>
              <w:bottom w:val="single" w:sz="4" w:space="0" w:color="000000"/>
              <w:right w:val="single" w:sz="4" w:space="0" w:color="000000"/>
            </w:tcBorders>
          </w:tcPr>
          <w:p w14:paraId="3E27D8C4" w14:textId="77777777"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 xml:space="preserve">The introduction of private sector increased publicly funded hip replacement capacity but did not improve quality at existing public hospitals. </w:t>
            </w:r>
          </w:p>
        </w:tc>
      </w:tr>
      <w:tr w:rsidR="009273EC" w:rsidRPr="002E0A56" w14:paraId="6DAFE9E4" w14:textId="77777777" w:rsidTr="00F131CF">
        <w:trPr>
          <w:trHeight w:val="1637"/>
        </w:trPr>
        <w:tc>
          <w:tcPr>
            <w:tcW w:w="778" w:type="dxa"/>
            <w:tcBorders>
              <w:top w:val="single" w:sz="4" w:space="0" w:color="000000"/>
              <w:left w:val="single" w:sz="4" w:space="0" w:color="000000"/>
              <w:bottom w:val="single" w:sz="4" w:space="0" w:color="000000"/>
              <w:right w:val="single" w:sz="4" w:space="0" w:color="000000"/>
            </w:tcBorders>
            <w:shd w:val="clear" w:color="auto" w:fill="F1F1F1"/>
          </w:tcPr>
          <w:p w14:paraId="1FA6ED22" w14:textId="647A4C24" w:rsidR="002E0A56" w:rsidRPr="002E0A56" w:rsidRDefault="00383ACC" w:rsidP="009273EC">
            <w:pPr>
              <w:spacing w:before="0" w:after="0" w:line="240" w:lineRule="auto"/>
              <w:rPr>
                <w:rFonts w:ascii="Calibri" w:eastAsia="Calibri" w:hAnsi="Calibri" w:cs="Times New Roman"/>
                <w:sz w:val="16"/>
                <w:szCs w:val="22"/>
                <w:lang w:val="en-US" w:bidi="en-GB"/>
              </w:rPr>
            </w:pPr>
            <w:r w:rsidRPr="00383ACC">
              <w:rPr>
                <w:sz w:val="16"/>
                <w:szCs w:val="16"/>
              </w:rPr>
              <w:lastRenderedPageBreak/>
              <w:t>Kirkwood and Pollock</w:t>
            </w:r>
            <w:r w:rsidRPr="00383ACC">
              <w:rPr>
                <w:rFonts w:ascii="Calibri" w:eastAsia="Calibri" w:hAnsi="Calibri" w:cs="Times New Roman"/>
                <w:sz w:val="12"/>
                <w:szCs w:val="18"/>
                <w:lang w:val="en-US" w:bidi="en-GB"/>
              </w:rPr>
              <w:t xml:space="preserve"> </w:t>
            </w:r>
            <w:r w:rsidR="002E0A56" w:rsidRPr="002E0A56">
              <w:rPr>
                <w:rFonts w:ascii="Calibri" w:eastAsia="Calibri" w:hAnsi="Calibri" w:cs="Times New Roman"/>
                <w:sz w:val="16"/>
                <w:szCs w:val="22"/>
                <w:lang w:val="en-US" w:bidi="en-GB"/>
              </w:rPr>
              <w:t xml:space="preserve">2017 </w:t>
            </w:r>
          </w:p>
        </w:tc>
        <w:tc>
          <w:tcPr>
            <w:tcW w:w="3466" w:type="dxa"/>
            <w:tcBorders>
              <w:top w:val="single" w:sz="4" w:space="0" w:color="000000"/>
              <w:left w:val="single" w:sz="4" w:space="0" w:color="000000"/>
              <w:bottom w:val="single" w:sz="4" w:space="0" w:color="000000"/>
              <w:right w:val="single" w:sz="4" w:space="0" w:color="000000"/>
            </w:tcBorders>
          </w:tcPr>
          <w:p w14:paraId="61E3F59C" w14:textId="77777777"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To analyze in equality of access to elective primary hip arthroplasty by sex, age and socio-economic deprivation by provider type</w:t>
            </w:r>
          </w:p>
        </w:tc>
        <w:tc>
          <w:tcPr>
            <w:tcW w:w="1456" w:type="dxa"/>
            <w:tcBorders>
              <w:top w:val="single" w:sz="4" w:space="0" w:color="000000"/>
              <w:left w:val="single" w:sz="4" w:space="0" w:color="000000"/>
              <w:bottom w:val="single" w:sz="4" w:space="0" w:color="000000"/>
              <w:right w:val="single" w:sz="4" w:space="0" w:color="000000"/>
            </w:tcBorders>
          </w:tcPr>
          <w:p w14:paraId="01524DB9" w14:textId="77777777"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Public compared with private facilities</w:t>
            </w:r>
          </w:p>
        </w:tc>
        <w:tc>
          <w:tcPr>
            <w:tcW w:w="3155" w:type="dxa"/>
            <w:tcBorders>
              <w:top w:val="single" w:sz="4" w:space="0" w:color="000000"/>
              <w:left w:val="single" w:sz="4" w:space="0" w:color="000000"/>
              <w:bottom w:val="single" w:sz="4" w:space="0" w:color="000000"/>
              <w:right w:val="single" w:sz="4" w:space="0" w:color="000000"/>
            </w:tcBorders>
          </w:tcPr>
          <w:p w14:paraId="4D7C62D6" w14:textId="77777777"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Patients receiving publicly funded primary hip arthroplasty (105 872 elective and 48 894 emergency) in Scotland between April 1993 and March 2013.</w:t>
            </w:r>
          </w:p>
        </w:tc>
        <w:tc>
          <w:tcPr>
            <w:tcW w:w="4095" w:type="dxa"/>
            <w:tcBorders>
              <w:top w:val="single" w:sz="4" w:space="0" w:color="000000"/>
              <w:left w:val="single" w:sz="4" w:space="0" w:color="000000"/>
              <w:bottom w:val="single" w:sz="4" w:space="0" w:color="000000"/>
              <w:right w:val="single" w:sz="4" w:space="0" w:color="000000"/>
            </w:tcBorders>
          </w:tcPr>
          <w:p w14:paraId="37E8812A" w14:textId="77777777"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NHS funding of private sector provision for elective hip arthroplasty was associated with a decrease in public provision and may have contributed to an increase in age and socio-economic inequalities in treatment rates.</w:t>
            </w:r>
          </w:p>
        </w:tc>
      </w:tr>
      <w:tr w:rsidR="009273EC" w:rsidRPr="002E0A56" w14:paraId="2226F22B" w14:textId="77777777" w:rsidTr="00F131CF">
        <w:trPr>
          <w:trHeight w:val="1637"/>
        </w:trPr>
        <w:tc>
          <w:tcPr>
            <w:tcW w:w="778" w:type="dxa"/>
            <w:tcBorders>
              <w:top w:val="single" w:sz="4" w:space="0" w:color="000000"/>
              <w:left w:val="single" w:sz="4" w:space="0" w:color="000000"/>
              <w:bottom w:val="single" w:sz="4" w:space="0" w:color="000000"/>
              <w:right w:val="single" w:sz="4" w:space="0" w:color="000000"/>
            </w:tcBorders>
            <w:shd w:val="clear" w:color="auto" w:fill="F1F1F1"/>
          </w:tcPr>
          <w:p w14:paraId="10ACD488" w14:textId="77777777" w:rsidR="002E0A56" w:rsidRPr="002E0A56" w:rsidRDefault="002E0A56" w:rsidP="009273EC">
            <w:pPr>
              <w:spacing w:before="0" w:after="0" w:line="240" w:lineRule="auto"/>
              <w:rPr>
                <w:rFonts w:ascii="Calibri" w:eastAsia="Calibri" w:hAnsi="Calibri" w:cs="Times New Roman"/>
                <w:sz w:val="16"/>
                <w:szCs w:val="22"/>
                <w:lang w:val="en-US" w:bidi="en-GB"/>
              </w:rPr>
            </w:pPr>
            <w:proofErr w:type="spellStart"/>
            <w:r w:rsidRPr="002E0A56">
              <w:rPr>
                <w:rFonts w:ascii="Calibri" w:eastAsia="Calibri" w:hAnsi="Calibri" w:cs="Times New Roman"/>
                <w:sz w:val="16"/>
                <w:szCs w:val="22"/>
                <w:lang w:val="en-US" w:bidi="en-GB"/>
              </w:rPr>
              <w:t>Koehoorn</w:t>
            </w:r>
            <w:proofErr w:type="spellEnd"/>
            <w:r w:rsidRPr="002E0A56">
              <w:rPr>
                <w:rFonts w:ascii="Calibri" w:eastAsia="Calibri" w:hAnsi="Calibri" w:cs="Times New Roman"/>
                <w:sz w:val="16"/>
                <w:szCs w:val="22"/>
                <w:lang w:val="en-US" w:bidi="en-GB"/>
              </w:rPr>
              <w:t xml:space="preserve"> et al. 2011</w:t>
            </w:r>
          </w:p>
        </w:tc>
        <w:tc>
          <w:tcPr>
            <w:tcW w:w="3466" w:type="dxa"/>
            <w:tcBorders>
              <w:top w:val="single" w:sz="4" w:space="0" w:color="000000"/>
              <w:left w:val="single" w:sz="4" w:space="0" w:color="000000"/>
              <w:bottom w:val="single" w:sz="4" w:space="0" w:color="000000"/>
              <w:right w:val="single" w:sz="4" w:space="0" w:color="000000"/>
            </w:tcBorders>
          </w:tcPr>
          <w:p w14:paraId="51620CE5" w14:textId="1E8DA575"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To evaluate the effect of expedited surgical fees paid to physicians in reducing wait time and return to work time</w:t>
            </w:r>
          </w:p>
        </w:tc>
        <w:tc>
          <w:tcPr>
            <w:tcW w:w="1456" w:type="dxa"/>
            <w:tcBorders>
              <w:top w:val="single" w:sz="4" w:space="0" w:color="000000"/>
              <w:left w:val="single" w:sz="4" w:space="0" w:color="000000"/>
              <w:bottom w:val="single" w:sz="4" w:space="0" w:color="000000"/>
              <w:right w:val="single" w:sz="4" w:space="0" w:color="000000"/>
            </w:tcBorders>
          </w:tcPr>
          <w:p w14:paraId="39957C77" w14:textId="77777777"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 xml:space="preserve">Public compared with private facilities </w:t>
            </w:r>
          </w:p>
        </w:tc>
        <w:tc>
          <w:tcPr>
            <w:tcW w:w="3155" w:type="dxa"/>
            <w:tcBorders>
              <w:top w:val="single" w:sz="4" w:space="0" w:color="000000"/>
              <w:left w:val="single" w:sz="4" w:space="0" w:color="000000"/>
              <w:bottom w:val="single" w:sz="4" w:space="0" w:color="000000"/>
              <w:right w:val="single" w:sz="4" w:space="0" w:color="000000"/>
            </w:tcBorders>
          </w:tcPr>
          <w:p w14:paraId="36D4C1D0" w14:textId="77777777"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 xml:space="preserve"> Workers with accepted workers compensation claim for meniscal injury. 1380 surgeries from 2001 to 2005 in British Columbia, Canada.</w:t>
            </w:r>
          </w:p>
        </w:tc>
        <w:tc>
          <w:tcPr>
            <w:tcW w:w="4095" w:type="dxa"/>
            <w:tcBorders>
              <w:top w:val="single" w:sz="4" w:space="0" w:color="000000"/>
              <w:left w:val="single" w:sz="4" w:space="0" w:color="000000"/>
              <w:bottom w:val="single" w:sz="4" w:space="0" w:color="000000"/>
              <w:right w:val="single" w:sz="4" w:space="0" w:color="000000"/>
            </w:tcBorders>
          </w:tcPr>
          <w:p w14:paraId="1B1C2793" w14:textId="77777777"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The public expedited group had the shortest disability duration from surgical consult to return to work; the expedited fee reduced the surgery wait time (~2 work weeks), and surgeries performed in public hospitals had a shorter return-to-work time (~1 work week).</w:t>
            </w:r>
          </w:p>
        </w:tc>
      </w:tr>
      <w:tr w:rsidR="009273EC" w:rsidRPr="002E0A56" w14:paraId="2F96648D" w14:textId="77777777" w:rsidTr="00F131CF">
        <w:trPr>
          <w:trHeight w:val="1637"/>
        </w:trPr>
        <w:tc>
          <w:tcPr>
            <w:tcW w:w="778" w:type="dxa"/>
            <w:tcBorders>
              <w:top w:val="single" w:sz="4" w:space="0" w:color="000000"/>
              <w:left w:val="single" w:sz="4" w:space="0" w:color="000000"/>
              <w:bottom w:val="single" w:sz="4" w:space="0" w:color="000000"/>
              <w:right w:val="single" w:sz="4" w:space="0" w:color="000000"/>
            </w:tcBorders>
            <w:shd w:val="clear" w:color="auto" w:fill="F1F1F1"/>
          </w:tcPr>
          <w:p w14:paraId="4B252533" w14:textId="77777777"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Kruse et al. 2019</w:t>
            </w:r>
          </w:p>
        </w:tc>
        <w:tc>
          <w:tcPr>
            <w:tcW w:w="3466" w:type="dxa"/>
            <w:tcBorders>
              <w:top w:val="single" w:sz="4" w:space="0" w:color="000000"/>
              <w:left w:val="single" w:sz="4" w:space="0" w:color="000000"/>
              <w:bottom w:val="single" w:sz="4" w:space="0" w:color="000000"/>
              <w:right w:val="single" w:sz="4" w:space="0" w:color="000000"/>
            </w:tcBorders>
          </w:tcPr>
          <w:p w14:paraId="6B10FD9A" w14:textId="1CE90B81"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 xml:space="preserve">To identify differences between independent treatment </w:t>
            </w:r>
            <w:proofErr w:type="spellStart"/>
            <w:r w:rsidRPr="002E0A56">
              <w:rPr>
                <w:rFonts w:ascii="Calibri" w:eastAsia="Calibri" w:hAnsi="Calibri" w:cs="Times New Roman"/>
                <w:sz w:val="16"/>
                <w:szCs w:val="22"/>
                <w:lang w:val="en-US" w:bidi="en-GB"/>
              </w:rPr>
              <w:t>cent</w:t>
            </w:r>
            <w:r w:rsidR="005E282A">
              <w:rPr>
                <w:rFonts w:ascii="Calibri" w:eastAsia="Calibri" w:hAnsi="Calibri" w:cs="Times New Roman"/>
                <w:sz w:val="16"/>
                <w:szCs w:val="22"/>
                <w:lang w:val="en-US" w:bidi="en-GB"/>
              </w:rPr>
              <w:t>res</w:t>
            </w:r>
            <w:proofErr w:type="spellEnd"/>
            <w:r w:rsidRPr="002E0A56">
              <w:rPr>
                <w:rFonts w:ascii="Calibri" w:eastAsia="Calibri" w:hAnsi="Calibri" w:cs="Times New Roman"/>
                <w:sz w:val="16"/>
                <w:szCs w:val="22"/>
                <w:lang w:val="en-US" w:bidi="en-GB"/>
              </w:rPr>
              <w:t xml:space="preserve"> and general hospitals regarding costs, quality of care, and efficiency</w:t>
            </w:r>
          </w:p>
        </w:tc>
        <w:tc>
          <w:tcPr>
            <w:tcW w:w="1456" w:type="dxa"/>
            <w:tcBorders>
              <w:top w:val="single" w:sz="4" w:space="0" w:color="000000"/>
              <w:left w:val="single" w:sz="4" w:space="0" w:color="000000"/>
              <w:bottom w:val="single" w:sz="4" w:space="0" w:color="000000"/>
              <w:right w:val="single" w:sz="4" w:space="0" w:color="000000"/>
            </w:tcBorders>
          </w:tcPr>
          <w:p w14:paraId="05DDE241" w14:textId="3848C538" w:rsidR="002E0A56" w:rsidRPr="00267DA3" w:rsidRDefault="002E0A56" w:rsidP="009273EC">
            <w:pPr>
              <w:spacing w:before="0" w:after="0" w:line="240" w:lineRule="auto"/>
              <w:rPr>
                <w:rFonts w:ascii="Calibri" w:eastAsia="Calibri" w:hAnsi="Calibri" w:cs="Times New Roman"/>
                <w:sz w:val="16"/>
                <w:szCs w:val="22"/>
                <w:lang w:val="en-US" w:bidi="en-GB"/>
              </w:rPr>
            </w:pPr>
            <w:r w:rsidRPr="00267DA3">
              <w:rPr>
                <w:rFonts w:ascii="Calibri" w:eastAsia="Calibri" w:hAnsi="Calibri" w:cs="Times New Roman"/>
                <w:sz w:val="16"/>
                <w:szCs w:val="22"/>
                <w:lang w:val="en-US" w:bidi="en-GB"/>
              </w:rPr>
              <w:t xml:space="preserve">Public (general hospitals) compared with private facilities (independent treatment </w:t>
            </w:r>
            <w:proofErr w:type="spellStart"/>
            <w:r w:rsidRPr="00267DA3">
              <w:rPr>
                <w:rFonts w:ascii="Calibri" w:eastAsia="Calibri" w:hAnsi="Calibri" w:cs="Times New Roman"/>
                <w:sz w:val="16"/>
                <w:szCs w:val="22"/>
                <w:lang w:val="en-US" w:bidi="en-GB"/>
              </w:rPr>
              <w:t>cent</w:t>
            </w:r>
            <w:r w:rsidR="005E282A" w:rsidRPr="00267DA3">
              <w:rPr>
                <w:rFonts w:ascii="Calibri" w:eastAsia="Calibri" w:hAnsi="Calibri" w:cs="Times New Roman"/>
                <w:sz w:val="16"/>
                <w:szCs w:val="22"/>
                <w:lang w:val="en-US" w:bidi="en-GB"/>
              </w:rPr>
              <w:t>res</w:t>
            </w:r>
            <w:proofErr w:type="spellEnd"/>
            <w:r w:rsidRPr="00267DA3">
              <w:rPr>
                <w:rFonts w:ascii="Calibri" w:eastAsia="Calibri" w:hAnsi="Calibri" w:cs="Times New Roman"/>
                <w:sz w:val="16"/>
                <w:szCs w:val="22"/>
                <w:lang w:val="en-US" w:bidi="en-GB"/>
              </w:rPr>
              <w:t>)</w:t>
            </w:r>
          </w:p>
        </w:tc>
        <w:tc>
          <w:tcPr>
            <w:tcW w:w="3155" w:type="dxa"/>
            <w:tcBorders>
              <w:top w:val="single" w:sz="4" w:space="0" w:color="000000"/>
              <w:left w:val="single" w:sz="4" w:space="0" w:color="000000"/>
              <w:bottom w:val="single" w:sz="4" w:space="0" w:color="000000"/>
              <w:right w:val="single" w:sz="4" w:space="0" w:color="000000"/>
            </w:tcBorders>
          </w:tcPr>
          <w:p w14:paraId="2C3D7AE8" w14:textId="77777777" w:rsidR="002E0A56" w:rsidRPr="00267DA3" w:rsidRDefault="002E0A56" w:rsidP="009273EC">
            <w:pPr>
              <w:spacing w:before="0" w:after="0" w:line="240" w:lineRule="auto"/>
              <w:rPr>
                <w:rFonts w:ascii="Calibri" w:eastAsia="Calibri" w:hAnsi="Calibri" w:cs="Times New Roman"/>
                <w:sz w:val="16"/>
                <w:szCs w:val="22"/>
                <w:lang w:val="en-US" w:bidi="en-GB"/>
              </w:rPr>
            </w:pPr>
            <w:r w:rsidRPr="00267DA3">
              <w:rPr>
                <w:rFonts w:ascii="Calibri" w:eastAsia="Calibri" w:hAnsi="Calibri" w:cs="Times New Roman"/>
                <w:sz w:val="16"/>
                <w:szCs w:val="22"/>
                <w:lang w:val="en-US" w:bidi="en-GB"/>
              </w:rPr>
              <w:t>50 000 patients who received cataract care (including academic and tertiary hospitals) from 2013 to 2015.</w:t>
            </w:r>
          </w:p>
        </w:tc>
        <w:tc>
          <w:tcPr>
            <w:tcW w:w="4095" w:type="dxa"/>
            <w:tcBorders>
              <w:top w:val="single" w:sz="4" w:space="0" w:color="000000"/>
              <w:left w:val="single" w:sz="4" w:space="0" w:color="000000"/>
              <w:bottom w:val="single" w:sz="4" w:space="0" w:color="000000"/>
              <w:right w:val="single" w:sz="4" w:space="0" w:color="000000"/>
            </w:tcBorders>
          </w:tcPr>
          <w:p w14:paraId="4DA0DEF6" w14:textId="384B3445" w:rsidR="002E0A56" w:rsidRPr="00267DA3" w:rsidRDefault="002E0A56" w:rsidP="009273EC">
            <w:pPr>
              <w:spacing w:before="0" w:after="0" w:line="240" w:lineRule="auto"/>
              <w:rPr>
                <w:rFonts w:ascii="Calibri" w:eastAsia="Calibri" w:hAnsi="Calibri" w:cs="Times New Roman"/>
                <w:sz w:val="16"/>
                <w:szCs w:val="22"/>
                <w:highlight w:val="yellow"/>
                <w:lang w:val="en-US" w:bidi="en-GB"/>
              </w:rPr>
            </w:pPr>
            <w:r w:rsidRPr="00267DA3">
              <w:rPr>
                <w:rFonts w:ascii="Calibri" w:eastAsia="Calibri" w:hAnsi="Calibri" w:cs="Times New Roman"/>
                <w:sz w:val="16"/>
                <w:szCs w:val="22"/>
                <w:lang w:val="en-US" w:bidi="en-GB"/>
              </w:rPr>
              <w:t>I</w:t>
            </w:r>
            <w:r w:rsidR="00267DA3" w:rsidRPr="00267DA3">
              <w:rPr>
                <w:rFonts w:ascii="Calibri" w:eastAsia="Calibri" w:hAnsi="Calibri" w:cs="Times New Roman"/>
                <w:sz w:val="16"/>
                <w:szCs w:val="22"/>
                <w:lang w:val="en-US" w:bidi="en-GB"/>
              </w:rPr>
              <w:t>S</w:t>
            </w:r>
            <w:r w:rsidRPr="00267DA3">
              <w:rPr>
                <w:rFonts w:ascii="Calibri" w:eastAsia="Calibri" w:hAnsi="Calibri" w:cs="Times New Roman"/>
                <w:sz w:val="16"/>
                <w:szCs w:val="22"/>
                <w:lang w:val="en-US" w:bidi="en-GB"/>
              </w:rPr>
              <w:t xml:space="preserve">TCs can provide more value for cataract care than </w:t>
            </w:r>
            <w:r w:rsidR="006A579C" w:rsidRPr="00267DA3">
              <w:rPr>
                <w:rFonts w:ascii="Calibri" w:eastAsia="Calibri" w:hAnsi="Calibri" w:cs="Times New Roman"/>
                <w:sz w:val="16"/>
                <w:szCs w:val="22"/>
                <w:lang w:val="en-US" w:bidi="en-GB"/>
              </w:rPr>
              <w:t>general hospital</w:t>
            </w:r>
            <w:r w:rsidRPr="00267DA3">
              <w:rPr>
                <w:rFonts w:ascii="Calibri" w:eastAsia="Calibri" w:hAnsi="Calibri" w:cs="Times New Roman"/>
                <w:sz w:val="16"/>
                <w:szCs w:val="22"/>
                <w:lang w:val="en-US" w:bidi="en-GB"/>
              </w:rPr>
              <w:t>s.</w:t>
            </w:r>
          </w:p>
        </w:tc>
      </w:tr>
      <w:tr w:rsidR="009273EC" w:rsidRPr="002E0A56" w14:paraId="45DFA8BA" w14:textId="77777777" w:rsidTr="00F131CF">
        <w:trPr>
          <w:trHeight w:val="1637"/>
        </w:trPr>
        <w:tc>
          <w:tcPr>
            <w:tcW w:w="778" w:type="dxa"/>
            <w:tcBorders>
              <w:top w:val="single" w:sz="4" w:space="0" w:color="000000"/>
              <w:left w:val="single" w:sz="4" w:space="0" w:color="000000"/>
              <w:bottom w:val="single" w:sz="4" w:space="0" w:color="000000"/>
              <w:right w:val="single" w:sz="4" w:space="0" w:color="000000"/>
            </w:tcBorders>
            <w:shd w:val="clear" w:color="auto" w:fill="F1F1F1"/>
          </w:tcPr>
          <w:p w14:paraId="379C3F41" w14:textId="77777777"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 xml:space="preserve">Li et al. 2004 </w:t>
            </w:r>
          </w:p>
        </w:tc>
        <w:tc>
          <w:tcPr>
            <w:tcW w:w="3466" w:type="dxa"/>
            <w:tcBorders>
              <w:top w:val="single" w:sz="4" w:space="0" w:color="000000"/>
              <w:left w:val="single" w:sz="4" w:space="0" w:color="000000"/>
              <w:bottom w:val="single" w:sz="4" w:space="0" w:color="000000"/>
              <w:right w:val="single" w:sz="4" w:space="0" w:color="000000"/>
            </w:tcBorders>
          </w:tcPr>
          <w:p w14:paraId="003365C7" w14:textId="218AA931"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 xml:space="preserve">To identify sociodemographic, environmental, and clinical risk factors for the development of </w:t>
            </w:r>
            <w:r w:rsidR="006A579C" w:rsidRPr="006A579C">
              <w:rPr>
                <w:rFonts w:ascii="Calibri" w:eastAsia="Calibri" w:hAnsi="Calibri" w:cs="Times New Roman"/>
                <w:sz w:val="16"/>
                <w:szCs w:val="22"/>
                <w:lang w:bidi="en-GB"/>
              </w:rPr>
              <w:t>postoperative endophthalmitis</w:t>
            </w:r>
            <w:r w:rsidRPr="002E0A56">
              <w:rPr>
                <w:rFonts w:ascii="Calibri" w:eastAsia="Calibri" w:hAnsi="Calibri" w:cs="Times New Roman"/>
                <w:sz w:val="16"/>
                <w:szCs w:val="22"/>
                <w:lang w:val="en-US" w:bidi="en-GB"/>
              </w:rPr>
              <w:t>, using population-based administrative data from Western Australia</w:t>
            </w:r>
          </w:p>
        </w:tc>
        <w:tc>
          <w:tcPr>
            <w:tcW w:w="1456" w:type="dxa"/>
            <w:tcBorders>
              <w:top w:val="single" w:sz="4" w:space="0" w:color="000000"/>
              <w:left w:val="single" w:sz="4" w:space="0" w:color="000000"/>
              <w:bottom w:val="single" w:sz="4" w:space="0" w:color="000000"/>
              <w:right w:val="single" w:sz="4" w:space="0" w:color="000000"/>
            </w:tcBorders>
          </w:tcPr>
          <w:p w14:paraId="4ED42981" w14:textId="77777777"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Public (metropolitan public, rural public and teaching public hospitals) compared with private facilities</w:t>
            </w:r>
          </w:p>
        </w:tc>
        <w:tc>
          <w:tcPr>
            <w:tcW w:w="3155" w:type="dxa"/>
            <w:tcBorders>
              <w:top w:val="single" w:sz="4" w:space="0" w:color="000000"/>
              <w:left w:val="single" w:sz="4" w:space="0" w:color="000000"/>
              <w:bottom w:val="single" w:sz="4" w:space="0" w:color="000000"/>
              <w:right w:val="single" w:sz="4" w:space="0" w:color="000000"/>
            </w:tcBorders>
          </w:tcPr>
          <w:p w14:paraId="3C492C22" w14:textId="6648F451" w:rsidR="002E0A56" w:rsidRPr="002E0A56" w:rsidDel="000935B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 xml:space="preserve">All patients who underwent cataract surgery (117 083 procedures), along with those in whom </w:t>
            </w:r>
            <w:r w:rsidR="006A579C" w:rsidRPr="006A579C">
              <w:rPr>
                <w:rFonts w:ascii="Calibri" w:eastAsia="Calibri" w:hAnsi="Calibri" w:cs="Times New Roman"/>
                <w:sz w:val="16"/>
                <w:szCs w:val="22"/>
                <w:lang w:bidi="en-GB"/>
              </w:rPr>
              <w:t>postoperative endophthalmitis subsequently</w:t>
            </w:r>
            <w:r w:rsidRPr="002E0A56">
              <w:rPr>
                <w:rFonts w:ascii="Calibri" w:eastAsia="Calibri" w:hAnsi="Calibri" w:cs="Times New Roman"/>
                <w:sz w:val="16"/>
                <w:szCs w:val="22"/>
                <w:lang w:val="en-US" w:bidi="en-GB"/>
              </w:rPr>
              <w:t xml:space="preserve"> developed from 1980 to 2000 in Western Australia.</w:t>
            </w:r>
          </w:p>
        </w:tc>
        <w:tc>
          <w:tcPr>
            <w:tcW w:w="4095" w:type="dxa"/>
            <w:tcBorders>
              <w:top w:val="single" w:sz="4" w:space="0" w:color="000000"/>
              <w:left w:val="single" w:sz="4" w:space="0" w:color="000000"/>
              <w:bottom w:val="single" w:sz="4" w:space="0" w:color="000000"/>
              <w:right w:val="single" w:sz="4" w:space="0" w:color="000000"/>
            </w:tcBorders>
          </w:tcPr>
          <w:p w14:paraId="5E2ED649" w14:textId="44FFB7D2"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 xml:space="preserve">It may be possible to reduce the incidence rate of </w:t>
            </w:r>
            <w:r w:rsidR="006A579C" w:rsidRPr="006A579C">
              <w:rPr>
                <w:rFonts w:ascii="Calibri" w:eastAsia="Calibri" w:hAnsi="Calibri" w:cs="Times New Roman"/>
                <w:sz w:val="16"/>
                <w:szCs w:val="22"/>
                <w:lang w:bidi="en-GB"/>
              </w:rPr>
              <w:t>postoperative endophthalmitis </w:t>
            </w:r>
            <w:r w:rsidRPr="002E0A56">
              <w:rPr>
                <w:rFonts w:ascii="Calibri" w:eastAsia="Calibri" w:hAnsi="Calibri" w:cs="Times New Roman"/>
                <w:sz w:val="16"/>
                <w:szCs w:val="22"/>
                <w:lang w:val="en-US" w:bidi="en-GB"/>
              </w:rPr>
              <w:t xml:space="preserve">by almost 80% with a systematic approach to the management of elderly patients, </w:t>
            </w:r>
            <w:r w:rsidR="006A579C" w:rsidRPr="006A579C">
              <w:rPr>
                <w:rFonts w:ascii="Calibri" w:eastAsia="Calibri" w:hAnsi="Calibri" w:cs="Times New Roman"/>
                <w:sz w:val="16"/>
                <w:szCs w:val="22"/>
                <w:lang w:val="en-US" w:bidi="en-GB"/>
              </w:rPr>
              <w:t>length of stay</w:t>
            </w:r>
            <w:r w:rsidRPr="002E0A56">
              <w:rPr>
                <w:rFonts w:ascii="Calibri" w:eastAsia="Calibri" w:hAnsi="Calibri" w:cs="Times New Roman"/>
                <w:sz w:val="16"/>
                <w:szCs w:val="22"/>
                <w:lang w:val="en-US" w:bidi="en-GB"/>
              </w:rPr>
              <w:t>, and clinical protocols.</w:t>
            </w:r>
          </w:p>
        </w:tc>
      </w:tr>
      <w:tr w:rsidR="009273EC" w:rsidRPr="002E0A56" w14:paraId="78425BF4" w14:textId="77777777" w:rsidTr="00F131CF">
        <w:trPr>
          <w:trHeight w:val="1637"/>
        </w:trPr>
        <w:tc>
          <w:tcPr>
            <w:tcW w:w="778" w:type="dxa"/>
            <w:tcBorders>
              <w:top w:val="single" w:sz="4" w:space="0" w:color="000000"/>
              <w:left w:val="single" w:sz="4" w:space="0" w:color="000000"/>
              <w:bottom w:val="single" w:sz="4" w:space="0" w:color="000000"/>
              <w:right w:val="single" w:sz="4" w:space="0" w:color="000000"/>
            </w:tcBorders>
            <w:shd w:val="clear" w:color="auto" w:fill="F1F1F1"/>
          </w:tcPr>
          <w:p w14:paraId="3058CB3A" w14:textId="77777777"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Moscone et al. 2019</w:t>
            </w:r>
          </w:p>
        </w:tc>
        <w:tc>
          <w:tcPr>
            <w:tcW w:w="3466" w:type="dxa"/>
            <w:tcBorders>
              <w:top w:val="single" w:sz="4" w:space="0" w:color="000000"/>
              <w:left w:val="single" w:sz="4" w:space="0" w:color="000000"/>
              <w:bottom w:val="single" w:sz="4" w:space="0" w:color="000000"/>
              <w:right w:val="single" w:sz="4" w:space="0" w:color="000000"/>
            </w:tcBorders>
          </w:tcPr>
          <w:p w14:paraId="597939E0" w14:textId="336B1B7F"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To investigate empirically whether there are differences in healthcare quality between public and private hospitals treating publicly</w:t>
            </w:r>
            <w:r w:rsidR="00E154DD">
              <w:rPr>
                <w:rFonts w:ascii="Calibri" w:eastAsia="Calibri" w:hAnsi="Calibri" w:cs="Times New Roman"/>
                <w:sz w:val="16"/>
                <w:szCs w:val="22"/>
                <w:lang w:val="en-US" w:bidi="en-GB"/>
              </w:rPr>
              <w:t xml:space="preserve"> </w:t>
            </w:r>
            <w:r w:rsidRPr="002E0A56">
              <w:rPr>
                <w:rFonts w:ascii="Calibri" w:eastAsia="Calibri" w:hAnsi="Calibri" w:cs="Times New Roman"/>
                <w:sz w:val="16"/>
                <w:szCs w:val="22"/>
                <w:lang w:val="en-US" w:bidi="en-GB"/>
              </w:rPr>
              <w:t>funded patients in Italy, who seek elective and emergency treatments</w:t>
            </w:r>
          </w:p>
        </w:tc>
        <w:tc>
          <w:tcPr>
            <w:tcW w:w="1456" w:type="dxa"/>
            <w:tcBorders>
              <w:top w:val="single" w:sz="4" w:space="0" w:color="000000"/>
              <w:left w:val="single" w:sz="4" w:space="0" w:color="000000"/>
              <w:bottom w:val="single" w:sz="4" w:space="0" w:color="000000"/>
              <w:right w:val="single" w:sz="4" w:space="0" w:color="000000"/>
            </w:tcBorders>
          </w:tcPr>
          <w:p w14:paraId="1AAE1CFF" w14:textId="77777777"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Public compared with private facilities</w:t>
            </w:r>
          </w:p>
        </w:tc>
        <w:tc>
          <w:tcPr>
            <w:tcW w:w="3155" w:type="dxa"/>
            <w:tcBorders>
              <w:top w:val="single" w:sz="4" w:space="0" w:color="000000"/>
              <w:left w:val="single" w:sz="4" w:space="0" w:color="000000"/>
              <w:bottom w:val="single" w:sz="4" w:space="0" w:color="000000"/>
              <w:right w:val="single" w:sz="4" w:space="0" w:color="000000"/>
            </w:tcBorders>
          </w:tcPr>
          <w:p w14:paraId="249B1537" w14:textId="77777777"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 xml:space="preserve">Acute myocardial infarction, stroke, hip and knee replacement patients admitted to 189 Italian hospitals located in the Lombardy region between 2012 and 2014. </w:t>
            </w:r>
          </w:p>
        </w:tc>
        <w:tc>
          <w:tcPr>
            <w:tcW w:w="4095" w:type="dxa"/>
            <w:tcBorders>
              <w:top w:val="single" w:sz="4" w:space="0" w:color="000000"/>
              <w:left w:val="single" w:sz="4" w:space="0" w:color="000000"/>
              <w:bottom w:val="single" w:sz="4" w:space="0" w:color="000000"/>
              <w:right w:val="single" w:sz="4" w:space="0" w:color="000000"/>
            </w:tcBorders>
          </w:tcPr>
          <w:p w14:paraId="6C89A9C2" w14:textId="77777777"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When public and private hospitals are subject to the same payment system, the evidence on whether private hospitals provide higher quality than public hospitals is mixed.</w:t>
            </w:r>
          </w:p>
        </w:tc>
      </w:tr>
      <w:tr w:rsidR="009273EC" w:rsidRPr="002E0A56" w14:paraId="2BFD795E" w14:textId="77777777" w:rsidTr="00F131CF">
        <w:trPr>
          <w:trHeight w:val="1637"/>
        </w:trPr>
        <w:tc>
          <w:tcPr>
            <w:tcW w:w="778" w:type="dxa"/>
            <w:tcBorders>
              <w:top w:val="single" w:sz="4" w:space="0" w:color="000000"/>
              <w:left w:val="single" w:sz="4" w:space="0" w:color="000000"/>
              <w:bottom w:val="single" w:sz="4" w:space="0" w:color="000000"/>
              <w:right w:val="single" w:sz="4" w:space="0" w:color="000000"/>
            </w:tcBorders>
            <w:shd w:val="clear" w:color="auto" w:fill="F1F1F1"/>
          </w:tcPr>
          <w:p w14:paraId="24CE8FCF" w14:textId="77777777"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lastRenderedPageBreak/>
              <w:t xml:space="preserve">Naylor et al. 2016 </w:t>
            </w:r>
          </w:p>
        </w:tc>
        <w:tc>
          <w:tcPr>
            <w:tcW w:w="3466" w:type="dxa"/>
            <w:tcBorders>
              <w:top w:val="single" w:sz="4" w:space="0" w:color="000000"/>
              <w:left w:val="single" w:sz="4" w:space="0" w:color="000000"/>
              <w:bottom w:val="single" w:sz="4" w:space="0" w:color="000000"/>
              <w:right w:val="single" w:sz="4" w:space="0" w:color="000000"/>
            </w:tcBorders>
          </w:tcPr>
          <w:p w14:paraId="236FCEE5" w14:textId="77777777"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To determine in a knee or hip arthroplasty cohort, if surgery in the private sector predicts greater overall satisfaction with the acute-care experience and greater likelihood to recommend the same hospital</w:t>
            </w:r>
          </w:p>
        </w:tc>
        <w:tc>
          <w:tcPr>
            <w:tcW w:w="1456" w:type="dxa"/>
            <w:tcBorders>
              <w:top w:val="single" w:sz="4" w:space="0" w:color="000000"/>
              <w:left w:val="single" w:sz="4" w:space="0" w:color="000000"/>
              <w:bottom w:val="single" w:sz="4" w:space="0" w:color="000000"/>
              <w:right w:val="single" w:sz="4" w:space="0" w:color="000000"/>
            </w:tcBorders>
          </w:tcPr>
          <w:p w14:paraId="1360E0BD" w14:textId="77777777"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Public compared with private facilities</w:t>
            </w:r>
          </w:p>
        </w:tc>
        <w:tc>
          <w:tcPr>
            <w:tcW w:w="3155" w:type="dxa"/>
            <w:tcBorders>
              <w:top w:val="single" w:sz="4" w:space="0" w:color="000000"/>
              <w:left w:val="single" w:sz="4" w:space="0" w:color="000000"/>
              <w:bottom w:val="single" w:sz="4" w:space="0" w:color="000000"/>
              <w:right w:val="single" w:sz="4" w:space="0" w:color="000000"/>
            </w:tcBorders>
          </w:tcPr>
          <w:p w14:paraId="069A7952" w14:textId="77777777"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Hip and knee replacement patients in Australia from 2014-2015. Telephone survey with 457 survey responders (210 private).</w:t>
            </w:r>
          </w:p>
        </w:tc>
        <w:tc>
          <w:tcPr>
            <w:tcW w:w="4095" w:type="dxa"/>
            <w:tcBorders>
              <w:top w:val="single" w:sz="4" w:space="0" w:color="000000"/>
              <w:left w:val="single" w:sz="4" w:space="0" w:color="000000"/>
              <w:bottom w:val="single" w:sz="4" w:space="0" w:color="000000"/>
              <w:right w:val="single" w:sz="4" w:space="0" w:color="000000"/>
            </w:tcBorders>
          </w:tcPr>
          <w:p w14:paraId="6F2CFD47" w14:textId="77777777"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Arthroplasty consumers treated in the private sector are not more satisfied with their acute-care experience nor are they more likely to recommend their hospital provider. Rather, avoidance of complications in either sector appears to result in improved satisfaction as well as a greater likelihood that patients would recommend their hospital provider.</w:t>
            </w:r>
          </w:p>
        </w:tc>
      </w:tr>
      <w:tr w:rsidR="009273EC" w:rsidRPr="002E0A56" w14:paraId="3FC9A30D" w14:textId="77777777" w:rsidTr="00F131CF">
        <w:trPr>
          <w:trHeight w:val="1637"/>
        </w:trPr>
        <w:tc>
          <w:tcPr>
            <w:tcW w:w="778" w:type="dxa"/>
            <w:tcBorders>
              <w:top w:val="single" w:sz="4" w:space="0" w:color="000000"/>
              <w:left w:val="single" w:sz="4" w:space="0" w:color="000000"/>
              <w:bottom w:val="single" w:sz="4" w:space="0" w:color="000000"/>
              <w:right w:val="single" w:sz="4" w:space="0" w:color="000000"/>
            </w:tcBorders>
            <w:shd w:val="clear" w:color="auto" w:fill="F1F1F1"/>
          </w:tcPr>
          <w:p w14:paraId="3625C645" w14:textId="2FCFCD92" w:rsidR="002E0A56" w:rsidRPr="002E0A56" w:rsidRDefault="009E4EC3" w:rsidP="009273EC">
            <w:pPr>
              <w:spacing w:before="0" w:after="0" w:line="240" w:lineRule="auto"/>
              <w:rPr>
                <w:rFonts w:ascii="Calibri" w:eastAsia="Calibri" w:hAnsi="Calibri" w:cs="Times New Roman"/>
                <w:sz w:val="16"/>
                <w:szCs w:val="22"/>
                <w:lang w:val="en-US" w:bidi="en-GB"/>
              </w:rPr>
            </w:pPr>
            <w:r w:rsidRPr="009E4EC3">
              <w:rPr>
                <w:rFonts w:ascii="Calibri" w:eastAsia="Calibri" w:hAnsi="Calibri" w:cs="Times New Roman"/>
                <w:sz w:val="16"/>
                <w:szCs w:val="22"/>
                <w:lang w:bidi="en-GB"/>
              </w:rPr>
              <w:t>Pager and McCluskey</w:t>
            </w:r>
            <w:r>
              <w:rPr>
                <w:rFonts w:ascii="Calibri" w:eastAsia="Calibri" w:hAnsi="Calibri" w:cs="Times New Roman"/>
                <w:sz w:val="16"/>
                <w:szCs w:val="22"/>
                <w:lang w:val="en-US" w:bidi="en-GB"/>
              </w:rPr>
              <w:t xml:space="preserve"> </w:t>
            </w:r>
            <w:r w:rsidR="002E0A56" w:rsidRPr="002E0A56">
              <w:rPr>
                <w:rFonts w:ascii="Calibri" w:eastAsia="Calibri" w:hAnsi="Calibri" w:cs="Times New Roman"/>
                <w:sz w:val="16"/>
                <w:szCs w:val="22"/>
                <w:lang w:val="en-US" w:bidi="en-GB"/>
              </w:rPr>
              <w:t>2004</w:t>
            </w:r>
          </w:p>
        </w:tc>
        <w:tc>
          <w:tcPr>
            <w:tcW w:w="3466" w:type="dxa"/>
            <w:tcBorders>
              <w:top w:val="single" w:sz="4" w:space="0" w:color="000000"/>
              <w:left w:val="single" w:sz="4" w:space="0" w:color="000000"/>
              <w:bottom w:val="single" w:sz="4" w:space="0" w:color="000000"/>
              <w:right w:val="single" w:sz="4" w:space="0" w:color="000000"/>
            </w:tcBorders>
          </w:tcPr>
          <w:p w14:paraId="6234049B" w14:textId="3909BA5B"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To compare samples of private and public patients</w:t>
            </w:r>
            <w:r w:rsidR="006D4DB7">
              <w:rPr>
                <w:rFonts w:ascii="Calibri" w:eastAsia="Calibri" w:hAnsi="Calibri" w:cs="Times New Roman"/>
                <w:sz w:val="16"/>
                <w:szCs w:val="22"/>
                <w:lang w:val="en-US" w:bidi="en-GB"/>
              </w:rPr>
              <w:t>’</w:t>
            </w:r>
            <w:r w:rsidRPr="002E0A56">
              <w:rPr>
                <w:rFonts w:ascii="Calibri" w:eastAsia="Calibri" w:hAnsi="Calibri" w:cs="Times New Roman"/>
                <w:sz w:val="16"/>
                <w:szCs w:val="22"/>
                <w:lang w:val="en-US" w:bidi="en-GB"/>
              </w:rPr>
              <w:t xml:space="preserve"> priorities and satisfaction undergoing day-stay cataract surgery</w:t>
            </w:r>
          </w:p>
        </w:tc>
        <w:tc>
          <w:tcPr>
            <w:tcW w:w="1456" w:type="dxa"/>
            <w:tcBorders>
              <w:top w:val="single" w:sz="4" w:space="0" w:color="000000"/>
              <w:left w:val="single" w:sz="4" w:space="0" w:color="000000"/>
              <w:bottom w:val="single" w:sz="4" w:space="0" w:color="000000"/>
              <w:right w:val="single" w:sz="4" w:space="0" w:color="000000"/>
            </w:tcBorders>
          </w:tcPr>
          <w:p w14:paraId="00A1895A" w14:textId="77777777"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Public compared with private facilities</w:t>
            </w:r>
          </w:p>
        </w:tc>
        <w:tc>
          <w:tcPr>
            <w:tcW w:w="3155" w:type="dxa"/>
            <w:tcBorders>
              <w:top w:val="single" w:sz="4" w:space="0" w:color="000000"/>
              <w:left w:val="single" w:sz="4" w:space="0" w:color="000000"/>
              <w:bottom w:val="single" w:sz="4" w:space="0" w:color="000000"/>
              <w:right w:val="single" w:sz="4" w:space="0" w:color="000000"/>
            </w:tcBorders>
          </w:tcPr>
          <w:p w14:paraId="501EE968" w14:textId="77777777"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 xml:space="preserve">Cataract surgery patients. Forty-two public patients and 39 private patients in Sydney, Australia between April and June 2002. </w:t>
            </w:r>
          </w:p>
        </w:tc>
        <w:tc>
          <w:tcPr>
            <w:tcW w:w="4095" w:type="dxa"/>
            <w:tcBorders>
              <w:top w:val="single" w:sz="4" w:space="0" w:color="000000"/>
              <w:left w:val="single" w:sz="4" w:space="0" w:color="000000"/>
              <w:bottom w:val="single" w:sz="4" w:space="0" w:color="000000"/>
              <w:right w:val="single" w:sz="4" w:space="0" w:color="000000"/>
            </w:tcBorders>
          </w:tcPr>
          <w:p w14:paraId="4CED1EF6" w14:textId="77777777"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The dearth of information received by public patients raises important questions whether their surgery decision was sufficiently individualized or adequately consented. Patient satisfaction is an important health outcome, and understanding both the domains of satisfaction, as well as their relative importance to patients, is necessary to improve the overall quality of patient care.</w:t>
            </w:r>
          </w:p>
        </w:tc>
      </w:tr>
      <w:tr w:rsidR="009273EC" w:rsidRPr="002E0A56" w14:paraId="1F19FE79" w14:textId="77777777" w:rsidTr="00F131CF">
        <w:trPr>
          <w:trHeight w:val="1637"/>
        </w:trPr>
        <w:tc>
          <w:tcPr>
            <w:tcW w:w="778" w:type="dxa"/>
            <w:tcBorders>
              <w:top w:val="single" w:sz="4" w:space="0" w:color="000000"/>
              <w:left w:val="single" w:sz="4" w:space="0" w:color="000000"/>
              <w:bottom w:val="single" w:sz="4" w:space="0" w:color="000000"/>
              <w:right w:val="single" w:sz="4" w:space="0" w:color="000000"/>
            </w:tcBorders>
            <w:shd w:val="clear" w:color="auto" w:fill="F1F1F1"/>
          </w:tcPr>
          <w:p w14:paraId="358101D7" w14:textId="77777777" w:rsidR="002E0A56" w:rsidRPr="002E0A56" w:rsidRDefault="002E0A56" w:rsidP="009273EC">
            <w:pPr>
              <w:spacing w:before="0" w:after="0" w:line="240" w:lineRule="auto"/>
              <w:rPr>
                <w:rFonts w:ascii="Calibri" w:eastAsia="Calibri" w:hAnsi="Calibri" w:cs="Times New Roman"/>
                <w:sz w:val="16"/>
                <w:szCs w:val="22"/>
                <w:lang w:val="en-US" w:bidi="en-GB"/>
              </w:rPr>
            </w:pPr>
            <w:proofErr w:type="spellStart"/>
            <w:r w:rsidRPr="002E0A56">
              <w:rPr>
                <w:rFonts w:ascii="Calibri" w:eastAsia="Calibri" w:hAnsi="Calibri" w:cs="Times New Roman"/>
                <w:sz w:val="16"/>
                <w:szCs w:val="22"/>
                <w:lang w:val="en-US" w:bidi="en-GB"/>
              </w:rPr>
              <w:t>Perotin</w:t>
            </w:r>
            <w:proofErr w:type="spellEnd"/>
            <w:r w:rsidRPr="002E0A56">
              <w:rPr>
                <w:rFonts w:ascii="Calibri" w:eastAsia="Calibri" w:hAnsi="Calibri" w:cs="Times New Roman"/>
                <w:sz w:val="16"/>
                <w:szCs w:val="22"/>
                <w:lang w:val="en-US" w:bidi="en-GB"/>
              </w:rPr>
              <w:t xml:space="preserve"> et al. 2013 </w:t>
            </w:r>
          </w:p>
        </w:tc>
        <w:tc>
          <w:tcPr>
            <w:tcW w:w="3466" w:type="dxa"/>
            <w:tcBorders>
              <w:top w:val="single" w:sz="4" w:space="0" w:color="000000"/>
              <w:left w:val="single" w:sz="4" w:space="0" w:color="000000"/>
              <w:bottom w:val="single" w:sz="4" w:space="0" w:color="000000"/>
              <w:right w:val="single" w:sz="4" w:space="0" w:color="000000"/>
            </w:tcBorders>
          </w:tcPr>
          <w:p w14:paraId="31305FF6" w14:textId="77777777"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To investigate whether hospital ownership has an effect on the level of quality reported by patients in the areas of information and interpersonal care, respect for privacy, dignity, hospitality and delays</w:t>
            </w:r>
          </w:p>
        </w:tc>
        <w:tc>
          <w:tcPr>
            <w:tcW w:w="1456" w:type="dxa"/>
            <w:tcBorders>
              <w:top w:val="single" w:sz="4" w:space="0" w:color="000000"/>
              <w:left w:val="single" w:sz="4" w:space="0" w:color="000000"/>
              <w:bottom w:val="single" w:sz="4" w:space="0" w:color="000000"/>
              <w:right w:val="single" w:sz="4" w:space="0" w:color="000000"/>
            </w:tcBorders>
          </w:tcPr>
          <w:p w14:paraId="27DE2574" w14:textId="77777777"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Public compared with private hospitals</w:t>
            </w:r>
          </w:p>
        </w:tc>
        <w:tc>
          <w:tcPr>
            <w:tcW w:w="3155" w:type="dxa"/>
            <w:tcBorders>
              <w:top w:val="single" w:sz="4" w:space="0" w:color="000000"/>
              <w:left w:val="single" w:sz="4" w:space="0" w:color="000000"/>
              <w:bottom w:val="single" w:sz="4" w:space="0" w:color="000000"/>
              <w:right w:val="single" w:sz="4" w:space="0" w:color="000000"/>
            </w:tcBorders>
          </w:tcPr>
          <w:p w14:paraId="104F98C1" w14:textId="77777777"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Patients following discharge from public (NHS) and private (ISTC) facilities from 2007 to 2008 in the UK, who are selected to complete a postal questionnaire. 21 680 cases in NHS hospitals and 16 767 cases in ISTCs (linked to 2007 NHS trust Inpatient Survey and the 2007 and 2008 ISTC Inpatient and Day Case quarterly patient surveys)</w:t>
            </w:r>
          </w:p>
        </w:tc>
        <w:tc>
          <w:tcPr>
            <w:tcW w:w="4095" w:type="dxa"/>
            <w:tcBorders>
              <w:top w:val="single" w:sz="4" w:space="0" w:color="000000"/>
              <w:left w:val="single" w:sz="4" w:space="0" w:color="000000"/>
              <w:bottom w:val="single" w:sz="4" w:space="0" w:color="000000"/>
              <w:right w:val="single" w:sz="4" w:space="0" w:color="000000"/>
            </w:tcBorders>
          </w:tcPr>
          <w:p w14:paraId="58A3CDC6" w14:textId="77777777"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ISTCs scored better on the all-round quality and prompt discharge factors, but the analysis revealed a pattern in the data in which some hospitals score higher on the series of questions regarding the information provided to patients and relatively lower on questions regarding comfort while others score more highly on questions regarding comfort and relatively less on information questions. Public sector hospitals were closer to the more information end and private sector ones to the comfort one.</w:t>
            </w:r>
          </w:p>
        </w:tc>
      </w:tr>
      <w:tr w:rsidR="009273EC" w:rsidRPr="002E0A56" w14:paraId="4065D8BD" w14:textId="77777777" w:rsidTr="00F131CF">
        <w:trPr>
          <w:trHeight w:val="1637"/>
        </w:trPr>
        <w:tc>
          <w:tcPr>
            <w:tcW w:w="778" w:type="dxa"/>
            <w:tcBorders>
              <w:top w:val="single" w:sz="4" w:space="0" w:color="000000"/>
              <w:left w:val="single" w:sz="4" w:space="0" w:color="000000"/>
              <w:bottom w:val="single" w:sz="4" w:space="0" w:color="000000"/>
              <w:right w:val="single" w:sz="4" w:space="0" w:color="000000"/>
            </w:tcBorders>
            <w:shd w:val="clear" w:color="auto" w:fill="F1F1F1"/>
          </w:tcPr>
          <w:p w14:paraId="43441DC1" w14:textId="77777777" w:rsidR="002E0A56" w:rsidRPr="002E0A56" w:rsidRDefault="002E0A56" w:rsidP="009273EC">
            <w:pPr>
              <w:spacing w:before="0" w:after="0" w:line="240" w:lineRule="auto"/>
              <w:rPr>
                <w:rFonts w:ascii="Calibri" w:eastAsia="Calibri" w:hAnsi="Calibri" w:cs="Times New Roman"/>
                <w:sz w:val="16"/>
                <w:szCs w:val="22"/>
                <w:lang w:val="en-US" w:bidi="en-GB"/>
              </w:rPr>
            </w:pPr>
            <w:proofErr w:type="spellStart"/>
            <w:r w:rsidRPr="002E0A56">
              <w:rPr>
                <w:rFonts w:ascii="Calibri" w:eastAsia="Calibri" w:hAnsi="Calibri" w:cs="Times New Roman"/>
                <w:sz w:val="16"/>
                <w:szCs w:val="22"/>
                <w:lang w:val="en-US" w:bidi="en-GB"/>
              </w:rPr>
              <w:t>Siciliani</w:t>
            </w:r>
            <w:proofErr w:type="spellEnd"/>
            <w:r w:rsidRPr="002E0A56">
              <w:rPr>
                <w:rFonts w:ascii="Calibri" w:eastAsia="Calibri" w:hAnsi="Calibri" w:cs="Times New Roman"/>
                <w:sz w:val="16"/>
                <w:szCs w:val="22"/>
                <w:lang w:val="en-US" w:bidi="en-GB"/>
              </w:rPr>
              <w:t xml:space="preserve"> et al. 2013 </w:t>
            </w:r>
          </w:p>
        </w:tc>
        <w:tc>
          <w:tcPr>
            <w:tcW w:w="3466" w:type="dxa"/>
            <w:tcBorders>
              <w:top w:val="single" w:sz="4" w:space="0" w:color="000000"/>
              <w:left w:val="single" w:sz="4" w:space="0" w:color="000000"/>
              <w:bottom w:val="single" w:sz="4" w:space="0" w:color="000000"/>
              <w:right w:val="single" w:sz="4" w:space="0" w:color="000000"/>
            </w:tcBorders>
          </w:tcPr>
          <w:p w14:paraId="27365EFD" w14:textId="193AD8EC"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 xml:space="preserve">To investigate differences in patients’ length of stay between public hospitals, specialized public treatment </w:t>
            </w:r>
            <w:proofErr w:type="spellStart"/>
            <w:r w:rsidRPr="002E0A56">
              <w:rPr>
                <w:rFonts w:ascii="Calibri" w:eastAsia="Calibri" w:hAnsi="Calibri" w:cs="Times New Roman"/>
                <w:sz w:val="16"/>
                <w:szCs w:val="22"/>
                <w:lang w:val="en-US" w:bidi="en-GB"/>
              </w:rPr>
              <w:t>centres</w:t>
            </w:r>
            <w:proofErr w:type="spellEnd"/>
            <w:r w:rsidRPr="002E0A56">
              <w:rPr>
                <w:rFonts w:ascii="Calibri" w:eastAsia="Calibri" w:hAnsi="Calibri" w:cs="Times New Roman"/>
                <w:sz w:val="16"/>
                <w:szCs w:val="22"/>
                <w:lang w:val="en-US" w:bidi="en-GB"/>
              </w:rPr>
              <w:t xml:space="preserve"> and private treatment </w:t>
            </w:r>
            <w:proofErr w:type="spellStart"/>
            <w:r w:rsidRPr="002E0A56">
              <w:rPr>
                <w:rFonts w:ascii="Calibri" w:eastAsia="Calibri" w:hAnsi="Calibri" w:cs="Times New Roman"/>
                <w:sz w:val="16"/>
                <w:szCs w:val="22"/>
                <w:lang w:val="en-US" w:bidi="en-GB"/>
              </w:rPr>
              <w:t>centres</w:t>
            </w:r>
            <w:proofErr w:type="spellEnd"/>
            <w:r w:rsidRPr="002E0A56">
              <w:rPr>
                <w:rFonts w:ascii="Calibri" w:eastAsia="Calibri" w:hAnsi="Calibri" w:cs="Times New Roman"/>
                <w:sz w:val="16"/>
                <w:szCs w:val="22"/>
                <w:lang w:val="en-US" w:bidi="en-GB"/>
              </w:rPr>
              <w:t xml:space="preserve"> that provide elective (non- emergency) hip replacement to publicly funded patients</w:t>
            </w:r>
          </w:p>
        </w:tc>
        <w:tc>
          <w:tcPr>
            <w:tcW w:w="1456" w:type="dxa"/>
            <w:tcBorders>
              <w:top w:val="single" w:sz="4" w:space="0" w:color="000000"/>
              <w:left w:val="single" w:sz="4" w:space="0" w:color="000000"/>
              <w:bottom w:val="single" w:sz="4" w:space="0" w:color="000000"/>
              <w:right w:val="single" w:sz="4" w:space="0" w:color="000000"/>
            </w:tcBorders>
          </w:tcPr>
          <w:p w14:paraId="6BE6DCA2" w14:textId="77777777"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 xml:space="preserve">Public hospitals compared to specialized public treatment </w:t>
            </w:r>
            <w:proofErr w:type="spellStart"/>
            <w:r w:rsidRPr="002E0A56">
              <w:rPr>
                <w:rFonts w:ascii="Calibri" w:eastAsia="Calibri" w:hAnsi="Calibri" w:cs="Times New Roman"/>
                <w:sz w:val="16"/>
                <w:szCs w:val="22"/>
                <w:lang w:val="en-US" w:bidi="en-GB"/>
              </w:rPr>
              <w:t>centres</w:t>
            </w:r>
            <w:proofErr w:type="spellEnd"/>
            <w:r w:rsidRPr="002E0A56">
              <w:rPr>
                <w:rFonts w:ascii="Calibri" w:eastAsia="Calibri" w:hAnsi="Calibri" w:cs="Times New Roman"/>
                <w:sz w:val="16"/>
                <w:szCs w:val="22"/>
                <w:lang w:val="en-US" w:bidi="en-GB"/>
              </w:rPr>
              <w:t xml:space="preserve">, and private treatment </w:t>
            </w:r>
            <w:proofErr w:type="spellStart"/>
            <w:r w:rsidRPr="002E0A56">
              <w:rPr>
                <w:rFonts w:ascii="Calibri" w:eastAsia="Calibri" w:hAnsi="Calibri" w:cs="Times New Roman"/>
                <w:sz w:val="16"/>
                <w:szCs w:val="22"/>
                <w:lang w:val="en-US" w:bidi="en-GB"/>
              </w:rPr>
              <w:t>centres</w:t>
            </w:r>
            <w:proofErr w:type="spellEnd"/>
          </w:p>
        </w:tc>
        <w:tc>
          <w:tcPr>
            <w:tcW w:w="3155" w:type="dxa"/>
            <w:tcBorders>
              <w:top w:val="single" w:sz="4" w:space="0" w:color="000000"/>
              <w:left w:val="single" w:sz="4" w:space="0" w:color="000000"/>
              <w:bottom w:val="single" w:sz="4" w:space="0" w:color="000000"/>
              <w:right w:val="single" w:sz="4" w:space="0" w:color="000000"/>
            </w:tcBorders>
          </w:tcPr>
          <w:p w14:paraId="12AB330F" w14:textId="7775EAEB"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 xml:space="preserve">Patients who received primary hip replacement funded by the English NHS for financial year 2006-2007. (42 948 patients, of which 1 841 were treated at 173 public treatment </w:t>
            </w:r>
            <w:proofErr w:type="spellStart"/>
            <w:r w:rsidRPr="002E0A56">
              <w:rPr>
                <w:rFonts w:ascii="Calibri" w:eastAsia="Calibri" w:hAnsi="Calibri" w:cs="Times New Roman"/>
                <w:sz w:val="16"/>
                <w:szCs w:val="22"/>
                <w:lang w:val="en-US" w:bidi="en-GB"/>
              </w:rPr>
              <w:t>centres</w:t>
            </w:r>
            <w:proofErr w:type="spellEnd"/>
            <w:r w:rsidRPr="002E0A56">
              <w:rPr>
                <w:rFonts w:ascii="Calibri" w:eastAsia="Calibri" w:hAnsi="Calibri" w:cs="Times New Roman"/>
                <w:sz w:val="16"/>
                <w:szCs w:val="22"/>
                <w:lang w:val="en-US" w:bidi="en-GB"/>
              </w:rPr>
              <w:t xml:space="preserve"> and 6 specialized treatment </w:t>
            </w:r>
            <w:proofErr w:type="spellStart"/>
            <w:r w:rsidRPr="002E0A56">
              <w:rPr>
                <w:rFonts w:ascii="Calibri" w:eastAsia="Calibri" w:hAnsi="Calibri" w:cs="Times New Roman"/>
                <w:sz w:val="16"/>
                <w:szCs w:val="22"/>
                <w:lang w:val="en-US" w:bidi="en-GB"/>
              </w:rPr>
              <w:t>centres</w:t>
            </w:r>
            <w:proofErr w:type="spellEnd"/>
            <w:r w:rsidRPr="002E0A56">
              <w:rPr>
                <w:rFonts w:ascii="Calibri" w:eastAsia="Calibri" w:hAnsi="Calibri" w:cs="Times New Roman"/>
                <w:sz w:val="16"/>
                <w:szCs w:val="22"/>
                <w:lang w:val="en-US" w:bidi="en-GB"/>
              </w:rPr>
              <w:t xml:space="preserve">, and 938 by 14 private treatment </w:t>
            </w:r>
            <w:proofErr w:type="spellStart"/>
            <w:r w:rsidRPr="002E0A56">
              <w:rPr>
                <w:rFonts w:ascii="Calibri" w:eastAsia="Calibri" w:hAnsi="Calibri" w:cs="Times New Roman"/>
                <w:sz w:val="16"/>
                <w:szCs w:val="22"/>
                <w:lang w:val="en-US" w:bidi="en-GB"/>
              </w:rPr>
              <w:t>centres</w:t>
            </w:r>
            <w:proofErr w:type="spellEnd"/>
            <w:r w:rsidRPr="002E0A56">
              <w:rPr>
                <w:rFonts w:ascii="Calibri" w:eastAsia="Calibri" w:hAnsi="Calibri" w:cs="Times New Roman"/>
                <w:sz w:val="16"/>
                <w:szCs w:val="22"/>
                <w:lang w:val="en-US" w:bidi="en-GB"/>
              </w:rPr>
              <w:t>).</w:t>
            </w:r>
          </w:p>
        </w:tc>
        <w:tc>
          <w:tcPr>
            <w:tcW w:w="4095" w:type="dxa"/>
            <w:tcBorders>
              <w:top w:val="single" w:sz="4" w:space="0" w:color="000000"/>
              <w:left w:val="single" w:sz="4" w:space="0" w:color="000000"/>
              <w:bottom w:val="single" w:sz="4" w:space="0" w:color="000000"/>
              <w:right w:val="single" w:sz="4" w:space="0" w:color="000000"/>
            </w:tcBorders>
          </w:tcPr>
          <w:p w14:paraId="4CD271D5" w14:textId="77777777"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 xml:space="preserve">The specialized public treatment </w:t>
            </w:r>
            <w:proofErr w:type="spellStart"/>
            <w:r w:rsidRPr="002E0A56">
              <w:rPr>
                <w:rFonts w:ascii="Calibri" w:eastAsia="Calibri" w:hAnsi="Calibri" w:cs="Times New Roman"/>
                <w:sz w:val="16"/>
                <w:szCs w:val="22"/>
                <w:lang w:val="en-US" w:bidi="en-GB"/>
              </w:rPr>
              <w:t>centres</w:t>
            </w:r>
            <w:proofErr w:type="spellEnd"/>
            <w:r w:rsidRPr="002E0A56">
              <w:rPr>
                <w:rFonts w:ascii="Calibri" w:eastAsia="Calibri" w:hAnsi="Calibri" w:cs="Times New Roman"/>
                <w:sz w:val="16"/>
                <w:szCs w:val="22"/>
                <w:lang w:val="en-US" w:bidi="en-GB"/>
              </w:rPr>
              <w:t xml:space="preserve"> and private treatment </w:t>
            </w:r>
            <w:proofErr w:type="spellStart"/>
            <w:r w:rsidRPr="002E0A56">
              <w:rPr>
                <w:rFonts w:ascii="Calibri" w:eastAsia="Calibri" w:hAnsi="Calibri" w:cs="Times New Roman"/>
                <w:sz w:val="16"/>
                <w:szCs w:val="22"/>
                <w:lang w:val="en-US" w:bidi="en-GB"/>
              </w:rPr>
              <w:t>centres</w:t>
            </w:r>
            <w:proofErr w:type="spellEnd"/>
            <w:r w:rsidRPr="002E0A56">
              <w:rPr>
                <w:rFonts w:ascii="Calibri" w:eastAsia="Calibri" w:hAnsi="Calibri" w:cs="Times New Roman"/>
                <w:sz w:val="16"/>
                <w:szCs w:val="22"/>
                <w:lang w:val="en-US" w:bidi="en-GB"/>
              </w:rPr>
              <w:t xml:space="preserve"> have, on average, respectively 18% and 40% shorter length of stay compared with NHS public hospitals, even after controlling for differences in age, gender, number and type of diagnoses, deprivation and regional variation.</w:t>
            </w:r>
          </w:p>
        </w:tc>
      </w:tr>
      <w:tr w:rsidR="009273EC" w:rsidRPr="002E0A56" w14:paraId="49FDC70B" w14:textId="77777777" w:rsidTr="00F131CF">
        <w:trPr>
          <w:trHeight w:val="1637"/>
        </w:trPr>
        <w:tc>
          <w:tcPr>
            <w:tcW w:w="778" w:type="dxa"/>
            <w:tcBorders>
              <w:top w:val="single" w:sz="4" w:space="0" w:color="000000"/>
              <w:left w:val="single" w:sz="4" w:space="0" w:color="000000"/>
              <w:bottom w:val="single" w:sz="4" w:space="0" w:color="000000"/>
              <w:right w:val="single" w:sz="4" w:space="0" w:color="000000"/>
            </w:tcBorders>
            <w:shd w:val="clear" w:color="auto" w:fill="F1F1F1"/>
          </w:tcPr>
          <w:p w14:paraId="1E3894C4" w14:textId="77777777" w:rsidR="002E0A56" w:rsidRPr="002E0A56" w:rsidRDefault="002E0A56" w:rsidP="009273EC">
            <w:pPr>
              <w:spacing w:before="0" w:after="0" w:line="240" w:lineRule="auto"/>
              <w:rPr>
                <w:rFonts w:ascii="Calibri" w:eastAsia="Calibri" w:hAnsi="Calibri" w:cs="Times New Roman"/>
                <w:sz w:val="16"/>
                <w:szCs w:val="22"/>
                <w:lang w:val="en-US" w:bidi="en-GB"/>
              </w:rPr>
            </w:pPr>
            <w:proofErr w:type="spellStart"/>
            <w:r w:rsidRPr="002E0A56">
              <w:rPr>
                <w:rFonts w:ascii="Calibri" w:eastAsia="Calibri" w:hAnsi="Calibri" w:cs="Times New Roman"/>
                <w:sz w:val="16"/>
                <w:szCs w:val="22"/>
                <w:lang w:val="en-US" w:bidi="en-GB"/>
              </w:rPr>
              <w:t>Solborg</w:t>
            </w:r>
            <w:proofErr w:type="spellEnd"/>
            <w:r w:rsidRPr="002E0A56">
              <w:rPr>
                <w:rFonts w:ascii="Calibri" w:eastAsia="Calibri" w:hAnsi="Calibri" w:cs="Times New Roman"/>
                <w:sz w:val="16"/>
                <w:szCs w:val="22"/>
                <w:lang w:val="en-US" w:bidi="en-GB"/>
              </w:rPr>
              <w:t xml:space="preserve">- Bjerrum et al. 2015 </w:t>
            </w:r>
          </w:p>
        </w:tc>
        <w:tc>
          <w:tcPr>
            <w:tcW w:w="3466" w:type="dxa"/>
            <w:tcBorders>
              <w:top w:val="single" w:sz="4" w:space="0" w:color="000000"/>
              <w:left w:val="single" w:sz="4" w:space="0" w:color="000000"/>
              <w:bottom w:val="single" w:sz="4" w:space="0" w:color="000000"/>
              <w:right w:val="single" w:sz="4" w:space="0" w:color="000000"/>
            </w:tcBorders>
          </w:tcPr>
          <w:p w14:paraId="7BAFEF54" w14:textId="77777777"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 xml:space="preserve">To study the epidemiology and mortality in patients who had cataract surgery in public hospitals and private clinics </w:t>
            </w:r>
          </w:p>
        </w:tc>
        <w:tc>
          <w:tcPr>
            <w:tcW w:w="1456" w:type="dxa"/>
            <w:tcBorders>
              <w:top w:val="single" w:sz="4" w:space="0" w:color="000000"/>
              <w:left w:val="single" w:sz="4" w:space="0" w:color="000000"/>
              <w:bottom w:val="single" w:sz="4" w:space="0" w:color="000000"/>
              <w:right w:val="single" w:sz="4" w:space="0" w:color="000000"/>
            </w:tcBorders>
          </w:tcPr>
          <w:p w14:paraId="277D5856" w14:textId="77777777"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Public compared with private facilities</w:t>
            </w:r>
          </w:p>
        </w:tc>
        <w:tc>
          <w:tcPr>
            <w:tcW w:w="3155" w:type="dxa"/>
            <w:tcBorders>
              <w:top w:val="single" w:sz="4" w:space="0" w:color="000000"/>
              <w:left w:val="single" w:sz="4" w:space="0" w:color="000000"/>
              <w:bottom w:val="single" w:sz="4" w:space="0" w:color="000000"/>
              <w:right w:val="single" w:sz="4" w:space="0" w:color="000000"/>
            </w:tcBorders>
          </w:tcPr>
          <w:p w14:paraId="0EB2A799" w14:textId="77777777" w:rsidR="002E0A56" w:rsidRPr="002E0A56" w:rsidDel="000935B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Cataract Surgery patients in Denmark between 2004 and 2012. 243 856 patients (411 140 cataract operations).</w:t>
            </w:r>
          </w:p>
        </w:tc>
        <w:tc>
          <w:tcPr>
            <w:tcW w:w="4095" w:type="dxa"/>
            <w:tcBorders>
              <w:top w:val="single" w:sz="4" w:space="0" w:color="000000"/>
              <w:left w:val="single" w:sz="4" w:space="0" w:color="000000"/>
              <w:bottom w:val="single" w:sz="4" w:space="0" w:color="000000"/>
              <w:right w:val="single" w:sz="4" w:space="0" w:color="000000"/>
            </w:tcBorders>
          </w:tcPr>
          <w:p w14:paraId="76D44F94" w14:textId="77777777"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In general, patients who had cataract surgery in private hospitals/clinics were healthier, had first eye cataract surgery at an increasingly younger age and had a reduced time interval between cataract surgeries in the two eyes compared to patients who had cataract surgery in public hospitals. The lack of registration of cataract surgery by the private hospitals/clinics limits the quality of the registries.</w:t>
            </w:r>
          </w:p>
        </w:tc>
      </w:tr>
      <w:tr w:rsidR="009273EC" w:rsidRPr="002E0A56" w14:paraId="1F0C863A" w14:textId="77777777" w:rsidTr="00F131CF">
        <w:trPr>
          <w:trHeight w:val="1637"/>
        </w:trPr>
        <w:tc>
          <w:tcPr>
            <w:tcW w:w="778" w:type="dxa"/>
            <w:tcBorders>
              <w:top w:val="single" w:sz="4" w:space="0" w:color="000000"/>
              <w:left w:val="single" w:sz="4" w:space="0" w:color="000000"/>
              <w:bottom w:val="single" w:sz="4" w:space="0" w:color="000000"/>
              <w:right w:val="single" w:sz="4" w:space="0" w:color="000000"/>
            </w:tcBorders>
            <w:shd w:val="clear" w:color="auto" w:fill="F1F1F1"/>
          </w:tcPr>
          <w:p w14:paraId="27C9C897" w14:textId="77777777" w:rsidR="002E0A56" w:rsidRPr="002E0A56" w:rsidRDefault="002E0A56" w:rsidP="009273EC">
            <w:pPr>
              <w:spacing w:before="0" w:after="0" w:line="240" w:lineRule="auto"/>
              <w:rPr>
                <w:rFonts w:ascii="Calibri" w:eastAsia="Calibri" w:hAnsi="Calibri" w:cs="Times New Roman"/>
                <w:sz w:val="16"/>
                <w:szCs w:val="22"/>
                <w:lang w:val="en-US" w:bidi="en-GB"/>
              </w:rPr>
            </w:pPr>
            <w:proofErr w:type="spellStart"/>
            <w:r w:rsidRPr="002E0A56">
              <w:rPr>
                <w:rFonts w:ascii="Calibri" w:eastAsia="Calibri" w:hAnsi="Calibri" w:cs="Times New Roman"/>
                <w:sz w:val="16"/>
                <w:szCs w:val="22"/>
                <w:lang w:val="en-US" w:bidi="en-GB"/>
              </w:rPr>
              <w:lastRenderedPageBreak/>
              <w:t>Solborg</w:t>
            </w:r>
            <w:proofErr w:type="spellEnd"/>
            <w:r w:rsidRPr="002E0A56">
              <w:rPr>
                <w:rFonts w:ascii="Calibri" w:eastAsia="Calibri" w:hAnsi="Calibri" w:cs="Times New Roman"/>
                <w:sz w:val="16"/>
                <w:szCs w:val="22"/>
                <w:lang w:val="en-US" w:bidi="en-GB"/>
              </w:rPr>
              <w:t xml:space="preserve">- Bjerrum et al. 2013 </w:t>
            </w:r>
          </w:p>
        </w:tc>
        <w:tc>
          <w:tcPr>
            <w:tcW w:w="3466" w:type="dxa"/>
            <w:tcBorders>
              <w:top w:val="single" w:sz="4" w:space="0" w:color="000000"/>
              <w:left w:val="single" w:sz="4" w:space="0" w:color="000000"/>
              <w:bottom w:val="single" w:sz="4" w:space="0" w:color="000000"/>
              <w:right w:val="single" w:sz="4" w:space="0" w:color="000000"/>
            </w:tcBorders>
          </w:tcPr>
          <w:p w14:paraId="0321094C" w14:textId="5082B735"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To compare the risk of postoperative endophthalmitis after cataract surgery at eye departments in public hospitals</w:t>
            </w:r>
          </w:p>
        </w:tc>
        <w:tc>
          <w:tcPr>
            <w:tcW w:w="1456" w:type="dxa"/>
            <w:tcBorders>
              <w:top w:val="single" w:sz="4" w:space="0" w:color="000000"/>
              <w:left w:val="single" w:sz="4" w:space="0" w:color="000000"/>
              <w:bottom w:val="single" w:sz="4" w:space="0" w:color="000000"/>
              <w:right w:val="single" w:sz="4" w:space="0" w:color="000000"/>
            </w:tcBorders>
          </w:tcPr>
          <w:p w14:paraId="256E642E" w14:textId="77777777"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Public compared with private facilities</w:t>
            </w:r>
          </w:p>
        </w:tc>
        <w:tc>
          <w:tcPr>
            <w:tcW w:w="3155" w:type="dxa"/>
            <w:tcBorders>
              <w:top w:val="single" w:sz="4" w:space="0" w:color="000000"/>
              <w:left w:val="single" w:sz="4" w:space="0" w:color="000000"/>
              <w:bottom w:val="single" w:sz="4" w:space="0" w:color="000000"/>
              <w:right w:val="single" w:sz="4" w:space="0" w:color="000000"/>
            </w:tcBorders>
          </w:tcPr>
          <w:p w14:paraId="1705FBB4" w14:textId="54047C24"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PE cases in cataract surgery patients identified via the National Public Registry in Denmark between 2002 and 2010 (107 701 registered operations).</w:t>
            </w:r>
          </w:p>
        </w:tc>
        <w:tc>
          <w:tcPr>
            <w:tcW w:w="4095" w:type="dxa"/>
            <w:tcBorders>
              <w:top w:val="single" w:sz="4" w:space="0" w:color="000000"/>
              <w:left w:val="single" w:sz="4" w:space="0" w:color="000000"/>
              <w:bottom w:val="single" w:sz="4" w:space="0" w:color="000000"/>
              <w:right w:val="single" w:sz="4" w:space="0" w:color="000000"/>
            </w:tcBorders>
          </w:tcPr>
          <w:p w14:paraId="5B95DB57" w14:textId="1DFE3F16"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 xml:space="preserve">A few private hospitals/eye clinics had a statistically significantly higher </w:t>
            </w:r>
            <w:r w:rsidR="00D15C28" w:rsidRPr="00D15C28">
              <w:rPr>
                <w:rFonts w:ascii="Calibri" w:eastAsia="Calibri" w:hAnsi="Calibri" w:cs="Times New Roman"/>
                <w:sz w:val="16"/>
                <w:szCs w:val="22"/>
                <w:lang w:val="en-US" w:bidi="en-GB"/>
              </w:rPr>
              <w:t>postoperative endophthalmitis</w:t>
            </w:r>
            <w:r w:rsidRPr="002E0A56">
              <w:rPr>
                <w:rFonts w:ascii="Calibri" w:eastAsia="Calibri" w:hAnsi="Calibri" w:cs="Times New Roman"/>
                <w:sz w:val="16"/>
                <w:szCs w:val="22"/>
                <w:lang w:val="en-US" w:bidi="en-GB"/>
              </w:rPr>
              <w:t xml:space="preserve"> risk than the </w:t>
            </w:r>
            <w:r w:rsidR="00D15C28" w:rsidRPr="00D15C28">
              <w:rPr>
                <w:rFonts w:ascii="Calibri" w:eastAsia="Calibri" w:hAnsi="Calibri" w:cs="Times New Roman"/>
                <w:sz w:val="16"/>
                <w:szCs w:val="22"/>
                <w:lang w:val="en-US" w:bidi="en-GB"/>
              </w:rPr>
              <w:t>postoperative endophthalmitis</w:t>
            </w:r>
            <w:r w:rsidRPr="002E0A56">
              <w:rPr>
                <w:rFonts w:ascii="Calibri" w:eastAsia="Calibri" w:hAnsi="Calibri" w:cs="Times New Roman"/>
                <w:sz w:val="16"/>
                <w:szCs w:val="22"/>
                <w:lang w:val="en-US" w:bidi="en-GB"/>
              </w:rPr>
              <w:t xml:space="preserve"> risk at the eye departments in public hospitals. The lack of registration with the </w:t>
            </w:r>
            <w:r w:rsidR="00D15C28" w:rsidRPr="00D15C28">
              <w:rPr>
                <w:rFonts w:ascii="Calibri" w:eastAsia="Calibri" w:hAnsi="Calibri" w:cs="Times New Roman"/>
                <w:sz w:val="16"/>
                <w:szCs w:val="22"/>
                <w:lang w:val="en-US" w:bidi="en-GB"/>
              </w:rPr>
              <w:t xml:space="preserve">National Public Registry </w:t>
            </w:r>
            <w:r w:rsidRPr="002E0A56">
              <w:rPr>
                <w:rFonts w:ascii="Calibri" w:eastAsia="Calibri" w:hAnsi="Calibri" w:cs="Times New Roman"/>
                <w:sz w:val="16"/>
                <w:szCs w:val="22"/>
                <w:lang w:val="en-US" w:bidi="en-GB"/>
              </w:rPr>
              <w:t>by the private hospitals/eye clinics suggests that better monitoring of cataract surgery is needed in Denmark to reduce risk and to improve quality.</w:t>
            </w:r>
          </w:p>
        </w:tc>
      </w:tr>
      <w:tr w:rsidR="009273EC" w:rsidRPr="002E0A56" w14:paraId="0BA6FE29" w14:textId="77777777" w:rsidTr="00F131CF">
        <w:trPr>
          <w:trHeight w:val="1093"/>
        </w:trPr>
        <w:tc>
          <w:tcPr>
            <w:tcW w:w="778" w:type="dxa"/>
            <w:tcBorders>
              <w:top w:val="single" w:sz="4" w:space="0" w:color="000000"/>
              <w:left w:val="single" w:sz="4" w:space="0" w:color="000000"/>
              <w:bottom w:val="single" w:sz="4" w:space="0" w:color="000000"/>
              <w:right w:val="single" w:sz="4" w:space="0" w:color="000000"/>
            </w:tcBorders>
            <w:shd w:val="clear" w:color="auto" w:fill="F1F1F1"/>
          </w:tcPr>
          <w:p w14:paraId="3E862EF2" w14:textId="77777777"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Street et al. 2010</w:t>
            </w:r>
          </w:p>
        </w:tc>
        <w:tc>
          <w:tcPr>
            <w:tcW w:w="3466" w:type="dxa"/>
            <w:tcBorders>
              <w:top w:val="single" w:sz="4" w:space="0" w:color="000000"/>
              <w:left w:val="single" w:sz="4" w:space="0" w:color="000000"/>
              <w:bottom w:val="single" w:sz="4" w:space="0" w:color="000000"/>
              <w:right w:val="single" w:sz="4" w:space="0" w:color="000000"/>
            </w:tcBorders>
          </w:tcPr>
          <w:p w14:paraId="3CC3C584" w14:textId="548C8DB9"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 xml:space="preserve">To assess the characteristics of patients treated in treatment </w:t>
            </w:r>
            <w:proofErr w:type="spellStart"/>
            <w:r w:rsidRPr="002E0A56">
              <w:rPr>
                <w:rFonts w:ascii="Calibri" w:eastAsia="Calibri" w:hAnsi="Calibri" w:cs="Times New Roman"/>
                <w:sz w:val="16"/>
                <w:szCs w:val="22"/>
                <w:lang w:val="en-US" w:bidi="en-GB"/>
              </w:rPr>
              <w:t>centres</w:t>
            </w:r>
            <w:proofErr w:type="spellEnd"/>
            <w:r w:rsidRPr="002E0A56">
              <w:rPr>
                <w:rFonts w:ascii="Calibri" w:eastAsia="Calibri" w:hAnsi="Calibri" w:cs="Times New Roman"/>
                <w:sz w:val="16"/>
                <w:szCs w:val="22"/>
                <w:lang w:val="en-US" w:bidi="en-GB"/>
              </w:rPr>
              <w:t xml:space="preserve"> and hospitals using the hospital episode statistics (HES) for 2006/7</w:t>
            </w:r>
          </w:p>
        </w:tc>
        <w:tc>
          <w:tcPr>
            <w:tcW w:w="1456" w:type="dxa"/>
            <w:tcBorders>
              <w:top w:val="single" w:sz="4" w:space="0" w:color="000000"/>
              <w:left w:val="single" w:sz="4" w:space="0" w:color="000000"/>
              <w:bottom w:val="single" w:sz="4" w:space="0" w:color="000000"/>
              <w:right w:val="single" w:sz="4" w:space="0" w:color="000000"/>
            </w:tcBorders>
          </w:tcPr>
          <w:p w14:paraId="3D7D3D5C" w14:textId="77777777"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 xml:space="preserve">Hospitals compared with private treatment </w:t>
            </w:r>
            <w:proofErr w:type="spellStart"/>
            <w:r w:rsidRPr="002E0A56">
              <w:rPr>
                <w:rFonts w:ascii="Calibri" w:eastAsia="Calibri" w:hAnsi="Calibri" w:cs="Times New Roman"/>
                <w:sz w:val="16"/>
                <w:szCs w:val="22"/>
                <w:lang w:val="en-US" w:bidi="en-GB"/>
              </w:rPr>
              <w:t>centres</w:t>
            </w:r>
            <w:proofErr w:type="spellEnd"/>
          </w:p>
        </w:tc>
        <w:tc>
          <w:tcPr>
            <w:tcW w:w="3155" w:type="dxa"/>
            <w:tcBorders>
              <w:top w:val="single" w:sz="4" w:space="0" w:color="000000"/>
              <w:left w:val="single" w:sz="4" w:space="0" w:color="000000"/>
              <w:bottom w:val="single" w:sz="4" w:space="0" w:color="000000"/>
              <w:right w:val="single" w:sz="4" w:space="0" w:color="000000"/>
            </w:tcBorders>
          </w:tcPr>
          <w:p w14:paraId="08A7B530" w14:textId="77777777"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 xml:space="preserve">Patients receiving care for one of several defined healthcare resource groups (including hip and knee replacements) in the UK in financial year 2006/07. A total of 3 334 535 patients are included in the analysis, of which 77 358 (2.3%) were treated in treatment </w:t>
            </w:r>
            <w:proofErr w:type="spellStart"/>
            <w:r w:rsidRPr="002E0A56">
              <w:rPr>
                <w:rFonts w:ascii="Calibri" w:eastAsia="Calibri" w:hAnsi="Calibri" w:cs="Times New Roman"/>
                <w:sz w:val="16"/>
                <w:szCs w:val="22"/>
                <w:lang w:val="en-US" w:bidi="en-GB"/>
              </w:rPr>
              <w:t>centres</w:t>
            </w:r>
            <w:proofErr w:type="spellEnd"/>
            <w:r w:rsidRPr="002E0A56">
              <w:rPr>
                <w:rFonts w:ascii="Calibri" w:eastAsia="Calibri" w:hAnsi="Calibri" w:cs="Times New Roman"/>
                <w:sz w:val="16"/>
                <w:szCs w:val="22"/>
                <w:lang w:val="en-US" w:bidi="en-GB"/>
              </w:rPr>
              <w:t>.</w:t>
            </w:r>
          </w:p>
        </w:tc>
        <w:tc>
          <w:tcPr>
            <w:tcW w:w="4095" w:type="dxa"/>
            <w:tcBorders>
              <w:top w:val="single" w:sz="4" w:space="0" w:color="000000"/>
              <w:left w:val="single" w:sz="4" w:space="0" w:color="000000"/>
              <w:bottom w:val="single" w:sz="4" w:space="0" w:color="000000"/>
              <w:right w:val="single" w:sz="4" w:space="0" w:color="000000"/>
            </w:tcBorders>
          </w:tcPr>
          <w:p w14:paraId="24DE9FD9" w14:textId="77777777"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 xml:space="preserve">Patients treated in NHS treatment </w:t>
            </w:r>
            <w:proofErr w:type="spellStart"/>
            <w:r w:rsidRPr="002E0A56">
              <w:rPr>
                <w:rFonts w:ascii="Calibri" w:eastAsia="Calibri" w:hAnsi="Calibri" w:cs="Times New Roman"/>
                <w:sz w:val="16"/>
                <w:szCs w:val="22"/>
                <w:lang w:val="en-US" w:bidi="en-GB"/>
              </w:rPr>
              <w:t>centres</w:t>
            </w:r>
            <w:proofErr w:type="spellEnd"/>
            <w:r w:rsidRPr="002E0A56">
              <w:rPr>
                <w:rFonts w:ascii="Calibri" w:eastAsia="Calibri" w:hAnsi="Calibri" w:cs="Times New Roman"/>
                <w:sz w:val="16"/>
                <w:szCs w:val="22"/>
                <w:lang w:val="en-US" w:bidi="en-GB"/>
              </w:rPr>
              <w:t xml:space="preserve"> tended to have significantly more diagnostic and procedure codes than those treated in private treatment </w:t>
            </w:r>
            <w:proofErr w:type="spellStart"/>
            <w:r w:rsidRPr="002E0A56">
              <w:rPr>
                <w:rFonts w:ascii="Calibri" w:eastAsia="Calibri" w:hAnsi="Calibri" w:cs="Times New Roman"/>
                <w:sz w:val="16"/>
                <w:szCs w:val="22"/>
                <w:lang w:val="en-US" w:bidi="en-GB"/>
              </w:rPr>
              <w:t>centres</w:t>
            </w:r>
            <w:proofErr w:type="spellEnd"/>
            <w:r w:rsidRPr="002E0A56">
              <w:rPr>
                <w:rFonts w:ascii="Calibri" w:eastAsia="Calibri" w:hAnsi="Calibri" w:cs="Times New Roman"/>
                <w:sz w:val="16"/>
                <w:szCs w:val="22"/>
                <w:lang w:val="en-US" w:bidi="en-GB"/>
              </w:rPr>
              <w:t xml:space="preserve">. </w:t>
            </w:r>
          </w:p>
        </w:tc>
      </w:tr>
      <w:tr w:rsidR="009273EC" w:rsidRPr="002E0A56" w14:paraId="447148D4" w14:textId="77777777" w:rsidTr="00F131CF">
        <w:trPr>
          <w:trHeight w:val="1093"/>
        </w:trPr>
        <w:tc>
          <w:tcPr>
            <w:tcW w:w="778" w:type="dxa"/>
            <w:tcBorders>
              <w:top w:val="single" w:sz="4" w:space="0" w:color="000000"/>
              <w:left w:val="single" w:sz="4" w:space="0" w:color="000000"/>
              <w:bottom w:val="single" w:sz="4" w:space="0" w:color="000000"/>
              <w:right w:val="single" w:sz="4" w:space="0" w:color="000000"/>
            </w:tcBorders>
            <w:shd w:val="clear" w:color="auto" w:fill="F1F1F1"/>
          </w:tcPr>
          <w:p w14:paraId="20711275" w14:textId="77777777" w:rsidR="002E0A56" w:rsidRPr="002E0A56" w:rsidRDefault="002E0A56" w:rsidP="009273EC">
            <w:pPr>
              <w:spacing w:before="0" w:after="0" w:line="240" w:lineRule="auto"/>
              <w:rPr>
                <w:rFonts w:ascii="Calibri" w:eastAsia="Calibri" w:hAnsi="Calibri" w:cs="Times New Roman"/>
                <w:sz w:val="16"/>
                <w:szCs w:val="22"/>
                <w:lang w:val="en-US" w:bidi="en-GB"/>
              </w:rPr>
            </w:pPr>
            <w:proofErr w:type="spellStart"/>
            <w:r w:rsidRPr="002E0A56">
              <w:rPr>
                <w:rFonts w:ascii="Calibri" w:eastAsia="Calibri" w:hAnsi="Calibri" w:cs="Times New Roman"/>
                <w:sz w:val="16"/>
                <w:szCs w:val="22"/>
                <w:lang w:val="en-US" w:bidi="en-GB"/>
              </w:rPr>
              <w:t>Tulp</w:t>
            </w:r>
            <w:proofErr w:type="spellEnd"/>
            <w:r w:rsidRPr="002E0A56">
              <w:rPr>
                <w:rFonts w:ascii="Calibri" w:eastAsia="Calibri" w:hAnsi="Calibri" w:cs="Times New Roman"/>
                <w:sz w:val="16"/>
                <w:szCs w:val="22"/>
                <w:lang w:val="en-US" w:bidi="en-GB"/>
              </w:rPr>
              <w:t xml:space="preserve"> et al. 2020</w:t>
            </w:r>
          </w:p>
        </w:tc>
        <w:tc>
          <w:tcPr>
            <w:tcW w:w="3466" w:type="dxa"/>
            <w:tcBorders>
              <w:top w:val="single" w:sz="4" w:space="0" w:color="000000"/>
              <w:left w:val="single" w:sz="4" w:space="0" w:color="000000"/>
              <w:bottom w:val="single" w:sz="4" w:space="0" w:color="000000"/>
              <w:right w:val="single" w:sz="4" w:space="0" w:color="000000"/>
            </w:tcBorders>
          </w:tcPr>
          <w:p w14:paraId="2CDDE8BF" w14:textId="57E69BF8"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 xml:space="preserve">To examine if independent treatment </w:t>
            </w:r>
            <w:proofErr w:type="spellStart"/>
            <w:r w:rsidRPr="002E0A56">
              <w:rPr>
                <w:rFonts w:ascii="Calibri" w:eastAsia="Calibri" w:hAnsi="Calibri" w:cs="Times New Roman"/>
                <w:sz w:val="16"/>
                <w:szCs w:val="22"/>
                <w:lang w:val="en-US" w:bidi="en-GB"/>
              </w:rPr>
              <w:t>centre</w:t>
            </w:r>
            <w:proofErr w:type="spellEnd"/>
            <w:r w:rsidRPr="002E0A56">
              <w:rPr>
                <w:rFonts w:ascii="Calibri" w:eastAsia="Calibri" w:hAnsi="Calibri" w:cs="Times New Roman"/>
                <w:sz w:val="16"/>
                <w:szCs w:val="22"/>
                <w:lang w:val="en-US" w:bidi="en-GB"/>
              </w:rPr>
              <w:t xml:space="preserve"> care outperforms general hospital care within the regulated competition system in Netherlands, by focusing on differences in healthcare quality and price</w:t>
            </w:r>
          </w:p>
        </w:tc>
        <w:tc>
          <w:tcPr>
            <w:tcW w:w="1456" w:type="dxa"/>
            <w:tcBorders>
              <w:top w:val="single" w:sz="4" w:space="0" w:color="000000"/>
              <w:left w:val="single" w:sz="4" w:space="0" w:color="000000"/>
              <w:bottom w:val="single" w:sz="4" w:space="0" w:color="000000"/>
              <w:right w:val="single" w:sz="4" w:space="0" w:color="000000"/>
            </w:tcBorders>
          </w:tcPr>
          <w:p w14:paraId="5836C3D9" w14:textId="77777777"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 xml:space="preserve">Independent treatment </w:t>
            </w:r>
            <w:proofErr w:type="spellStart"/>
            <w:r w:rsidRPr="002E0A56">
              <w:rPr>
                <w:rFonts w:ascii="Calibri" w:eastAsia="Calibri" w:hAnsi="Calibri" w:cs="Times New Roman"/>
                <w:sz w:val="16"/>
                <w:szCs w:val="22"/>
                <w:lang w:val="en-US" w:bidi="en-GB"/>
              </w:rPr>
              <w:t>centres</w:t>
            </w:r>
            <w:proofErr w:type="spellEnd"/>
            <w:r w:rsidRPr="002E0A56">
              <w:rPr>
                <w:rFonts w:ascii="Calibri" w:eastAsia="Calibri" w:hAnsi="Calibri" w:cs="Times New Roman"/>
                <w:sz w:val="16"/>
                <w:szCs w:val="22"/>
                <w:lang w:val="en-US" w:bidi="en-GB"/>
              </w:rPr>
              <w:t xml:space="preserve"> compared with general hospitals</w:t>
            </w:r>
          </w:p>
        </w:tc>
        <w:tc>
          <w:tcPr>
            <w:tcW w:w="3155" w:type="dxa"/>
            <w:tcBorders>
              <w:top w:val="single" w:sz="4" w:space="0" w:color="000000"/>
              <w:left w:val="single" w:sz="4" w:space="0" w:color="000000"/>
              <w:bottom w:val="single" w:sz="4" w:space="0" w:color="000000"/>
              <w:right w:val="single" w:sz="4" w:space="0" w:color="000000"/>
            </w:tcBorders>
          </w:tcPr>
          <w:p w14:paraId="48043B37" w14:textId="1FB0DA91"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Patients who had anterior cruciate ligament surgery, cataract surgery, total hip replacement, total knee replacement, and carpal tunnel syndrome surgery in Dutch hospitals and I</w:t>
            </w:r>
            <w:r w:rsidR="00D15C28">
              <w:rPr>
                <w:rFonts w:ascii="Calibri" w:eastAsia="Calibri" w:hAnsi="Calibri" w:cs="Times New Roman"/>
                <w:sz w:val="16"/>
                <w:szCs w:val="22"/>
                <w:lang w:val="en-US" w:bidi="en-GB"/>
              </w:rPr>
              <w:t>S</w:t>
            </w:r>
            <w:r w:rsidRPr="002E0A56">
              <w:rPr>
                <w:rFonts w:ascii="Calibri" w:eastAsia="Calibri" w:hAnsi="Calibri" w:cs="Times New Roman"/>
                <w:sz w:val="16"/>
                <w:szCs w:val="22"/>
                <w:lang w:val="en-US" w:bidi="en-GB"/>
              </w:rPr>
              <w:t xml:space="preserve">TCs in 2017. </w:t>
            </w:r>
          </w:p>
        </w:tc>
        <w:tc>
          <w:tcPr>
            <w:tcW w:w="4095" w:type="dxa"/>
            <w:tcBorders>
              <w:top w:val="single" w:sz="4" w:space="0" w:color="000000"/>
              <w:left w:val="single" w:sz="4" w:space="0" w:color="000000"/>
              <w:bottom w:val="single" w:sz="4" w:space="0" w:color="000000"/>
              <w:right w:val="single" w:sz="4" w:space="0" w:color="000000"/>
            </w:tcBorders>
          </w:tcPr>
          <w:p w14:paraId="65608F96" w14:textId="3D9D4633"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I</w:t>
            </w:r>
            <w:r w:rsidR="00D15C28">
              <w:rPr>
                <w:rFonts w:ascii="Calibri" w:eastAsia="Calibri" w:hAnsi="Calibri" w:cs="Times New Roman"/>
                <w:sz w:val="16"/>
                <w:szCs w:val="22"/>
                <w:lang w:val="en-US" w:bidi="en-GB"/>
              </w:rPr>
              <w:t>S</w:t>
            </w:r>
            <w:r w:rsidRPr="002E0A56">
              <w:rPr>
                <w:rFonts w:ascii="Calibri" w:eastAsia="Calibri" w:hAnsi="Calibri" w:cs="Times New Roman"/>
                <w:sz w:val="16"/>
                <w:szCs w:val="22"/>
                <w:lang w:val="en-US" w:bidi="en-GB"/>
              </w:rPr>
              <w:t xml:space="preserve">TCs do not seem to deliver higher quality of care compared to general hospitals. </w:t>
            </w:r>
          </w:p>
        </w:tc>
      </w:tr>
      <w:tr w:rsidR="009273EC" w:rsidRPr="002E0A56" w14:paraId="4DA012A3" w14:textId="77777777" w:rsidTr="00F131CF">
        <w:trPr>
          <w:trHeight w:val="488"/>
        </w:trPr>
        <w:tc>
          <w:tcPr>
            <w:tcW w:w="778" w:type="dxa"/>
            <w:tcBorders>
              <w:top w:val="single" w:sz="4" w:space="0" w:color="000000"/>
              <w:left w:val="single" w:sz="4" w:space="0" w:color="000000"/>
              <w:bottom w:val="single" w:sz="4" w:space="0" w:color="000000"/>
              <w:right w:val="single" w:sz="4" w:space="0" w:color="000000"/>
            </w:tcBorders>
            <w:shd w:val="clear" w:color="auto" w:fill="F1F1F1"/>
          </w:tcPr>
          <w:p w14:paraId="4903D6F7" w14:textId="77777777" w:rsidR="002E0A56" w:rsidRPr="002E0A56" w:rsidRDefault="002E0A56" w:rsidP="009273EC">
            <w:pPr>
              <w:spacing w:before="0" w:after="0" w:line="240" w:lineRule="auto"/>
              <w:rPr>
                <w:rFonts w:ascii="Calibri" w:eastAsia="Calibri" w:hAnsi="Calibri" w:cs="Times New Roman"/>
                <w:sz w:val="16"/>
                <w:szCs w:val="22"/>
                <w:lang w:val="en-US" w:bidi="en-GB"/>
              </w:rPr>
            </w:pPr>
            <w:proofErr w:type="spellStart"/>
            <w:r w:rsidRPr="002E0A56">
              <w:rPr>
                <w:rFonts w:ascii="Calibri" w:eastAsia="Calibri" w:hAnsi="Calibri" w:cs="Times New Roman"/>
                <w:sz w:val="16"/>
                <w:szCs w:val="22"/>
                <w:lang w:val="en-US" w:bidi="en-GB"/>
              </w:rPr>
              <w:t>Vanhegan</w:t>
            </w:r>
            <w:proofErr w:type="spellEnd"/>
            <w:r w:rsidRPr="002E0A56">
              <w:rPr>
                <w:rFonts w:ascii="Calibri" w:eastAsia="Calibri" w:hAnsi="Calibri" w:cs="Times New Roman"/>
                <w:sz w:val="16"/>
                <w:szCs w:val="22"/>
                <w:lang w:val="en-US" w:bidi="en-GB"/>
              </w:rPr>
              <w:t xml:space="preserve"> et al. 2015 </w:t>
            </w:r>
          </w:p>
        </w:tc>
        <w:tc>
          <w:tcPr>
            <w:tcW w:w="3466" w:type="dxa"/>
            <w:tcBorders>
              <w:top w:val="single" w:sz="4" w:space="0" w:color="000000"/>
              <w:left w:val="single" w:sz="4" w:space="0" w:color="000000"/>
              <w:bottom w:val="single" w:sz="4" w:space="0" w:color="000000"/>
              <w:right w:val="single" w:sz="4" w:space="0" w:color="000000"/>
            </w:tcBorders>
          </w:tcPr>
          <w:p w14:paraId="335A956D" w14:textId="77777777"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To investigate the effect on productivity of operating theatres (individual surgeons) working in the ISTCs compared with those working in the Acute Hospital Trust</w:t>
            </w:r>
          </w:p>
        </w:tc>
        <w:tc>
          <w:tcPr>
            <w:tcW w:w="1456" w:type="dxa"/>
            <w:tcBorders>
              <w:top w:val="single" w:sz="4" w:space="0" w:color="000000"/>
              <w:left w:val="single" w:sz="4" w:space="0" w:color="000000"/>
              <w:bottom w:val="single" w:sz="4" w:space="0" w:color="000000"/>
              <w:right w:val="single" w:sz="4" w:space="0" w:color="000000"/>
            </w:tcBorders>
          </w:tcPr>
          <w:p w14:paraId="35234C51" w14:textId="77777777"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Public compared with private facilities</w:t>
            </w:r>
          </w:p>
        </w:tc>
        <w:tc>
          <w:tcPr>
            <w:tcW w:w="3155" w:type="dxa"/>
            <w:tcBorders>
              <w:top w:val="single" w:sz="4" w:space="0" w:color="000000"/>
              <w:left w:val="single" w:sz="4" w:space="0" w:color="000000"/>
              <w:bottom w:val="single" w:sz="4" w:space="0" w:color="000000"/>
              <w:right w:val="single" w:sz="4" w:space="0" w:color="000000"/>
            </w:tcBorders>
          </w:tcPr>
          <w:p w14:paraId="26339179" w14:textId="77777777"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Orthopedic surgery patients whose provider held contracts at both a public facility in 2011 and a private facility in 2012. Events from May-July for both years were included. 66 surgeries in 2011, 32 in 2012.</w:t>
            </w:r>
          </w:p>
        </w:tc>
        <w:tc>
          <w:tcPr>
            <w:tcW w:w="4095" w:type="dxa"/>
            <w:tcBorders>
              <w:top w:val="single" w:sz="4" w:space="0" w:color="000000"/>
              <w:left w:val="single" w:sz="4" w:space="0" w:color="000000"/>
              <w:bottom w:val="single" w:sz="4" w:space="0" w:color="000000"/>
              <w:right w:val="single" w:sz="4" w:space="0" w:color="000000"/>
            </w:tcBorders>
          </w:tcPr>
          <w:p w14:paraId="2360A4D4" w14:textId="77777777" w:rsidR="002E0A56" w:rsidRPr="002E0A56" w:rsidRDefault="002E0A56" w:rsidP="009273EC">
            <w:pPr>
              <w:spacing w:before="0" w:after="0" w:line="240" w:lineRule="auto"/>
              <w:rPr>
                <w:rFonts w:ascii="Calibri" w:eastAsia="Calibri" w:hAnsi="Calibri" w:cs="Times New Roman"/>
                <w:sz w:val="16"/>
                <w:szCs w:val="22"/>
                <w:lang w:val="en-US" w:bidi="en-GB"/>
              </w:rPr>
            </w:pPr>
            <w:r w:rsidRPr="002E0A56">
              <w:rPr>
                <w:rFonts w:ascii="Calibri" w:eastAsia="Calibri" w:hAnsi="Calibri" w:cs="Times New Roman"/>
                <w:sz w:val="16"/>
                <w:szCs w:val="22"/>
                <w:lang w:val="en-US" w:bidi="en-GB"/>
              </w:rPr>
              <w:t>Implementation of the ISTC was detrimental to departmental efficiency, with &lt;50% of the number of patients being treated and a marked reduction in financial productivity.</w:t>
            </w:r>
          </w:p>
        </w:tc>
      </w:tr>
    </w:tbl>
    <w:p w14:paraId="6327D2D8" w14:textId="6364E267" w:rsidR="00412509" w:rsidRPr="008A2ED7" w:rsidRDefault="008A2ED7" w:rsidP="008A2ED7">
      <w:pPr>
        <w:rPr>
          <w:lang w:val="en-US"/>
        </w:rPr>
      </w:pPr>
      <w:r w:rsidRPr="008A2ED7">
        <w:rPr>
          <w:lang w:val="en-US"/>
        </w:rPr>
        <w:t xml:space="preserve">Study size, location, and dates are included in the population column. Acronyms: ISTCs: </w:t>
      </w:r>
      <w:r w:rsidR="00A42396">
        <w:rPr>
          <w:lang w:val="en-US"/>
        </w:rPr>
        <w:t>I</w:t>
      </w:r>
      <w:r w:rsidRPr="008A2ED7">
        <w:rPr>
          <w:lang w:val="en-US"/>
        </w:rPr>
        <w:t xml:space="preserve">ndependent </w:t>
      </w:r>
      <w:r w:rsidR="00A42396">
        <w:rPr>
          <w:lang w:val="en-US"/>
        </w:rPr>
        <w:t>S</w:t>
      </w:r>
      <w:r w:rsidRPr="008A2ED7">
        <w:rPr>
          <w:lang w:val="en-US"/>
        </w:rPr>
        <w:t xml:space="preserve">ector </w:t>
      </w:r>
      <w:r w:rsidR="00A42396">
        <w:rPr>
          <w:lang w:val="en-US"/>
        </w:rPr>
        <w:t>T</w:t>
      </w:r>
      <w:r w:rsidRPr="008A2ED7">
        <w:rPr>
          <w:lang w:val="en-US"/>
        </w:rPr>
        <w:t xml:space="preserve">reatment </w:t>
      </w:r>
      <w:proofErr w:type="spellStart"/>
      <w:r w:rsidR="00A42396">
        <w:rPr>
          <w:lang w:val="en-US"/>
        </w:rPr>
        <w:t>C</w:t>
      </w:r>
      <w:r w:rsidRPr="008A2ED7">
        <w:rPr>
          <w:lang w:val="en-US"/>
        </w:rPr>
        <w:t>entres</w:t>
      </w:r>
      <w:proofErr w:type="spellEnd"/>
      <w:r w:rsidRPr="008A2ED7">
        <w:rPr>
          <w:lang w:val="en-US"/>
        </w:rPr>
        <w:t xml:space="preserve">, </w:t>
      </w:r>
      <w:r w:rsidR="00835B51">
        <w:rPr>
          <w:lang w:val="en-US"/>
        </w:rPr>
        <w:t>NHS: National Health Service</w:t>
      </w:r>
    </w:p>
    <w:sectPr w:rsidR="00412509" w:rsidRPr="008A2ED7" w:rsidSect="0041250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B3B8E" w14:textId="77777777" w:rsidR="00245553" w:rsidRDefault="00245553" w:rsidP="00EF3363">
      <w:r>
        <w:separator/>
      </w:r>
    </w:p>
  </w:endnote>
  <w:endnote w:type="continuationSeparator" w:id="0">
    <w:p w14:paraId="62AF3702" w14:textId="77777777" w:rsidR="00245553" w:rsidRDefault="00245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NewBaskerville-Roman">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45713" w14:textId="77777777" w:rsidR="00245553" w:rsidRDefault="00245553" w:rsidP="00F717DD">
      <w:r>
        <w:separator/>
      </w:r>
    </w:p>
  </w:footnote>
  <w:footnote w:type="continuationSeparator" w:id="0">
    <w:p w14:paraId="3E7AB9C1" w14:textId="77777777" w:rsidR="00245553" w:rsidRDefault="00245553" w:rsidP="00F717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C431E"/>
    <w:multiLevelType w:val="multilevel"/>
    <w:tmpl w:val="88967B42"/>
    <w:lvl w:ilvl="0">
      <w:start w:val="2"/>
      <w:numFmt w:val="decimal"/>
      <w:lvlText w:val="%1."/>
      <w:lvlJc w:val="left"/>
      <w:pPr>
        <w:ind w:left="54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 w15:restartNumberingAfterBreak="0">
    <w:nsid w:val="05720478"/>
    <w:multiLevelType w:val="multilevel"/>
    <w:tmpl w:val="96744E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352955"/>
    <w:multiLevelType w:val="multilevel"/>
    <w:tmpl w:val="96744E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507F3D"/>
    <w:multiLevelType w:val="hybridMultilevel"/>
    <w:tmpl w:val="33247DDE"/>
    <w:lvl w:ilvl="0" w:tplc="1818A5D4">
      <w:numFmt w:val="bullet"/>
      <w:lvlText w:val=""/>
      <w:lvlJc w:val="left"/>
      <w:pPr>
        <w:ind w:left="840" w:hanging="360"/>
      </w:pPr>
      <w:rPr>
        <w:rFonts w:ascii="Symbol" w:eastAsia="Symbol" w:hAnsi="Symbol" w:cs="Symbol" w:hint="default"/>
        <w:w w:val="100"/>
        <w:sz w:val="24"/>
        <w:szCs w:val="24"/>
        <w:lang w:val="en-GB" w:eastAsia="en-GB" w:bidi="en-GB"/>
      </w:rPr>
    </w:lvl>
    <w:lvl w:ilvl="1" w:tplc="68842CC6">
      <w:numFmt w:val="bullet"/>
      <w:lvlText w:val="•"/>
      <w:lvlJc w:val="left"/>
      <w:pPr>
        <w:ind w:left="1716" w:hanging="360"/>
      </w:pPr>
      <w:rPr>
        <w:rFonts w:hint="default"/>
        <w:lang w:val="en-GB" w:eastAsia="en-GB" w:bidi="en-GB"/>
      </w:rPr>
    </w:lvl>
    <w:lvl w:ilvl="2" w:tplc="235CD67E">
      <w:numFmt w:val="bullet"/>
      <w:lvlText w:val="•"/>
      <w:lvlJc w:val="left"/>
      <w:pPr>
        <w:ind w:left="2592" w:hanging="360"/>
      </w:pPr>
      <w:rPr>
        <w:rFonts w:hint="default"/>
        <w:lang w:val="en-GB" w:eastAsia="en-GB" w:bidi="en-GB"/>
      </w:rPr>
    </w:lvl>
    <w:lvl w:ilvl="3" w:tplc="5EE63422">
      <w:numFmt w:val="bullet"/>
      <w:lvlText w:val="•"/>
      <w:lvlJc w:val="left"/>
      <w:pPr>
        <w:ind w:left="3468" w:hanging="360"/>
      </w:pPr>
      <w:rPr>
        <w:rFonts w:hint="default"/>
        <w:lang w:val="en-GB" w:eastAsia="en-GB" w:bidi="en-GB"/>
      </w:rPr>
    </w:lvl>
    <w:lvl w:ilvl="4" w:tplc="4C40A04E">
      <w:numFmt w:val="bullet"/>
      <w:lvlText w:val="•"/>
      <w:lvlJc w:val="left"/>
      <w:pPr>
        <w:ind w:left="4344" w:hanging="360"/>
      </w:pPr>
      <w:rPr>
        <w:rFonts w:hint="default"/>
        <w:lang w:val="en-GB" w:eastAsia="en-GB" w:bidi="en-GB"/>
      </w:rPr>
    </w:lvl>
    <w:lvl w:ilvl="5" w:tplc="4122097A">
      <w:numFmt w:val="bullet"/>
      <w:lvlText w:val="•"/>
      <w:lvlJc w:val="left"/>
      <w:pPr>
        <w:ind w:left="5220" w:hanging="360"/>
      </w:pPr>
      <w:rPr>
        <w:rFonts w:hint="default"/>
        <w:lang w:val="en-GB" w:eastAsia="en-GB" w:bidi="en-GB"/>
      </w:rPr>
    </w:lvl>
    <w:lvl w:ilvl="6" w:tplc="09346FA6">
      <w:numFmt w:val="bullet"/>
      <w:lvlText w:val="•"/>
      <w:lvlJc w:val="left"/>
      <w:pPr>
        <w:ind w:left="6096" w:hanging="360"/>
      </w:pPr>
      <w:rPr>
        <w:rFonts w:hint="default"/>
        <w:lang w:val="en-GB" w:eastAsia="en-GB" w:bidi="en-GB"/>
      </w:rPr>
    </w:lvl>
    <w:lvl w:ilvl="7" w:tplc="C644DC58">
      <w:numFmt w:val="bullet"/>
      <w:lvlText w:val="•"/>
      <w:lvlJc w:val="left"/>
      <w:pPr>
        <w:ind w:left="6972" w:hanging="360"/>
      </w:pPr>
      <w:rPr>
        <w:rFonts w:hint="default"/>
        <w:lang w:val="en-GB" w:eastAsia="en-GB" w:bidi="en-GB"/>
      </w:rPr>
    </w:lvl>
    <w:lvl w:ilvl="8" w:tplc="B29C98DE">
      <w:numFmt w:val="bullet"/>
      <w:lvlText w:val="•"/>
      <w:lvlJc w:val="left"/>
      <w:pPr>
        <w:ind w:left="7848" w:hanging="360"/>
      </w:pPr>
      <w:rPr>
        <w:rFonts w:hint="default"/>
        <w:lang w:val="en-GB" w:eastAsia="en-GB" w:bidi="en-GB"/>
      </w:rPr>
    </w:lvl>
  </w:abstractNum>
  <w:abstractNum w:abstractNumId="4" w15:restartNumberingAfterBreak="0">
    <w:nsid w:val="1F6A5589"/>
    <w:multiLevelType w:val="hybridMultilevel"/>
    <w:tmpl w:val="8E2CC2DA"/>
    <w:lvl w:ilvl="0" w:tplc="0FA691FA">
      <w:start w:val="3"/>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5B32A6"/>
    <w:multiLevelType w:val="hybridMultilevel"/>
    <w:tmpl w:val="86A02032"/>
    <w:lvl w:ilvl="0" w:tplc="A544B6A4">
      <w:start w:val="10"/>
      <w:numFmt w:val="decimal"/>
      <w:lvlText w:val="%1"/>
      <w:lvlJc w:val="left"/>
      <w:pPr>
        <w:ind w:left="828" w:hanging="720"/>
      </w:pPr>
      <w:rPr>
        <w:rFonts w:asciiTheme="minorHAnsi" w:eastAsia="Arial" w:hAnsiTheme="minorHAnsi" w:cstheme="minorHAnsi" w:hint="default"/>
        <w:w w:val="99"/>
        <w:sz w:val="20"/>
        <w:szCs w:val="20"/>
        <w:lang w:val="en-GB" w:eastAsia="en-GB" w:bidi="en-GB"/>
      </w:rPr>
    </w:lvl>
    <w:lvl w:ilvl="1" w:tplc="A5A68312">
      <w:numFmt w:val="bullet"/>
      <w:lvlText w:val="•"/>
      <w:lvlJc w:val="left"/>
      <w:pPr>
        <w:ind w:left="1408" w:hanging="720"/>
      </w:pPr>
      <w:rPr>
        <w:rFonts w:hint="default"/>
        <w:lang w:val="en-GB" w:eastAsia="en-GB" w:bidi="en-GB"/>
      </w:rPr>
    </w:lvl>
    <w:lvl w:ilvl="2" w:tplc="E4868D22">
      <w:numFmt w:val="bullet"/>
      <w:lvlText w:val="•"/>
      <w:lvlJc w:val="left"/>
      <w:pPr>
        <w:ind w:left="1997" w:hanging="720"/>
      </w:pPr>
      <w:rPr>
        <w:rFonts w:hint="default"/>
        <w:lang w:val="en-GB" w:eastAsia="en-GB" w:bidi="en-GB"/>
      </w:rPr>
    </w:lvl>
    <w:lvl w:ilvl="3" w:tplc="EF3C647C">
      <w:numFmt w:val="bullet"/>
      <w:lvlText w:val="•"/>
      <w:lvlJc w:val="left"/>
      <w:pPr>
        <w:ind w:left="2585" w:hanging="720"/>
      </w:pPr>
      <w:rPr>
        <w:rFonts w:hint="default"/>
        <w:lang w:val="en-GB" w:eastAsia="en-GB" w:bidi="en-GB"/>
      </w:rPr>
    </w:lvl>
    <w:lvl w:ilvl="4" w:tplc="631A39D0">
      <w:numFmt w:val="bullet"/>
      <w:lvlText w:val="•"/>
      <w:lvlJc w:val="left"/>
      <w:pPr>
        <w:ind w:left="3174" w:hanging="720"/>
      </w:pPr>
      <w:rPr>
        <w:rFonts w:hint="default"/>
        <w:lang w:val="en-GB" w:eastAsia="en-GB" w:bidi="en-GB"/>
      </w:rPr>
    </w:lvl>
    <w:lvl w:ilvl="5" w:tplc="651662C0">
      <w:numFmt w:val="bullet"/>
      <w:lvlText w:val="•"/>
      <w:lvlJc w:val="left"/>
      <w:pPr>
        <w:ind w:left="3763" w:hanging="720"/>
      </w:pPr>
      <w:rPr>
        <w:rFonts w:hint="default"/>
        <w:lang w:val="en-GB" w:eastAsia="en-GB" w:bidi="en-GB"/>
      </w:rPr>
    </w:lvl>
    <w:lvl w:ilvl="6" w:tplc="CF5ED55C">
      <w:numFmt w:val="bullet"/>
      <w:lvlText w:val="•"/>
      <w:lvlJc w:val="left"/>
      <w:pPr>
        <w:ind w:left="4351" w:hanging="720"/>
      </w:pPr>
      <w:rPr>
        <w:rFonts w:hint="default"/>
        <w:lang w:val="en-GB" w:eastAsia="en-GB" w:bidi="en-GB"/>
      </w:rPr>
    </w:lvl>
    <w:lvl w:ilvl="7" w:tplc="CBC85982">
      <w:numFmt w:val="bullet"/>
      <w:lvlText w:val="•"/>
      <w:lvlJc w:val="left"/>
      <w:pPr>
        <w:ind w:left="4940" w:hanging="720"/>
      </w:pPr>
      <w:rPr>
        <w:rFonts w:hint="default"/>
        <w:lang w:val="en-GB" w:eastAsia="en-GB" w:bidi="en-GB"/>
      </w:rPr>
    </w:lvl>
    <w:lvl w:ilvl="8" w:tplc="662AAE64">
      <w:numFmt w:val="bullet"/>
      <w:lvlText w:val="•"/>
      <w:lvlJc w:val="left"/>
      <w:pPr>
        <w:ind w:left="5528" w:hanging="720"/>
      </w:pPr>
      <w:rPr>
        <w:rFonts w:hint="default"/>
        <w:lang w:val="en-GB" w:eastAsia="en-GB" w:bidi="en-GB"/>
      </w:rPr>
    </w:lvl>
  </w:abstractNum>
  <w:abstractNum w:abstractNumId="6" w15:restartNumberingAfterBreak="0">
    <w:nsid w:val="293C1D37"/>
    <w:multiLevelType w:val="hybridMultilevel"/>
    <w:tmpl w:val="EC063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25C12"/>
    <w:multiLevelType w:val="multilevel"/>
    <w:tmpl w:val="EB2C7790"/>
    <w:lvl w:ilvl="0">
      <w:start w:val="1"/>
      <w:numFmt w:val="decimal"/>
      <w:lvlText w:val="%1."/>
      <w:lvlJc w:val="left"/>
      <w:pPr>
        <w:ind w:left="54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8" w15:restartNumberingAfterBreak="0">
    <w:nsid w:val="4915679D"/>
    <w:multiLevelType w:val="multilevel"/>
    <w:tmpl w:val="67E0878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FF3652E"/>
    <w:multiLevelType w:val="multilevel"/>
    <w:tmpl w:val="EB2C7790"/>
    <w:lvl w:ilvl="0">
      <w:start w:val="1"/>
      <w:numFmt w:val="decimal"/>
      <w:lvlText w:val="%1."/>
      <w:lvlJc w:val="left"/>
      <w:pPr>
        <w:ind w:left="54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0" w15:restartNumberingAfterBreak="0">
    <w:nsid w:val="53D67119"/>
    <w:multiLevelType w:val="hybridMultilevel"/>
    <w:tmpl w:val="4E14E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8C6E15"/>
    <w:multiLevelType w:val="hybridMultilevel"/>
    <w:tmpl w:val="5410793A"/>
    <w:lvl w:ilvl="0" w:tplc="0809000F">
      <w:start w:val="1"/>
      <w:numFmt w:val="decimal"/>
      <w:lvlText w:val="%1."/>
      <w:lvlJc w:val="left"/>
      <w:pPr>
        <w:ind w:left="360" w:hanging="360"/>
      </w:pPr>
      <w:rPr>
        <w:rFonts w:hint="default"/>
      </w:rPr>
    </w:lvl>
    <w:lvl w:ilvl="1" w:tplc="0809000F">
      <w:start w:val="1"/>
      <w:numFmt w:val="decimal"/>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7CE3396"/>
    <w:multiLevelType w:val="hybridMultilevel"/>
    <w:tmpl w:val="431C101E"/>
    <w:lvl w:ilvl="0" w:tplc="A6D2361E">
      <w:start w:val="10"/>
      <w:numFmt w:val="decimal"/>
      <w:lvlText w:val="%1"/>
      <w:lvlJc w:val="left"/>
      <w:pPr>
        <w:ind w:left="828" w:hanging="720"/>
      </w:pPr>
      <w:rPr>
        <w:rFonts w:asciiTheme="minorHAnsi" w:eastAsia="Arial" w:hAnsiTheme="minorHAnsi" w:cstheme="minorHAnsi" w:hint="default"/>
        <w:w w:val="99"/>
        <w:sz w:val="20"/>
        <w:szCs w:val="20"/>
        <w:lang w:val="en-GB" w:eastAsia="en-GB" w:bidi="en-GB"/>
      </w:rPr>
    </w:lvl>
    <w:lvl w:ilvl="1" w:tplc="B858B6B0">
      <w:numFmt w:val="bullet"/>
      <w:lvlText w:val="•"/>
      <w:lvlJc w:val="left"/>
      <w:pPr>
        <w:ind w:left="1408" w:hanging="720"/>
      </w:pPr>
      <w:rPr>
        <w:rFonts w:hint="default"/>
        <w:lang w:val="en-GB" w:eastAsia="en-GB" w:bidi="en-GB"/>
      </w:rPr>
    </w:lvl>
    <w:lvl w:ilvl="2" w:tplc="331E6164">
      <w:numFmt w:val="bullet"/>
      <w:lvlText w:val="•"/>
      <w:lvlJc w:val="left"/>
      <w:pPr>
        <w:ind w:left="1997" w:hanging="720"/>
      </w:pPr>
      <w:rPr>
        <w:rFonts w:hint="default"/>
        <w:lang w:val="en-GB" w:eastAsia="en-GB" w:bidi="en-GB"/>
      </w:rPr>
    </w:lvl>
    <w:lvl w:ilvl="3" w:tplc="CDEEA626">
      <w:numFmt w:val="bullet"/>
      <w:lvlText w:val="•"/>
      <w:lvlJc w:val="left"/>
      <w:pPr>
        <w:ind w:left="2585" w:hanging="720"/>
      </w:pPr>
      <w:rPr>
        <w:rFonts w:hint="default"/>
        <w:lang w:val="en-GB" w:eastAsia="en-GB" w:bidi="en-GB"/>
      </w:rPr>
    </w:lvl>
    <w:lvl w:ilvl="4" w:tplc="A906CB64">
      <w:numFmt w:val="bullet"/>
      <w:lvlText w:val="•"/>
      <w:lvlJc w:val="left"/>
      <w:pPr>
        <w:ind w:left="3174" w:hanging="720"/>
      </w:pPr>
      <w:rPr>
        <w:rFonts w:hint="default"/>
        <w:lang w:val="en-GB" w:eastAsia="en-GB" w:bidi="en-GB"/>
      </w:rPr>
    </w:lvl>
    <w:lvl w:ilvl="5" w:tplc="5D307EF4">
      <w:numFmt w:val="bullet"/>
      <w:lvlText w:val="•"/>
      <w:lvlJc w:val="left"/>
      <w:pPr>
        <w:ind w:left="3763" w:hanging="720"/>
      </w:pPr>
      <w:rPr>
        <w:rFonts w:hint="default"/>
        <w:lang w:val="en-GB" w:eastAsia="en-GB" w:bidi="en-GB"/>
      </w:rPr>
    </w:lvl>
    <w:lvl w:ilvl="6" w:tplc="D5443E0C">
      <w:numFmt w:val="bullet"/>
      <w:lvlText w:val="•"/>
      <w:lvlJc w:val="left"/>
      <w:pPr>
        <w:ind w:left="4351" w:hanging="720"/>
      </w:pPr>
      <w:rPr>
        <w:rFonts w:hint="default"/>
        <w:lang w:val="en-GB" w:eastAsia="en-GB" w:bidi="en-GB"/>
      </w:rPr>
    </w:lvl>
    <w:lvl w:ilvl="7" w:tplc="D81E7A3C">
      <w:numFmt w:val="bullet"/>
      <w:lvlText w:val="•"/>
      <w:lvlJc w:val="left"/>
      <w:pPr>
        <w:ind w:left="4940" w:hanging="720"/>
      </w:pPr>
      <w:rPr>
        <w:rFonts w:hint="default"/>
        <w:lang w:val="en-GB" w:eastAsia="en-GB" w:bidi="en-GB"/>
      </w:rPr>
    </w:lvl>
    <w:lvl w:ilvl="8" w:tplc="C92EA8B6">
      <w:numFmt w:val="bullet"/>
      <w:lvlText w:val="•"/>
      <w:lvlJc w:val="left"/>
      <w:pPr>
        <w:ind w:left="5528" w:hanging="720"/>
      </w:pPr>
      <w:rPr>
        <w:rFonts w:hint="default"/>
        <w:lang w:val="en-GB" w:eastAsia="en-GB" w:bidi="en-GB"/>
      </w:rPr>
    </w:lvl>
  </w:abstractNum>
  <w:abstractNum w:abstractNumId="13" w15:restartNumberingAfterBreak="0">
    <w:nsid w:val="5F90710B"/>
    <w:multiLevelType w:val="hybridMultilevel"/>
    <w:tmpl w:val="ACDE5192"/>
    <w:lvl w:ilvl="0" w:tplc="DB7A9008">
      <w:start w:val="1"/>
      <w:numFmt w:val="decimal"/>
      <w:lvlText w:val="%1"/>
      <w:lvlJc w:val="left"/>
      <w:pPr>
        <w:ind w:left="108" w:hanging="720"/>
      </w:pPr>
      <w:rPr>
        <w:rFonts w:asciiTheme="minorHAnsi" w:eastAsia="Arial" w:hAnsiTheme="minorHAnsi" w:cstheme="minorHAnsi" w:hint="default"/>
        <w:w w:val="99"/>
        <w:sz w:val="20"/>
        <w:szCs w:val="20"/>
        <w:lang w:val="en-GB" w:eastAsia="en-GB" w:bidi="en-GB"/>
      </w:rPr>
    </w:lvl>
    <w:lvl w:ilvl="1" w:tplc="A450265C">
      <w:numFmt w:val="bullet"/>
      <w:lvlText w:val="•"/>
      <w:lvlJc w:val="left"/>
      <w:pPr>
        <w:ind w:left="760" w:hanging="720"/>
      </w:pPr>
      <w:rPr>
        <w:rFonts w:hint="default"/>
        <w:lang w:val="en-GB" w:eastAsia="en-GB" w:bidi="en-GB"/>
      </w:rPr>
    </w:lvl>
    <w:lvl w:ilvl="2" w:tplc="0D4EDCD0">
      <w:numFmt w:val="bullet"/>
      <w:lvlText w:val="•"/>
      <w:lvlJc w:val="left"/>
      <w:pPr>
        <w:ind w:left="1421" w:hanging="720"/>
      </w:pPr>
      <w:rPr>
        <w:rFonts w:hint="default"/>
        <w:lang w:val="en-GB" w:eastAsia="en-GB" w:bidi="en-GB"/>
      </w:rPr>
    </w:lvl>
    <w:lvl w:ilvl="3" w:tplc="AA36483C">
      <w:numFmt w:val="bullet"/>
      <w:lvlText w:val="•"/>
      <w:lvlJc w:val="left"/>
      <w:pPr>
        <w:ind w:left="2081" w:hanging="720"/>
      </w:pPr>
      <w:rPr>
        <w:rFonts w:hint="default"/>
        <w:lang w:val="en-GB" w:eastAsia="en-GB" w:bidi="en-GB"/>
      </w:rPr>
    </w:lvl>
    <w:lvl w:ilvl="4" w:tplc="A4DE77F0">
      <w:numFmt w:val="bullet"/>
      <w:lvlText w:val="•"/>
      <w:lvlJc w:val="left"/>
      <w:pPr>
        <w:ind w:left="2742" w:hanging="720"/>
      </w:pPr>
      <w:rPr>
        <w:rFonts w:hint="default"/>
        <w:lang w:val="en-GB" w:eastAsia="en-GB" w:bidi="en-GB"/>
      </w:rPr>
    </w:lvl>
    <w:lvl w:ilvl="5" w:tplc="CDF4B4B8">
      <w:numFmt w:val="bullet"/>
      <w:lvlText w:val="•"/>
      <w:lvlJc w:val="left"/>
      <w:pPr>
        <w:ind w:left="3403" w:hanging="720"/>
      </w:pPr>
      <w:rPr>
        <w:rFonts w:hint="default"/>
        <w:lang w:val="en-GB" w:eastAsia="en-GB" w:bidi="en-GB"/>
      </w:rPr>
    </w:lvl>
    <w:lvl w:ilvl="6" w:tplc="8B40926E">
      <w:numFmt w:val="bullet"/>
      <w:lvlText w:val="•"/>
      <w:lvlJc w:val="left"/>
      <w:pPr>
        <w:ind w:left="4063" w:hanging="720"/>
      </w:pPr>
      <w:rPr>
        <w:rFonts w:hint="default"/>
        <w:lang w:val="en-GB" w:eastAsia="en-GB" w:bidi="en-GB"/>
      </w:rPr>
    </w:lvl>
    <w:lvl w:ilvl="7" w:tplc="02CA4FDC">
      <w:numFmt w:val="bullet"/>
      <w:lvlText w:val="•"/>
      <w:lvlJc w:val="left"/>
      <w:pPr>
        <w:ind w:left="4724" w:hanging="720"/>
      </w:pPr>
      <w:rPr>
        <w:rFonts w:hint="default"/>
        <w:lang w:val="en-GB" w:eastAsia="en-GB" w:bidi="en-GB"/>
      </w:rPr>
    </w:lvl>
    <w:lvl w:ilvl="8" w:tplc="17685AFE">
      <w:numFmt w:val="bullet"/>
      <w:lvlText w:val="•"/>
      <w:lvlJc w:val="left"/>
      <w:pPr>
        <w:ind w:left="5384" w:hanging="720"/>
      </w:pPr>
      <w:rPr>
        <w:rFonts w:hint="default"/>
        <w:lang w:val="en-GB" w:eastAsia="en-GB" w:bidi="en-GB"/>
      </w:rPr>
    </w:lvl>
  </w:abstractNum>
  <w:abstractNum w:abstractNumId="14" w15:restartNumberingAfterBreak="0">
    <w:nsid w:val="61C350CD"/>
    <w:multiLevelType w:val="hybridMultilevel"/>
    <w:tmpl w:val="2A660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3D3CCC"/>
    <w:multiLevelType w:val="hybridMultilevel"/>
    <w:tmpl w:val="3614F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7F449C"/>
    <w:multiLevelType w:val="hybridMultilevel"/>
    <w:tmpl w:val="052E27BA"/>
    <w:lvl w:ilvl="0" w:tplc="5F28D5DA">
      <w:start w:val="1"/>
      <w:numFmt w:val="decimal"/>
      <w:lvlText w:val="%1"/>
      <w:lvlJc w:val="left"/>
      <w:pPr>
        <w:ind w:left="828" w:hanging="720"/>
      </w:pPr>
      <w:rPr>
        <w:rFonts w:asciiTheme="minorHAnsi" w:eastAsia="Arial" w:hAnsiTheme="minorHAnsi" w:cstheme="minorHAnsi" w:hint="default"/>
        <w:w w:val="99"/>
        <w:sz w:val="20"/>
        <w:szCs w:val="20"/>
        <w:lang w:val="en-GB" w:eastAsia="en-GB" w:bidi="en-GB"/>
      </w:rPr>
    </w:lvl>
    <w:lvl w:ilvl="1" w:tplc="D7126992">
      <w:numFmt w:val="bullet"/>
      <w:lvlText w:val="•"/>
      <w:lvlJc w:val="left"/>
      <w:pPr>
        <w:ind w:left="1408" w:hanging="720"/>
      </w:pPr>
      <w:rPr>
        <w:rFonts w:hint="default"/>
        <w:lang w:val="en-GB" w:eastAsia="en-GB" w:bidi="en-GB"/>
      </w:rPr>
    </w:lvl>
    <w:lvl w:ilvl="2" w:tplc="95E4DACE">
      <w:numFmt w:val="bullet"/>
      <w:lvlText w:val="•"/>
      <w:lvlJc w:val="left"/>
      <w:pPr>
        <w:ind w:left="1997" w:hanging="720"/>
      </w:pPr>
      <w:rPr>
        <w:rFonts w:hint="default"/>
        <w:lang w:val="en-GB" w:eastAsia="en-GB" w:bidi="en-GB"/>
      </w:rPr>
    </w:lvl>
    <w:lvl w:ilvl="3" w:tplc="8A64B7FA">
      <w:numFmt w:val="bullet"/>
      <w:lvlText w:val="•"/>
      <w:lvlJc w:val="left"/>
      <w:pPr>
        <w:ind w:left="2585" w:hanging="720"/>
      </w:pPr>
      <w:rPr>
        <w:rFonts w:hint="default"/>
        <w:lang w:val="en-GB" w:eastAsia="en-GB" w:bidi="en-GB"/>
      </w:rPr>
    </w:lvl>
    <w:lvl w:ilvl="4" w:tplc="91CCDCAE">
      <w:numFmt w:val="bullet"/>
      <w:lvlText w:val="•"/>
      <w:lvlJc w:val="left"/>
      <w:pPr>
        <w:ind w:left="3174" w:hanging="720"/>
      </w:pPr>
      <w:rPr>
        <w:rFonts w:hint="default"/>
        <w:lang w:val="en-GB" w:eastAsia="en-GB" w:bidi="en-GB"/>
      </w:rPr>
    </w:lvl>
    <w:lvl w:ilvl="5" w:tplc="7FDA6C2C">
      <w:numFmt w:val="bullet"/>
      <w:lvlText w:val="•"/>
      <w:lvlJc w:val="left"/>
      <w:pPr>
        <w:ind w:left="3763" w:hanging="720"/>
      </w:pPr>
      <w:rPr>
        <w:rFonts w:hint="default"/>
        <w:lang w:val="en-GB" w:eastAsia="en-GB" w:bidi="en-GB"/>
      </w:rPr>
    </w:lvl>
    <w:lvl w:ilvl="6" w:tplc="3E48B4AA">
      <w:numFmt w:val="bullet"/>
      <w:lvlText w:val="•"/>
      <w:lvlJc w:val="left"/>
      <w:pPr>
        <w:ind w:left="4351" w:hanging="720"/>
      </w:pPr>
      <w:rPr>
        <w:rFonts w:hint="default"/>
        <w:lang w:val="en-GB" w:eastAsia="en-GB" w:bidi="en-GB"/>
      </w:rPr>
    </w:lvl>
    <w:lvl w:ilvl="7" w:tplc="52B422B0">
      <w:numFmt w:val="bullet"/>
      <w:lvlText w:val="•"/>
      <w:lvlJc w:val="left"/>
      <w:pPr>
        <w:ind w:left="4940" w:hanging="720"/>
      </w:pPr>
      <w:rPr>
        <w:rFonts w:hint="default"/>
        <w:lang w:val="en-GB" w:eastAsia="en-GB" w:bidi="en-GB"/>
      </w:rPr>
    </w:lvl>
    <w:lvl w:ilvl="8" w:tplc="FBE8A9B0">
      <w:numFmt w:val="bullet"/>
      <w:lvlText w:val="•"/>
      <w:lvlJc w:val="left"/>
      <w:pPr>
        <w:ind w:left="5528" w:hanging="720"/>
      </w:pPr>
      <w:rPr>
        <w:rFonts w:hint="default"/>
        <w:lang w:val="en-GB" w:eastAsia="en-GB" w:bidi="en-GB"/>
      </w:rPr>
    </w:lvl>
  </w:abstractNum>
  <w:abstractNum w:abstractNumId="17" w15:restartNumberingAfterBreak="0">
    <w:nsid w:val="79881912"/>
    <w:multiLevelType w:val="multilevel"/>
    <w:tmpl w:val="97089E06"/>
    <w:lvl w:ilvl="0">
      <w:start w:val="3"/>
      <w:numFmt w:val="decimal"/>
      <w:lvlText w:val="%1."/>
      <w:lvlJc w:val="left"/>
      <w:pPr>
        <w:ind w:left="54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8" w15:restartNumberingAfterBreak="0">
    <w:nsid w:val="79F44AB0"/>
    <w:multiLevelType w:val="multilevel"/>
    <w:tmpl w:val="2192544E"/>
    <w:lvl w:ilvl="0">
      <w:start w:val="3"/>
      <w:numFmt w:val="decimal"/>
      <w:lvlText w:val="%1."/>
      <w:lvlJc w:val="left"/>
      <w:pPr>
        <w:ind w:left="54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7"/>
  </w:num>
  <w:num w:numId="2">
    <w:abstractNumId w:val="10"/>
  </w:num>
  <w:num w:numId="3">
    <w:abstractNumId w:val="14"/>
  </w:num>
  <w:num w:numId="4">
    <w:abstractNumId w:val="15"/>
  </w:num>
  <w:num w:numId="5">
    <w:abstractNumId w:val="6"/>
  </w:num>
  <w:num w:numId="6">
    <w:abstractNumId w:val="3"/>
  </w:num>
  <w:num w:numId="7">
    <w:abstractNumId w:val="12"/>
  </w:num>
  <w:num w:numId="8">
    <w:abstractNumId w:val="16"/>
  </w:num>
  <w:num w:numId="9">
    <w:abstractNumId w:val="5"/>
  </w:num>
  <w:num w:numId="10">
    <w:abstractNumId w:val="13"/>
  </w:num>
  <w:num w:numId="11">
    <w:abstractNumId w:val="9"/>
  </w:num>
  <w:num w:numId="12">
    <w:abstractNumId w:val="0"/>
  </w:num>
  <w:num w:numId="13">
    <w:abstractNumId w:val="17"/>
  </w:num>
  <w:num w:numId="14">
    <w:abstractNumId w:val="18"/>
  </w:num>
  <w:num w:numId="15">
    <w:abstractNumId w:val="11"/>
  </w:num>
  <w:num w:numId="16">
    <w:abstractNumId w:val="8"/>
  </w:num>
  <w:num w:numId="17">
    <w:abstractNumId w:val="2"/>
  </w:num>
  <w:num w:numId="18">
    <w:abstractNumId w:val="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wMrA0MzU1MLawMDNW0lEKTi0uzszPAykwqQUAsPYsAiwAAAA="/>
    <w:docVar w:name="EN.CategoryHeadingStyles" w:val="&lt;section-heading-styles&gt;&lt;category-title alignment=&quot;1&quot;&gt;&lt;/category-title&gt;&lt;category-heading bold=&quot;1&quot; alignment=&quot;5825561&quot;&gt;&lt;/category-heading&gt;&lt;/section-heading-styles&gt;"/>
    <w:docVar w:name="EN.DefaultReferenceGroups" w:val="&lt;reference-groups&gt;&lt;reference-group&gt;&lt;kind&gt;0&lt;/kind&gt;&lt;heading&gt;&lt;/heading&gt;&lt;alignment&gt;0&lt;/alignment&gt;&lt;records&gt;&lt;/records&gt;&lt;/reference-group&gt;&lt;/reference-groups&gt;"/>
    <w:docVar w:name="EN.InstantFormat" w:val="&lt;ENInstantFormat&gt;&lt;Enabled&gt;0&lt;/Enabled&gt;&lt;ScanUnformatted&gt;1&lt;/ScanUnformatted&gt;&lt;ScanChanges&gt;1&lt;/ScanChanges&gt;&lt;Suspended&gt;0&lt;/Suspended&gt;&lt;/ENInstantFormat&gt;"/>
    <w:docVar w:name="EN.Layout" w:val="&lt;ENLayout&gt;&lt;Style&gt;Vancouver edit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x9r09rptratx3e2t9mxp2985vsep529pwst&quot;&gt;2021_Private Surgery Cataracts Final IS Search&lt;record-ids&gt;&lt;item&gt;5&lt;/item&gt;&lt;item&gt;15&lt;/item&gt;&lt;item&gt;28&lt;/item&gt;&lt;item&gt;74&lt;/item&gt;&lt;item&gt;117&lt;/item&gt;&lt;item&gt;149&lt;/item&gt;&lt;item&gt;195&lt;/item&gt;&lt;item&gt;206&lt;/item&gt;&lt;item&gt;211&lt;/item&gt;&lt;item&gt;270&lt;/item&gt;&lt;item&gt;291&lt;/item&gt;&lt;item&gt;351&lt;/item&gt;&lt;item&gt;352&lt;/item&gt;&lt;item&gt;388&lt;/item&gt;&lt;item&gt;433&lt;/item&gt;&lt;item&gt;436&lt;/item&gt;&lt;item&gt;524&lt;/item&gt;&lt;item&gt;899&lt;/item&gt;&lt;item&gt;999&lt;/item&gt;&lt;item&gt;1003&lt;/item&gt;&lt;item&gt;1009&lt;/item&gt;&lt;item&gt;1016&lt;/item&gt;&lt;item&gt;1017&lt;/item&gt;&lt;item&gt;1018&lt;/item&gt;&lt;item&gt;1019&lt;/item&gt;&lt;item&gt;1022&lt;/item&gt;&lt;item&gt;1023&lt;/item&gt;&lt;item&gt;1024&lt;/item&gt;&lt;item&gt;1026&lt;/item&gt;&lt;item&gt;1029&lt;/item&gt;&lt;item&gt;1031&lt;/item&gt;&lt;item&gt;1041&lt;/item&gt;&lt;item&gt;1042&lt;/item&gt;&lt;item&gt;1044&lt;/item&gt;&lt;item&gt;1045&lt;/item&gt;&lt;item&gt;1050&lt;/item&gt;&lt;item&gt;1051&lt;/item&gt;&lt;item&gt;1052&lt;/item&gt;&lt;item&gt;1053&lt;/item&gt;&lt;item&gt;1054&lt;/item&gt;&lt;item&gt;5556&lt;/item&gt;&lt;item&gt;5562&lt;/item&gt;&lt;item&gt;5587&lt;/item&gt;&lt;item&gt;5640&lt;/item&gt;&lt;item&gt;5737&lt;/item&gt;&lt;item&gt;5739&lt;/item&gt;&lt;item&gt;5740&lt;/item&gt;&lt;/record-ids&gt;&lt;/item&gt;&lt;/Libraries&gt;"/>
  </w:docVars>
  <w:rsids>
    <w:rsidRoot w:val="001622EC"/>
    <w:rsid w:val="00000EC5"/>
    <w:rsid w:val="000017C7"/>
    <w:rsid w:val="00001F39"/>
    <w:rsid w:val="0000264C"/>
    <w:rsid w:val="00004414"/>
    <w:rsid w:val="000061F1"/>
    <w:rsid w:val="0000795D"/>
    <w:rsid w:val="000079B9"/>
    <w:rsid w:val="00007C9C"/>
    <w:rsid w:val="00013301"/>
    <w:rsid w:val="00013E08"/>
    <w:rsid w:val="00015048"/>
    <w:rsid w:val="00015564"/>
    <w:rsid w:val="0001598E"/>
    <w:rsid w:val="00015E48"/>
    <w:rsid w:val="00017330"/>
    <w:rsid w:val="00017381"/>
    <w:rsid w:val="000213D3"/>
    <w:rsid w:val="000217CA"/>
    <w:rsid w:val="00022BA3"/>
    <w:rsid w:val="00023255"/>
    <w:rsid w:val="000251F2"/>
    <w:rsid w:val="00025F68"/>
    <w:rsid w:val="00026BE1"/>
    <w:rsid w:val="00026C02"/>
    <w:rsid w:val="000316A2"/>
    <w:rsid w:val="00033D0B"/>
    <w:rsid w:val="00034C06"/>
    <w:rsid w:val="000360B3"/>
    <w:rsid w:val="0003632F"/>
    <w:rsid w:val="000375D9"/>
    <w:rsid w:val="000377FB"/>
    <w:rsid w:val="00037DB8"/>
    <w:rsid w:val="0004396C"/>
    <w:rsid w:val="00044038"/>
    <w:rsid w:val="00046CED"/>
    <w:rsid w:val="000474E7"/>
    <w:rsid w:val="00047BB0"/>
    <w:rsid w:val="0005029B"/>
    <w:rsid w:val="00051367"/>
    <w:rsid w:val="00051F12"/>
    <w:rsid w:val="00053B5F"/>
    <w:rsid w:val="00055ED7"/>
    <w:rsid w:val="000577A7"/>
    <w:rsid w:val="0006014B"/>
    <w:rsid w:val="00061910"/>
    <w:rsid w:val="0006328E"/>
    <w:rsid w:val="00063EC9"/>
    <w:rsid w:val="0006489C"/>
    <w:rsid w:val="00065004"/>
    <w:rsid w:val="0006618F"/>
    <w:rsid w:val="00066E96"/>
    <w:rsid w:val="00066EDD"/>
    <w:rsid w:val="00067627"/>
    <w:rsid w:val="00067A13"/>
    <w:rsid w:val="00072C3E"/>
    <w:rsid w:val="00073B1C"/>
    <w:rsid w:val="000754BE"/>
    <w:rsid w:val="00075572"/>
    <w:rsid w:val="00075F77"/>
    <w:rsid w:val="0008156E"/>
    <w:rsid w:val="00081BA8"/>
    <w:rsid w:val="00081E3E"/>
    <w:rsid w:val="0008459B"/>
    <w:rsid w:val="000926E1"/>
    <w:rsid w:val="0009606B"/>
    <w:rsid w:val="00096153"/>
    <w:rsid w:val="00096C8F"/>
    <w:rsid w:val="0009764A"/>
    <w:rsid w:val="000A1E2E"/>
    <w:rsid w:val="000A4D7C"/>
    <w:rsid w:val="000A5641"/>
    <w:rsid w:val="000A59EE"/>
    <w:rsid w:val="000A6F15"/>
    <w:rsid w:val="000B4BBC"/>
    <w:rsid w:val="000B5C79"/>
    <w:rsid w:val="000B69C6"/>
    <w:rsid w:val="000C104A"/>
    <w:rsid w:val="000C12EC"/>
    <w:rsid w:val="000C2B2D"/>
    <w:rsid w:val="000C383A"/>
    <w:rsid w:val="000C5CCB"/>
    <w:rsid w:val="000D0511"/>
    <w:rsid w:val="000D0745"/>
    <w:rsid w:val="000D111F"/>
    <w:rsid w:val="000D2B1E"/>
    <w:rsid w:val="000D2F6C"/>
    <w:rsid w:val="000D30C5"/>
    <w:rsid w:val="000D4050"/>
    <w:rsid w:val="000D464D"/>
    <w:rsid w:val="000D5853"/>
    <w:rsid w:val="000E06CE"/>
    <w:rsid w:val="000E10EE"/>
    <w:rsid w:val="000E1103"/>
    <w:rsid w:val="000E12B2"/>
    <w:rsid w:val="000E1443"/>
    <w:rsid w:val="000E39E3"/>
    <w:rsid w:val="000E3C21"/>
    <w:rsid w:val="000E498E"/>
    <w:rsid w:val="000E49AC"/>
    <w:rsid w:val="000E5BC2"/>
    <w:rsid w:val="000E5BC9"/>
    <w:rsid w:val="000E5E50"/>
    <w:rsid w:val="000F0C4F"/>
    <w:rsid w:val="000F24A1"/>
    <w:rsid w:val="000F3FD2"/>
    <w:rsid w:val="000F79E7"/>
    <w:rsid w:val="000F7AB9"/>
    <w:rsid w:val="0010152D"/>
    <w:rsid w:val="001021E1"/>
    <w:rsid w:val="001026B3"/>
    <w:rsid w:val="00102EAE"/>
    <w:rsid w:val="00110760"/>
    <w:rsid w:val="0011093F"/>
    <w:rsid w:val="00110BC5"/>
    <w:rsid w:val="00111A9B"/>
    <w:rsid w:val="001126E4"/>
    <w:rsid w:val="00112C7E"/>
    <w:rsid w:val="00114E01"/>
    <w:rsid w:val="001178C9"/>
    <w:rsid w:val="0012012D"/>
    <w:rsid w:val="00121A6D"/>
    <w:rsid w:val="00122542"/>
    <w:rsid w:val="001228A5"/>
    <w:rsid w:val="001261EE"/>
    <w:rsid w:val="001308DA"/>
    <w:rsid w:val="0013120D"/>
    <w:rsid w:val="00131CD0"/>
    <w:rsid w:val="00133E56"/>
    <w:rsid w:val="0013508F"/>
    <w:rsid w:val="0014010C"/>
    <w:rsid w:val="00140C7E"/>
    <w:rsid w:val="00140D3D"/>
    <w:rsid w:val="00145B8F"/>
    <w:rsid w:val="00150569"/>
    <w:rsid w:val="00153970"/>
    <w:rsid w:val="00153BDE"/>
    <w:rsid w:val="001540F2"/>
    <w:rsid w:val="00154172"/>
    <w:rsid w:val="00155F7E"/>
    <w:rsid w:val="00156628"/>
    <w:rsid w:val="00157D24"/>
    <w:rsid w:val="00161DA4"/>
    <w:rsid w:val="001622EC"/>
    <w:rsid w:val="00162DB0"/>
    <w:rsid w:val="00164E41"/>
    <w:rsid w:val="00165FB7"/>
    <w:rsid w:val="00172412"/>
    <w:rsid w:val="00173513"/>
    <w:rsid w:val="00174629"/>
    <w:rsid w:val="001754B2"/>
    <w:rsid w:val="00175564"/>
    <w:rsid w:val="00175B30"/>
    <w:rsid w:val="00176F52"/>
    <w:rsid w:val="001820DC"/>
    <w:rsid w:val="00182E6E"/>
    <w:rsid w:val="0018390D"/>
    <w:rsid w:val="001842F7"/>
    <w:rsid w:val="00184E58"/>
    <w:rsid w:val="00186949"/>
    <w:rsid w:val="00186971"/>
    <w:rsid w:val="00186F2A"/>
    <w:rsid w:val="001875AF"/>
    <w:rsid w:val="001877FD"/>
    <w:rsid w:val="001877FF"/>
    <w:rsid w:val="001903C1"/>
    <w:rsid w:val="00190844"/>
    <w:rsid w:val="001915BA"/>
    <w:rsid w:val="00191F3C"/>
    <w:rsid w:val="001935B7"/>
    <w:rsid w:val="0019516C"/>
    <w:rsid w:val="0019762C"/>
    <w:rsid w:val="00197892"/>
    <w:rsid w:val="00197D36"/>
    <w:rsid w:val="001A0DF7"/>
    <w:rsid w:val="001A2B4D"/>
    <w:rsid w:val="001A2DCE"/>
    <w:rsid w:val="001A3E5B"/>
    <w:rsid w:val="001A413C"/>
    <w:rsid w:val="001A4960"/>
    <w:rsid w:val="001A4BF0"/>
    <w:rsid w:val="001B0F54"/>
    <w:rsid w:val="001B3347"/>
    <w:rsid w:val="001B3939"/>
    <w:rsid w:val="001B3CB1"/>
    <w:rsid w:val="001B4A26"/>
    <w:rsid w:val="001C0674"/>
    <w:rsid w:val="001C2505"/>
    <w:rsid w:val="001C5009"/>
    <w:rsid w:val="001C59DB"/>
    <w:rsid w:val="001C64BF"/>
    <w:rsid w:val="001D08EF"/>
    <w:rsid w:val="001D51FF"/>
    <w:rsid w:val="001D5D1E"/>
    <w:rsid w:val="001D777C"/>
    <w:rsid w:val="001E1950"/>
    <w:rsid w:val="001E1B72"/>
    <w:rsid w:val="001E4C40"/>
    <w:rsid w:val="001E641A"/>
    <w:rsid w:val="001E7C5F"/>
    <w:rsid w:val="001F05A5"/>
    <w:rsid w:val="001F0C88"/>
    <w:rsid w:val="001F0F21"/>
    <w:rsid w:val="001F28A6"/>
    <w:rsid w:val="001F3992"/>
    <w:rsid w:val="001F6801"/>
    <w:rsid w:val="00201C7C"/>
    <w:rsid w:val="0020241F"/>
    <w:rsid w:val="00205200"/>
    <w:rsid w:val="00205CFD"/>
    <w:rsid w:val="002061F0"/>
    <w:rsid w:val="00210832"/>
    <w:rsid w:val="00213051"/>
    <w:rsid w:val="00213A36"/>
    <w:rsid w:val="00216991"/>
    <w:rsid w:val="00217A2E"/>
    <w:rsid w:val="00221B1C"/>
    <w:rsid w:val="00221DB5"/>
    <w:rsid w:val="00222375"/>
    <w:rsid w:val="00223B9F"/>
    <w:rsid w:val="00226782"/>
    <w:rsid w:val="00230E0B"/>
    <w:rsid w:val="00231968"/>
    <w:rsid w:val="00233772"/>
    <w:rsid w:val="00234368"/>
    <w:rsid w:val="00234634"/>
    <w:rsid w:val="00234EB7"/>
    <w:rsid w:val="00235BA3"/>
    <w:rsid w:val="00235D46"/>
    <w:rsid w:val="002364E4"/>
    <w:rsid w:val="0023764C"/>
    <w:rsid w:val="00237FC2"/>
    <w:rsid w:val="002422AB"/>
    <w:rsid w:val="0024369E"/>
    <w:rsid w:val="00243AB3"/>
    <w:rsid w:val="00244188"/>
    <w:rsid w:val="00245553"/>
    <w:rsid w:val="00245700"/>
    <w:rsid w:val="0024581C"/>
    <w:rsid w:val="0024776A"/>
    <w:rsid w:val="00247D5D"/>
    <w:rsid w:val="002530AA"/>
    <w:rsid w:val="0025355D"/>
    <w:rsid w:val="00253C70"/>
    <w:rsid w:val="00253DB5"/>
    <w:rsid w:val="0025782B"/>
    <w:rsid w:val="00257951"/>
    <w:rsid w:val="00260C20"/>
    <w:rsid w:val="00265474"/>
    <w:rsid w:val="00265C64"/>
    <w:rsid w:val="00266F62"/>
    <w:rsid w:val="00267DA3"/>
    <w:rsid w:val="00270CA7"/>
    <w:rsid w:val="00271754"/>
    <w:rsid w:val="00276216"/>
    <w:rsid w:val="00277119"/>
    <w:rsid w:val="00277DE7"/>
    <w:rsid w:val="00280660"/>
    <w:rsid w:val="00282940"/>
    <w:rsid w:val="00283148"/>
    <w:rsid w:val="002839DD"/>
    <w:rsid w:val="0028565D"/>
    <w:rsid w:val="00285CFC"/>
    <w:rsid w:val="00285D4B"/>
    <w:rsid w:val="00286824"/>
    <w:rsid w:val="00287DCA"/>
    <w:rsid w:val="00296E63"/>
    <w:rsid w:val="002A15F1"/>
    <w:rsid w:val="002A277E"/>
    <w:rsid w:val="002A3661"/>
    <w:rsid w:val="002A3E0A"/>
    <w:rsid w:val="002A4B0A"/>
    <w:rsid w:val="002A4EA0"/>
    <w:rsid w:val="002B14A1"/>
    <w:rsid w:val="002B4032"/>
    <w:rsid w:val="002B44A2"/>
    <w:rsid w:val="002B557D"/>
    <w:rsid w:val="002B6183"/>
    <w:rsid w:val="002B673C"/>
    <w:rsid w:val="002C0813"/>
    <w:rsid w:val="002C1234"/>
    <w:rsid w:val="002C1605"/>
    <w:rsid w:val="002C347D"/>
    <w:rsid w:val="002C51F4"/>
    <w:rsid w:val="002C5279"/>
    <w:rsid w:val="002D070B"/>
    <w:rsid w:val="002D29B0"/>
    <w:rsid w:val="002D3505"/>
    <w:rsid w:val="002D376C"/>
    <w:rsid w:val="002D66BE"/>
    <w:rsid w:val="002D6EE2"/>
    <w:rsid w:val="002D7EE6"/>
    <w:rsid w:val="002E0448"/>
    <w:rsid w:val="002E0920"/>
    <w:rsid w:val="002E0A56"/>
    <w:rsid w:val="002E0A83"/>
    <w:rsid w:val="002E139A"/>
    <w:rsid w:val="002E1910"/>
    <w:rsid w:val="002E2EA8"/>
    <w:rsid w:val="002E3206"/>
    <w:rsid w:val="002E4A97"/>
    <w:rsid w:val="002E528B"/>
    <w:rsid w:val="002E7687"/>
    <w:rsid w:val="002F0017"/>
    <w:rsid w:val="002F00AB"/>
    <w:rsid w:val="002F091E"/>
    <w:rsid w:val="002F1B9E"/>
    <w:rsid w:val="002F4450"/>
    <w:rsid w:val="002F4BBB"/>
    <w:rsid w:val="002F54BC"/>
    <w:rsid w:val="00303273"/>
    <w:rsid w:val="003064E8"/>
    <w:rsid w:val="00306FED"/>
    <w:rsid w:val="00310E68"/>
    <w:rsid w:val="00311DDB"/>
    <w:rsid w:val="00312255"/>
    <w:rsid w:val="0031603E"/>
    <w:rsid w:val="00316BE4"/>
    <w:rsid w:val="00316CA7"/>
    <w:rsid w:val="003230DF"/>
    <w:rsid w:val="00324A3B"/>
    <w:rsid w:val="003264EA"/>
    <w:rsid w:val="00327E99"/>
    <w:rsid w:val="003313C8"/>
    <w:rsid w:val="00332D7F"/>
    <w:rsid w:val="00332E1C"/>
    <w:rsid w:val="0033309B"/>
    <w:rsid w:val="003330D7"/>
    <w:rsid w:val="0033701E"/>
    <w:rsid w:val="00337C38"/>
    <w:rsid w:val="00344EC9"/>
    <w:rsid w:val="00345301"/>
    <w:rsid w:val="003455A7"/>
    <w:rsid w:val="00345E50"/>
    <w:rsid w:val="0034646B"/>
    <w:rsid w:val="003503AC"/>
    <w:rsid w:val="00353F0D"/>
    <w:rsid w:val="00354620"/>
    <w:rsid w:val="00357610"/>
    <w:rsid w:val="003617BC"/>
    <w:rsid w:val="003619BF"/>
    <w:rsid w:val="00361F2A"/>
    <w:rsid w:val="00363B9C"/>
    <w:rsid w:val="003653A0"/>
    <w:rsid w:val="003703C3"/>
    <w:rsid w:val="00370F9A"/>
    <w:rsid w:val="00371AB5"/>
    <w:rsid w:val="00371C2B"/>
    <w:rsid w:val="00377C8C"/>
    <w:rsid w:val="003801D9"/>
    <w:rsid w:val="00380D46"/>
    <w:rsid w:val="00381141"/>
    <w:rsid w:val="003813A7"/>
    <w:rsid w:val="00382ECA"/>
    <w:rsid w:val="00383747"/>
    <w:rsid w:val="00383ACC"/>
    <w:rsid w:val="00387F10"/>
    <w:rsid w:val="00391596"/>
    <w:rsid w:val="003924E5"/>
    <w:rsid w:val="003925AA"/>
    <w:rsid w:val="0039321A"/>
    <w:rsid w:val="003A0CF0"/>
    <w:rsid w:val="003A153E"/>
    <w:rsid w:val="003A43CB"/>
    <w:rsid w:val="003A44AF"/>
    <w:rsid w:val="003A4874"/>
    <w:rsid w:val="003A5777"/>
    <w:rsid w:val="003A610A"/>
    <w:rsid w:val="003A7DCD"/>
    <w:rsid w:val="003B7DD2"/>
    <w:rsid w:val="003C09A9"/>
    <w:rsid w:val="003C38FD"/>
    <w:rsid w:val="003C3BBB"/>
    <w:rsid w:val="003C3CDE"/>
    <w:rsid w:val="003C48EE"/>
    <w:rsid w:val="003C70F7"/>
    <w:rsid w:val="003C7E0E"/>
    <w:rsid w:val="003D125B"/>
    <w:rsid w:val="003D3E46"/>
    <w:rsid w:val="003E04D4"/>
    <w:rsid w:val="003E1DCB"/>
    <w:rsid w:val="003E1FD1"/>
    <w:rsid w:val="003E3ADC"/>
    <w:rsid w:val="003E7480"/>
    <w:rsid w:val="003F11A7"/>
    <w:rsid w:val="003F25E0"/>
    <w:rsid w:val="003F2C06"/>
    <w:rsid w:val="003F3872"/>
    <w:rsid w:val="003F5EFE"/>
    <w:rsid w:val="003F6B6B"/>
    <w:rsid w:val="003F6C20"/>
    <w:rsid w:val="00404CF6"/>
    <w:rsid w:val="0040554C"/>
    <w:rsid w:val="00407DEB"/>
    <w:rsid w:val="00407FAF"/>
    <w:rsid w:val="00411211"/>
    <w:rsid w:val="00411730"/>
    <w:rsid w:val="00411DC8"/>
    <w:rsid w:val="00412473"/>
    <w:rsid w:val="00412509"/>
    <w:rsid w:val="00413496"/>
    <w:rsid w:val="004143EF"/>
    <w:rsid w:val="00415252"/>
    <w:rsid w:val="00415DD3"/>
    <w:rsid w:val="00416330"/>
    <w:rsid w:val="00416364"/>
    <w:rsid w:val="00416BD7"/>
    <w:rsid w:val="00421149"/>
    <w:rsid w:val="004218CA"/>
    <w:rsid w:val="004235D8"/>
    <w:rsid w:val="00425DA2"/>
    <w:rsid w:val="0043051A"/>
    <w:rsid w:val="00430B27"/>
    <w:rsid w:val="00430D4F"/>
    <w:rsid w:val="00432178"/>
    <w:rsid w:val="00436880"/>
    <w:rsid w:val="00436CA3"/>
    <w:rsid w:val="00437946"/>
    <w:rsid w:val="00437A4E"/>
    <w:rsid w:val="00437AD2"/>
    <w:rsid w:val="00440027"/>
    <w:rsid w:val="004400EF"/>
    <w:rsid w:val="00440497"/>
    <w:rsid w:val="00440C97"/>
    <w:rsid w:val="004413AC"/>
    <w:rsid w:val="004427F8"/>
    <w:rsid w:val="004449A5"/>
    <w:rsid w:val="00445E54"/>
    <w:rsid w:val="00446E5E"/>
    <w:rsid w:val="00450601"/>
    <w:rsid w:val="00452DA3"/>
    <w:rsid w:val="00453E7B"/>
    <w:rsid w:val="004544E5"/>
    <w:rsid w:val="00454B83"/>
    <w:rsid w:val="00455354"/>
    <w:rsid w:val="00455763"/>
    <w:rsid w:val="004563B6"/>
    <w:rsid w:val="00456AA0"/>
    <w:rsid w:val="004570C4"/>
    <w:rsid w:val="00461087"/>
    <w:rsid w:val="00461250"/>
    <w:rsid w:val="0046344C"/>
    <w:rsid w:val="004654D8"/>
    <w:rsid w:val="004657E8"/>
    <w:rsid w:val="004669D9"/>
    <w:rsid w:val="00470CDE"/>
    <w:rsid w:val="00470F43"/>
    <w:rsid w:val="0047241D"/>
    <w:rsid w:val="00473755"/>
    <w:rsid w:val="0047499C"/>
    <w:rsid w:val="00474A2F"/>
    <w:rsid w:val="004758B2"/>
    <w:rsid w:val="00477252"/>
    <w:rsid w:val="00477516"/>
    <w:rsid w:val="00482377"/>
    <w:rsid w:val="00482542"/>
    <w:rsid w:val="00486AA3"/>
    <w:rsid w:val="00487326"/>
    <w:rsid w:val="00490EC3"/>
    <w:rsid w:val="00491A12"/>
    <w:rsid w:val="004958FC"/>
    <w:rsid w:val="004959A1"/>
    <w:rsid w:val="00497712"/>
    <w:rsid w:val="004A0F69"/>
    <w:rsid w:val="004A0FE5"/>
    <w:rsid w:val="004A1680"/>
    <w:rsid w:val="004A28A4"/>
    <w:rsid w:val="004A33C6"/>
    <w:rsid w:val="004A3E75"/>
    <w:rsid w:val="004A41B8"/>
    <w:rsid w:val="004A5A66"/>
    <w:rsid w:val="004A619B"/>
    <w:rsid w:val="004A7ABA"/>
    <w:rsid w:val="004B0121"/>
    <w:rsid w:val="004B1725"/>
    <w:rsid w:val="004B208F"/>
    <w:rsid w:val="004B7A75"/>
    <w:rsid w:val="004C1539"/>
    <w:rsid w:val="004C1ADE"/>
    <w:rsid w:val="004C2403"/>
    <w:rsid w:val="004C2522"/>
    <w:rsid w:val="004C43ED"/>
    <w:rsid w:val="004C4E8A"/>
    <w:rsid w:val="004D026E"/>
    <w:rsid w:val="004D179B"/>
    <w:rsid w:val="004D4DD4"/>
    <w:rsid w:val="004E0742"/>
    <w:rsid w:val="004E1517"/>
    <w:rsid w:val="004E332F"/>
    <w:rsid w:val="004E4CC5"/>
    <w:rsid w:val="004E56F9"/>
    <w:rsid w:val="004F04FF"/>
    <w:rsid w:val="004F0D58"/>
    <w:rsid w:val="004F2199"/>
    <w:rsid w:val="004F2BAB"/>
    <w:rsid w:val="004F4706"/>
    <w:rsid w:val="004F55AC"/>
    <w:rsid w:val="004F6DE8"/>
    <w:rsid w:val="004F741A"/>
    <w:rsid w:val="00504B73"/>
    <w:rsid w:val="005057E5"/>
    <w:rsid w:val="00505FAC"/>
    <w:rsid w:val="005107FE"/>
    <w:rsid w:val="00510B22"/>
    <w:rsid w:val="0051119D"/>
    <w:rsid w:val="00511B98"/>
    <w:rsid w:val="00512299"/>
    <w:rsid w:val="00514A0A"/>
    <w:rsid w:val="00514BD0"/>
    <w:rsid w:val="0051557E"/>
    <w:rsid w:val="00515D6E"/>
    <w:rsid w:val="00516287"/>
    <w:rsid w:val="0051767E"/>
    <w:rsid w:val="00520392"/>
    <w:rsid w:val="005215AF"/>
    <w:rsid w:val="00521F0C"/>
    <w:rsid w:val="00522280"/>
    <w:rsid w:val="00522782"/>
    <w:rsid w:val="00523D3B"/>
    <w:rsid w:val="0052504F"/>
    <w:rsid w:val="00530488"/>
    <w:rsid w:val="005313F4"/>
    <w:rsid w:val="00531D09"/>
    <w:rsid w:val="00535E2C"/>
    <w:rsid w:val="00536C05"/>
    <w:rsid w:val="00537BA9"/>
    <w:rsid w:val="0054088C"/>
    <w:rsid w:val="00541A6A"/>
    <w:rsid w:val="00541C11"/>
    <w:rsid w:val="00542635"/>
    <w:rsid w:val="005447BF"/>
    <w:rsid w:val="0054781E"/>
    <w:rsid w:val="00550A5C"/>
    <w:rsid w:val="00550F77"/>
    <w:rsid w:val="00553135"/>
    <w:rsid w:val="00553F97"/>
    <w:rsid w:val="005562E9"/>
    <w:rsid w:val="005566E5"/>
    <w:rsid w:val="00557655"/>
    <w:rsid w:val="005577C2"/>
    <w:rsid w:val="00561784"/>
    <w:rsid w:val="00562AE9"/>
    <w:rsid w:val="005637A6"/>
    <w:rsid w:val="00564EAE"/>
    <w:rsid w:val="00565A6C"/>
    <w:rsid w:val="00565F85"/>
    <w:rsid w:val="00570850"/>
    <w:rsid w:val="005737ED"/>
    <w:rsid w:val="00573B62"/>
    <w:rsid w:val="00574DD7"/>
    <w:rsid w:val="005752D6"/>
    <w:rsid w:val="005763BE"/>
    <w:rsid w:val="0057668C"/>
    <w:rsid w:val="005809FD"/>
    <w:rsid w:val="005812BA"/>
    <w:rsid w:val="00581627"/>
    <w:rsid w:val="00581B4B"/>
    <w:rsid w:val="00582065"/>
    <w:rsid w:val="0058794A"/>
    <w:rsid w:val="00593A09"/>
    <w:rsid w:val="00593DCD"/>
    <w:rsid w:val="0059441D"/>
    <w:rsid w:val="005952EF"/>
    <w:rsid w:val="00596B63"/>
    <w:rsid w:val="0059788E"/>
    <w:rsid w:val="005A1049"/>
    <w:rsid w:val="005A37A9"/>
    <w:rsid w:val="005A39FF"/>
    <w:rsid w:val="005A4F6C"/>
    <w:rsid w:val="005A5E51"/>
    <w:rsid w:val="005A6A79"/>
    <w:rsid w:val="005B10DB"/>
    <w:rsid w:val="005B3247"/>
    <w:rsid w:val="005B3AAC"/>
    <w:rsid w:val="005B67FC"/>
    <w:rsid w:val="005C1DA9"/>
    <w:rsid w:val="005C2840"/>
    <w:rsid w:val="005C2C7F"/>
    <w:rsid w:val="005C3382"/>
    <w:rsid w:val="005C4596"/>
    <w:rsid w:val="005C6214"/>
    <w:rsid w:val="005C655A"/>
    <w:rsid w:val="005C7EF0"/>
    <w:rsid w:val="005D02C2"/>
    <w:rsid w:val="005D20C6"/>
    <w:rsid w:val="005D2FBD"/>
    <w:rsid w:val="005D32FE"/>
    <w:rsid w:val="005D38D9"/>
    <w:rsid w:val="005D3985"/>
    <w:rsid w:val="005D5F55"/>
    <w:rsid w:val="005D7643"/>
    <w:rsid w:val="005E183E"/>
    <w:rsid w:val="005E24BA"/>
    <w:rsid w:val="005E282A"/>
    <w:rsid w:val="005E32AB"/>
    <w:rsid w:val="005E493D"/>
    <w:rsid w:val="005E5387"/>
    <w:rsid w:val="005F0166"/>
    <w:rsid w:val="005F0DE2"/>
    <w:rsid w:val="005F2870"/>
    <w:rsid w:val="005F3D2B"/>
    <w:rsid w:val="005F4317"/>
    <w:rsid w:val="005F6605"/>
    <w:rsid w:val="005F773C"/>
    <w:rsid w:val="005F7C78"/>
    <w:rsid w:val="0060144A"/>
    <w:rsid w:val="00601FB5"/>
    <w:rsid w:val="00602716"/>
    <w:rsid w:val="00602B04"/>
    <w:rsid w:val="006036C0"/>
    <w:rsid w:val="00604F14"/>
    <w:rsid w:val="00604F99"/>
    <w:rsid w:val="00605CD8"/>
    <w:rsid w:val="00606EB5"/>
    <w:rsid w:val="00611A5F"/>
    <w:rsid w:val="0061348C"/>
    <w:rsid w:val="00613DA3"/>
    <w:rsid w:val="00616009"/>
    <w:rsid w:val="00616FD2"/>
    <w:rsid w:val="00621A00"/>
    <w:rsid w:val="00622986"/>
    <w:rsid w:val="00622A55"/>
    <w:rsid w:val="006255DC"/>
    <w:rsid w:val="006317F3"/>
    <w:rsid w:val="00631E07"/>
    <w:rsid w:val="00633840"/>
    <w:rsid w:val="00636482"/>
    <w:rsid w:val="00636EA7"/>
    <w:rsid w:val="00640492"/>
    <w:rsid w:val="00640B23"/>
    <w:rsid w:val="0064143A"/>
    <w:rsid w:val="00641A1E"/>
    <w:rsid w:val="00643D05"/>
    <w:rsid w:val="00653339"/>
    <w:rsid w:val="00654068"/>
    <w:rsid w:val="0065612C"/>
    <w:rsid w:val="00661AD2"/>
    <w:rsid w:val="00661EB8"/>
    <w:rsid w:val="0066362A"/>
    <w:rsid w:val="00663E1E"/>
    <w:rsid w:val="006706C0"/>
    <w:rsid w:val="00670854"/>
    <w:rsid w:val="006711B2"/>
    <w:rsid w:val="006714A4"/>
    <w:rsid w:val="00672369"/>
    <w:rsid w:val="0067577F"/>
    <w:rsid w:val="00676798"/>
    <w:rsid w:val="00680CD4"/>
    <w:rsid w:val="0068133D"/>
    <w:rsid w:val="00681678"/>
    <w:rsid w:val="00681A7D"/>
    <w:rsid w:val="00682DDF"/>
    <w:rsid w:val="00683690"/>
    <w:rsid w:val="00684911"/>
    <w:rsid w:val="00684B09"/>
    <w:rsid w:val="006876B6"/>
    <w:rsid w:val="0069232E"/>
    <w:rsid w:val="00694D18"/>
    <w:rsid w:val="006960EF"/>
    <w:rsid w:val="006A1871"/>
    <w:rsid w:val="006A1DDD"/>
    <w:rsid w:val="006A3AB5"/>
    <w:rsid w:val="006A4053"/>
    <w:rsid w:val="006A579C"/>
    <w:rsid w:val="006A5A8C"/>
    <w:rsid w:val="006A613A"/>
    <w:rsid w:val="006A7194"/>
    <w:rsid w:val="006A79AA"/>
    <w:rsid w:val="006B2937"/>
    <w:rsid w:val="006B2BA2"/>
    <w:rsid w:val="006B55A6"/>
    <w:rsid w:val="006B666F"/>
    <w:rsid w:val="006B73FF"/>
    <w:rsid w:val="006C0CBF"/>
    <w:rsid w:val="006C0F4E"/>
    <w:rsid w:val="006C3D63"/>
    <w:rsid w:val="006C5676"/>
    <w:rsid w:val="006C690C"/>
    <w:rsid w:val="006C6AAD"/>
    <w:rsid w:val="006D06D4"/>
    <w:rsid w:val="006D1E71"/>
    <w:rsid w:val="006D4DB7"/>
    <w:rsid w:val="006D5EA3"/>
    <w:rsid w:val="006D7C24"/>
    <w:rsid w:val="006E1C1C"/>
    <w:rsid w:val="006E1F71"/>
    <w:rsid w:val="006E49E2"/>
    <w:rsid w:val="006E6657"/>
    <w:rsid w:val="006E6E6F"/>
    <w:rsid w:val="006E7CCB"/>
    <w:rsid w:val="006F10E1"/>
    <w:rsid w:val="006F15C8"/>
    <w:rsid w:val="006F1833"/>
    <w:rsid w:val="006F1E25"/>
    <w:rsid w:val="006F321E"/>
    <w:rsid w:val="006F43AF"/>
    <w:rsid w:val="006F5C9A"/>
    <w:rsid w:val="006F724C"/>
    <w:rsid w:val="006F77FE"/>
    <w:rsid w:val="006F7D41"/>
    <w:rsid w:val="00700451"/>
    <w:rsid w:val="00701317"/>
    <w:rsid w:val="00702764"/>
    <w:rsid w:val="00703E61"/>
    <w:rsid w:val="00705139"/>
    <w:rsid w:val="00707F63"/>
    <w:rsid w:val="00710896"/>
    <w:rsid w:val="00710A9D"/>
    <w:rsid w:val="00712DD5"/>
    <w:rsid w:val="00717738"/>
    <w:rsid w:val="00721B71"/>
    <w:rsid w:val="007225FB"/>
    <w:rsid w:val="0072581F"/>
    <w:rsid w:val="0072734C"/>
    <w:rsid w:val="00730C0A"/>
    <w:rsid w:val="00731017"/>
    <w:rsid w:val="00733870"/>
    <w:rsid w:val="00733979"/>
    <w:rsid w:val="00733DBC"/>
    <w:rsid w:val="007346E8"/>
    <w:rsid w:val="0073499C"/>
    <w:rsid w:val="00736F0D"/>
    <w:rsid w:val="007411E3"/>
    <w:rsid w:val="00743672"/>
    <w:rsid w:val="00744E38"/>
    <w:rsid w:val="00750E40"/>
    <w:rsid w:val="00751E96"/>
    <w:rsid w:val="007527F5"/>
    <w:rsid w:val="007528F4"/>
    <w:rsid w:val="0075324C"/>
    <w:rsid w:val="00754A07"/>
    <w:rsid w:val="007554F1"/>
    <w:rsid w:val="00760011"/>
    <w:rsid w:val="007629BD"/>
    <w:rsid w:val="0076321B"/>
    <w:rsid w:val="00764A82"/>
    <w:rsid w:val="0076558B"/>
    <w:rsid w:val="00767D6B"/>
    <w:rsid w:val="007709BE"/>
    <w:rsid w:val="0077379D"/>
    <w:rsid w:val="00773BEF"/>
    <w:rsid w:val="00777167"/>
    <w:rsid w:val="00780BAE"/>
    <w:rsid w:val="00783F44"/>
    <w:rsid w:val="00783F55"/>
    <w:rsid w:val="00786D77"/>
    <w:rsid w:val="00787772"/>
    <w:rsid w:val="00791996"/>
    <w:rsid w:val="00793536"/>
    <w:rsid w:val="007943D2"/>
    <w:rsid w:val="00795C40"/>
    <w:rsid w:val="00796BEC"/>
    <w:rsid w:val="00797024"/>
    <w:rsid w:val="00797854"/>
    <w:rsid w:val="007A01F9"/>
    <w:rsid w:val="007A02A3"/>
    <w:rsid w:val="007A0B2D"/>
    <w:rsid w:val="007A250A"/>
    <w:rsid w:val="007A56C9"/>
    <w:rsid w:val="007A572F"/>
    <w:rsid w:val="007A5BCF"/>
    <w:rsid w:val="007A6273"/>
    <w:rsid w:val="007A6FA7"/>
    <w:rsid w:val="007A730A"/>
    <w:rsid w:val="007A75EC"/>
    <w:rsid w:val="007B1429"/>
    <w:rsid w:val="007B1C1B"/>
    <w:rsid w:val="007C02EE"/>
    <w:rsid w:val="007C085A"/>
    <w:rsid w:val="007C1214"/>
    <w:rsid w:val="007C2FE7"/>
    <w:rsid w:val="007C3328"/>
    <w:rsid w:val="007D0226"/>
    <w:rsid w:val="007D48E0"/>
    <w:rsid w:val="007D4F65"/>
    <w:rsid w:val="007D5657"/>
    <w:rsid w:val="007D6BB1"/>
    <w:rsid w:val="007D7081"/>
    <w:rsid w:val="007D7506"/>
    <w:rsid w:val="007E1FCB"/>
    <w:rsid w:val="007E2F10"/>
    <w:rsid w:val="007E39AD"/>
    <w:rsid w:val="007E3ADC"/>
    <w:rsid w:val="007E465E"/>
    <w:rsid w:val="007E47FA"/>
    <w:rsid w:val="007E5646"/>
    <w:rsid w:val="007E6578"/>
    <w:rsid w:val="007E7D41"/>
    <w:rsid w:val="007F14D0"/>
    <w:rsid w:val="007F19D7"/>
    <w:rsid w:val="007F28C3"/>
    <w:rsid w:val="007F29B3"/>
    <w:rsid w:val="007F723F"/>
    <w:rsid w:val="00805F87"/>
    <w:rsid w:val="008063BA"/>
    <w:rsid w:val="00807A89"/>
    <w:rsid w:val="00810452"/>
    <w:rsid w:val="008104B7"/>
    <w:rsid w:val="00811B37"/>
    <w:rsid w:val="00812140"/>
    <w:rsid w:val="008121B5"/>
    <w:rsid w:val="008128FD"/>
    <w:rsid w:val="00812B74"/>
    <w:rsid w:val="008135A6"/>
    <w:rsid w:val="008139AD"/>
    <w:rsid w:val="008240A6"/>
    <w:rsid w:val="008271DB"/>
    <w:rsid w:val="00830386"/>
    <w:rsid w:val="00831296"/>
    <w:rsid w:val="00831479"/>
    <w:rsid w:val="00832794"/>
    <w:rsid w:val="00833481"/>
    <w:rsid w:val="00833CA2"/>
    <w:rsid w:val="0083510D"/>
    <w:rsid w:val="00835B51"/>
    <w:rsid w:val="00836556"/>
    <w:rsid w:val="00837959"/>
    <w:rsid w:val="0084175D"/>
    <w:rsid w:val="00842624"/>
    <w:rsid w:val="00842681"/>
    <w:rsid w:val="00844962"/>
    <w:rsid w:val="00847026"/>
    <w:rsid w:val="00847C12"/>
    <w:rsid w:val="0085012E"/>
    <w:rsid w:val="00851417"/>
    <w:rsid w:val="008517FA"/>
    <w:rsid w:val="00854B28"/>
    <w:rsid w:val="00854F7F"/>
    <w:rsid w:val="00854FB1"/>
    <w:rsid w:val="00855541"/>
    <w:rsid w:val="00855B28"/>
    <w:rsid w:val="0085627B"/>
    <w:rsid w:val="008569DE"/>
    <w:rsid w:val="00862AA3"/>
    <w:rsid w:val="00862D98"/>
    <w:rsid w:val="00865F87"/>
    <w:rsid w:val="008671B8"/>
    <w:rsid w:val="00871E52"/>
    <w:rsid w:val="0087204E"/>
    <w:rsid w:val="008736C1"/>
    <w:rsid w:val="0087545D"/>
    <w:rsid w:val="00876E1A"/>
    <w:rsid w:val="00877DDA"/>
    <w:rsid w:val="00882D07"/>
    <w:rsid w:val="00884B68"/>
    <w:rsid w:val="00884F2D"/>
    <w:rsid w:val="008855E4"/>
    <w:rsid w:val="00885FB2"/>
    <w:rsid w:val="008919C6"/>
    <w:rsid w:val="00891D2F"/>
    <w:rsid w:val="008921EB"/>
    <w:rsid w:val="008933C9"/>
    <w:rsid w:val="00894890"/>
    <w:rsid w:val="00897641"/>
    <w:rsid w:val="008A1F4B"/>
    <w:rsid w:val="008A282F"/>
    <w:rsid w:val="008A2ED7"/>
    <w:rsid w:val="008A3C9A"/>
    <w:rsid w:val="008A6116"/>
    <w:rsid w:val="008A6404"/>
    <w:rsid w:val="008A6B5C"/>
    <w:rsid w:val="008B0FBA"/>
    <w:rsid w:val="008B1625"/>
    <w:rsid w:val="008B24EB"/>
    <w:rsid w:val="008B46D4"/>
    <w:rsid w:val="008B4C1E"/>
    <w:rsid w:val="008B515C"/>
    <w:rsid w:val="008C1C1D"/>
    <w:rsid w:val="008D1F66"/>
    <w:rsid w:val="008D283E"/>
    <w:rsid w:val="008D29EA"/>
    <w:rsid w:val="008D2B86"/>
    <w:rsid w:val="008D357C"/>
    <w:rsid w:val="008D49C0"/>
    <w:rsid w:val="008D4C9A"/>
    <w:rsid w:val="008D5676"/>
    <w:rsid w:val="008E31B2"/>
    <w:rsid w:val="008E377C"/>
    <w:rsid w:val="008E5B9F"/>
    <w:rsid w:val="008E6249"/>
    <w:rsid w:val="008E6F22"/>
    <w:rsid w:val="008F40BF"/>
    <w:rsid w:val="008F57FB"/>
    <w:rsid w:val="008F5992"/>
    <w:rsid w:val="008F5E3A"/>
    <w:rsid w:val="008F7CC6"/>
    <w:rsid w:val="009000E1"/>
    <w:rsid w:val="0090130A"/>
    <w:rsid w:val="0090409F"/>
    <w:rsid w:val="009046A2"/>
    <w:rsid w:val="00906DEC"/>
    <w:rsid w:val="00913611"/>
    <w:rsid w:val="009164D2"/>
    <w:rsid w:val="00916C46"/>
    <w:rsid w:val="00917359"/>
    <w:rsid w:val="0092002A"/>
    <w:rsid w:val="00921A6B"/>
    <w:rsid w:val="009222EF"/>
    <w:rsid w:val="00923311"/>
    <w:rsid w:val="0092427A"/>
    <w:rsid w:val="0092649D"/>
    <w:rsid w:val="009273EC"/>
    <w:rsid w:val="00931F6E"/>
    <w:rsid w:val="00932889"/>
    <w:rsid w:val="009350D9"/>
    <w:rsid w:val="009366D6"/>
    <w:rsid w:val="009402B5"/>
    <w:rsid w:val="0094137A"/>
    <w:rsid w:val="00942C87"/>
    <w:rsid w:val="00942F57"/>
    <w:rsid w:val="00943F6D"/>
    <w:rsid w:val="0094514C"/>
    <w:rsid w:val="009458B5"/>
    <w:rsid w:val="00947EEF"/>
    <w:rsid w:val="0095022F"/>
    <w:rsid w:val="00952BD3"/>
    <w:rsid w:val="00953589"/>
    <w:rsid w:val="00953B81"/>
    <w:rsid w:val="00954820"/>
    <w:rsid w:val="009557A5"/>
    <w:rsid w:val="00956CEC"/>
    <w:rsid w:val="00962214"/>
    <w:rsid w:val="009623B1"/>
    <w:rsid w:val="009629BB"/>
    <w:rsid w:val="00965EF5"/>
    <w:rsid w:val="00966AB5"/>
    <w:rsid w:val="00970520"/>
    <w:rsid w:val="00971339"/>
    <w:rsid w:val="009737C5"/>
    <w:rsid w:val="0097472B"/>
    <w:rsid w:val="0097676C"/>
    <w:rsid w:val="00977390"/>
    <w:rsid w:val="00977F68"/>
    <w:rsid w:val="00981329"/>
    <w:rsid w:val="00982C2C"/>
    <w:rsid w:val="00982F28"/>
    <w:rsid w:val="00984840"/>
    <w:rsid w:val="00984EE3"/>
    <w:rsid w:val="00986205"/>
    <w:rsid w:val="009900A3"/>
    <w:rsid w:val="00991267"/>
    <w:rsid w:val="00991ADC"/>
    <w:rsid w:val="00993FF3"/>
    <w:rsid w:val="00994BD1"/>
    <w:rsid w:val="009A0620"/>
    <w:rsid w:val="009A196C"/>
    <w:rsid w:val="009A1CF5"/>
    <w:rsid w:val="009A2367"/>
    <w:rsid w:val="009A4F6F"/>
    <w:rsid w:val="009A5A8B"/>
    <w:rsid w:val="009A6C0E"/>
    <w:rsid w:val="009A7130"/>
    <w:rsid w:val="009B1040"/>
    <w:rsid w:val="009B26B4"/>
    <w:rsid w:val="009B278A"/>
    <w:rsid w:val="009B3CD6"/>
    <w:rsid w:val="009B40F0"/>
    <w:rsid w:val="009B4AA5"/>
    <w:rsid w:val="009B59A5"/>
    <w:rsid w:val="009B61F2"/>
    <w:rsid w:val="009B7116"/>
    <w:rsid w:val="009B787D"/>
    <w:rsid w:val="009C001C"/>
    <w:rsid w:val="009C039C"/>
    <w:rsid w:val="009C0602"/>
    <w:rsid w:val="009C3E59"/>
    <w:rsid w:val="009C5BC6"/>
    <w:rsid w:val="009C6968"/>
    <w:rsid w:val="009D16F5"/>
    <w:rsid w:val="009D2520"/>
    <w:rsid w:val="009D2FE5"/>
    <w:rsid w:val="009D3427"/>
    <w:rsid w:val="009D3584"/>
    <w:rsid w:val="009D46CD"/>
    <w:rsid w:val="009D518A"/>
    <w:rsid w:val="009D587E"/>
    <w:rsid w:val="009D79F4"/>
    <w:rsid w:val="009E0F9F"/>
    <w:rsid w:val="009E1192"/>
    <w:rsid w:val="009E18C9"/>
    <w:rsid w:val="009E4EC3"/>
    <w:rsid w:val="009E4F84"/>
    <w:rsid w:val="009E6DA4"/>
    <w:rsid w:val="009F0E6E"/>
    <w:rsid w:val="009F1C91"/>
    <w:rsid w:val="009F26B4"/>
    <w:rsid w:val="009F29EB"/>
    <w:rsid w:val="009F2F8C"/>
    <w:rsid w:val="009F611B"/>
    <w:rsid w:val="009F6A42"/>
    <w:rsid w:val="00A03E69"/>
    <w:rsid w:val="00A052C6"/>
    <w:rsid w:val="00A05F86"/>
    <w:rsid w:val="00A07160"/>
    <w:rsid w:val="00A072C6"/>
    <w:rsid w:val="00A07392"/>
    <w:rsid w:val="00A10A5B"/>
    <w:rsid w:val="00A11091"/>
    <w:rsid w:val="00A1229C"/>
    <w:rsid w:val="00A1275B"/>
    <w:rsid w:val="00A1302A"/>
    <w:rsid w:val="00A1519D"/>
    <w:rsid w:val="00A204F7"/>
    <w:rsid w:val="00A220D5"/>
    <w:rsid w:val="00A25C7B"/>
    <w:rsid w:val="00A26869"/>
    <w:rsid w:val="00A30D3F"/>
    <w:rsid w:val="00A31B2D"/>
    <w:rsid w:val="00A36F78"/>
    <w:rsid w:val="00A402C4"/>
    <w:rsid w:val="00A4065C"/>
    <w:rsid w:val="00A4175B"/>
    <w:rsid w:val="00A42396"/>
    <w:rsid w:val="00A42BF3"/>
    <w:rsid w:val="00A434E9"/>
    <w:rsid w:val="00A441F3"/>
    <w:rsid w:val="00A46254"/>
    <w:rsid w:val="00A468A3"/>
    <w:rsid w:val="00A46EC6"/>
    <w:rsid w:val="00A473BC"/>
    <w:rsid w:val="00A47BED"/>
    <w:rsid w:val="00A5153D"/>
    <w:rsid w:val="00A5329B"/>
    <w:rsid w:val="00A53F2B"/>
    <w:rsid w:val="00A54A48"/>
    <w:rsid w:val="00A570ED"/>
    <w:rsid w:val="00A57A3D"/>
    <w:rsid w:val="00A61843"/>
    <w:rsid w:val="00A61D87"/>
    <w:rsid w:val="00A62BF6"/>
    <w:rsid w:val="00A63797"/>
    <w:rsid w:val="00A63EAC"/>
    <w:rsid w:val="00A6451B"/>
    <w:rsid w:val="00A653B1"/>
    <w:rsid w:val="00A65C47"/>
    <w:rsid w:val="00A66A4A"/>
    <w:rsid w:val="00A73256"/>
    <w:rsid w:val="00A75E00"/>
    <w:rsid w:val="00A76420"/>
    <w:rsid w:val="00A76BDC"/>
    <w:rsid w:val="00A770B9"/>
    <w:rsid w:val="00A778BA"/>
    <w:rsid w:val="00A8019D"/>
    <w:rsid w:val="00A80BDD"/>
    <w:rsid w:val="00A81BCF"/>
    <w:rsid w:val="00A82999"/>
    <w:rsid w:val="00A83310"/>
    <w:rsid w:val="00A839F5"/>
    <w:rsid w:val="00A83E31"/>
    <w:rsid w:val="00A83F7E"/>
    <w:rsid w:val="00A84F38"/>
    <w:rsid w:val="00A85708"/>
    <w:rsid w:val="00A87022"/>
    <w:rsid w:val="00A873F2"/>
    <w:rsid w:val="00A90931"/>
    <w:rsid w:val="00A909E8"/>
    <w:rsid w:val="00A90DE4"/>
    <w:rsid w:val="00A92873"/>
    <w:rsid w:val="00A92BF3"/>
    <w:rsid w:val="00A9414B"/>
    <w:rsid w:val="00A94F03"/>
    <w:rsid w:val="00A95C8A"/>
    <w:rsid w:val="00A96EFB"/>
    <w:rsid w:val="00A97868"/>
    <w:rsid w:val="00AA3E36"/>
    <w:rsid w:val="00AA4141"/>
    <w:rsid w:val="00AA553B"/>
    <w:rsid w:val="00AA7705"/>
    <w:rsid w:val="00AB0723"/>
    <w:rsid w:val="00AB1CEA"/>
    <w:rsid w:val="00AB47A0"/>
    <w:rsid w:val="00AB524D"/>
    <w:rsid w:val="00AB5303"/>
    <w:rsid w:val="00AB6390"/>
    <w:rsid w:val="00AC0485"/>
    <w:rsid w:val="00AC0CC2"/>
    <w:rsid w:val="00AC1251"/>
    <w:rsid w:val="00AC274E"/>
    <w:rsid w:val="00AC2C3C"/>
    <w:rsid w:val="00AC3B35"/>
    <w:rsid w:val="00AC4A0C"/>
    <w:rsid w:val="00AC663A"/>
    <w:rsid w:val="00AC711C"/>
    <w:rsid w:val="00AC7AB0"/>
    <w:rsid w:val="00AD0ABA"/>
    <w:rsid w:val="00AD2399"/>
    <w:rsid w:val="00AD603A"/>
    <w:rsid w:val="00AD636E"/>
    <w:rsid w:val="00AD7634"/>
    <w:rsid w:val="00AD7DDB"/>
    <w:rsid w:val="00AE05DC"/>
    <w:rsid w:val="00AE0F0A"/>
    <w:rsid w:val="00AE1421"/>
    <w:rsid w:val="00AE23CB"/>
    <w:rsid w:val="00AE654B"/>
    <w:rsid w:val="00AE6562"/>
    <w:rsid w:val="00AE6A49"/>
    <w:rsid w:val="00AF0473"/>
    <w:rsid w:val="00AF1BFC"/>
    <w:rsid w:val="00AF2426"/>
    <w:rsid w:val="00AF3C91"/>
    <w:rsid w:val="00AF67E6"/>
    <w:rsid w:val="00AF6837"/>
    <w:rsid w:val="00B00BD7"/>
    <w:rsid w:val="00B00DA7"/>
    <w:rsid w:val="00B02670"/>
    <w:rsid w:val="00B02F46"/>
    <w:rsid w:val="00B07956"/>
    <w:rsid w:val="00B079B2"/>
    <w:rsid w:val="00B07FDE"/>
    <w:rsid w:val="00B104F6"/>
    <w:rsid w:val="00B10F09"/>
    <w:rsid w:val="00B1143D"/>
    <w:rsid w:val="00B11A10"/>
    <w:rsid w:val="00B134FF"/>
    <w:rsid w:val="00B139D5"/>
    <w:rsid w:val="00B13C31"/>
    <w:rsid w:val="00B141B6"/>
    <w:rsid w:val="00B155D2"/>
    <w:rsid w:val="00B16DDD"/>
    <w:rsid w:val="00B22A45"/>
    <w:rsid w:val="00B235B2"/>
    <w:rsid w:val="00B242A2"/>
    <w:rsid w:val="00B24F1D"/>
    <w:rsid w:val="00B26598"/>
    <w:rsid w:val="00B31362"/>
    <w:rsid w:val="00B31471"/>
    <w:rsid w:val="00B329F7"/>
    <w:rsid w:val="00B32AA4"/>
    <w:rsid w:val="00B36418"/>
    <w:rsid w:val="00B3659B"/>
    <w:rsid w:val="00B36F15"/>
    <w:rsid w:val="00B4013A"/>
    <w:rsid w:val="00B42930"/>
    <w:rsid w:val="00B4645A"/>
    <w:rsid w:val="00B4777E"/>
    <w:rsid w:val="00B5190F"/>
    <w:rsid w:val="00B51BFA"/>
    <w:rsid w:val="00B51C87"/>
    <w:rsid w:val="00B5546A"/>
    <w:rsid w:val="00B56108"/>
    <w:rsid w:val="00B56F64"/>
    <w:rsid w:val="00B606CD"/>
    <w:rsid w:val="00B6207F"/>
    <w:rsid w:val="00B6258E"/>
    <w:rsid w:val="00B639F8"/>
    <w:rsid w:val="00B63A1D"/>
    <w:rsid w:val="00B64674"/>
    <w:rsid w:val="00B65700"/>
    <w:rsid w:val="00B658EB"/>
    <w:rsid w:val="00B65B92"/>
    <w:rsid w:val="00B65EAD"/>
    <w:rsid w:val="00B67536"/>
    <w:rsid w:val="00B7012A"/>
    <w:rsid w:val="00B70600"/>
    <w:rsid w:val="00B7073C"/>
    <w:rsid w:val="00B73C44"/>
    <w:rsid w:val="00B73E25"/>
    <w:rsid w:val="00B74892"/>
    <w:rsid w:val="00B75C72"/>
    <w:rsid w:val="00B77C30"/>
    <w:rsid w:val="00B81568"/>
    <w:rsid w:val="00B81D0C"/>
    <w:rsid w:val="00B84905"/>
    <w:rsid w:val="00B84F9B"/>
    <w:rsid w:val="00B85C5F"/>
    <w:rsid w:val="00B85DCC"/>
    <w:rsid w:val="00B865DF"/>
    <w:rsid w:val="00B87139"/>
    <w:rsid w:val="00B90C60"/>
    <w:rsid w:val="00B91BCF"/>
    <w:rsid w:val="00B9652F"/>
    <w:rsid w:val="00B97F0F"/>
    <w:rsid w:val="00BA06A1"/>
    <w:rsid w:val="00BA29ED"/>
    <w:rsid w:val="00BA3CA0"/>
    <w:rsid w:val="00BA3EE3"/>
    <w:rsid w:val="00BA47F4"/>
    <w:rsid w:val="00BA56BA"/>
    <w:rsid w:val="00BA726F"/>
    <w:rsid w:val="00BA76E6"/>
    <w:rsid w:val="00BB0BE5"/>
    <w:rsid w:val="00BB4403"/>
    <w:rsid w:val="00BB7744"/>
    <w:rsid w:val="00BB77C6"/>
    <w:rsid w:val="00BC02A0"/>
    <w:rsid w:val="00BC04B0"/>
    <w:rsid w:val="00BC07BC"/>
    <w:rsid w:val="00BC125E"/>
    <w:rsid w:val="00BC1846"/>
    <w:rsid w:val="00BC39BB"/>
    <w:rsid w:val="00BC646A"/>
    <w:rsid w:val="00BD1DF6"/>
    <w:rsid w:val="00BD5233"/>
    <w:rsid w:val="00BD699A"/>
    <w:rsid w:val="00BE0200"/>
    <w:rsid w:val="00BE1A3A"/>
    <w:rsid w:val="00BE28BD"/>
    <w:rsid w:val="00BE5BA0"/>
    <w:rsid w:val="00BE65ED"/>
    <w:rsid w:val="00BE6FE3"/>
    <w:rsid w:val="00BE74B4"/>
    <w:rsid w:val="00BF0590"/>
    <w:rsid w:val="00BF0B68"/>
    <w:rsid w:val="00BF0E73"/>
    <w:rsid w:val="00BF2D2F"/>
    <w:rsid w:val="00BF2EF5"/>
    <w:rsid w:val="00BF3A6A"/>
    <w:rsid w:val="00BF4DC6"/>
    <w:rsid w:val="00BF5A7D"/>
    <w:rsid w:val="00BF7A87"/>
    <w:rsid w:val="00BF7C73"/>
    <w:rsid w:val="00C0005E"/>
    <w:rsid w:val="00C00723"/>
    <w:rsid w:val="00C0144B"/>
    <w:rsid w:val="00C014CC"/>
    <w:rsid w:val="00C0191B"/>
    <w:rsid w:val="00C0327A"/>
    <w:rsid w:val="00C057A3"/>
    <w:rsid w:val="00C06769"/>
    <w:rsid w:val="00C10DDE"/>
    <w:rsid w:val="00C10E02"/>
    <w:rsid w:val="00C113FB"/>
    <w:rsid w:val="00C13379"/>
    <w:rsid w:val="00C14A7C"/>
    <w:rsid w:val="00C1523E"/>
    <w:rsid w:val="00C16F0E"/>
    <w:rsid w:val="00C173F5"/>
    <w:rsid w:val="00C2386A"/>
    <w:rsid w:val="00C2388E"/>
    <w:rsid w:val="00C304FD"/>
    <w:rsid w:val="00C305DA"/>
    <w:rsid w:val="00C31E52"/>
    <w:rsid w:val="00C32D87"/>
    <w:rsid w:val="00C33AEF"/>
    <w:rsid w:val="00C34AEE"/>
    <w:rsid w:val="00C41449"/>
    <w:rsid w:val="00C4279B"/>
    <w:rsid w:val="00C43292"/>
    <w:rsid w:val="00C44B91"/>
    <w:rsid w:val="00C453E9"/>
    <w:rsid w:val="00C462EB"/>
    <w:rsid w:val="00C479E3"/>
    <w:rsid w:val="00C47B30"/>
    <w:rsid w:val="00C47D3E"/>
    <w:rsid w:val="00C525B7"/>
    <w:rsid w:val="00C5335E"/>
    <w:rsid w:val="00C550BA"/>
    <w:rsid w:val="00C55430"/>
    <w:rsid w:val="00C56175"/>
    <w:rsid w:val="00C57004"/>
    <w:rsid w:val="00C607D3"/>
    <w:rsid w:val="00C62CE7"/>
    <w:rsid w:val="00C6321D"/>
    <w:rsid w:val="00C63750"/>
    <w:rsid w:val="00C6385C"/>
    <w:rsid w:val="00C72691"/>
    <w:rsid w:val="00C7292B"/>
    <w:rsid w:val="00C7582C"/>
    <w:rsid w:val="00C75D49"/>
    <w:rsid w:val="00C76338"/>
    <w:rsid w:val="00C7652A"/>
    <w:rsid w:val="00C772B4"/>
    <w:rsid w:val="00C83A71"/>
    <w:rsid w:val="00C83EC8"/>
    <w:rsid w:val="00C8443E"/>
    <w:rsid w:val="00C90D01"/>
    <w:rsid w:val="00C915CC"/>
    <w:rsid w:val="00C92E7C"/>
    <w:rsid w:val="00C9305C"/>
    <w:rsid w:val="00C9436F"/>
    <w:rsid w:val="00C9525A"/>
    <w:rsid w:val="00C96A32"/>
    <w:rsid w:val="00CA18E7"/>
    <w:rsid w:val="00CA26C1"/>
    <w:rsid w:val="00CA56EA"/>
    <w:rsid w:val="00CA5CE0"/>
    <w:rsid w:val="00CA64D7"/>
    <w:rsid w:val="00CA6C76"/>
    <w:rsid w:val="00CA6E63"/>
    <w:rsid w:val="00CA7B21"/>
    <w:rsid w:val="00CB0849"/>
    <w:rsid w:val="00CB1DCC"/>
    <w:rsid w:val="00CB43D7"/>
    <w:rsid w:val="00CB467B"/>
    <w:rsid w:val="00CB5030"/>
    <w:rsid w:val="00CB55F2"/>
    <w:rsid w:val="00CC2404"/>
    <w:rsid w:val="00CC3808"/>
    <w:rsid w:val="00CC4275"/>
    <w:rsid w:val="00CC49AE"/>
    <w:rsid w:val="00CC4B31"/>
    <w:rsid w:val="00CC4FEF"/>
    <w:rsid w:val="00CC60A5"/>
    <w:rsid w:val="00CC634E"/>
    <w:rsid w:val="00CD1065"/>
    <w:rsid w:val="00CD1917"/>
    <w:rsid w:val="00CD6E2D"/>
    <w:rsid w:val="00CE143A"/>
    <w:rsid w:val="00CE3281"/>
    <w:rsid w:val="00CE495A"/>
    <w:rsid w:val="00CE68B5"/>
    <w:rsid w:val="00CF1D61"/>
    <w:rsid w:val="00CF4923"/>
    <w:rsid w:val="00CF7482"/>
    <w:rsid w:val="00D01BD7"/>
    <w:rsid w:val="00D02181"/>
    <w:rsid w:val="00D03125"/>
    <w:rsid w:val="00D05432"/>
    <w:rsid w:val="00D06DC0"/>
    <w:rsid w:val="00D111AA"/>
    <w:rsid w:val="00D13C54"/>
    <w:rsid w:val="00D13EA4"/>
    <w:rsid w:val="00D14558"/>
    <w:rsid w:val="00D152C3"/>
    <w:rsid w:val="00D15C28"/>
    <w:rsid w:val="00D17FA5"/>
    <w:rsid w:val="00D20707"/>
    <w:rsid w:val="00D212D6"/>
    <w:rsid w:val="00D24CA1"/>
    <w:rsid w:val="00D25B08"/>
    <w:rsid w:val="00D31939"/>
    <w:rsid w:val="00D3210A"/>
    <w:rsid w:val="00D3448B"/>
    <w:rsid w:val="00D3458E"/>
    <w:rsid w:val="00D34983"/>
    <w:rsid w:val="00D35D8D"/>
    <w:rsid w:val="00D362FE"/>
    <w:rsid w:val="00D36EF1"/>
    <w:rsid w:val="00D4415C"/>
    <w:rsid w:val="00D46122"/>
    <w:rsid w:val="00D47992"/>
    <w:rsid w:val="00D47C9C"/>
    <w:rsid w:val="00D52E13"/>
    <w:rsid w:val="00D53171"/>
    <w:rsid w:val="00D54491"/>
    <w:rsid w:val="00D54F92"/>
    <w:rsid w:val="00D56172"/>
    <w:rsid w:val="00D62F34"/>
    <w:rsid w:val="00D65078"/>
    <w:rsid w:val="00D66062"/>
    <w:rsid w:val="00D720F6"/>
    <w:rsid w:val="00D72500"/>
    <w:rsid w:val="00D73324"/>
    <w:rsid w:val="00D7362E"/>
    <w:rsid w:val="00D74704"/>
    <w:rsid w:val="00D75BCB"/>
    <w:rsid w:val="00D77EB7"/>
    <w:rsid w:val="00D825D8"/>
    <w:rsid w:val="00D8345B"/>
    <w:rsid w:val="00D83A0A"/>
    <w:rsid w:val="00D841C9"/>
    <w:rsid w:val="00D848D3"/>
    <w:rsid w:val="00D855B9"/>
    <w:rsid w:val="00D85EDB"/>
    <w:rsid w:val="00D86111"/>
    <w:rsid w:val="00D869CF"/>
    <w:rsid w:val="00D8744D"/>
    <w:rsid w:val="00D87B59"/>
    <w:rsid w:val="00D901B8"/>
    <w:rsid w:val="00D902B1"/>
    <w:rsid w:val="00D918E0"/>
    <w:rsid w:val="00D927C3"/>
    <w:rsid w:val="00D92F9E"/>
    <w:rsid w:val="00D9496D"/>
    <w:rsid w:val="00D952F6"/>
    <w:rsid w:val="00D954B3"/>
    <w:rsid w:val="00D9589F"/>
    <w:rsid w:val="00D97420"/>
    <w:rsid w:val="00DA05EE"/>
    <w:rsid w:val="00DA1662"/>
    <w:rsid w:val="00DA187F"/>
    <w:rsid w:val="00DA2BCC"/>
    <w:rsid w:val="00DA3333"/>
    <w:rsid w:val="00DA5435"/>
    <w:rsid w:val="00DA5F23"/>
    <w:rsid w:val="00DA6675"/>
    <w:rsid w:val="00DA69D1"/>
    <w:rsid w:val="00DA7441"/>
    <w:rsid w:val="00DA77EF"/>
    <w:rsid w:val="00DB07AA"/>
    <w:rsid w:val="00DB0B40"/>
    <w:rsid w:val="00DB0E52"/>
    <w:rsid w:val="00DB1951"/>
    <w:rsid w:val="00DB2AD2"/>
    <w:rsid w:val="00DB4B59"/>
    <w:rsid w:val="00DB4BAD"/>
    <w:rsid w:val="00DB5361"/>
    <w:rsid w:val="00DB5E5C"/>
    <w:rsid w:val="00DB6503"/>
    <w:rsid w:val="00DC0208"/>
    <w:rsid w:val="00DC091D"/>
    <w:rsid w:val="00DC09EA"/>
    <w:rsid w:val="00DC27AF"/>
    <w:rsid w:val="00DC2A3F"/>
    <w:rsid w:val="00DC2BCB"/>
    <w:rsid w:val="00DC3272"/>
    <w:rsid w:val="00DC6475"/>
    <w:rsid w:val="00DD144E"/>
    <w:rsid w:val="00DD3527"/>
    <w:rsid w:val="00DD5639"/>
    <w:rsid w:val="00DD698D"/>
    <w:rsid w:val="00DD7C68"/>
    <w:rsid w:val="00DD7D26"/>
    <w:rsid w:val="00DE031A"/>
    <w:rsid w:val="00DE0978"/>
    <w:rsid w:val="00DE1A7C"/>
    <w:rsid w:val="00DE2A79"/>
    <w:rsid w:val="00DE3BF3"/>
    <w:rsid w:val="00DE445E"/>
    <w:rsid w:val="00DE7BDC"/>
    <w:rsid w:val="00DF0E6C"/>
    <w:rsid w:val="00DF1B73"/>
    <w:rsid w:val="00DF1F27"/>
    <w:rsid w:val="00DF4A17"/>
    <w:rsid w:val="00DF6800"/>
    <w:rsid w:val="00DF7637"/>
    <w:rsid w:val="00DF7A77"/>
    <w:rsid w:val="00E002C4"/>
    <w:rsid w:val="00E00F0C"/>
    <w:rsid w:val="00E023C3"/>
    <w:rsid w:val="00E0327E"/>
    <w:rsid w:val="00E038E7"/>
    <w:rsid w:val="00E0530A"/>
    <w:rsid w:val="00E0585E"/>
    <w:rsid w:val="00E05D88"/>
    <w:rsid w:val="00E154DD"/>
    <w:rsid w:val="00E1634D"/>
    <w:rsid w:val="00E21C62"/>
    <w:rsid w:val="00E25768"/>
    <w:rsid w:val="00E25C40"/>
    <w:rsid w:val="00E2625D"/>
    <w:rsid w:val="00E3218A"/>
    <w:rsid w:val="00E32714"/>
    <w:rsid w:val="00E340CA"/>
    <w:rsid w:val="00E34B8A"/>
    <w:rsid w:val="00E359D4"/>
    <w:rsid w:val="00E37C3F"/>
    <w:rsid w:val="00E37D29"/>
    <w:rsid w:val="00E40C73"/>
    <w:rsid w:val="00E40D2A"/>
    <w:rsid w:val="00E41109"/>
    <w:rsid w:val="00E41168"/>
    <w:rsid w:val="00E41494"/>
    <w:rsid w:val="00E41E63"/>
    <w:rsid w:val="00E4711E"/>
    <w:rsid w:val="00E51CE5"/>
    <w:rsid w:val="00E520A0"/>
    <w:rsid w:val="00E5290C"/>
    <w:rsid w:val="00E53C82"/>
    <w:rsid w:val="00E578E4"/>
    <w:rsid w:val="00E57A8B"/>
    <w:rsid w:val="00E6127D"/>
    <w:rsid w:val="00E612AB"/>
    <w:rsid w:val="00E616B7"/>
    <w:rsid w:val="00E61852"/>
    <w:rsid w:val="00E61A30"/>
    <w:rsid w:val="00E6230F"/>
    <w:rsid w:val="00E62BC9"/>
    <w:rsid w:val="00E62D4F"/>
    <w:rsid w:val="00E62F8F"/>
    <w:rsid w:val="00E63584"/>
    <w:rsid w:val="00E64335"/>
    <w:rsid w:val="00E644FB"/>
    <w:rsid w:val="00E6534F"/>
    <w:rsid w:val="00E65CF1"/>
    <w:rsid w:val="00E6696C"/>
    <w:rsid w:val="00E67C59"/>
    <w:rsid w:val="00E739D0"/>
    <w:rsid w:val="00E73ECF"/>
    <w:rsid w:val="00E73EFE"/>
    <w:rsid w:val="00E749A2"/>
    <w:rsid w:val="00E74FC1"/>
    <w:rsid w:val="00E75298"/>
    <w:rsid w:val="00E75891"/>
    <w:rsid w:val="00E76A9F"/>
    <w:rsid w:val="00E76B50"/>
    <w:rsid w:val="00E76C3E"/>
    <w:rsid w:val="00E76E1B"/>
    <w:rsid w:val="00E77167"/>
    <w:rsid w:val="00E77DF6"/>
    <w:rsid w:val="00E8044F"/>
    <w:rsid w:val="00E81653"/>
    <w:rsid w:val="00E81761"/>
    <w:rsid w:val="00E8182C"/>
    <w:rsid w:val="00E83311"/>
    <w:rsid w:val="00E8358F"/>
    <w:rsid w:val="00E83CD6"/>
    <w:rsid w:val="00E859C2"/>
    <w:rsid w:val="00E862F0"/>
    <w:rsid w:val="00E86BEC"/>
    <w:rsid w:val="00E91A01"/>
    <w:rsid w:val="00E9431A"/>
    <w:rsid w:val="00E952D0"/>
    <w:rsid w:val="00E95520"/>
    <w:rsid w:val="00E95DE5"/>
    <w:rsid w:val="00E9606F"/>
    <w:rsid w:val="00EA0BBC"/>
    <w:rsid w:val="00EA3884"/>
    <w:rsid w:val="00EA3A76"/>
    <w:rsid w:val="00EA5C41"/>
    <w:rsid w:val="00EA5E6E"/>
    <w:rsid w:val="00EA779B"/>
    <w:rsid w:val="00EB0A40"/>
    <w:rsid w:val="00EB2317"/>
    <w:rsid w:val="00EB27E2"/>
    <w:rsid w:val="00EB29B3"/>
    <w:rsid w:val="00EB3626"/>
    <w:rsid w:val="00EB39DF"/>
    <w:rsid w:val="00EB49B2"/>
    <w:rsid w:val="00EB6B7F"/>
    <w:rsid w:val="00EC1C40"/>
    <w:rsid w:val="00EC1D28"/>
    <w:rsid w:val="00EC3665"/>
    <w:rsid w:val="00ED05BC"/>
    <w:rsid w:val="00ED11FD"/>
    <w:rsid w:val="00ED5A6F"/>
    <w:rsid w:val="00ED731C"/>
    <w:rsid w:val="00EE054C"/>
    <w:rsid w:val="00EE164E"/>
    <w:rsid w:val="00EE1912"/>
    <w:rsid w:val="00EE2B2B"/>
    <w:rsid w:val="00EE4005"/>
    <w:rsid w:val="00EE41F8"/>
    <w:rsid w:val="00EE4AB3"/>
    <w:rsid w:val="00EE7A3B"/>
    <w:rsid w:val="00EF0F5F"/>
    <w:rsid w:val="00EF1154"/>
    <w:rsid w:val="00EF3363"/>
    <w:rsid w:val="00EF5CAC"/>
    <w:rsid w:val="00EF7B74"/>
    <w:rsid w:val="00F016D5"/>
    <w:rsid w:val="00F0191A"/>
    <w:rsid w:val="00F02674"/>
    <w:rsid w:val="00F04126"/>
    <w:rsid w:val="00F0496D"/>
    <w:rsid w:val="00F06740"/>
    <w:rsid w:val="00F12663"/>
    <w:rsid w:val="00F131CF"/>
    <w:rsid w:val="00F13948"/>
    <w:rsid w:val="00F156F9"/>
    <w:rsid w:val="00F15A71"/>
    <w:rsid w:val="00F16D34"/>
    <w:rsid w:val="00F17538"/>
    <w:rsid w:val="00F1795F"/>
    <w:rsid w:val="00F214F4"/>
    <w:rsid w:val="00F21BF3"/>
    <w:rsid w:val="00F21C42"/>
    <w:rsid w:val="00F24127"/>
    <w:rsid w:val="00F243CA"/>
    <w:rsid w:val="00F246DB"/>
    <w:rsid w:val="00F24850"/>
    <w:rsid w:val="00F27288"/>
    <w:rsid w:val="00F27918"/>
    <w:rsid w:val="00F30CF3"/>
    <w:rsid w:val="00F32E03"/>
    <w:rsid w:val="00F3344F"/>
    <w:rsid w:val="00F33A3A"/>
    <w:rsid w:val="00F33DBB"/>
    <w:rsid w:val="00F357EB"/>
    <w:rsid w:val="00F40212"/>
    <w:rsid w:val="00F40B73"/>
    <w:rsid w:val="00F439B4"/>
    <w:rsid w:val="00F470DF"/>
    <w:rsid w:val="00F47324"/>
    <w:rsid w:val="00F514A1"/>
    <w:rsid w:val="00F54397"/>
    <w:rsid w:val="00F55861"/>
    <w:rsid w:val="00F56B1C"/>
    <w:rsid w:val="00F60CF3"/>
    <w:rsid w:val="00F643CC"/>
    <w:rsid w:val="00F67281"/>
    <w:rsid w:val="00F678E1"/>
    <w:rsid w:val="00F715C9"/>
    <w:rsid w:val="00F717DD"/>
    <w:rsid w:val="00F71C51"/>
    <w:rsid w:val="00F738E4"/>
    <w:rsid w:val="00F73D5E"/>
    <w:rsid w:val="00F73F48"/>
    <w:rsid w:val="00F74177"/>
    <w:rsid w:val="00F75A39"/>
    <w:rsid w:val="00F76F49"/>
    <w:rsid w:val="00F80E8D"/>
    <w:rsid w:val="00F80F1D"/>
    <w:rsid w:val="00F82EE7"/>
    <w:rsid w:val="00F91CFF"/>
    <w:rsid w:val="00F9309D"/>
    <w:rsid w:val="00F95041"/>
    <w:rsid w:val="00F968BF"/>
    <w:rsid w:val="00F978C6"/>
    <w:rsid w:val="00FA10A3"/>
    <w:rsid w:val="00FA304C"/>
    <w:rsid w:val="00FA31C5"/>
    <w:rsid w:val="00FA3EC6"/>
    <w:rsid w:val="00FA5AFC"/>
    <w:rsid w:val="00FA7535"/>
    <w:rsid w:val="00FB018A"/>
    <w:rsid w:val="00FB074C"/>
    <w:rsid w:val="00FB22C4"/>
    <w:rsid w:val="00FB26D1"/>
    <w:rsid w:val="00FB2B24"/>
    <w:rsid w:val="00FB4B07"/>
    <w:rsid w:val="00FB4E3F"/>
    <w:rsid w:val="00FB5ADD"/>
    <w:rsid w:val="00FB716C"/>
    <w:rsid w:val="00FB745F"/>
    <w:rsid w:val="00FC1B94"/>
    <w:rsid w:val="00FC2287"/>
    <w:rsid w:val="00FC34E6"/>
    <w:rsid w:val="00FC3C31"/>
    <w:rsid w:val="00FC3EF2"/>
    <w:rsid w:val="00FC4790"/>
    <w:rsid w:val="00FC4D7D"/>
    <w:rsid w:val="00FC6E13"/>
    <w:rsid w:val="00FC6E33"/>
    <w:rsid w:val="00FC73D5"/>
    <w:rsid w:val="00FD119F"/>
    <w:rsid w:val="00FD134D"/>
    <w:rsid w:val="00FD1E69"/>
    <w:rsid w:val="00FD2467"/>
    <w:rsid w:val="00FD3E3A"/>
    <w:rsid w:val="00FD44E3"/>
    <w:rsid w:val="00FD5EB5"/>
    <w:rsid w:val="00FE2B78"/>
    <w:rsid w:val="00FE48CE"/>
    <w:rsid w:val="00FE77B0"/>
    <w:rsid w:val="00FE7EF7"/>
    <w:rsid w:val="00FF0C9C"/>
    <w:rsid w:val="00FF1028"/>
    <w:rsid w:val="00FF2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C120C"/>
  <w15:chartTrackingRefBased/>
  <w15:docId w15:val="{4B4EDEC1-C99D-4C26-BFFE-C1949C9AE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7DD"/>
    <w:pPr>
      <w:spacing w:before="60" w:after="240" w:line="360" w:lineRule="auto"/>
    </w:pPr>
    <w:rPr>
      <w:rFonts w:cstheme="minorHAnsi"/>
      <w:sz w:val="20"/>
      <w:szCs w:val="20"/>
      <w:lang w:val="en-CA"/>
    </w:rPr>
  </w:style>
  <w:style w:type="paragraph" w:styleId="Heading1">
    <w:name w:val="heading 1"/>
    <w:basedOn w:val="Normal"/>
    <w:next w:val="Normal"/>
    <w:link w:val="Heading1Char"/>
    <w:uiPriority w:val="9"/>
    <w:qFormat/>
    <w:rsid w:val="0033309B"/>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33309B"/>
    <w:pPr>
      <w:keepNext/>
      <w:keepLines/>
      <w:spacing w:before="4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33309B"/>
    <w:pPr>
      <w:keepNext/>
      <w:keepLines/>
      <w:spacing w:before="4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F717DD"/>
    <w:pPr>
      <w:keepNext/>
      <w:keepLines/>
      <w:spacing w:before="40" w:after="0" w:line="240" w:lineRule="auto"/>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unhideWhenUsed/>
    <w:qFormat/>
    <w:rsid w:val="00F717DD"/>
    <w:pPr>
      <w:keepNext/>
      <w:keepLines/>
      <w:spacing w:before="0" w:after="0" w:line="240" w:lineRule="auto"/>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unhideWhenUsed/>
    <w:qFormat/>
    <w:rsid w:val="0033309B"/>
    <w:pPr>
      <w:keepNext/>
      <w:keepLines/>
      <w:spacing w:before="4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33309B"/>
    <w:pPr>
      <w:keepNext/>
      <w:keepLines/>
      <w:spacing w:before="4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33309B"/>
    <w:pPr>
      <w:keepNext/>
      <w:keepLines/>
      <w:spacing w:before="4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33309B"/>
    <w:pPr>
      <w:keepNext/>
      <w:keepLines/>
      <w:spacing w:before="4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C274E"/>
    <w:pPr>
      <w:ind w:left="720"/>
      <w:contextualSpacing/>
    </w:pPr>
  </w:style>
  <w:style w:type="paragraph" w:styleId="TOC1">
    <w:name w:val="toc 1"/>
    <w:basedOn w:val="Normal"/>
    <w:next w:val="Normal"/>
    <w:autoRedefine/>
    <w:uiPriority w:val="39"/>
    <w:semiHidden/>
    <w:unhideWhenUsed/>
    <w:rsid w:val="005752D6"/>
    <w:pPr>
      <w:spacing w:after="100"/>
    </w:pPr>
  </w:style>
  <w:style w:type="paragraph" w:customStyle="1" w:styleId="TableParagraph">
    <w:name w:val="Table Paragraph"/>
    <w:basedOn w:val="Normal"/>
    <w:uiPriority w:val="1"/>
    <w:rsid w:val="00081BA8"/>
    <w:pPr>
      <w:widowControl w:val="0"/>
      <w:autoSpaceDE w:val="0"/>
      <w:autoSpaceDN w:val="0"/>
      <w:spacing w:before="59" w:line="240" w:lineRule="auto"/>
      <w:ind w:left="107"/>
    </w:pPr>
    <w:rPr>
      <w:rFonts w:ascii="Arial" w:eastAsia="Arial" w:hAnsi="Arial" w:cs="Arial"/>
      <w:lang w:val="en-GB" w:eastAsia="en-GB" w:bidi="en-GB"/>
    </w:rPr>
  </w:style>
  <w:style w:type="paragraph" w:styleId="TOC3">
    <w:name w:val="toc 3"/>
    <w:basedOn w:val="Normal"/>
    <w:next w:val="Normal"/>
    <w:autoRedefine/>
    <w:uiPriority w:val="39"/>
    <w:semiHidden/>
    <w:unhideWhenUsed/>
    <w:rsid w:val="00081BA8"/>
    <w:pPr>
      <w:spacing w:after="100"/>
      <w:ind w:left="440"/>
    </w:pPr>
  </w:style>
  <w:style w:type="character" w:styleId="Hyperlink">
    <w:name w:val="Hyperlink"/>
    <w:basedOn w:val="DefaultParagraphFont"/>
    <w:uiPriority w:val="99"/>
    <w:unhideWhenUsed/>
    <w:rsid w:val="00081BA8"/>
    <w:rPr>
      <w:color w:val="0563C1" w:themeColor="hyperlink"/>
      <w:u w:val="single"/>
    </w:rPr>
  </w:style>
  <w:style w:type="character" w:customStyle="1" w:styleId="ref-journal">
    <w:name w:val="ref-journal"/>
    <w:basedOn w:val="DefaultParagraphFont"/>
    <w:rsid w:val="00234634"/>
  </w:style>
  <w:style w:type="character" w:customStyle="1" w:styleId="ref-vol">
    <w:name w:val="ref-vol"/>
    <w:basedOn w:val="DefaultParagraphFont"/>
    <w:rsid w:val="00234634"/>
  </w:style>
  <w:style w:type="paragraph" w:customStyle="1" w:styleId="EndNoteCategoryHeading">
    <w:name w:val="EndNote Category Heading"/>
    <w:basedOn w:val="Normal"/>
    <w:link w:val="EndNoteCategoryHeadingChar"/>
    <w:rsid w:val="001D777C"/>
    <w:pPr>
      <w:spacing w:after="120"/>
    </w:pPr>
  </w:style>
  <w:style w:type="character" w:customStyle="1" w:styleId="ListParagraphChar">
    <w:name w:val="List Paragraph Char"/>
    <w:basedOn w:val="DefaultParagraphFont"/>
    <w:link w:val="ListParagraph"/>
    <w:uiPriority w:val="34"/>
    <w:rsid w:val="001D777C"/>
  </w:style>
  <w:style w:type="character" w:customStyle="1" w:styleId="EndNoteCategoryHeadingChar">
    <w:name w:val="EndNote Category Heading Char"/>
    <w:basedOn w:val="ListParagraphChar"/>
    <w:link w:val="EndNoteCategoryHeading"/>
    <w:rsid w:val="001D777C"/>
  </w:style>
  <w:style w:type="paragraph" w:customStyle="1" w:styleId="EndNoteCategoryTitle">
    <w:name w:val="EndNote Category Title"/>
    <w:basedOn w:val="Normal"/>
    <w:link w:val="EndNoteCategoryTitleChar"/>
    <w:rsid w:val="001D777C"/>
    <w:pPr>
      <w:spacing w:after="120"/>
      <w:jc w:val="center"/>
    </w:pPr>
  </w:style>
  <w:style w:type="character" w:customStyle="1" w:styleId="EndNoteCategoryTitleChar">
    <w:name w:val="EndNote Category Title Char"/>
    <w:basedOn w:val="ListParagraphChar"/>
    <w:link w:val="EndNoteCategoryTitle"/>
    <w:rsid w:val="001D777C"/>
  </w:style>
  <w:style w:type="paragraph" w:customStyle="1" w:styleId="EndNoteBibliographyTitle">
    <w:name w:val="EndNote Bibliography Title"/>
    <w:basedOn w:val="Normal"/>
    <w:link w:val="EndNoteBibliographyTitleChar"/>
    <w:rsid w:val="001D777C"/>
    <w:pPr>
      <w:jc w:val="center"/>
    </w:pPr>
    <w:rPr>
      <w:rFonts w:ascii="Calibri" w:hAnsi="Calibri" w:cs="Calibri"/>
      <w:noProof/>
      <w:sz w:val="22"/>
    </w:rPr>
  </w:style>
  <w:style w:type="character" w:customStyle="1" w:styleId="EndNoteBibliographyTitleChar">
    <w:name w:val="EndNote Bibliography Title Char"/>
    <w:basedOn w:val="ListParagraphChar"/>
    <w:link w:val="EndNoteBibliographyTitle"/>
    <w:rsid w:val="001D777C"/>
    <w:rPr>
      <w:rFonts w:ascii="Calibri" w:hAnsi="Calibri" w:cs="Calibri"/>
      <w:noProof/>
      <w:szCs w:val="20"/>
      <w:lang w:val="en-CA"/>
    </w:rPr>
  </w:style>
  <w:style w:type="paragraph" w:customStyle="1" w:styleId="EndNoteBibliography">
    <w:name w:val="EndNote Bibliography"/>
    <w:basedOn w:val="Normal"/>
    <w:link w:val="EndNoteBibliographyChar"/>
    <w:rsid w:val="001D777C"/>
    <w:pPr>
      <w:spacing w:line="240" w:lineRule="auto"/>
    </w:pPr>
    <w:rPr>
      <w:rFonts w:ascii="Calibri" w:hAnsi="Calibri" w:cs="Calibri"/>
      <w:noProof/>
      <w:sz w:val="22"/>
    </w:rPr>
  </w:style>
  <w:style w:type="character" w:customStyle="1" w:styleId="EndNoteBibliographyChar">
    <w:name w:val="EndNote Bibliography Char"/>
    <w:basedOn w:val="ListParagraphChar"/>
    <w:link w:val="EndNoteBibliography"/>
    <w:rsid w:val="001D777C"/>
    <w:rPr>
      <w:rFonts w:ascii="Calibri" w:hAnsi="Calibri" w:cs="Calibri"/>
      <w:noProof/>
      <w:szCs w:val="20"/>
      <w:lang w:val="en-CA"/>
    </w:rPr>
  </w:style>
  <w:style w:type="character" w:customStyle="1" w:styleId="Heading3Char">
    <w:name w:val="Heading 3 Char"/>
    <w:basedOn w:val="DefaultParagraphFont"/>
    <w:link w:val="Heading3"/>
    <w:uiPriority w:val="9"/>
    <w:rsid w:val="0033309B"/>
    <w:rPr>
      <w:rFonts w:asciiTheme="majorHAnsi" w:eastAsiaTheme="majorEastAsia" w:hAnsiTheme="majorHAnsi" w:cstheme="majorBidi"/>
      <w:color w:val="2E74B5" w:themeColor="accent1" w:themeShade="BF"/>
      <w:sz w:val="28"/>
      <w:szCs w:val="28"/>
    </w:rPr>
  </w:style>
  <w:style w:type="paragraph" w:styleId="BodyText">
    <w:name w:val="Body Text"/>
    <w:basedOn w:val="Normal"/>
    <w:link w:val="BodyTextChar"/>
    <w:uiPriority w:val="1"/>
    <w:rsid w:val="008F5992"/>
    <w:pPr>
      <w:widowControl w:val="0"/>
      <w:autoSpaceDE w:val="0"/>
      <w:autoSpaceDN w:val="0"/>
      <w:spacing w:line="240" w:lineRule="auto"/>
    </w:pPr>
    <w:rPr>
      <w:rFonts w:ascii="Garamond" w:eastAsia="Garamond" w:hAnsi="Garamond" w:cs="Garamond"/>
      <w:sz w:val="24"/>
      <w:szCs w:val="24"/>
      <w:lang w:val="en-GB" w:eastAsia="en-GB" w:bidi="en-GB"/>
    </w:rPr>
  </w:style>
  <w:style w:type="character" w:customStyle="1" w:styleId="BodyTextChar">
    <w:name w:val="Body Text Char"/>
    <w:basedOn w:val="DefaultParagraphFont"/>
    <w:link w:val="BodyText"/>
    <w:uiPriority w:val="1"/>
    <w:rsid w:val="008F5992"/>
    <w:rPr>
      <w:rFonts w:ascii="Garamond" w:eastAsia="Garamond" w:hAnsi="Garamond" w:cs="Garamond"/>
      <w:sz w:val="24"/>
      <w:szCs w:val="24"/>
      <w:lang w:val="en-GB" w:eastAsia="en-GB" w:bidi="en-GB"/>
    </w:rPr>
  </w:style>
  <w:style w:type="paragraph" w:styleId="BalloonText">
    <w:name w:val="Balloon Text"/>
    <w:basedOn w:val="Normal"/>
    <w:link w:val="BalloonTextChar"/>
    <w:uiPriority w:val="99"/>
    <w:semiHidden/>
    <w:unhideWhenUsed/>
    <w:rsid w:val="008C1C1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1C1D"/>
    <w:rPr>
      <w:rFonts w:ascii="Segoe UI" w:hAnsi="Segoe UI" w:cs="Segoe UI"/>
      <w:sz w:val="18"/>
      <w:szCs w:val="18"/>
    </w:rPr>
  </w:style>
  <w:style w:type="character" w:customStyle="1" w:styleId="Heading1Char">
    <w:name w:val="Heading 1 Char"/>
    <w:basedOn w:val="DefaultParagraphFont"/>
    <w:link w:val="Heading1"/>
    <w:uiPriority w:val="9"/>
    <w:rsid w:val="0033309B"/>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33309B"/>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F717DD"/>
    <w:rPr>
      <w:rFonts w:asciiTheme="majorHAnsi" w:eastAsiaTheme="majorEastAsia" w:hAnsiTheme="majorHAnsi" w:cstheme="majorBidi"/>
      <w:color w:val="2E74B5" w:themeColor="accent1" w:themeShade="BF"/>
      <w:sz w:val="24"/>
      <w:szCs w:val="24"/>
      <w:lang w:val="en-CA"/>
    </w:rPr>
  </w:style>
  <w:style w:type="character" w:customStyle="1" w:styleId="Heading5Char">
    <w:name w:val="Heading 5 Char"/>
    <w:basedOn w:val="DefaultParagraphFont"/>
    <w:link w:val="Heading5"/>
    <w:uiPriority w:val="9"/>
    <w:rsid w:val="00F717DD"/>
    <w:rPr>
      <w:rFonts w:asciiTheme="majorHAnsi" w:eastAsiaTheme="majorEastAsia" w:hAnsiTheme="majorHAnsi" w:cstheme="majorBidi"/>
      <w:caps/>
      <w:color w:val="2E74B5" w:themeColor="accent1" w:themeShade="BF"/>
      <w:sz w:val="20"/>
      <w:szCs w:val="20"/>
      <w:lang w:val="en-CA"/>
    </w:rPr>
  </w:style>
  <w:style w:type="character" w:customStyle="1" w:styleId="Heading6Char">
    <w:name w:val="Heading 6 Char"/>
    <w:basedOn w:val="DefaultParagraphFont"/>
    <w:link w:val="Heading6"/>
    <w:uiPriority w:val="9"/>
    <w:rsid w:val="0033309B"/>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33309B"/>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33309B"/>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33309B"/>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33309B"/>
    <w:pPr>
      <w:spacing w:line="240" w:lineRule="auto"/>
    </w:pPr>
    <w:rPr>
      <w:b/>
      <w:bCs/>
      <w:smallCaps/>
      <w:color w:val="44546A" w:themeColor="text2"/>
    </w:rPr>
  </w:style>
  <w:style w:type="paragraph" w:styleId="Title">
    <w:name w:val="Title"/>
    <w:basedOn w:val="Normal"/>
    <w:next w:val="Normal"/>
    <w:link w:val="TitleChar"/>
    <w:uiPriority w:val="10"/>
    <w:qFormat/>
    <w:rsid w:val="0033309B"/>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33309B"/>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33309B"/>
    <w:pPr>
      <w:numPr>
        <w:ilvl w:val="1"/>
      </w:numPr>
      <w:spacing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33309B"/>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33309B"/>
    <w:rPr>
      <w:b/>
      <w:bCs/>
    </w:rPr>
  </w:style>
  <w:style w:type="character" w:styleId="Emphasis">
    <w:name w:val="Emphasis"/>
    <w:basedOn w:val="DefaultParagraphFont"/>
    <w:uiPriority w:val="20"/>
    <w:qFormat/>
    <w:rsid w:val="0033309B"/>
    <w:rPr>
      <w:i/>
      <w:iCs/>
    </w:rPr>
  </w:style>
  <w:style w:type="paragraph" w:styleId="NoSpacing">
    <w:name w:val="No Spacing"/>
    <w:uiPriority w:val="1"/>
    <w:qFormat/>
    <w:rsid w:val="0033309B"/>
    <w:pPr>
      <w:spacing w:after="0" w:line="240" w:lineRule="auto"/>
    </w:pPr>
  </w:style>
  <w:style w:type="paragraph" w:styleId="Quote">
    <w:name w:val="Quote"/>
    <w:basedOn w:val="Normal"/>
    <w:next w:val="Normal"/>
    <w:link w:val="QuoteChar"/>
    <w:uiPriority w:val="29"/>
    <w:qFormat/>
    <w:rsid w:val="0033309B"/>
    <w:pPr>
      <w:spacing w:after="120"/>
      <w:ind w:left="720"/>
    </w:pPr>
    <w:rPr>
      <w:color w:val="44546A" w:themeColor="text2"/>
      <w:sz w:val="24"/>
      <w:szCs w:val="24"/>
    </w:rPr>
  </w:style>
  <w:style w:type="character" w:customStyle="1" w:styleId="QuoteChar">
    <w:name w:val="Quote Char"/>
    <w:basedOn w:val="DefaultParagraphFont"/>
    <w:link w:val="Quote"/>
    <w:uiPriority w:val="29"/>
    <w:rsid w:val="0033309B"/>
    <w:rPr>
      <w:color w:val="44546A" w:themeColor="text2"/>
      <w:sz w:val="24"/>
      <w:szCs w:val="24"/>
    </w:rPr>
  </w:style>
  <w:style w:type="paragraph" w:styleId="IntenseQuote">
    <w:name w:val="Intense Quote"/>
    <w:basedOn w:val="Normal"/>
    <w:next w:val="Normal"/>
    <w:link w:val="IntenseQuoteChar"/>
    <w:uiPriority w:val="30"/>
    <w:qFormat/>
    <w:rsid w:val="0033309B"/>
    <w:pPr>
      <w:spacing w:before="100" w:beforeAutospacing="1"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33309B"/>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33309B"/>
    <w:rPr>
      <w:i/>
      <w:iCs/>
      <w:color w:val="595959" w:themeColor="text1" w:themeTint="A6"/>
    </w:rPr>
  </w:style>
  <w:style w:type="character" w:styleId="IntenseEmphasis">
    <w:name w:val="Intense Emphasis"/>
    <w:basedOn w:val="DefaultParagraphFont"/>
    <w:uiPriority w:val="21"/>
    <w:qFormat/>
    <w:rsid w:val="0033309B"/>
    <w:rPr>
      <w:b/>
      <w:bCs/>
      <w:i/>
      <w:iCs/>
    </w:rPr>
  </w:style>
  <w:style w:type="character" w:styleId="SubtleReference">
    <w:name w:val="Subtle Reference"/>
    <w:basedOn w:val="DefaultParagraphFont"/>
    <w:uiPriority w:val="31"/>
    <w:qFormat/>
    <w:rsid w:val="0033309B"/>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3309B"/>
    <w:rPr>
      <w:b/>
      <w:bCs/>
      <w:smallCaps/>
      <w:color w:val="44546A" w:themeColor="text2"/>
      <w:u w:val="single"/>
    </w:rPr>
  </w:style>
  <w:style w:type="character" w:styleId="BookTitle">
    <w:name w:val="Book Title"/>
    <w:basedOn w:val="DefaultParagraphFont"/>
    <w:uiPriority w:val="33"/>
    <w:qFormat/>
    <w:rsid w:val="0033309B"/>
    <w:rPr>
      <w:b/>
      <w:bCs/>
      <w:smallCaps/>
      <w:spacing w:val="10"/>
    </w:rPr>
  </w:style>
  <w:style w:type="paragraph" w:styleId="TOCHeading">
    <w:name w:val="TOC Heading"/>
    <w:basedOn w:val="Heading1"/>
    <w:next w:val="Normal"/>
    <w:uiPriority w:val="39"/>
    <w:semiHidden/>
    <w:unhideWhenUsed/>
    <w:qFormat/>
    <w:rsid w:val="0033309B"/>
    <w:pPr>
      <w:outlineLvl w:val="9"/>
    </w:pPr>
  </w:style>
  <w:style w:type="character" w:styleId="CommentReference">
    <w:name w:val="annotation reference"/>
    <w:basedOn w:val="DefaultParagraphFont"/>
    <w:uiPriority w:val="99"/>
    <w:semiHidden/>
    <w:unhideWhenUsed/>
    <w:rsid w:val="006255DC"/>
    <w:rPr>
      <w:sz w:val="16"/>
      <w:szCs w:val="16"/>
    </w:rPr>
  </w:style>
  <w:style w:type="paragraph" w:styleId="CommentText">
    <w:name w:val="annotation text"/>
    <w:basedOn w:val="Normal"/>
    <w:link w:val="CommentTextChar"/>
    <w:uiPriority w:val="99"/>
    <w:unhideWhenUsed/>
    <w:rsid w:val="006255DC"/>
    <w:pPr>
      <w:spacing w:line="240" w:lineRule="auto"/>
    </w:pPr>
  </w:style>
  <w:style w:type="character" w:customStyle="1" w:styleId="CommentTextChar">
    <w:name w:val="Comment Text Char"/>
    <w:basedOn w:val="DefaultParagraphFont"/>
    <w:link w:val="CommentText"/>
    <w:uiPriority w:val="99"/>
    <w:rsid w:val="006255DC"/>
    <w:rPr>
      <w:sz w:val="20"/>
      <w:szCs w:val="20"/>
    </w:rPr>
  </w:style>
  <w:style w:type="paragraph" w:styleId="CommentSubject">
    <w:name w:val="annotation subject"/>
    <w:basedOn w:val="CommentText"/>
    <w:next w:val="CommentText"/>
    <w:link w:val="CommentSubjectChar"/>
    <w:uiPriority w:val="99"/>
    <w:semiHidden/>
    <w:unhideWhenUsed/>
    <w:rsid w:val="006255DC"/>
    <w:rPr>
      <w:b/>
      <w:bCs/>
    </w:rPr>
  </w:style>
  <w:style w:type="character" w:customStyle="1" w:styleId="CommentSubjectChar">
    <w:name w:val="Comment Subject Char"/>
    <w:basedOn w:val="CommentTextChar"/>
    <w:link w:val="CommentSubject"/>
    <w:uiPriority w:val="99"/>
    <w:semiHidden/>
    <w:rsid w:val="006255DC"/>
    <w:rPr>
      <w:b/>
      <w:bCs/>
      <w:sz w:val="20"/>
      <w:szCs w:val="20"/>
    </w:rPr>
  </w:style>
  <w:style w:type="paragraph" w:styleId="Revision">
    <w:name w:val="Revision"/>
    <w:hidden/>
    <w:uiPriority w:val="99"/>
    <w:semiHidden/>
    <w:rsid w:val="005562E9"/>
    <w:pPr>
      <w:spacing w:after="0" w:line="240" w:lineRule="auto"/>
    </w:pPr>
    <w:rPr>
      <w:sz w:val="20"/>
    </w:rPr>
  </w:style>
  <w:style w:type="table" w:styleId="TableGrid">
    <w:name w:val="Table Grid"/>
    <w:basedOn w:val="TableNormal"/>
    <w:uiPriority w:val="39"/>
    <w:rsid w:val="00482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62DB0"/>
    <w:rPr>
      <w:color w:val="605E5C"/>
      <w:shd w:val="clear" w:color="auto" w:fill="E1DFDD"/>
    </w:rPr>
  </w:style>
  <w:style w:type="paragraph" w:customStyle="1" w:styleId="TableText">
    <w:name w:val="Table Text"/>
    <w:basedOn w:val="Normal"/>
    <w:rsid w:val="00965EF5"/>
    <w:pPr>
      <w:keepNext/>
      <w:spacing w:before="40" w:after="40" w:line="240" w:lineRule="auto"/>
    </w:pPr>
    <w:rPr>
      <w:rFonts w:ascii="Arial" w:eastAsia="Times New Roman" w:hAnsi="Arial" w:cs="Times New Roman"/>
      <w:sz w:val="18"/>
      <w:lang w:val="en-AU"/>
    </w:rPr>
  </w:style>
  <w:style w:type="paragraph" w:styleId="NormalWeb">
    <w:name w:val="Normal (Web)"/>
    <w:basedOn w:val="Normal"/>
    <w:uiPriority w:val="99"/>
    <w:semiHidden/>
    <w:unhideWhenUsed/>
    <w:rsid w:val="00965EF5"/>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F33DBB"/>
    <w:rPr>
      <w:color w:val="954F72" w:themeColor="followedHyperlink"/>
      <w:u w:val="single"/>
    </w:rPr>
  </w:style>
  <w:style w:type="paragraph" w:styleId="Header">
    <w:name w:val="header"/>
    <w:basedOn w:val="Normal"/>
    <w:link w:val="HeaderChar"/>
    <w:uiPriority w:val="99"/>
    <w:unhideWhenUsed/>
    <w:rsid w:val="00DB650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B6503"/>
    <w:rPr>
      <w:rFonts w:cstheme="minorHAnsi"/>
      <w:sz w:val="20"/>
      <w:szCs w:val="20"/>
      <w:lang w:val="en-CA"/>
    </w:rPr>
  </w:style>
  <w:style w:type="paragraph" w:styleId="Footer">
    <w:name w:val="footer"/>
    <w:basedOn w:val="Normal"/>
    <w:link w:val="FooterChar"/>
    <w:uiPriority w:val="99"/>
    <w:unhideWhenUsed/>
    <w:rsid w:val="00DB650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B6503"/>
    <w:rPr>
      <w:rFonts w:cstheme="minorHAnsi"/>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17C82-2A66-4CC6-B1AA-58F70D5D3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6</Pages>
  <Words>3000</Words>
  <Characters>17103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 Akpinar</dc:creator>
  <cp:keywords/>
  <dc:description/>
  <cp:lastModifiedBy>Jeff Round</cp:lastModifiedBy>
  <cp:revision>20</cp:revision>
  <cp:lastPrinted>2020-02-07T18:28:00Z</cp:lastPrinted>
  <dcterms:created xsi:type="dcterms:W3CDTF">2021-10-28T21:39:00Z</dcterms:created>
  <dcterms:modified xsi:type="dcterms:W3CDTF">2022-10-21T18:03:00Z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d838614cf95e1a066bf63eff2960dc98cd1842231809b47d0fba6643772363d1</vt:lpwstr>
  </property>
</Properties>
</file>