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F9" w:rsidRDefault="00AB0BF9">
      <w:bookmarkStart w:id="0" w:name="_GoBack"/>
      <w:bookmarkEnd w:id="0"/>
      <w:r w:rsidRPr="00AB0BF9">
        <w:rPr>
          <w:b/>
        </w:rPr>
        <w:t>Appendix Table 1.</w:t>
      </w:r>
      <w:r>
        <w:t xml:space="preserve"> Details of HTA Guidelines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380"/>
        <w:gridCol w:w="1223"/>
        <w:gridCol w:w="1416"/>
        <w:gridCol w:w="2540"/>
        <w:gridCol w:w="2626"/>
        <w:gridCol w:w="1034"/>
      </w:tblGrid>
      <w:tr w:rsidR="00B3138D" w:rsidRPr="00B3138D" w:rsidTr="00665BF5">
        <w:trPr>
          <w:trHeight w:val="1200"/>
        </w:trPr>
        <w:tc>
          <w:tcPr>
            <w:tcW w:w="1267" w:type="dxa"/>
            <w:hideMark/>
          </w:tcPr>
          <w:p w:rsidR="00B3138D" w:rsidRPr="00B3138D" w:rsidRDefault="00B3138D">
            <w:pPr>
              <w:rPr>
                <w:b/>
                <w:bCs/>
              </w:rPr>
            </w:pPr>
            <w:r w:rsidRPr="00B3138D">
              <w:rPr>
                <w:b/>
                <w:bCs/>
              </w:rPr>
              <w:t>Country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pPr>
              <w:rPr>
                <w:b/>
                <w:bCs/>
              </w:rPr>
            </w:pPr>
            <w:r w:rsidRPr="00B3138D">
              <w:rPr>
                <w:b/>
                <w:bCs/>
              </w:rPr>
              <w:t>World Bank geographic region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pPr>
              <w:rPr>
                <w:b/>
                <w:bCs/>
              </w:rPr>
            </w:pPr>
            <w:r w:rsidRPr="00B3138D">
              <w:rPr>
                <w:b/>
                <w:bCs/>
              </w:rPr>
              <w:t>World Bank Income Classification Group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pPr>
              <w:rPr>
                <w:b/>
                <w:bCs/>
              </w:rPr>
            </w:pPr>
            <w:r w:rsidRPr="00B3138D">
              <w:rPr>
                <w:b/>
                <w:bCs/>
              </w:rPr>
              <w:t>HTA organization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pPr>
              <w:rPr>
                <w:b/>
                <w:bCs/>
              </w:rPr>
            </w:pPr>
            <w:r w:rsidRPr="00B3138D">
              <w:rPr>
                <w:b/>
                <w:bCs/>
              </w:rPr>
              <w:t>Guideline title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pPr>
              <w:rPr>
                <w:b/>
                <w:bCs/>
              </w:rPr>
            </w:pPr>
            <w:r w:rsidRPr="00B3138D">
              <w:rPr>
                <w:b/>
                <w:bCs/>
              </w:rPr>
              <w:t>Last updated</w:t>
            </w:r>
          </w:p>
        </w:tc>
      </w:tr>
      <w:tr w:rsidR="00B3138D" w:rsidRPr="00B3138D" w:rsidTr="00665BF5">
        <w:trPr>
          <w:trHeight w:val="12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Australia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Pharmaceutical Benefits Advisory Committee. Australian Government Department of Health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“Guidelines for preparing a submission to the Pharmaceutical Benefits Advisory Committee (Version 5.0)” </w:t>
            </w:r>
            <w:r w:rsidRPr="00B3138D">
              <w:br/>
              <w:t>"Manual of resource items and their associated unit costs - December 2016"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2016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Austria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Institute for </w:t>
            </w:r>
            <w:proofErr w:type="spellStart"/>
            <w:r w:rsidRPr="00B3138D">
              <w:t>Pharmaeconomic</w:t>
            </w:r>
            <w:proofErr w:type="spellEnd"/>
            <w:r w:rsidRPr="00B3138D">
              <w:t xml:space="preserve"> Research (IPF)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“Guidelines on Health Economic Evaluation. Consensus paper”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2006</w:t>
            </w:r>
          </w:p>
        </w:tc>
      </w:tr>
      <w:tr w:rsidR="00B3138D" w:rsidRPr="00B3138D" w:rsidTr="00665BF5">
        <w:trPr>
          <w:trHeight w:val="12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Baltic: Latvia, Lithuania, Estonia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Medicines’ Pricing and Reimbursement Agency, Latvia; Health Insurance Fund, Estonia;  Department of Pharmacy under the Ministry of Health, Lithuania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“Baltic guideline for economic evaluation of pharmaceuticals”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2002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Belgium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Belgian Health Care Knowledge Centre (KCE)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“Belgian Guidelines for Economic Evaluations and Budget Impact Analyses: Second Edition”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2012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 xml:space="preserve">Brazil 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Latin America &amp; Caribbean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Brazil Ministry of Health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"Methodological Guidelines: Economic Evaluation of Health Technologies"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2014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Canada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North America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Canadian Agency for Drugs and Technologies in Health (CADTH)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“Guidelines for the Economic Evaluation of Health Technologies: Canada — 4th Edition”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2017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Chile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Latin America &amp; Caribbean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proofErr w:type="spellStart"/>
            <w:r w:rsidRPr="00B3138D">
              <w:t>Departamento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Economía</w:t>
            </w:r>
            <w:proofErr w:type="spellEnd"/>
            <w:r w:rsidRPr="00B3138D">
              <w:t xml:space="preserve"> de la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Subsecretaría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Pública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Ministerio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 de Chile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</w:t>
            </w:r>
            <w:proofErr w:type="spellStart"/>
            <w:r w:rsidRPr="00B3138D">
              <w:t>Guía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Metodológica</w:t>
            </w:r>
            <w:proofErr w:type="spellEnd"/>
            <w:r w:rsidRPr="00B3138D">
              <w:t xml:space="preserve"> para la </w:t>
            </w:r>
            <w:proofErr w:type="spellStart"/>
            <w:r w:rsidRPr="00B3138D">
              <w:t>Evaluación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Económica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Intervenciones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en</w:t>
            </w:r>
            <w:proofErr w:type="spellEnd"/>
            <w:r w:rsidRPr="00B3138D">
              <w:t xml:space="preserve"> Chile”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2013</w:t>
            </w:r>
          </w:p>
        </w:tc>
      </w:tr>
      <w:tr w:rsidR="00B3138D" w:rsidRPr="00B3138D" w:rsidTr="00665BF5">
        <w:trPr>
          <w:trHeight w:val="9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China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 xml:space="preserve">Upper middle 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Chinese Pharmaceutical Association, Chinese Society for </w:t>
            </w:r>
            <w:proofErr w:type="spellStart"/>
            <w:r w:rsidRPr="00B3138D">
              <w:t>Pharmacoeconomics</w:t>
            </w:r>
            <w:proofErr w:type="spellEnd"/>
            <w:r w:rsidRPr="00B3138D">
              <w:t xml:space="preserve"> and Outcomes Research, ISPOR Beijing Chapter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"China Guidelines for </w:t>
            </w:r>
            <w:proofErr w:type="spellStart"/>
            <w:r w:rsidRPr="00B3138D">
              <w:t>Pharmacoeconomic</w:t>
            </w:r>
            <w:proofErr w:type="spellEnd"/>
            <w:r w:rsidRPr="00B3138D">
              <w:t xml:space="preserve"> evaluations (2020 Edition)"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2020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lastRenderedPageBreak/>
              <w:t>Colombia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Latin America &amp; Caribbean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proofErr w:type="spellStart"/>
            <w:r w:rsidRPr="00B3138D">
              <w:t>Instituto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Evaluación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Tecnológica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 – IETS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“Manual para la </w:t>
            </w:r>
            <w:proofErr w:type="spellStart"/>
            <w:r w:rsidRPr="00B3138D">
              <w:t>elaboración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evaluaciones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económicas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”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2014</w:t>
            </w:r>
          </w:p>
        </w:tc>
      </w:tr>
      <w:tr w:rsidR="00B3138D" w:rsidRPr="00B3138D" w:rsidTr="00665BF5">
        <w:trPr>
          <w:trHeight w:val="9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Croatia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Agency for Quality and Accreditation in Health Care, Croatia Department for Development, Research and Health Technology Assessment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“The Croatian Guideline for Health Technology Assessment Process and Reporting”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2011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Cuba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Latin America &amp; Caribbean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proofErr w:type="spellStart"/>
            <w:r w:rsidRPr="00B3138D">
              <w:t>Ministerio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Pública</w:t>
            </w:r>
            <w:proofErr w:type="spellEnd"/>
            <w:r w:rsidRPr="00B3138D">
              <w:t xml:space="preserve">. </w:t>
            </w:r>
            <w:proofErr w:type="spellStart"/>
            <w:r w:rsidRPr="00B3138D">
              <w:t>Escuela</w:t>
            </w:r>
            <w:proofErr w:type="spellEnd"/>
            <w:r w:rsidRPr="00B3138D">
              <w:t xml:space="preserve"> Nacional de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Pública</w:t>
            </w:r>
            <w:proofErr w:type="spellEnd"/>
            <w:r w:rsidRPr="00B3138D">
              <w:t xml:space="preserve">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</w:t>
            </w:r>
            <w:proofErr w:type="spellStart"/>
            <w:r w:rsidRPr="00B3138D">
              <w:t>Guía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metodológica</w:t>
            </w:r>
            <w:proofErr w:type="spellEnd"/>
            <w:r w:rsidRPr="00B3138D">
              <w:t xml:space="preserve"> para la </w:t>
            </w:r>
            <w:proofErr w:type="spellStart"/>
            <w:r w:rsidRPr="00B3138D">
              <w:t>evaluación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económica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salud</w:t>
            </w:r>
            <w:proofErr w:type="spellEnd"/>
            <w:r w:rsidRPr="00B3138D">
              <w:t>. Cuba, 2003”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2003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Czech Republic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proofErr w:type="spellStart"/>
            <w:r w:rsidRPr="00B3138D">
              <w:t>Státni</w:t>
            </w:r>
            <w:proofErr w:type="spellEnd"/>
            <w:r w:rsidRPr="00B3138D">
              <w:t xml:space="preserve">́ </w:t>
            </w:r>
            <w:proofErr w:type="spellStart"/>
            <w:r w:rsidRPr="00B3138D">
              <w:t>Ústav</w:t>
            </w:r>
            <w:proofErr w:type="spellEnd"/>
            <w:r w:rsidRPr="00B3138D">
              <w:t xml:space="preserve"> pro </w:t>
            </w:r>
            <w:proofErr w:type="spellStart"/>
            <w:r w:rsidRPr="00B3138D">
              <w:t>Kontrolu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Léčiv</w:t>
            </w:r>
            <w:proofErr w:type="spellEnd"/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"Procedure for assessing cost-effectiveness analysis"</w:t>
            </w:r>
            <w:r w:rsidRPr="00B3138D">
              <w:br/>
              <w:t>Original text: “</w:t>
            </w:r>
            <w:proofErr w:type="spellStart"/>
            <w:r w:rsidRPr="00B3138D">
              <w:t>Postup</w:t>
            </w:r>
            <w:proofErr w:type="spellEnd"/>
            <w:r w:rsidRPr="00B3138D">
              <w:t xml:space="preserve"> pro </w:t>
            </w:r>
            <w:proofErr w:type="spellStart"/>
            <w:r w:rsidRPr="00B3138D">
              <w:t>posuzováni</w:t>
            </w:r>
            <w:proofErr w:type="spellEnd"/>
            <w:r w:rsidRPr="00B3138D">
              <w:t xml:space="preserve">́ </w:t>
            </w:r>
            <w:proofErr w:type="spellStart"/>
            <w:r w:rsidRPr="00B3138D">
              <w:t>analýzy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nákladove</w:t>
            </w:r>
            <w:proofErr w:type="spellEnd"/>
            <w:r w:rsidRPr="00B3138D">
              <w:t xml:space="preserve">́ </w:t>
            </w:r>
            <w:proofErr w:type="spellStart"/>
            <w:r w:rsidRPr="00B3138D">
              <w:t>efektivity</w:t>
            </w:r>
            <w:proofErr w:type="spellEnd"/>
            <w:r w:rsidRPr="00B3138D">
              <w:t xml:space="preserve">”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2017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Denmark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Danish Centre for Health Technology Assessment, National Board of Health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"Health Technology Assessment Handbook"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2008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Drummond et al.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N/A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N/A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N/A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"Methods for the Economic Evaluation of Health Care </w:t>
            </w:r>
            <w:proofErr w:type="spellStart"/>
            <w:r w:rsidRPr="00B3138D">
              <w:t>Programmes</w:t>
            </w:r>
            <w:proofErr w:type="spellEnd"/>
            <w:r w:rsidRPr="00B3138D">
              <w:t>, Fourth Edition"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2015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Egypt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Middle East &amp; North Africa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Lower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Ministry of Health and Population (MOHP) in Egypt. </w:t>
            </w:r>
            <w:proofErr w:type="spellStart"/>
            <w:r w:rsidRPr="00B3138D">
              <w:t>Pharmacoeconomic</w:t>
            </w:r>
            <w:proofErr w:type="spellEnd"/>
            <w:r w:rsidRPr="00B3138D">
              <w:t xml:space="preserve"> Unit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“Recommendations for Reporting </w:t>
            </w:r>
            <w:proofErr w:type="spellStart"/>
            <w:r w:rsidRPr="00B3138D">
              <w:t>Pharmacoeconomic</w:t>
            </w:r>
            <w:proofErr w:type="spellEnd"/>
            <w:r w:rsidRPr="00B3138D">
              <w:t xml:space="preserve"> Evaluations in Egypt”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2013</w:t>
            </w:r>
          </w:p>
        </w:tc>
      </w:tr>
      <w:tr w:rsidR="00B3138D" w:rsidRPr="00B3138D" w:rsidTr="00665BF5">
        <w:trPr>
          <w:trHeight w:val="9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England &amp; Wales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National Institute for Health and Care Excellence (NICE)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“Guide to the methods of technology appraisal 2013”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2014 (updated 2022)</w:t>
            </w:r>
          </w:p>
        </w:tc>
      </w:tr>
      <w:tr w:rsidR="00B3138D" w:rsidRPr="00B3138D" w:rsidTr="00665BF5">
        <w:trPr>
          <w:trHeight w:val="9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Finland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Pharmaceuticals Pricing Board, Ministry of Social Affairs and Health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Preparing a Health Economic Evaluation to Be Attached to the Application for Reimbursement Status and Wholesale Price for a Medicinal Product. Application Instructions (December 2019)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2019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France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Department of Economics and Public Health Assessment, Haute </w:t>
            </w:r>
            <w:proofErr w:type="spellStart"/>
            <w:r w:rsidRPr="00B3138D">
              <w:t>Autorité</w:t>
            </w:r>
            <w:proofErr w:type="spellEnd"/>
            <w:r w:rsidRPr="00B3138D">
              <w:t xml:space="preserve"> de Santé (HAS)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"Choices in Methods for Economic Evaluation"</w:t>
            </w:r>
            <w:r w:rsidRPr="00B3138D">
              <w:br/>
              <w:t xml:space="preserve">Original text: </w:t>
            </w:r>
            <w:proofErr w:type="spellStart"/>
            <w:r w:rsidRPr="00B3138D">
              <w:t>Choix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méthodologiques</w:t>
            </w:r>
            <w:proofErr w:type="spellEnd"/>
            <w:r w:rsidRPr="00B3138D">
              <w:t xml:space="preserve"> pour </w:t>
            </w:r>
            <w:proofErr w:type="spellStart"/>
            <w:r w:rsidRPr="00B3138D">
              <w:lastRenderedPageBreak/>
              <w:t>l'évaluation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économique</w:t>
            </w:r>
            <w:proofErr w:type="spellEnd"/>
            <w:r w:rsidRPr="00B3138D">
              <w:t xml:space="preserve"> à la HAS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lastRenderedPageBreak/>
              <w:t>2020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Germany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Institute for Quality and Efficiency in Health Care (</w:t>
            </w:r>
            <w:proofErr w:type="spellStart"/>
            <w:r w:rsidRPr="00B3138D">
              <w:t>IQWiG</w:t>
            </w:r>
            <w:proofErr w:type="spellEnd"/>
            <w:r w:rsidRPr="00B3138D">
              <w:t xml:space="preserve">)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"General Methods"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2020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Hungary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National Institute of Pharmacy and Nutrition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“Professional Healthcare Guideline on the Methodology of Health Technology Assessment”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2017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Indonesia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Indonesian Health Technology Assessment Committee (</w:t>
            </w:r>
            <w:proofErr w:type="spellStart"/>
            <w:r w:rsidRPr="00B3138D">
              <w:t>InaHTAC</w:t>
            </w:r>
            <w:proofErr w:type="spellEnd"/>
            <w:r w:rsidRPr="00B3138D">
              <w:t xml:space="preserve">), Ministry of Health, Indonesia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“Health Technology Assessment (HTA) Guideline.”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2017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International - ISPOR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N/A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N/A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International Society for </w:t>
            </w:r>
            <w:proofErr w:type="spellStart"/>
            <w:r w:rsidRPr="00B3138D">
              <w:t>Pharmacoeconomics</w:t>
            </w:r>
            <w:proofErr w:type="spellEnd"/>
            <w:r w:rsidRPr="00B3138D">
              <w:t xml:space="preserve"> and Outcomes Research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"Good Research Practices for Measuring Drug Costs in Cost Effectiveness Analyses: The ISPOR Drug Cost Task Force Report" Parts I-VI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2010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Ireland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Health Information and Quality Authority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“Guidelines for the Economic Evaluation of Health Technologies in Ireland”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2019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Israel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Middle East &amp; North Africa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Ministry of Health Pharmaceutical Administration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“Guidelines for the submission of a request to include a pharmaceutical product in the national list of health services”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2010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Italy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Italian Group for </w:t>
            </w:r>
            <w:proofErr w:type="spellStart"/>
            <w:r w:rsidRPr="00B3138D">
              <w:t>Pharmacoeconomic</w:t>
            </w:r>
            <w:proofErr w:type="spellEnd"/>
            <w:r w:rsidRPr="00B3138D">
              <w:t xml:space="preserve"> Studies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LINEE GUIDA PER LA COMPILAZIONE DEL DOSSIER A SUPPORTO DELLA DOMANDA DI RIMBORSABILITÀ E PREZZO DI UN MEDICINALE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2020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Japan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National Institute of Public Health (C2H)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“Guideline for Preparing Cost-Effectiveness Evaluation to the Central Social Insurance Medical Council”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2019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Malaysia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Ministry of Health Malaysia, Pharmaceutical Services </w:t>
            </w:r>
            <w:proofErr w:type="spellStart"/>
            <w:r w:rsidRPr="00B3138D">
              <w:t>Programme</w:t>
            </w:r>
            <w:proofErr w:type="spellEnd"/>
            <w:r w:rsidRPr="00B3138D">
              <w:t xml:space="preserve">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</w:t>
            </w:r>
            <w:proofErr w:type="spellStart"/>
            <w:r w:rsidRPr="00B3138D">
              <w:t>Pharmacoeconomic</w:t>
            </w:r>
            <w:proofErr w:type="spellEnd"/>
            <w:r w:rsidRPr="00B3138D">
              <w:t xml:space="preserve"> Guidelines for Malaysia”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2019</w:t>
            </w:r>
          </w:p>
        </w:tc>
      </w:tr>
      <w:tr w:rsidR="00B3138D" w:rsidRPr="00B3138D" w:rsidTr="00665BF5">
        <w:trPr>
          <w:trHeight w:val="9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 xml:space="preserve">MERCOSUR: Argentina, Brazil, </w:t>
            </w:r>
            <w:r w:rsidRPr="00B3138D">
              <w:lastRenderedPageBreak/>
              <w:t>Paraguay, Uruguay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lastRenderedPageBreak/>
              <w:t>Latin America &amp; Caribbean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middle/high (Uruguay)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Sistema Argentina de </w:t>
            </w:r>
            <w:proofErr w:type="spellStart"/>
            <w:r w:rsidRPr="00B3138D">
              <w:t>Información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Jurídica</w:t>
            </w:r>
            <w:proofErr w:type="spellEnd"/>
            <w:r w:rsidRPr="00B3138D">
              <w:t xml:space="preserve">, </w:t>
            </w:r>
            <w:proofErr w:type="spellStart"/>
            <w:r w:rsidRPr="00B3138D">
              <w:t>Grupo</w:t>
            </w:r>
            <w:proofErr w:type="spellEnd"/>
            <w:r w:rsidRPr="00B3138D">
              <w:t xml:space="preserve"> Mercado </w:t>
            </w:r>
            <w:proofErr w:type="spellStart"/>
            <w:r w:rsidRPr="00B3138D">
              <w:t>Común</w:t>
            </w:r>
            <w:proofErr w:type="spellEnd"/>
            <w:r w:rsidRPr="00B3138D">
              <w:t xml:space="preserve">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"Guide for Economic Evaluation Studies of Health Technologies"</w:t>
            </w:r>
            <w:r w:rsidRPr="00B3138D">
              <w:br/>
            </w:r>
            <w:r w:rsidRPr="00B3138D">
              <w:lastRenderedPageBreak/>
              <w:t>Original text: “</w:t>
            </w:r>
            <w:proofErr w:type="spellStart"/>
            <w:r w:rsidRPr="00B3138D">
              <w:t>Guía</w:t>
            </w:r>
            <w:proofErr w:type="spellEnd"/>
            <w:r w:rsidRPr="00B3138D">
              <w:t xml:space="preserve"> Para </w:t>
            </w:r>
            <w:proofErr w:type="spellStart"/>
            <w:r w:rsidRPr="00B3138D">
              <w:t>Estudios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Evaluación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Económica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Tecnologías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Sanitarias</w:t>
            </w:r>
            <w:proofErr w:type="spellEnd"/>
            <w:r w:rsidRPr="00B3138D">
              <w:t>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lastRenderedPageBreak/>
              <w:t>2015</w:t>
            </w:r>
          </w:p>
        </w:tc>
      </w:tr>
      <w:tr w:rsidR="00B3138D" w:rsidRPr="00B3138D" w:rsidTr="00665BF5">
        <w:trPr>
          <w:trHeight w:val="15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Mexico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Latin America &amp; Caribbean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proofErr w:type="spellStart"/>
            <w:r w:rsidRPr="00B3138D">
              <w:t>Comisión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Interinstitucional</w:t>
            </w:r>
            <w:proofErr w:type="spellEnd"/>
            <w:r w:rsidRPr="00B3138D">
              <w:t xml:space="preserve"> del </w:t>
            </w:r>
            <w:proofErr w:type="spellStart"/>
            <w:r w:rsidRPr="00B3138D">
              <w:t>Cuadro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Básico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Insumos</w:t>
            </w:r>
            <w:proofErr w:type="spellEnd"/>
            <w:r w:rsidRPr="00B3138D">
              <w:t xml:space="preserve"> del Sector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"Guide for the Conduct of Economic Evaluation Studies for Updating the Basic Table and Catalog of Supplies of the Health Sector in Mexico."</w:t>
            </w:r>
            <w:r w:rsidRPr="00B3138D">
              <w:br/>
              <w:t>Original text: “</w:t>
            </w:r>
            <w:proofErr w:type="spellStart"/>
            <w:r w:rsidRPr="00B3138D">
              <w:t>Guía</w:t>
            </w:r>
            <w:proofErr w:type="spellEnd"/>
            <w:r w:rsidRPr="00B3138D">
              <w:t xml:space="preserve"> para la </w:t>
            </w:r>
            <w:proofErr w:type="spellStart"/>
            <w:r w:rsidRPr="00B3138D">
              <w:t>Conducción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Estudios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Evaluación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Económica</w:t>
            </w:r>
            <w:proofErr w:type="spellEnd"/>
            <w:r w:rsidRPr="00B3138D">
              <w:t xml:space="preserve"> para la </w:t>
            </w:r>
            <w:proofErr w:type="spellStart"/>
            <w:r w:rsidRPr="00B3138D">
              <w:t>Actualización</w:t>
            </w:r>
            <w:proofErr w:type="spellEnd"/>
            <w:r w:rsidRPr="00B3138D">
              <w:t xml:space="preserve"> del </w:t>
            </w:r>
            <w:proofErr w:type="spellStart"/>
            <w:r w:rsidRPr="00B3138D">
              <w:t>Cuadro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Básico</w:t>
            </w:r>
            <w:proofErr w:type="spellEnd"/>
            <w:r w:rsidRPr="00B3138D">
              <w:t xml:space="preserve"> y </w:t>
            </w:r>
            <w:proofErr w:type="spellStart"/>
            <w:r w:rsidRPr="00B3138D">
              <w:t>Catálogo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Insumos</w:t>
            </w:r>
            <w:proofErr w:type="spellEnd"/>
            <w:r w:rsidRPr="00B3138D">
              <w:t xml:space="preserve"> del Sector </w:t>
            </w:r>
            <w:proofErr w:type="spellStart"/>
            <w:r w:rsidRPr="00B3138D">
              <w:t>Salud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en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México</w:t>
            </w:r>
            <w:proofErr w:type="spellEnd"/>
            <w:r w:rsidRPr="00B3138D">
              <w:t>.”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2017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Netherlands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National Health Care Institute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"Guideline for economic evaluations in healthcare"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2016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New Zealand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Pharmaceutical Management Agency (PHARMAC)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“Prescription for </w:t>
            </w:r>
            <w:proofErr w:type="spellStart"/>
            <w:r w:rsidRPr="00B3138D">
              <w:t>Pharmacoeconomic</w:t>
            </w:r>
            <w:proofErr w:type="spellEnd"/>
            <w:r w:rsidRPr="00B3138D">
              <w:t xml:space="preserve"> Analysis. Methods for cost-utility analysis”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2015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Norway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Norwegian Medicines Agency (</w:t>
            </w:r>
            <w:proofErr w:type="spellStart"/>
            <w:r w:rsidRPr="00B3138D">
              <w:t>Legemiddelverket</w:t>
            </w:r>
            <w:proofErr w:type="spellEnd"/>
            <w:r w:rsidRPr="00B3138D">
              <w:t>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“Guidelines for the Submission of Documentation for Single Technology Assessment (STA) of Pharmaceuticals”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2018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Philippines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Lower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Department of Health - Philippines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"Philippine Methods Guide for Health Technology Assessment (First Edition)"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2020</w:t>
            </w:r>
          </w:p>
        </w:tc>
      </w:tr>
      <w:tr w:rsidR="00B3138D" w:rsidRPr="00B3138D" w:rsidTr="00665BF5">
        <w:trPr>
          <w:trHeight w:val="9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Poland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proofErr w:type="spellStart"/>
            <w:r w:rsidRPr="00B3138D">
              <w:t>Agencja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Oceny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Technologii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Medycznych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i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Taryfikacji</w:t>
            </w:r>
            <w:proofErr w:type="spellEnd"/>
            <w:r w:rsidRPr="00B3138D">
              <w:t xml:space="preserve">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"Guidelines for health technology assessment (HTA)"</w:t>
            </w:r>
            <w:r w:rsidRPr="00B3138D">
              <w:br/>
              <w:t>Original text: “</w:t>
            </w:r>
            <w:proofErr w:type="spellStart"/>
            <w:r w:rsidRPr="00B3138D">
              <w:t>Wytyczne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oceny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technologii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medycznych</w:t>
            </w:r>
            <w:proofErr w:type="spellEnd"/>
            <w:r w:rsidRPr="00B3138D">
              <w:t xml:space="preserve"> (HTA, </w:t>
            </w:r>
            <w:proofErr w:type="spellStart"/>
            <w:r w:rsidRPr="00B3138D">
              <w:t>ang.</w:t>
            </w:r>
            <w:proofErr w:type="spellEnd"/>
            <w:r w:rsidRPr="00B3138D">
              <w:t xml:space="preserve"> health technology assessment)”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2016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Portugal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Ministry of Health and the National Health Service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</w:t>
            </w:r>
            <w:proofErr w:type="spellStart"/>
            <w:r w:rsidRPr="00B3138D">
              <w:t>Orientações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Metodológicas</w:t>
            </w:r>
            <w:proofErr w:type="spellEnd"/>
            <w:r w:rsidRPr="00B3138D">
              <w:t xml:space="preserve"> para </w:t>
            </w:r>
            <w:proofErr w:type="spellStart"/>
            <w:r w:rsidRPr="00B3138D">
              <w:t>Estudos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Avaliação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Económica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Tecnologias</w:t>
            </w:r>
            <w:proofErr w:type="spellEnd"/>
            <w:r w:rsidRPr="00B3138D">
              <w:t xml:space="preserve"> de </w:t>
            </w:r>
            <w:proofErr w:type="spellStart"/>
            <w:r w:rsidRPr="00B3138D">
              <w:t>Saúde</w:t>
            </w:r>
            <w:proofErr w:type="spellEnd"/>
            <w:r w:rsidRPr="00B3138D">
              <w:t>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2019</w:t>
            </w:r>
          </w:p>
        </w:tc>
      </w:tr>
      <w:tr w:rsidR="00B3138D" w:rsidRPr="00B3138D" w:rsidTr="00665BF5">
        <w:trPr>
          <w:trHeight w:val="9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lastRenderedPageBreak/>
              <w:t>Russia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Federal State Budgetary Institution; Center for expertise and quality control of medical care, Ministry of Health of Russia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"Guidelines for conducting a comparative clinical and economic evaluation of drugs"; "Guidelines for assessing the budget impact </w:t>
            </w:r>
            <w:proofErr w:type="spellStart"/>
            <w:r w:rsidRPr="00B3138D">
              <w:t>n</w:t>
            </w:r>
            <w:proofErr w:type="spellEnd"/>
            <w:r w:rsidRPr="00B3138D">
              <w:t xml:space="preserve"> the framework of the </w:t>
            </w:r>
            <w:proofErr w:type="spellStart"/>
            <w:r w:rsidRPr="00B3138D">
              <w:t>Programm</w:t>
            </w:r>
            <w:proofErr w:type="spellEnd"/>
            <w:r w:rsidRPr="00B3138D">
              <w:t xml:space="preserve"> of the State Guarantee of Free Medical Care in the Russian Federation" 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2016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Scotland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Scottish Medicines Consortium (SMC)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"Guidance to submitting companies for completion of New Product Assessment Form (NPAF)"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2020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Singapore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Ministry of Health. Agency for Care Effectiveness (ACE)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"Drug Evaluation Methods and Process Guide"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2019</w:t>
            </w:r>
          </w:p>
        </w:tc>
      </w:tr>
      <w:tr w:rsidR="00B3138D" w:rsidRPr="00B3138D" w:rsidTr="00665BF5">
        <w:trPr>
          <w:trHeight w:val="18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Slovak Republic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proofErr w:type="spellStart"/>
            <w:r w:rsidRPr="00B3138D">
              <w:t>Ministerstvo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Zdravotníctva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Slovenskej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Republiky</w:t>
            </w:r>
            <w:proofErr w:type="spellEnd"/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"Methodical tool for performing </w:t>
            </w:r>
            <w:proofErr w:type="spellStart"/>
            <w:r w:rsidRPr="00B3138D">
              <w:t>pharmaco</w:t>
            </w:r>
            <w:proofErr w:type="spellEnd"/>
            <w:r w:rsidRPr="00B3138D">
              <w:t>-economic analysis of a drug, medical-economic analysis of a medical device and medical-economic analysis of a dietetic food"</w:t>
            </w:r>
            <w:r w:rsidRPr="00B3138D">
              <w:br/>
              <w:t>Original text: “</w:t>
            </w:r>
            <w:proofErr w:type="spellStart"/>
            <w:r w:rsidRPr="00B3138D">
              <w:t>Metodická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pomôcka</w:t>
            </w:r>
            <w:proofErr w:type="spellEnd"/>
            <w:r w:rsidRPr="00B3138D">
              <w:t xml:space="preserve"> pre </w:t>
            </w:r>
            <w:proofErr w:type="spellStart"/>
            <w:r w:rsidRPr="00B3138D">
              <w:t>vykonávanie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farmako-ekonomického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rozboru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lieku</w:t>
            </w:r>
            <w:proofErr w:type="spellEnd"/>
            <w:r w:rsidRPr="00B3138D">
              <w:t xml:space="preserve">, </w:t>
            </w:r>
            <w:proofErr w:type="spellStart"/>
            <w:r w:rsidRPr="00B3138D">
              <w:t>medicínsko-ekonomického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rozboru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zdravotníckej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pomôcky</w:t>
            </w:r>
            <w:proofErr w:type="spellEnd"/>
            <w:r w:rsidRPr="00B3138D">
              <w:t xml:space="preserve"> a </w:t>
            </w:r>
            <w:proofErr w:type="spellStart"/>
            <w:r w:rsidRPr="00B3138D">
              <w:t>medicínsko-ekonomického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rozboru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dietetickej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potraviny</w:t>
            </w:r>
            <w:proofErr w:type="spellEnd"/>
            <w:r w:rsidRPr="00B3138D">
              <w:t>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2012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Slovenia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proofErr w:type="spellStart"/>
            <w:r w:rsidRPr="00B3138D">
              <w:t>Zavod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za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zdravstveno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zavarovanje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Slovenije</w:t>
            </w:r>
            <w:proofErr w:type="spellEnd"/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"Rules on the classification of medicinal products on the list"</w:t>
            </w:r>
            <w:r w:rsidRPr="00B3138D">
              <w:br/>
              <w:t>Original text: „</w:t>
            </w:r>
            <w:proofErr w:type="spellStart"/>
            <w:r w:rsidRPr="00B3138D">
              <w:t>Pravilnik</w:t>
            </w:r>
            <w:proofErr w:type="spellEnd"/>
            <w:r w:rsidRPr="00B3138D">
              <w:t xml:space="preserve"> o </w:t>
            </w:r>
            <w:proofErr w:type="spellStart"/>
            <w:r w:rsidRPr="00B3138D">
              <w:t>razvrščanju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zdravil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na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listo</w:t>
            </w:r>
            <w:proofErr w:type="spellEnd"/>
            <w:r w:rsidRPr="00B3138D">
              <w:t>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2013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South Africa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Sub-Saharan Africa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Department of Health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"Guidelines for </w:t>
            </w:r>
            <w:proofErr w:type="spellStart"/>
            <w:r w:rsidRPr="00B3138D">
              <w:t>Pharmacoeconomic</w:t>
            </w:r>
            <w:proofErr w:type="spellEnd"/>
            <w:r w:rsidRPr="00B3138D">
              <w:t xml:space="preserve"> Submissions"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2013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South Korea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Health Insurance Review and Assessment Service (HIRA)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"Drug economic evaluation guidelines and data preparation method"</w:t>
            </w:r>
            <w:r w:rsidRPr="00B3138D">
              <w:br/>
              <w:t xml:space="preserve">Original text: </w:t>
            </w:r>
            <w:proofErr w:type="spellStart"/>
            <w:r w:rsidRPr="00B3138D">
              <w:rPr>
                <w:rFonts w:ascii="Malgun Gothic" w:eastAsia="Malgun Gothic" w:hAnsi="Malgun Gothic" w:cs="Malgun Gothic" w:hint="eastAsia"/>
              </w:rPr>
              <w:lastRenderedPageBreak/>
              <w:t>의약품경제성평가</w:t>
            </w:r>
            <w:proofErr w:type="spellEnd"/>
            <w:r w:rsidRPr="00B3138D">
              <w:t xml:space="preserve"> </w:t>
            </w:r>
            <w:proofErr w:type="spellStart"/>
            <w:r w:rsidRPr="00B3138D">
              <w:rPr>
                <w:rFonts w:ascii="Malgun Gothic" w:eastAsia="Malgun Gothic" w:hAnsi="Malgun Gothic" w:cs="Malgun Gothic" w:hint="eastAsia"/>
              </w:rPr>
              <w:t>지침</w:t>
            </w:r>
            <w:proofErr w:type="spellEnd"/>
            <w:r w:rsidRPr="00B3138D">
              <w:t xml:space="preserve"> </w:t>
            </w:r>
            <w:r w:rsidRPr="00B3138D">
              <w:rPr>
                <w:rFonts w:ascii="Malgun Gothic" w:eastAsia="Malgun Gothic" w:hAnsi="Malgun Gothic" w:cs="Malgun Gothic" w:hint="eastAsia"/>
              </w:rPr>
              <w:t>및</w:t>
            </w:r>
            <w:r w:rsidRPr="00B3138D">
              <w:t xml:space="preserve"> </w:t>
            </w:r>
            <w:proofErr w:type="spellStart"/>
            <w:r w:rsidRPr="00B3138D">
              <w:rPr>
                <w:rFonts w:ascii="Malgun Gothic" w:eastAsia="Malgun Gothic" w:hAnsi="Malgun Gothic" w:cs="Malgun Gothic" w:hint="eastAsia"/>
              </w:rPr>
              <w:t>자료작성요령</w:t>
            </w:r>
            <w:proofErr w:type="spellEnd"/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lastRenderedPageBreak/>
              <w:t>2011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Spain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Spanish Ministry of Health and Social Policy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“Spanish Recommendations on Economic Evaluation of Health Technologies”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2010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Sweden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The Swedish Dental and </w:t>
            </w:r>
            <w:proofErr w:type="spellStart"/>
            <w:r w:rsidRPr="00B3138D">
              <w:t>Pharmacetuical</w:t>
            </w:r>
            <w:proofErr w:type="spellEnd"/>
            <w:r w:rsidRPr="00B3138D">
              <w:t xml:space="preserve"> Benefits Agency; </w:t>
            </w:r>
            <w:proofErr w:type="spellStart"/>
            <w:r w:rsidRPr="00B3138D">
              <w:t>Tandvårds</w:t>
            </w:r>
            <w:proofErr w:type="spellEnd"/>
            <w:r w:rsidRPr="00B3138D">
              <w:t xml:space="preserve">- </w:t>
            </w:r>
            <w:proofErr w:type="spellStart"/>
            <w:r w:rsidRPr="00B3138D">
              <w:t>och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läkemedelsförmånsverket</w:t>
            </w:r>
            <w:proofErr w:type="spellEnd"/>
            <w:r w:rsidRPr="00B3138D">
              <w:t xml:space="preserve"> (TLV)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</w:t>
            </w:r>
            <w:proofErr w:type="spellStart"/>
            <w:r w:rsidRPr="00B3138D">
              <w:t>Tandvårds</w:t>
            </w:r>
            <w:proofErr w:type="spellEnd"/>
            <w:r w:rsidRPr="00B3138D">
              <w:t xml:space="preserve">- </w:t>
            </w:r>
            <w:proofErr w:type="spellStart"/>
            <w:r w:rsidRPr="00B3138D">
              <w:t>och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läkemedelsförmånsverkets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allmänna</w:t>
            </w:r>
            <w:proofErr w:type="spellEnd"/>
            <w:r w:rsidRPr="00B3138D">
              <w:t xml:space="preserve"> </w:t>
            </w:r>
            <w:proofErr w:type="spellStart"/>
            <w:r w:rsidRPr="00B3138D">
              <w:t>råd</w:t>
            </w:r>
            <w:proofErr w:type="spellEnd"/>
            <w:r w:rsidRPr="00B3138D">
              <w:t>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2017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Switzerland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Europe &amp; Central Asia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Swiss Federal Office of Public Health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</w:t>
            </w:r>
            <w:proofErr w:type="spellStart"/>
            <w:r w:rsidRPr="00B3138D">
              <w:t>Operationalisation</w:t>
            </w:r>
            <w:proofErr w:type="spellEnd"/>
            <w:r w:rsidRPr="00B3138D">
              <w:t xml:space="preserve"> of the Terms Effectiveness, Expediency and Profitability of Pharmaceuticals"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2011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Taiwan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 (China)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Taiwan Society for </w:t>
            </w:r>
            <w:proofErr w:type="spellStart"/>
            <w:r w:rsidRPr="00B3138D">
              <w:t>Pharmacoeconomics</w:t>
            </w:r>
            <w:proofErr w:type="spellEnd"/>
            <w:r w:rsidRPr="00B3138D">
              <w:t xml:space="preserve"> and Outcomes Research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“Guidelines of Methodological Standards for </w:t>
            </w:r>
            <w:proofErr w:type="spellStart"/>
            <w:r w:rsidRPr="00B3138D">
              <w:t>Pharmacoeconomic</w:t>
            </w:r>
            <w:proofErr w:type="spellEnd"/>
            <w:r w:rsidRPr="00B3138D">
              <w:t xml:space="preserve"> Evaluations in Taiwan”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2006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Thailand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East Asia &amp; Pacific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Upper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Department of Health, Ministry of Public Health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 xml:space="preserve">“Guidelines for health technology assessment in Thailand (second edition): Recommendations for defining the scope of HTA” 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2017</w:t>
            </w:r>
          </w:p>
        </w:tc>
      </w:tr>
      <w:tr w:rsidR="00B3138D" w:rsidRPr="00B3138D" w:rsidTr="00665BF5">
        <w:trPr>
          <w:trHeight w:val="9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Tunisia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Middle East &amp; North Africa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Lower middle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INEAS - National Authority for Assessment and Accreditation in Healthcare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"METHODOLOGICAL CHOICESFOR PHARMACO-ECONOMIC STUDIES AT INEAS" Original Text: CHOIX METHODOLOGIQUES POUR LES ETUDES PHARMACO-ECONOMIQUES A L’INEAS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2021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United States - AMCP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North America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AMCP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"The AMCP Format for Formulary Submissions (Version 4.0)"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2016</w:t>
            </w:r>
          </w:p>
        </w:tc>
      </w:tr>
      <w:tr w:rsidR="00B3138D" w:rsidRPr="00B3138D" w:rsidTr="00665BF5">
        <w:trPr>
          <w:trHeight w:val="3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United States - ICER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North America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Institute for Clinical and Economic Review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"ICER’s Reference Case for Economic Evaluations: Principles and Rationale"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2020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United States - Second Panel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North America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 xml:space="preserve">Second Panel on Cost-Effectiveness in Health and Medicine 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"Recommendations for Conduct, Methodological Practices, and Reporting of Cost-effectiveness Analyses"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2016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>United States - WellPoint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North America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High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WellPoint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"The WellPoint Outcomes Based Formulary: enhancing the health technology assessment process"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2005</w:t>
            </w:r>
          </w:p>
        </w:tc>
      </w:tr>
      <w:tr w:rsidR="00B3138D" w:rsidRPr="00B3138D" w:rsidTr="00665BF5">
        <w:trPr>
          <w:trHeight w:val="600"/>
        </w:trPr>
        <w:tc>
          <w:tcPr>
            <w:tcW w:w="1267" w:type="dxa"/>
            <w:hideMark/>
          </w:tcPr>
          <w:p w:rsidR="00B3138D" w:rsidRPr="00B3138D" w:rsidRDefault="00B3138D">
            <w:r w:rsidRPr="00B3138D">
              <w:t xml:space="preserve">Wilkinson et al. </w:t>
            </w:r>
          </w:p>
        </w:tc>
        <w:tc>
          <w:tcPr>
            <w:tcW w:w="1125" w:type="dxa"/>
            <w:hideMark/>
          </w:tcPr>
          <w:p w:rsidR="00B3138D" w:rsidRPr="00B3138D" w:rsidRDefault="00B3138D">
            <w:r w:rsidRPr="00B3138D">
              <w:t>N/A</w:t>
            </w:r>
          </w:p>
        </w:tc>
        <w:tc>
          <w:tcPr>
            <w:tcW w:w="1299" w:type="dxa"/>
            <w:hideMark/>
          </w:tcPr>
          <w:p w:rsidR="00B3138D" w:rsidRPr="00B3138D" w:rsidRDefault="00B3138D">
            <w:r w:rsidRPr="00B3138D">
              <w:t>N/A</w:t>
            </w:r>
          </w:p>
        </w:tc>
        <w:tc>
          <w:tcPr>
            <w:tcW w:w="2314" w:type="dxa"/>
            <w:hideMark/>
          </w:tcPr>
          <w:p w:rsidR="00B3138D" w:rsidRPr="00B3138D" w:rsidRDefault="00B3138D">
            <w:r w:rsidRPr="00B3138D">
              <w:t>N/A</w:t>
            </w:r>
          </w:p>
        </w:tc>
        <w:tc>
          <w:tcPr>
            <w:tcW w:w="2391" w:type="dxa"/>
            <w:hideMark/>
          </w:tcPr>
          <w:p w:rsidR="00B3138D" w:rsidRPr="00B3138D" w:rsidRDefault="00B3138D">
            <w:r w:rsidRPr="00B3138D">
              <w:t>"The International Decision Support Initiative Reference Case for Economic Evaluation: An Aid to Thought"</w:t>
            </w:r>
          </w:p>
        </w:tc>
        <w:tc>
          <w:tcPr>
            <w:tcW w:w="1049" w:type="dxa"/>
            <w:hideMark/>
          </w:tcPr>
          <w:p w:rsidR="00B3138D" w:rsidRPr="00B3138D" w:rsidRDefault="00B3138D" w:rsidP="00B3138D">
            <w:r w:rsidRPr="00B3138D">
              <w:t>2016</w:t>
            </w:r>
          </w:p>
        </w:tc>
      </w:tr>
    </w:tbl>
    <w:p w:rsidR="002171F0" w:rsidRDefault="0022761B"/>
    <w:sectPr w:rsidR="002171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F9" w:rsidRDefault="00AB0BF9" w:rsidP="00AB0BF9">
      <w:pPr>
        <w:spacing w:after="0" w:line="240" w:lineRule="auto"/>
      </w:pPr>
      <w:r>
        <w:separator/>
      </w:r>
    </w:p>
  </w:endnote>
  <w:endnote w:type="continuationSeparator" w:id="0">
    <w:p w:rsidR="00AB0BF9" w:rsidRDefault="00AB0BF9" w:rsidP="00AB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F9" w:rsidRDefault="00AB0BF9" w:rsidP="00AB0BF9">
      <w:pPr>
        <w:spacing w:after="0" w:line="240" w:lineRule="auto"/>
      </w:pPr>
      <w:r>
        <w:separator/>
      </w:r>
    </w:p>
  </w:footnote>
  <w:footnote w:type="continuationSeparator" w:id="0">
    <w:p w:rsidR="00AB0BF9" w:rsidRDefault="00AB0BF9" w:rsidP="00AB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9" w:rsidRDefault="00AB0BF9">
    <w:pPr>
      <w:pStyle w:val="Header"/>
    </w:pPr>
    <w:r>
      <w:t>October 13, 2022</w:t>
    </w:r>
  </w:p>
  <w:p w:rsidR="00AB0BF9" w:rsidRDefault="00AB0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8D"/>
    <w:rsid w:val="0022761B"/>
    <w:rsid w:val="00345C56"/>
    <w:rsid w:val="0037288B"/>
    <w:rsid w:val="00442EB5"/>
    <w:rsid w:val="00665BF5"/>
    <w:rsid w:val="00AB0BF9"/>
    <w:rsid w:val="00B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7E1AB-B3EE-48DC-8312-FB82EDD1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F9"/>
  </w:style>
  <w:style w:type="paragraph" w:styleId="Footer">
    <w:name w:val="footer"/>
    <w:basedOn w:val="Normal"/>
    <w:link w:val="FooterChar"/>
    <w:uiPriority w:val="99"/>
    <w:unhideWhenUsed/>
    <w:rsid w:val="00AB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Blanchard, Kristen</dc:creator>
  <cp:keywords/>
  <dc:description/>
  <cp:lastModifiedBy>E406555</cp:lastModifiedBy>
  <cp:revision>3</cp:revision>
  <dcterms:created xsi:type="dcterms:W3CDTF">2023-01-18T18:28:00Z</dcterms:created>
  <dcterms:modified xsi:type="dcterms:W3CDTF">2023-05-09T07:09:00Z</dcterms:modified>
</cp:coreProperties>
</file>