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D790" w14:textId="77777777" w:rsidR="0000739A" w:rsidRPr="00F5100B" w:rsidRDefault="0000739A" w:rsidP="0000739A">
      <w:pPr>
        <w:suppressLineNumbers/>
        <w:ind w:left="-567"/>
        <w:rPr>
          <w:b/>
          <w:bCs/>
          <w:szCs w:val="24"/>
          <w:lang w:val="en-US"/>
        </w:rPr>
      </w:pPr>
      <w:r w:rsidRPr="00F5100B">
        <w:rPr>
          <w:b/>
          <w:bCs/>
          <w:szCs w:val="24"/>
          <w:lang w:val="en-US"/>
        </w:rPr>
        <w:t xml:space="preserve">Supplementary Table </w:t>
      </w:r>
      <w:r>
        <w:rPr>
          <w:b/>
          <w:bCs/>
          <w:szCs w:val="24"/>
          <w:lang w:val="en-US"/>
        </w:rPr>
        <w:t>1</w:t>
      </w:r>
      <w:r w:rsidRPr="00F5100B">
        <w:rPr>
          <w:b/>
          <w:bCs/>
          <w:szCs w:val="24"/>
          <w:lang w:val="en-US"/>
        </w:rPr>
        <w:t>: Quotes from the UK and Spanish payer interviews</w:t>
      </w:r>
    </w:p>
    <w:tbl>
      <w:tblPr>
        <w:tblStyle w:val="CRAtable"/>
        <w:tblW w:w="10490" w:type="dxa"/>
        <w:tblInd w:w="-572" w:type="dxa"/>
        <w:tblLook w:val="04A0" w:firstRow="1" w:lastRow="0" w:firstColumn="1" w:lastColumn="0" w:noHBand="0" w:noVBand="1"/>
      </w:tblPr>
      <w:tblGrid>
        <w:gridCol w:w="1217"/>
        <w:gridCol w:w="9273"/>
      </w:tblGrid>
      <w:tr w:rsidR="0000739A" w:rsidRPr="00F5100B" w14:paraId="771DA6F8" w14:textId="77777777" w:rsidTr="000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465177B1" w14:textId="77777777" w:rsidR="0000739A" w:rsidRPr="00F5100B" w:rsidRDefault="0000739A" w:rsidP="00DA5881">
            <w:pPr>
              <w:suppressLineNumbers/>
              <w:spacing w:line="276" w:lineRule="auto"/>
              <w:rPr>
                <w:szCs w:val="24"/>
              </w:rPr>
            </w:pPr>
            <w:r w:rsidRPr="00F5100B">
              <w:rPr>
                <w:szCs w:val="24"/>
              </w:rPr>
              <w:t>Payer</w:t>
            </w:r>
          </w:p>
        </w:tc>
        <w:tc>
          <w:tcPr>
            <w:tcW w:w="9273" w:type="dxa"/>
          </w:tcPr>
          <w:p w14:paraId="3E69ACF9" w14:textId="77777777" w:rsidR="0000739A" w:rsidRPr="00F5100B" w:rsidRDefault="0000739A" w:rsidP="00DA5881">
            <w:pPr>
              <w:suppressLineNumber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>Quotes</w:t>
            </w:r>
          </w:p>
        </w:tc>
      </w:tr>
      <w:tr w:rsidR="0000739A" w:rsidRPr="00F5100B" w14:paraId="36C54E8F" w14:textId="77777777" w:rsidTr="000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479B621E" w14:textId="77777777" w:rsidR="0000739A" w:rsidRPr="00F5100B" w:rsidRDefault="0000739A" w:rsidP="00DA5881">
            <w:pPr>
              <w:suppressLineNumbers/>
              <w:spacing w:line="276" w:lineRule="auto"/>
              <w:jc w:val="left"/>
              <w:rPr>
                <w:szCs w:val="24"/>
              </w:rPr>
            </w:pPr>
            <w:r w:rsidRPr="00F5100B">
              <w:rPr>
                <w:szCs w:val="24"/>
              </w:rPr>
              <w:t>UK CCG Payer</w:t>
            </w:r>
          </w:p>
        </w:tc>
        <w:tc>
          <w:tcPr>
            <w:tcW w:w="9273" w:type="dxa"/>
          </w:tcPr>
          <w:p w14:paraId="2F0FF3A3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 xml:space="preserve">“The objective specifically was to streamline processes so we could perhaps do it again in the future so it was not too labor-intensive for the CCG.” </w:t>
            </w:r>
          </w:p>
          <w:p w14:paraId="12028CC9" w14:textId="30B05194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>“The treatment must continue to adhere to the diabetes treatment pathway which they already had in place. Another princip</w:t>
            </w:r>
            <w:r w:rsidR="003146CA">
              <w:rPr>
                <w:szCs w:val="24"/>
              </w:rPr>
              <w:t>le</w:t>
            </w:r>
            <w:r w:rsidRPr="00F5100B">
              <w:rPr>
                <w:szCs w:val="24"/>
              </w:rPr>
              <w:t xml:space="preserve"> is that they must road test the scheme in the two pilot sites before rolling out more widely” </w:t>
            </w:r>
          </w:p>
          <w:p w14:paraId="06DFA2F6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 xml:space="preserve">“We knew that we would have to approach GPs at each practice to ensure their buy-in. ... It would be a problem getting the scheme up and running if practices did not have full information about it beforehand, including time and opportunity to ask questions.” </w:t>
            </w:r>
          </w:p>
          <w:p w14:paraId="4C7B63B9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 xml:space="preserve">“The scheme must not impact on GP time, there must be automatic data extraction with no IT problems.” </w:t>
            </w:r>
          </w:p>
          <w:p w14:paraId="34AD9E6D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 xml:space="preserve">“Having the infrastructure in place was quite instrumental.” </w:t>
            </w:r>
          </w:p>
          <w:p w14:paraId="03A39CDC" w14:textId="5056EA81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>“All the data is anonymized so it is safe</w:t>
            </w:r>
            <w:r>
              <w:rPr>
                <w:szCs w:val="24"/>
              </w:rPr>
              <w:t>,</w:t>
            </w:r>
            <w:r w:rsidRPr="00F5100B">
              <w:rPr>
                <w:szCs w:val="24"/>
              </w:rPr>
              <w:t xml:space="preserve"> and the DPO [Data Protection Officer] went into it in quite a lot of detail and came away satisfied that there is no leakage of any protected data because of it being anonymized.”</w:t>
            </w:r>
          </w:p>
        </w:tc>
      </w:tr>
      <w:tr w:rsidR="0000739A" w:rsidRPr="00F5100B" w14:paraId="638BBF4C" w14:textId="77777777" w:rsidTr="000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4A6384FD" w14:textId="77777777" w:rsidR="0000739A" w:rsidRPr="00F5100B" w:rsidRDefault="0000739A" w:rsidP="00DA5881">
            <w:pPr>
              <w:suppressLineNumbers/>
              <w:spacing w:line="276" w:lineRule="auto"/>
              <w:jc w:val="left"/>
              <w:rPr>
                <w:szCs w:val="24"/>
              </w:rPr>
            </w:pPr>
            <w:r w:rsidRPr="00F5100B">
              <w:rPr>
                <w:szCs w:val="24"/>
              </w:rPr>
              <w:t>Spanish Catalonia Payer</w:t>
            </w:r>
          </w:p>
        </w:tc>
        <w:tc>
          <w:tcPr>
            <w:tcW w:w="9273" w:type="dxa"/>
          </w:tcPr>
          <w:p w14:paraId="66F1AADC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 xml:space="preserve">“ICO had multiple discussions with AstraZeneca – very good communication and good coordination with the Catalonian system, giving the same message to AstraZeneca, explaining why ICO wanted to do the scheme. AstraZeneca had a very positive attitude and understanding why ICO wanted to implement it.” </w:t>
            </w:r>
          </w:p>
          <w:p w14:paraId="6034A8AA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 xml:space="preserve">“Payers were looking for new ways but also wanted to learn and be sustainable and introduce new drugs in a period of economic crisis.” </w:t>
            </w:r>
          </w:p>
          <w:p w14:paraId="5F376D6E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 xml:space="preserve">“The oncologists were closely involved (together with managers and pharmacists at the hospital) in the conception of the scheme and were actively thinking of ways to deliver innovative oncology drugs.” </w:t>
            </w:r>
          </w:p>
          <w:p w14:paraId="6C6DEF79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>“The pilot gave them an opportunity to implement, evaluate</w:t>
            </w:r>
            <w:r>
              <w:rPr>
                <w:szCs w:val="24"/>
              </w:rPr>
              <w:t>,</w:t>
            </w:r>
            <w:r w:rsidRPr="00F5100B">
              <w:rPr>
                <w:szCs w:val="24"/>
              </w:rPr>
              <w:t xml:space="preserve"> and provide evidence that such schemes are possible and successful.” </w:t>
            </w:r>
          </w:p>
          <w:p w14:paraId="5088DEFB" w14:textId="77777777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 xml:space="preserve">“The scheme achieved the objectives set out in the beginning. It gave them a tool to access innovative drugs and consequently enabled faster access for patients.” </w:t>
            </w:r>
          </w:p>
          <w:p w14:paraId="2DDF1DEC" w14:textId="57738ED8" w:rsidR="0000739A" w:rsidRPr="00F5100B" w:rsidRDefault="0000739A" w:rsidP="00DA5881">
            <w:pPr>
              <w:suppressLineNumbers/>
              <w:suppressAutoHyphens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5100B">
              <w:rPr>
                <w:szCs w:val="24"/>
              </w:rPr>
              <w:t>“The scheme had collateral benefits related to the management of the process: [It] improved the time at which the scan needed to be done / the timing of the measuring of the outcomes. This is a challenge in cancer care... The scheme improved the process of bronchoscopies across hospitals based on data in all centers doing bronchoscopies and biomarker measuring.”</w:t>
            </w:r>
          </w:p>
        </w:tc>
      </w:tr>
    </w:tbl>
    <w:p w14:paraId="2999AA03" w14:textId="66F307F2" w:rsidR="00A8301F" w:rsidRPr="0000739A" w:rsidRDefault="0000739A" w:rsidP="0000739A">
      <w:pPr>
        <w:suppressLineNumbers/>
        <w:ind w:left="-567"/>
        <w:rPr>
          <w:i/>
          <w:iCs/>
          <w:szCs w:val="24"/>
          <w:lang w:val="en-US"/>
        </w:rPr>
      </w:pPr>
      <w:r w:rsidRPr="00F5100B">
        <w:rPr>
          <w:i/>
          <w:iCs/>
          <w:szCs w:val="24"/>
          <w:lang w:val="en-US"/>
        </w:rPr>
        <w:t>Abbreviations: CCG: Clinical Commissioning Group, GP: General Practitioner, ICO: Catalan Institute of Oncology, IT: Information Technology.</w:t>
      </w:r>
    </w:p>
    <w:sectPr w:rsidR="00A8301F" w:rsidRPr="0000739A" w:rsidSect="006D79EE">
      <w:pgSz w:w="12242" w:h="15842" w:code="1"/>
      <w:pgMar w:top="709" w:right="1440" w:bottom="851" w:left="1440" w:header="578" w:footer="703" w:gutter="0"/>
      <w:lnNumType w:countBy="1" w:restart="continuous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5D"/>
    <w:rsid w:val="0000739A"/>
    <w:rsid w:val="003146CA"/>
    <w:rsid w:val="00432E5D"/>
    <w:rsid w:val="006D79EE"/>
    <w:rsid w:val="00BC34A6"/>
    <w:rsid w:val="00E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4778"/>
  <w15:chartTrackingRefBased/>
  <w15:docId w15:val="{AB90B041-270A-4091-8F47-7595E3C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RAtable">
    <w:name w:val="CRA table"/>
    <w:basedOn w:val="LightList-Accent1"/>
    <w:uiPriority w:val="99"/>
    <w:rsid w:val="00432E5D"/>
    <w:pPr>
      <w:spacing w:before="120" w:after="120" w:line="288" w:lineRule="auto"/>
      <w:jc w:val="both"/>
    </w:pPr>
    <w:rPr>
      <w:rFonts w:ascii="Arial" w:eastAsia="Times New Roman" w:hAnsi="Arial" w:cs="Times New Roman"/>
      <w:sz w:val="20"/>
      <w:szCs w:val="20"/>
      <w:lang w:val="en-US" w:eastAsia="en-GB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32E5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Lizzy</dc:creator>
  <cp:keywords/>
  <dc:description/>
  <cp:lastModifiedBy>Griffiths, Lizzy</cp:lastModifiedBy>
  <cp:revision>3</cp:revision>
  <dcterms:created xsi:type="dcterms:W3CDTF">2022-09-29T15:25:00Z</dcterms:created>
  <dcterms:modified xsi:type="dcterms:W3CDTF">2023-01-25T16:35:00Z</dcterms:modified>
</cp:coreProperties>
</file>