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221F" w14:textId="77777777" w:rsidR="00091684" w:rsidRPr="00164FC0" w:rsidRDefault="00091684" w:rsidP="00091684">
      <w:pPr>
        <w:spacing w:line="480" w:lineRule="auto"/>
        <w:jc w:val="both"/>
        <w:rPr>
          <w:rFonts w:ascii="Times New Roman" w:hAnsi="Times New Roman"/>
          <w:b/>
          <w:sz w:val="24"/>
          <w:szCs w:val="24"/>
          <w:lang w:val="en-US"/>
        </w:rPr>
      </w:pPr>
      <w:r w:rsidRPr="00164FC0">
        <w:rPr>
          <w:rFonts w:ascii="Times New Roman" w:hAnsi="Times New Roman"/>
          <w:b/>
          <w:sz w:val="24"/>
          <w:szCs w:val="24"/>
          <w:lang w:val="en-US"/>
        </w:rPr>
        <w:t>Appendices</w:t>
      </w:r>
    </w:p>
    <w:p w14:paraId="778CC46B" w14:textId="77777777" w:rsidR="00091684" w:rsidRDefault="00091684" w:rsidP="00091684">
      <w:pPr>
        <w:spacing w:line="480" w:lineRule="auto"/>
        <w:jc w:val="both"/>
        <w:rPr>
          <w:rFonts w:ascii="Times New Roman" w:hAnsi="Times New Roman"/>
          <w:b/>
          <w:sz w:val="24"/>
          <w:szCs w:val="24"/>
          <w:lang w:val="en-US"/>
        </w:rPr>
      </w:pPr>
      <w:r w:rsidRPr="00D55A5A">
        <w:rPr>
          <w:rFonts w:ascii="Times New Roman" w:hAnsi="Times New Roman"/>
          <w:b/>
          <w:sz w:val="24"/>
          <w:szCs w:val="24"/>
          <w:lang w:val="en-US"/>
        </w:rPr>
        <w:t xml:space="preserve">Appendix A. </w:t>
      </w:r>
      <w:r w:rsidRPr="00A40769">
        <w:rPr>
          <w:rFonts w:ascii="Times New Roman" w:hAnsi="Times New Roman"/>
          <w:b/>
          <w:sz w:val="24"/>
          <w:szCs w:val="24"/>
          <w:lang w:val="en-US"/>
        </w:rPr>
        <w:t>Brief summaries of</w:t>
      </w:r>
      <w:r>
        <w:rPr>
          <w:rFonts w:ascii="Times New Roman" w:hAnsi="Times New Roman"/>
          <w:b/>
          <w:sz w:val="24"/>
          <w:szCs w:val="24"/>
          <w:lang w:val="en-US"/>
        </w:rPr>
        <w:t xml:space="preserve"> country scopes of assessment. </w:t>
      </w:r>
    </w:p>
    <w:p w14:paraId="6E582FCF" w14:textId="77777777" w:rsidR="00091684" w:rsidRDefault="00091684" w:rsidP="00091684">
      <w:pPr>
        <w:spacing w:line="480" w:lineRule="auto"/>
        <w:jc w:val="both"/>
        <w:rPr>
          <w:rFonts w:ascii="Times New Roman" w:hAnsi="Times New Roman"/>
          <w:bCs/>
          <w:i/>
          <w:iCs/>
          <w:sz w:val="24"/>
          <w:szCs w:val="24"/>
          <w:lang w:val="en-US"/>
        </w:rPr>
      </w:pPr>
      <w:r>
        <w:rPr>
          <w:rFonts w:ascii="Times New Roman" w:hAnsi="Times New Roman"/>
          <w:bCs/>
          <w:i/>
          <w:iCs/>
          <w:sz w:val="24"/>
          <w:szCs w:val="24"/>
          <w:lang w:val="en-US"/>
        </w:rPr>
        <w:t>Scope</w:t>
      </w:r>
    </w:p>
    <w:p w14:paraId="482F0A9D" w14:textId="77777777" w:rsidR="00091684" w:rsidRDefault="00091684" w:rsidP="00091684">
      <w:pPr>
        <w:spacing w:line="480" w:lineRule="auto"/>
        <w:jc w:val="both"/>
        <w:rPr>
          <w:rFonts w:ascii="Times New Roman" w:hAnsi="Times New Roman"/>
          <w:bCs/>
          <w:sz w:val="24"/>
          <w:szCs w:val="24"/>
          <w:lang w:val="en-US"/>
        </w:rPr>
      </w:pPr>
      <w:r w:rsidRPr="00A40769">
        <w:rPr>
          <w:rFonts w:ascii="Times New Roman" w:hAnsi="Times New Roman"/>
          <w:bCs/>
          <w:sz w:val="24"/>
          <w:szCs w:val="24"/>
          <w:lang w:val="en-US"/>
        </w:rPr>
        <w:t xml:space="preserve">The national scopes of drugs that are selected for assessment differ widely. </w:t>
      </w:r>
    </w:p>
    <w:p w14:paraId="4FB710F6" w14:textId="77777777" w:rsidR="00091684" w:rsidRDefault="00091684" w:rsidP="00091684">
      <w:pPr>
        <w:spacing w:line="480" w:lineRule="auto"/>
        <w:jc w:val="both"/>
        <w:rPr>
          <w:rFonts w:ascii="Times New Roman" w:hAnsi="Times New Roman"/>
          <w:bCs/>
          <w:sz w:val="24"/>
          <w:szCs w:val="24"/>
          <w:lang w:val="en-US"/>
        </w:rPr>
      </w:pPr>
      <w:r w:rsidRPr="00A40769">
        <w:rPr>
          <w:rFonts w:ascii="Times New Roman" w:hAnsi="Times New Roman"/>
          <w:bCs/>
          <w:sz w:val="24"/>
          <w:szCs w:val="24"/>
          <w:lang w:val="en-US"/>
        </w:rPr>
        <w:t>Austria</w:t>
      </w:r>
      <w:r>
        <w:rPr>
          <w:rFonts w:ascii="Times New Roman" w:hAnsi="Times New Roman"/>
          <w:bCs/>
          <w:sz w:val="24"/>
          <w:szCs w:val="24"/>
          <w:lang w:val="en-US"/>
        </w:rPr>
        <w:t xml:space="preserve">: </w:t>
      </w:r>
      <w:r w:rsidRPr="00A40769">
        <w:rPr>
          <w:rFonts w:ascii="Times New Roman" w:hAnsi="Times New Roman"/>
          <w:bCs/>
          <w:sz w:val="24"/>
          <w:szCs w:val="24"/>
          <w:lang w:val="en-US"/>
        </w:rPr>
        <w:t>assesses outpatient drugs</w:t>
      </w:r>
      <w:r>
        <w:rPr>
          <w:rFonts w:ascii="Times New Roman" w:hAnsi="Times New Roman"/>
          <w:bCs/>
          <w:sz w:val="24"/>
          <w:szCs w:val="24"/>
          <w:lang w:val="en-US"/>
        </w:rPr>
        <w:t>, no inpatient drugs.</w:t>
      </w:r>
    </w:p>
    <w:p w14:paraId="3D1284BC" w14:textId="77777777" w:rsidR="00091684" w:rsidRDefault="00091684" w:rsidP="00091684">
      <w:pPr>
        <w:spacing w:line="480" w:lineRule="auto"/>
        <w:jc w:val="both"/>
        <w:rPr>
          <w:rFonts w:ascii="Times New Roman" w:hAnsi="Times New Roman"/>
          <w:bCs/>
          <w:sz w:val="24"/>
          <w:szCs w:val="24"/>
          <w:lang w:val="en-US"/>
        </w:rPr>
      </w:pPr>
      <w:r w:rsidRPr="00A40769">
        <w:rPr>
          <w:rFonts w:ascii="Times New Roman" w:hAnsi="Times New Roman"/>
          <w:bCs/>
          <w:sz w:val="24"/>
          <w:szCs w:val="24"/>
          <w:lang w:val="en-US"/>
        </w:rPr>
        <w:t>Belgium</w:t>
      </w:r>
      <w:r>
        <w:rPr>
          <w:rFonts w:ascii="Times New Roman" w:hAnsi="Times New Roman"/>
          <w:bCs/>
          <w:sz w:val="24"/>
          <w:szCs w:val="24"/>
          <w:lang w:val="en-US"/>
        </w:rPr>
        <w:t>:</w:t>
      </w:r>
      <w:r w:rsidRPr="00A40769">
        <w:rPr>
          <w:rFonts w:ascii="Times New Roman" w:hAnsi="Times New Roman"/>
          <w:bCs/>
          <w:sz w:val="24"/>
          <w:szCs w:val="24"/>
          <w:lang w:val="en-US"/>
        </w:rPr>
        <w:t xml:space="preserve"> </w:t>
      </w:r>
      <w:r w:rsidRPr="00447A35">
        <w:rPr>
          <w:rFonts w:ascii="Times New Roman" w:hAnsi="Times New Roman"/>
          <w:bCs/>
          <w:sz w:val="24"/>
          <w:szCs w:val="24"/>
          <w:lang w:val="en-US"/>
        </w:rPr>
        <w:t>assess both inpatient and outpatient drugs</w:t>
      </w:r>
      <w:r>
        <w:rPr>
          <w:rFonts w:ascii="Times New Roman" w:hAnsi="Times New Roman"/>
          <w:bCs/>
          <w:sz w:val="24"/>
          <w:szCs w:val="24"/>
          <w:lang w:val="en-US"/>
        </w:rPr>
        <w:t>.</w:t>
      </w:r>
    </w:p>
    <w:p w14:paraId="0A7AF232" w14:textId="77777777" w:rsidR="00091684" w:rsidRDefault="00091684" w:rsidP="00091684">
      <w:pPr>
        <w:spacing w:line="480" w:lineRule="auto"/>
        <w:jc w:val="both"/>
        <w:rPr>
          <w:rFonts w:ascii="Times New Roman" w:hAnsi="Times New Roman"/>
          <w:bCs/>
          <w:sz w:val="24"/>
          <w:szCs w:val="24"/>
          <w:lang w:val="en-US"/>
        </w:rPr>
      </w:pPr>
      <w:r w:rsidRPr="00A40769">
        <w:rPr>
          <w:rFonts w:ascii="Times New Roman" w:hAnsi="Times New Roman"/>
          <w:bCs/>
          <w:sz w:val="24"/>
          <w:szCs w:val="24"/>
          <w:lang w:val="en-US"/>
        </w:rPr>
        <w:t>Ireland</w:t>
      </w:r>
      <w:r>
        <w:rPr>
          <w:rFonts w:ascii="Times New Roman" w:hAnsi="Times New Roman"/>
          <w:bCs/>
          <w:sz w:val="24"/>
          <w:szCs w:val="24"/>
          <w:lang w:val="en-US"/>
        </w:rPr>
        <w:t>: starts with a rapid review for all drugs (</w:t>
      </w:r>
      <w:r w:rsidRPr="00A40769">
        <w:rPr>
          <w:rFonts w:ascii="Times New Roman" w:hAnsi="Times New Roman"/>
          <w:bCs/>
          <w:sz w:val="24"/>
          <w:szCs w:val="24"/>
          <w:lang w:val="en-US"/>
        </w:rPr>
        <w:t>both inpatient and outpatient drugs</w:t>
      </w:r>
      <w:r>
        <w:rPr>
          <w:rFonts w:ascii="Times New Roman" w:hAnsi="Times New Roman"/>
          <w:bCs/>
          <w:sz w:val="24"/>
          <w:szCs w:val="24"/>
          <w:lang w:val="en-US"/>
        </w:rPr>
        <w:t>). If the drug does not meet the criteria, a full HTA assessment is done.</w:t>
      </w:r>
    </w:p>
    <w:p w14:paraId="29AA3019" w14:textId="77777777" w:rsidR="00091684" w:rsidRPr="00A40769" w:rsidRDefault="00091684" w:rsidP="00091684">
      <w:pPr>
        <w:spacing w:line="480" w:lineRule="auto"/>
        <w:jc w:val="both"/>
        <w:rPr>
          <w:rFonts w:ascii="Times New Roman" w:hAnsi="Times New Roman"/>
          <w:bCs/>
          <w:sz w:val="24"/>
          <w:szCs w:val="24"/>
          <w:lang w:val="en-US"/>
        </w:rPr>
      </w:pPr>
      <w:r>
        <w:rPr>
          <w:rFonts w:ascii="Times New Roman" w:hAnsi="Times New Roman"/>
          <w:bCs/>
          <w:sz w:val="24"/>
          <w:szCs w:val="24"/>
          <w:lang w:val="en-US"/>
        </w:rPr>
        <w:t>T</w:t>
      </w:r>
      <w:r w:rsidRPr="00A40769">
        <w:rPr>
          <w:rFonts w:ascii="Times New Roman" w:hAnsi="Times New Roman"/>
          <w:bCs/>
          <w:sz w:val="24"/>
          <w:szCs w:val="24"/>
          <w:lang w:val="en-US"/>
        </w:rPr>
        <w:t>he Netherlands</w:t>
      </w:r>
      <w:r>
        <w:rPr>
          <w:rFonts w:ascii="Times New Roman" w:hAnsi="Times New Roman"/>
          <w:bCs/>
          <w:sz w:val="24"/>
          <w:szCs w:val="24"/>
          <w:lang w:val="en-US"/>
        </w:rPr>
        <w:t xml:space="preserve">: </w:t>
      </w:r>
      <w:r w:rsidRPr="00A40769">
        <w:rPr>
          <w:rFonts w:ascii="Times New Roman" w:hAnsi="Times New Roman"/>
          <w:bCs/>
          <w:sz w:val="24"/>
          <w:szCs w:val="24"/>
          <w:lang w:val="en-US"/>
        </w:rPr>
        <w:t>assess all outpatient drugs and a selection of inpatient drugs based on high budget impact and costs per patient</w:t>
      </w:r>
      <w:r>
        <w:rPr>
          <w:rFonts w:ascii="Times New Roman" w:hAnsi="Times New Roman"/>
          <w:bCs/>
          <w:sz w:val="24"/>
          <w:szCs w:val="24"/>
          <w:lang w:val="en-US"/>
        </w:rPr>
        <w:t xml:space="preserve"> criteria</w:t>
      </w:r>
      <w:r w:rsidRPr="00A40769">
        <w:rPr>
          <w:rFonts w:ascii="Times New Roman" w:hAnsi="Times New Roman"/>
          <w:bCs/>
          <w:sz w:val="24"/>
          <w:szCs w:val="24"/>
          <w:lang w:val="en-US"/>
        </w:rPr>
        <w:t>.</w:t>
      </w:r>
    </w:p>
    <w:p w14:paraId="0103F0F3" w14:textId="77777777" w:rsidR="00091684" w:rsidRPr="007F4F79" w:rsidRDefault="00091684" w:rsidP="00091684">
      <w:pPr>
        <w:spacing w:line="480" w:lineRule="auto"/>
        <w:jc w:val="both"/>
        <w:rPr>
          <w:rStyle w:val="Verwijzingopmerking"/>
          <w:lang w:val="en-US"/>
        </w:rPr>
      </w:pPr>
    </w:p>
    <w:p w14:paraId="0F3F40CB" w14:textId="77777777" w:rsidR="00091684" w:rsidRDefault="00091684" w:rsidP="00091684">
      <w:pPr>
        <w:spacing w:line="480" w:lineRule="auto"/>
        <w:jc w:val="both"/>
        <w:rPr>
          <w:rFonts w:ascii="Times New Roman" w:hAnsi="Times New Roman"/>
          <w:bCs/>
          <w:sz w:val="24"/>
          <w:szCs w:val="24"/>
          <w:lang w:val="en-US"/>
        </w:rPr>
      </w:pPr>
      <w:r>
        <w:rPr>
          <w:rFonts w:ascii="Times New Roman" w:hAnsi="Times New Roman"/>
          <w:bCs/>
          <w:sz w:val="24"/>
          <w:szCs w:val="24"/>
          <w:lang w:val="en-US"/>
        </w:rPr>
        <w:t>Websites for more information on processes:</w:t>
      </w:r>
    </w:p>
    <w:p w14:paraId="08A56D2A" w14:textId="77777777" w:rsidR="00091684" w:rsidRDefault="00091684" w:rsidP="00091684">
      <w:pPr>
        <w:spacing w:line="480" w:lineRule="auto"/>
        <w:jc w:val="both"/>
        <w:rPr>
          <w:rFonts w:ascii="Times New Roman" w:hAnsi="Times New Roman"/>
          <w:bCs/>
          <w:sz w:val="24"/>
          <w:szCs w:val="24"/>
          <w:lang w:val="en-US"/>
        </w:rPr>
      </w:pPr>
      <w:r w:rsidRPr="00126CE4">
        <w:rPr>
          <w:rFonts w:ascii="Times New Roman" w:hAnsi="Times New Roman"/>
          <w:bCs/>
          <w:sz w:val="24"/>
          <w:szCs w:val="24"/>
          <w:lang w:val="en-US"/>
        </w:rPr>
        <w:t xml:space="preserve">The </w:t>
      </w:r>
      <w:proofErr w:type="spellStart"/>
      <w:r w:rsidRPr="00126CE4">
        <w:rPr>
          <w:rFonts w:ascii="Times New Roman" w:hAnsi="Times New Roman"/>
          <w:bCs/>
          <w:sz w:val="24"/>
          <w:szCs w:val="24"/>
          <w:lang w:val="en-US"/>
        </w:rPr>
        <w:t>B</w:t>
      </w:r>
      <w:r w:rsidRPr="007F4F79">
        <w:rPr>
          <w:rFonts w:ascii="Times New Roman" w:hAnsi="Times New Roman"/>
          <w:bCs/>
          <w:sz w:val="24"/>
          <w:szCs w:val="24"/>
          <w:lang w:val="en-US"/>
        </w:rPr>
        <w:t>e</w:t>
      </w:r>
      <w:r w:rsidRPr="00126CE4">
        <w:rPr>
          <w:rFonts w:ascii="Times New Roman" w:hAnsi="Times New Roman"/>
          <w:bCs/>
          <w:sz w:val="24"/>
          <w:szCs w:val="24"/>
          <w:lang w:val="en-US"/>
        </w:rPr>
        <w:t>neluxa</w:t>
      </w:r>
      <w:proofErr w:type="spellEnd"/>
      <w:r w:rsidRPr="00126CE4">
        <w:rPr>
          <w:rFonts w:ascii="Times New Roman" w:hAnsi="Times New Roman"/>
          <w:bCs/>
          <w:sz w:val="24"/>
          <w:szCs w:val="24"/>
          <w:lang w:val="en-US"/>
        </w:rPr>
        <w:t xml:space="preserve"> Ini</w:t>
      </w:r>
      <w:r w:rsidRPr="007F4F79">
        <w:rPr>
          <w:rFonts w:ascii="Times New Roman" w:hAnsi="Times New Roman"/>
          <w:bCs/>
          <w:sz w:val="24"/>
          <w:szCs w:val="24"/>
          <w:lang w:val="en-US"/>
        </w:rPr>
        <w:t>tiative</w:t>
      </w:r>
      <w:r>
        <w:rPr>
          <w:rFonts w:ascii="Times New Roman" w:hAnsi="Times New Roman"/>
          <w:bCs/>
          <w:sz w:val="24"/>
          <w:szCs w:val="24"/>
          <w:lang w:val="en-US"/>
        </w:rPr>
        <w:t xml:space="preserve"> DTF-HTA</w:t>
      </w:r>
      <w:r w:rsidRPr="007F4F79">
        <w:rPr>
          <w:rFonts w:ascii="Times New Roman" w:hAnsi="Times New Roman"/>
          <w:bCs/>
          <w:sz w:val="24"/>
          <w:szCs w:val="24"/>
          <w:lang w:val="en-US"/>
        </w:rPr>
        <w:t xml:space="preserve">: </w:t>
      </w:r>
      <w:hyperlink r:id="rId4" w:history="1">
        <w:r w:rsidRPr="00041561">
          <w:rPr>
            <w:rStyle w:val="Hyperlink"/>
            <w:rFonts w:ascii="Times New Roman" w:hAnsi="Times New Roman"/>
            <w:bCs/>
            <w:sz w:val="24"/>
            <w:szCs w:val="24"/>
            <w:lang w:val="en-US"/>
          </w:rPr>
          <w:t>https://beneluxa.org/HTA/</w:t>
        </w:r>
      </w:hyperlink>
    </w:p>
    <w:p w14:paraId="4D5992D3" w14:textId="77777777" w:rsidR="00091684" w:rsidRDefault="00091684" w:rsidP="00091684">
      <w:pPr>
        <w:spacing w:line="480" w:lineRule="auto"/>
        <w:jc w:val="both"/>
        <w:rPr>
          <w:rFonts w:ascii="Times New Roman" w:hAnsi="Times New Roman"/>
          <w:bCs/>
          <w:sz w:val="24"/>
          <w:szCs w:val="24"/>
          <w:lang w:val="it-IT"/>
        </w:rPr>
      </w:pPr>
      <w:r w:rsidRPr="00585388">
        <w:rPr>
          <w:rFonts w:ascii="Times New Roman" w:hAnsi="Times New Roman"/>
          <w:bCs/>
          <w:sz w:val="24"/>
          <w:szCs w:val="24"/>
          <w:lang w:val="it-IT"/>
        </w:rPr>
        <w:t xml:space="preserve">Austria: </w:t>
      </w:r>
      <w:hyperlink r:id="rId5" w:history="1">
        <w:r w:rsidRPr="00041561">
          <w:rPr>
            <w:rStyle w:val="Hyperlink"/>
            <w:rFonts w:ascii="Times New Roman" w:hAnsi="Times New Roman"/>
            <w:bCs/>
            <w:sz w:val="24"/>
            <w:szCs w:val="24"/>
            <w:lang w:val="it-IT"/>
          </w:rPr>
          <w:t>https://www.sozialversicherung.at/cdscontent/?contentid=10007.859105&amp;portal=svportal</w:t>
        </w:r>
      </w:hyperlink>
    </w:p>
    <w:p w14:paraId="00629172" w14:textId="77777777" w:rsidR="00091684" w:rsidRPr="00585388" w:rsidRDefault="00091684" w:rsidP="00091684">
      <w:pPr>
        <w:spacing w:line="480" w:lineRule="auto"/>
        <w:jc w:val="both"/>
        <w:rPr>
          <w:rFonts w:ascii="Times New Roman" w:hAnsi="Times New Roman"/>
          <w:bCs/>
          <w:sz w:val="24"/>
          <w:szCs w:val="24"/>
          <w:lang w:val="en-US"/>
        </w:rPr>
      </w:pPr>
      <w:r w:rsidRPr="00585388">
        <w:rPr>
          <w:rFonts w:ascii="Times New Roman" w:hAnsi="Times New Roman"/>
          <w:bCs/>
          <w:sz w:val="24"/>
          <w:szCs w:val="24"/>
          <w:lang w:val="en-US"/>
        </w:rPr>
        <w:t>Belgium:</w:t>
      </w:r>
      <w:hyperlink r:id="rId6" w:history="1">
        <w:r w:rsidRPr="00041561">
          <w:rPr>
            <w:rStyle w:val="Hyperlink"/>
            <w:rFonts w:ascii="Times New Roman" w:hAnsi="Times New Roman"/>
            <w:bCs/>
            <w:sz w:val="24"/>
            <w:szCs w:val="24"/>
            <w:lang w:val="en-US"/>
          </w:rPr>
          <w:t>https://www.inami.fgov.be/nl/riziv/organen/Paginas/commissie-tegemoetkoming-geneesmiddelen.aspx</w:t>
        </w:r>
      </w:hyperlink>
      <w:r w:rsidRPr="00585388">
        <w:rPr>
          <w:rFonts w:ascii="Times New Roman" w:hAnsi="Times New Roman"/>
          <w:bCs/>
          <w:sz w:val="24"/>
          <w:szCs w:val="24"/>
          <w:lang w:val="en-US"/>
        </w:rPr>
        <w:t xml:space="preserve"> (Dutch)</w:t>
      </w:r>
    </w:p>
    <w:p w14:paraId="607263AE" w14:textId="77777777" w:rsidR="00091684" w:rsidRPr="00AE3454" w:rsidRDefault="00091684" w:rsidP="00091684">
      <w:pPr>
        <w:spacing w:line="480" w:lineRule="auto"/>
        <w:jc w:val="both"/>
        <w:rPr>
          <w:rFonts w:ascii="Times New Roman" w:hAnsi="Times New Roman"/>
          <w:bCs/>
          <w:sz w:val="24"/>
          <w:szCs w:val="24"/>
          <w:lang w:val="en-US"/>
        </w:rPr>
      </w:pPr>
      <w:hyperlink r:id="rId7" w:history="1">
        <w:r w:rsidRPr="00546611">
          <w:rPr>
            <w:rStyle w:val="Hyperlink"/>
            <w:rFonts w:ascii="Times New Roman" w:hAnsi="Times New Roman"/>
            <w:bCs/>
            <w:sz w:val="24"/>
            <w:szCs w:val="24"/>
            <w:lang w:val="en-US"/>
          </w:rPr>
          <w:t>https://www.inami.fgov.be/fr/inami/organes/Pages/commission-remboursement-m%C3%A9dicaments.aspx</w:t>
        </w:r>
      </w:hyperlink>
      <w:r>
        <w:rPr>
          <w:rFonts w:ascii="Times New Roman" w:hAnsi="Times New Roman"/>
          <w:bCs/>
          <w:sz w:val="24"/>
          <w:szCs w:val="24"/>
          <w:lang w:val="en-US"/>
        </w:rPr>
        <w:t xml:space="preserve"> (</w:t>
      </w:r>
      <w:r w:rsidRPr="00F433DF">
        <w:rPr>
          <w:rFonts w:ascii="Times New Roman" w:hAnsi="Times New Roman"/>
          <w:bCs/>
          <w:sz w:val="24"/>
          <w:szCs w:val="24"/>
          <w:lang w:val="en-US"/>
        </w:rPr>
        <w:t>French</w:t>
      </w:r>
      <w:r>
        <w:rPr>
          <w:rFonts w:ascii="Times New Roman" w:hAnsi="Times New Roman"/>
          <w:bCs/>
          <w:sz w:val="24"/>
          <w:szCs w:val="24"/>
          <w:lang w:val="en-US"/>
        </w:rPr>
        <w:t>)</w:t>
      </w:r>
    </w:p>
    <w:p w14:paraId="1F66FCEE" w14:textId="77777777" w:rsidR="00091684" w:rsidRDefault="00091684" w:rsidP="00091684">
      <w:pPr>
        <w:spacing w:line="480" w:lineRule="auto"/>
        <w:jc w:val="both"/>
        <w:rPr>
          <w:rFonts w:ascii="Times New Roman" w:hAnsi="Times New Roman"/>
          <w:bCs/>
          <w:sz w:val="24"/>
          <w:szCs w:val="24"/>
          <w:lang w:val="en-US"/>
        </w:rPr>
      </w:pPr>
      <w:r w:rsidRPr="00DE4C7D">
        <w:rPr>
          <w:rFonts w:ascii="Times New Roman" w:hAnsi="Times New Roman"/>
          <w:bCs/>
          <w:sz w:val="24"/>
          <w:szCs w:val="24"/>
          <w:lang w:val="en-US"/>
        </w:rPr>
        <w:t>Ireland:</w:t>
      </w:r>
      <w:r w:rsidRPr="00AE3454">
        <w:rPr>
          <w:rFonts w:ascii="Times New Roman" w:hAnsi="Times New Roman"/>
          <w:bCs/>
          <w:sz w:val="24"/>
          <w:szCs w:val="24"/>
          <w:lang w:val="en-US"/>
        </w:rPr>
        <w:t xml:space="preserve"> </w:t>
      </w:r>
      <w:hyperlink r:id="rId8" w:history="1">
        <w:r w:rsidRPr="00041561">
          <w:rPr>
            <w:rStyle w:val="Hyperlink"/>
            <w:rFonts w:ascii="Times New Roman" w:hAnsi="Times New Roman"/>
            <w:bCs/>
            <w:sz w:val="24"/>
            <w:szCs w:val="24"/>
            <w:lang w:val="en-US"/>
          </w:rPr>
          <w:t>https://www.ncpe.ie/submission-process/</w:t>
        </w:r>
      </w:hyperlink>
    </w:p>
    <w:p w14:paraId="4D01FBD8" w14:textId="77777777" w:rsidR="00091684" w:rsidRPr="00AE3454" w:rsidRDefault="00091684" w:rsidP="00091684">
      <w:pPr>
        <w:spacing w:line="480" w:lineRule="auto"/>
        <w:jc w:val="both"/>
        <w:rPr>
          <w:rFonts w:ascii="Times New Roman" w:hAnsi="Times New Roman"/>
          <w:bCs/>
          <w:sz w:val="24"/>
          <w:szCs w:val="24"/>
          <w:lang w:val="en-US"/>
        </w:rPr>
      </w:pPr>
      <w:r w:rsidRPr="00AE3454">
        <w:rPr>
          <w:rFonts w:ascii="Times New Roman" w:hAnsi="Times New Roman"/>
          <w:bCs/>
          <w:sz w:val="24"/>
          <w:szCs w:val="24"/>
          <w:lang w:val="en-US"/>
        </w:rPr>
        <w:t xml:space="preserve">The Netherlands: </w:t>
      </w:r>
      <w:hyperlink r:id="rId9" w:history="1">
        <w:r w:rsidRPr="00AE3454">
          <w:rPr>
            <w:rStyle w:val="Hyperlink"/>
            <w:rFonts w:ascii="Times New Roman" w:hAnsi="Times New Roman"/>
            <w:bCs/>
            <w:sz w:val="24"/>
            <w:szCs w:val="24"/>
            <w:lang w:val="en-US"/>
          </w:rPr>
          <w:t>https://english.zorginstituutnederland.nl/about-us/tasks-of-the-national-health-care-institute</w:t>
        </w:r>
      </w:hyperlink>
    </w:p>
    <w:p w14:paraId="60276EF3" w14:textId="77777777" w:rsidR="00091684" w:rsidRPr="00DE4C7D" w:rsidRDefault="00091684" w:rsidP="00091684">
      <w:pPr>
        <w:spacing w:line="480" w:lineRule="auto"/>
        <w:jc w:val="both"/>
        <w:rPr>
          <w:rFonts w:ascii="Times New Roman" w:hAnsi="Times New Roman"/>
          <w:bCs/>
          <w:sz w:val="24"/>
          <w:szCs w:val="24"/>
          <w:lang w:val="en-US"/>
        </w:rPr>
      </w:pPr>
    </w:p>
    <w:p w14:paraId="63D8462E" w14:textId="77777777" w:rsidR="00091684" w:rsidRPr="00AE3454" w:rsidRDefault="00091684" w:rsidP="00091684">
      <w:pPr>
        <w:spacing w:line="480" w:lineRule="auto"/>
        <w:jc w:val="both"/>
        <w:rPr>
          <w:rFonts w:ascii="Times New Roman" w:hAnsi="Times New Roman"/>
          <w:bCs/>
          <w:sz w:val="24"/>
          <w:szCs w:val="24"/>
          <w:lang w:val="en-US"/>
        </w:rPr>
      </w:pPr>
    </w:p>
    <w:p w14:paraId="7B092DBF" w14:textId="77777777" w:rsidR="00091684" w:rsidRPr="00EE5D50" w:rsidRDefault="00091684" w:rsidP="00091684">
      <w:pPr>
        <w:spacing w:line="480" w:lineRule="auto"/>
        <w:jc w:val="both"/>
        <w:rPr>
          <w:rFonts w:ascii="Times New Roman" w:hAnsi="Times New Roman"/>
          <w:b/>
          <w:sz w:val="24"/>
          <w:szCs w:val="24"/>
          <w:lang w:val="en-US"/>
        </w:rPr>
      </w:pPr>
    </w:p>
    <w:p w14:paraId="2A2CECD4" w14:textId="77777777" w:rsidR="00091684" w:rsidRPr="00164FC0" w:rsidRDefault="00091684" w:rsidP="00091684">
      <w:pPr>
        <w:spacing w:line="480" w:lineRule="auto"/>
        <w:jc w:val="both"/>
        <w:rPr>
          <w:rFonts w:ascii="Times New Roman" w:hAnsi="Times New Roman"/>
          <w:b/>
          <w:sz w:val="24"/>
          <w:szCs w:val="24"/>
          <w:lang w:val="en-US"/>
        </w:rPr>
      </w:pPr>
      <w:r w:rsidRPr="00F4029E">
        <w:rPr>
          <w:rFonts w:ascii="Times New Roman" w:hAnsi="Times New Roman"/>
          <w:b/>
          <w:sz w:val="24"/>
          <w:szCs w:val="24"/>
          <w:lang w:val="en-US"/>
        </w:rPr>
        <w:lastRenderedPageBreak/>
        <w:t xml:space="preserve">Appendix B. </w:t>
      </w:r>
      <w:r w:rsidRPr="00164FC0">
        <w:rPr>
          <w:rFonts w:ascii="Times New Roman" w:hAnsi="Times New Roman"/>
          <w:b/>
          <w:sz w:val="24"/>
          <w:szCs w:val="24"/>
          <w:lang w:val="en-US"/>
        </w:rPr>
        <w:t>Inclusion flowchart and characteristics.</w:t>
      </w:r>
    </w:p>
    <w:p w14:paraId="18863EFC" w14:textId="77777777" w:rsidR="00091684" w:rsidRPr="00164FC0" w:rsidRDefault="00091684" w:rsidP="00091684">
      <w:pPr>
        <w:spacing w:line="480" w:lineRule="auto"/>
        <w:jc w:val="both"/>
        <w:rPr>
          <w:rFonts w:ascii="Times New Roman" w:hAnsi="Times New Roman"/>
          <w:bCs/>
          <w:sz w:val="24"/>
          <w:szCs w:val="24"/>
          <w:lang w:val="en-GB" w:eastAsia="ja-JP"/>
        </w:rPr>
      </w:pPr>
      <w:r w:rsidRPr="00164FC0">
        <w:rPr>
          <w:rFonts w:ascii="Times New Roman" w:hAnsi="Times New Roman"/>
          <w:bCs/>
          <w:sz w:val="24"/>
          <w:szCs w:val="24"/>
          <w:lang w:val="en-US"/>
        </w:rPr>
        <w:t xml:space="preserve">Supplementary Figure 1: Inclusion flowchart. </w:t>
      </w:r>
    </w:p>
    <w:p w14:paraId="712B0556" w14:textId="77777777" w:rsidR="00091684" w:rsidRPr="00164FC0" w:rsidRDefault="00091684" w:rsidP="00091684">
      <w:pPr>
        <w:spacing w:line="480" w:lineRule="auto"/>
        <w:rPr>
          <w:rFonts w:ascii="Times New Roman" w:hAnsi="Times New Roman"/>
          <w:b/>
          <w:sz w:val="24"/>
          <w:szCs w:val="24"/>
          <w:lang w:val="en-GB" w:eastAsia="ja-JP"/>
        </w:rPr>
      </w:pPr>
      <w:r w:rsidRPr="00164FC0">
        <w:rPr>
          <w:rFonts w:ascii="Times New Roman" w:hAnsi="Times New Roman"/>
          <w:b/>
          <w:noProof/>
          <w:sz w:val="24"/>
          <w:szCs w:val="24"/>
          <w:lang w:val="de-AT" w:eastAsia="de-AT"/>
        </w:rPr>
        <w:drawing>
          <wp:inline distT="0" distB="0" distL="0" distR="0" wp14:anchorId="1A5B2316" wp14:editId="355DD590">
            <wp:extent cx="5299245" cy="3708317"/>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6881" cy="3727656"/>
                    </a:xfrm>
                    <a:prstGeom prst="rect">
                      <a:avLst/>
                    </a:prstGeom>
                    <a:noFill/>
                  </pic:spPr>
                </pic:pic>
              </a:graphicData>
            </a:graphic>
          </wp:inline>
        </w:drawing>
      </w:r>
    </w:p>
    <w:p w14:paraId="1A78B280" w14:textId="77777777" w:rsidR="00091684" w:rsidRPr="00164FC0" w:rsidRDefault="00091684" w:rsidP="00091684">
      <w:pPr>
        <w:spacing w:line="480" w:lineRule="auto"/>
        <w:rPr>
          <w:rFonts w:ascii="Times New Roman" w:hAnsi="Times New Roman"/>
          <w:b/>
          <w:sz w:val="24"/>
          <w:szCs w:val="24"/>
          <w:lang w:val="en-GB" w:eastAsia="ja-JP"/>
        </w:rPr>
      </w:pPr>
    </w:p>
    <w:p w14:paraId="23648E86" w14:textId="77777777" w:rsidR="00091684" w:rsidRPr="00164FC0" w:rsidRDefault="00091684" w:rsidP="00091684">
      <w:pPr>
        <w:spacing w:line="480" w:lineRule="auto"/>
        <w:rPr>
          <w:rFonts w:ascii="Times New Roman" w:hAnsi="Times New Roman"/>
          <w:b/>
          <w:sz w:val="24"/>
          <w:szCs w:val="24"/>
          <w:lang w:val="en-GB" w:eastAsia="ja-JP"/>
        </w:rPr>
      </w:pPr>
    </w:p>
    <w:p w14:paraId="63BC8318" w14:textId="77777777" w:rsidR="00091684" w:rsidRPr="00164FC0" w:rsidRDefault="00091684" w:rsidP="00091684">
      <w:pPr>
        <w:spacing w:line="480" w:lineRule="auto"/>
        <w:jc w:val="both"/>
        <w:rPr>
          <w:rFonts w:ascii="Times New Roman" w:hAnsi="Times New Roman"/>
          <w:i/>
          <w:sz w:val="24"/>
          <w:szCs w:val="24"/>
          <w:lang w:val="en-US"/>
        </w:rPr>
      </w:pPr>
      <w:r w:rsidRPr="00164FC0">
        <w:rPr>
          <w:rFonts w:ascii="Times New Roman" w:hAnsi="Times New Roman"/>
          <w:i/>
          <w:sz w:val="24"/>
          <w:szCs w:val="24"/>
          <w:lang w:val="en-GB" w:eastAsia="ja-JP"/>
        </w:rPr>
        <w:t>Supplementary Table 1: characteristics of the drug-indication combinations per country.</w:t>
      </w:r>
    </w:p>
    <w:tbl>
      <w:tblPr>
        <w:tblStyle w:val="Tabelraster"/>
        <w:tblW w:w="0" w:type="auto"/>
        <w:tblLook w:val="04A0" w:firstRow="1" w:lastRow="0" w:firstColumn="1" w:lastColumn="0" w:noHBand="0" w:noVBand="1"/>
      </w:tblPr>
      <w:tblGrid>
        <w:gridCol w:w="4566"/>
        <w:gridCol w:w="536"/>
        <w:gridCol w:w="523"/>
        <w:gridCol w:w="456"/>
        <w:gridCol w:w="536"/>
        <w:gridCol w:w="2018"/>
      </w:tblGrid>
      <w:tr w:rsidR="00091684" w:rsidRPr="00164FC0" w14:paraId="32A241C7" w14:textId="77777777" w:rsidTr="00F075D7">
        <w:tc>
          <w:tcPr>
            <w:tcW w:w="0" w:type="auto"/>
          </w:tcPr>
          <w:p w14:paraId="51FE1672" w14:textId="77777777" w:rsidR="00091684" w:rsidRPr="00164FC0" w:rsidRDefault="00091684" w:rsidP="00F075D7">
            <w:pPr>
              <w:spacing w:line="480" w:lineRule="auto"/>
              <w:jc w:val="both"/>
              <w:rPr>
                <w:rFonts w:ascii="Times New Roman" w:hAnsi="Times New Roman"/>
                <w:sz w:val="24"/>
                <w:szCs w:val="24"/>
                <w:lang w:val="en-US"/>
              </w:rPr>
            </w:pPr>
          </w:p>
        </w:tc>
        <w:tc>
          <w:tcPr>
            <w:tcW w:w="0" w:type="auto"/>
          </w:tcPr>
          <w:p w14:paraId="1BAFEE61"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w:t>
            </w:r>
            <w:r>
              <w:rPr>
                <w:rFonts w:ascii="Times New Roman" w:hAnsi="Times New Roman"/>
                <w:sz w:val="24"/>
                <w:szCs w:val="24"/>
                <w:lang w:val="en-US"/>
              </w:rPr>
              <w:t>T</w:t>
            </w:r>
          </w:p>
        </w:tc>
        <w:tc>
          <w:tcPr>
            <w:tcW w:w="0" w:type="auto"/>
          </w:tcPr>
          <w:p w14:paraId="4758C658"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BE</w:t>
            </w:r>
          </w:p>
        </w:tc>
        <w:tc>
          <w:tcPr>
            <w:tcW w:w="0" w:type="auto"/>
          </w:tcPr>
          <w:p w14:paraId="33BE0645"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I</w:t>
            </w:r>
            <w:r>
              <w:rPr>
                <w:rFonts w:ascii="Times New Roman" w:hAnsi="Times New Roman"/>
                <w:sz w:val="24"/>
                <w:szCs w:val="24"/>
                <w:lang w:val="en-US"/>
              </w:rPr>
              <w:t>E</w:t>
            </w:r>
          </w:p>
        </w:tc>
        <w:tc>
          <w:tcPr>
            <w:tcW w:w="0" w:type="auto"/>
          </w:tcPr>
          <w:p w14:paraId="1C0358EA"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NL</w:t>
            </w:r>
          </w:p>
        </w:tc>
        <w:tc>
          <w:tcPr>
            <w:tcW w:w="2018" w:type="dxa"/>
          </w:tcPr>
          <w:p w14:paraId="4776C64D"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Total throughout all countries</w:t>
            </w:r>
          </w:p>
        </w:tc>
      </w:tr>
      <w:tr w:rsidR="00091684" w:rsidRPr="00164FC0" w14:paraId="116585ED" w14:textId="77777777" w:rsidTr="00F075D7">
        <w:tc>
          <w:tcPr>
            <w:tcW w:w="0" w:type="auto"/>
          </w:tcPr>
          <w:p w14:paraId="15C245EA"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Orphan</w:t>
            </w:r>
          </w:p>
        </w:tc>
        <w:tc>
          <w:tcPr>
            <w:tcW w:w="0" w:type="auto"/>
          </w:tcPr>
          <w:p w14:paraId="5900D495"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25</w:t>
            </w:r>
          </w:p>
        </w:tc>
        <w:tc>
          <w:tcPr>
            <w:tcW w:w="0" w:type="auto"/>
          </w:tcPr>
          <w:p w14:paraId="0FE84946"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75</w:t>
            </w:r>
          </w:p>
        </w:tc>
        <w:tc>
          <w:tcPr>
            <w:tcW w:w="0" w:type="auto"/>
          </w:tcPr>
          <w:p w14:paraId="5D4FC08B"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65</w:t>
            </w:r>
          </w:p>
        </w:tc>
        <w:tc>
          <w:tcPr>
            <w:tcW w:w="0" w:type="auto"/>
          </w:tcPr>
          <w:p w14:paraId="579A8496"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39</w:t>
            </w:r>
          </w:p>
        </w:tc>
        <w:tc>
          <w:tcPr>
            <w:tcW w:w="2018" w:type="dxa"/>
          </w:tcPr>
          <w:p w14:paraId="5DDD6481"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98</w:t>
            </w:r>
          </w:p>
        </w:tc>
      </w:tr>
      <w:tr w:rsidR="00091684" w:rsidRPr="00164FC0" w14:paraId="6787CE11" w14:textId="77777777" w:rsidTr="00F075D7">
        <w:tc>
          <w:tcPr>
            <w:tcW w:w="0" w:type="auto"/>
          </w:tcPr>
          <w:p w14:paraId="7ECF9F7F"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Conditional marketing authorization</w:t>
            </w:r>
          </w:p>
        </w:tc>
        <w:tc>
          <w:tcPr>
            <w:tcW w:w="0" w:type="auto"/>
          </w:tcPr>
          <w:p w14:paraId="7E26D97F"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5</w:t>
            </w:r>
          </w:p>
        </w:tc>
        <w:tc>
          <w:tcPr>
            <w:tcW w:w="0" w:type="auto"/>
          </w:tcPr>
          <w:p w14:paraId="3372E1D6"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12</w:t>
            </w:r>
          </w:p>
        </w:tc>
        <w:tc>
          <w:tcPr>
            <w:tcW w:w="0" w:type="auto"/>
          </w:tcPr>
          <w:p w14:paraId="594E9C97"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10</w:t>
            </w:r>
          </w:p>
        </w:tc>
        <w:tc>
          <w:tcPr>
            <w:tcW w:w="0" w:type="auto"/>
          </w:tcPr>
          <w:p w14:paraId="37DA427E"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4</w:t>
            </w:r>
          </w:p>
        </w:tc>
        <w:tc>
          <w:tcPr>
            <w:tcW w:w="2018" w:type="dxa"/>
          </w:tcPr>
          <w:p w14:paraId="4B35BC5B"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15</w:t>
            </w:r>
          </w:p>
        </w:tc>
      </w:tr>
      <w:tr w:rsidR="00091684" w:rsidRPr="00164FC0" w14:paraId="46988E2B" w14:textId="77777777" w:rsidTr="00F075D7">
        <w:tc>
          <w:tcPr>
            <w:tcW w:w="0" w:type="auto"/>
          </w:tcPr>
          <w:p w14:paraId="5FF9484D"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Authorization under exceptional circumstances</w:t>
            </w:r>
          </w:p>
        </w:tc>
        <w:tc>
          <w:tcPr>
            <w:tcW w:w="0" w:type="auto"/>
          </w:tcPr>
          <w:p w14:paraId="7957A1EA"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w:t>
            </w:r>
          </w:p>
        </w:tc>
        <w:tc>
          <w:tcPr>
            <w:tcW w:w="0" w:type="auto"/>
          </w:tcPr>
          <w:p w14:paraId="31EB7616"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11</w:t>
            </w:r>
          </w:p>
        </w:tc>
        <w:tc>
          <w:tcPr>
            <w:tcW w:w="0" w:type="auto"/>
          </w:tcPr>
          <w:p w14:paraId="311DE902"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6</w:t>
            </w:r>
          </w:p>
        </w:tc>
        <w:tc>
          <w:tcPr>
            <w:tcW w:w="0" w:type="auto"/>
          </w:tcPr>
          <w:p w14:paraId="6380C259"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8</w:t>
            </w:r>
          </w:p>
        </w:tc>
        <w:tc>
          <w:tcPr>
            <w:tcW w:w="2018" w:type="dxa"/>
          </w:tcPr>
          <w:p w14:paraId="5DACBB41"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15</w:t>
            </w:r>
          </w:p>
        </w:tc>
      </w:tr>
      <w:tr w:rsidR="00091684" w:rsidRPr="00164FC0" w14:paraId="13CC67C9" w14:textId="77777777" w:rsidTr="00F075D7">
        <w:tc>
          <w:tcPr>
            <w:tcW w:w="0" w:type="auto"/>
          </w:tcPr>
          <w:p w14:paraId="6592F47D"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Accelerated assessment</w:t>
            </w:r>
          </w:p>
        </w:tc>
        <w:tc>
          <w:tcPr>
            <w:tcW w:w="0" w:type="auto"/>
          </w:tcPr>
          <w:p w14:paraId="51BA5CB1"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13</w:t>
            </w:r>
          </w:p>
        </w:tc>
        <w:tc>
          <w:tcPr>
            <w:tcW w:w="0" w:type="auto"/>
          </w:tcPr>
          <w:p w14:paraId="7582C0BF"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34</w:t>
            </w:r>
          </w:p>
        </w:tc>
        <w:tc>
          <w:tcPr>
            <w:tcW w:w="0" w:type="auto"/>
          </w:tcPr>
          <w:p w14:paraId="34296669"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28</w:t>
            </w:r>
          </w:p>
        </w:tc>
        <w:tc>
          <w:tcPr>
            <w:tcW w:w="0" w:type="auto"/>
          </w:tcPr>
          <w:p w14:paraId="334A89E9"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17</w:t>
            </w:r>
          </w:p>
        </w:tc>
        <w:tc>
          <w:tcPr>
            <w:tcW w:w="2018" w:type="dxa"/>
          </w:tcPr>
          <w:p w14:paraId="4D997939"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44</w:t>
            </w:r>
          </w:p>
        </w:tc>
      </w:tr>
      <w:tr w:rsidR="00091684" w:rsidRPr="00164FC0" w14:paraId="70F81147" w14:textId="77777777" w:rsidTr="00F075D7">
        <w:tc>
          <w:tcPr>
            <w:tcW w:w="0" w:type="auto"/>
          </w:tcPr>
          <w:p w14:paraId="23B648F6"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First-in-class</w:t>
            </w:r>
          </w:p>
        </w:tc>
        <w:tc>
          <w:tcPr>
            <w:tcW w:w="0" w:type="auto"/>
          </w:tcPr>
          <w:p w14:paraId="2319CF06"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17</w:t>
            </w:r>
          </w:p>
        </w:tc>
        <w:tc>
          <w:tcPr>
            <w:tcW w:w="0" w:type="auto"/>
          </w:tcPr>
          <w:p w14:paraId="3027E1DD"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31</w:t>
            </w:r>
          </w:p>
        </w:tc>
        <w:tc>
          <w:tcPr>
            <w:tcW w:w="0" w:type="auto"/>
          </w:tcPr>
          <w:p w14:paraId="0510961C"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27</w:t>
            </w:r>
          </w:p>
        </w:tc>
        <w:tc>
          <w:tcPr>
            <w:tcW w:w="0" w:type="auto"/>
          </w:tcPr>
          <w:p w14:paraId="685B53D6"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17</w:t>
            </w:r>
          </w:p>
        </w:tc>
        <w:tc>
          <w:tcPr>
            <w:tcW w:w="2018" w:type="dxa"/>
          </w:tcPr>
          <w:p w14:paraId="12AC2444"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38</w:t>
            </w:r>
          </w:p>
        </w:tc>
      </w:tr>
      <w:tr w:rsidR="00091684" w:rsidRPr="00164FC0" w14:paraId="24B46EE6" w14:textId="77777777" w:rsidTr="00F075D7">
        <w:tc>
          <w:tcPr>
            <w:tcW w:w="0" w:type="auto"/>
          </w:tcPr>
          <w:p w14:paraId="77BBC30E" w14:textId="77777777" w:rsidR="00091684" w:rsidRPr="00164FC0" w:rsidRDefault="00091684" w:rsidP="00F075D7">
            <w:pPr>
              <w:spacing w:line="480" w:lineRule="auto"/>
              <w:rPr>
                <w:rFonts w:ascii="Times New Roman" w:hAnsi="Times New Roman"/>
                <w:sz w:val="24"/>
                <w:szCs w:val="24"/>
                <w:lang w:val="en-GB"/>
              </w:rPr>
            </w:pPr>
            <w:r w:rsidRPr="00164FC0">
              <w:rPr>
                <w:rFonts w:ascii="Times New Roman" w:hAnsi="Times New Roman"/>
                <w:sz w:val="24"/>
                <w:szCs w:val="24"/>
                <w:lang w:val="en-GB"/>
              </w:rPr>
              <w:lastRenderedPageBreak/>
              <w:t>Advanced therapy medicinal product</w:t>
            </w:r>
          </w:p>
        </w:tc>
        <w:tc>
          <w:tcPr>
            <w:tcW w:w="0" w:type="auto"/>
          </w:tcPr>
          <w:p w14:paraId="7936F06F"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0" w:type="auto"/>
          </w:tcPr>
          <w:p w14:paraId="4BB2D85F"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7</w:t>
            </w:r>
          </w:p>
        </w:tc>
        <w:tc>
          <w:tcPr>
            <w:tcW w:w="0" w:type="auto"/>
          </w:tcPr>
          <w:p w14:paraId="27238CB4"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7</w:t>
            </w:r>
          </w:p>
        </w:tc>
        <w:tc>
          <w:tcPr>
            <w:tcW w:w="0" w:type="auto"/>
          </w:tcPr>
          <w:p w14:paraId="19D9A737"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4</w:t>
            </w:r>
          </w:p>
        </w:tc>
        <w:tc>
          <w:tcPr>
            <w:tcW w:w="2018" w:type="dxa"/>
          </w:tcPr>
          <w:p w14:paraId="4DF0A9F1"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8</w:t>
            </w:r>
          </w:p>
        </w:tc>
      </w:tr>
    </w:tbl>
    <w:p w14:paraId="390F3A0F" w14:textId="77777777" w:rsidR="00091684" w:rsidRPr="00164FC0" w:rsidRDefault="00091684" w:rsidP="00091684">
      <w:pPr>
        <w:spacing w:line="480" w:lineRule="auto"/>
        <w:rPr>
          <w:rFonts w:ascii="Times New Roman" w:hAnsi="Times New Roman"/>
          <w:b/>
          <w:sz w:val="24"/>
          <w:szCs w:val="24"/>
          <w:lang w:val="en-GB" w:eastAsia="ja-JP"/>
        </w:rPr>
      </w:pPr>
    </w:p>
    <w:p w14:paraId="18331663" w14:textId="77777777" w:rsidR="00091684" w:rsidRPr="00164FC0" w:rsidRDefault="00091684" w:rsidP="00091684">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480" w:lineRule="auto"/>
        <w:rPr>
          <w:rFonts w:ascii="Times New Roman" w:hAnsi="Times New Roman"/>
          <w:b/>
          <w:sz w:val="24"/>
          <w:szCs w:val="24"/>
          <w:lang w:val="en-US"/>
        </w:rPr>
      </w:pPr>
      <w:r w:rsidRPr="00164FC0">
        <w:rPr>
          <w:rFonts w:ascii="Times New Roman" w:hAnsi="Times New Roman"/>
          <w:b/>
          <w:sz w:val="24"/>
          <w:szCs w:val="24"/>
          <w:lang w:val="en-US"/>
        </w:rPr>
        <w:br w:type="page"/>
      </w:r>
    </w:p>
    <w:p w14:paraId="7AEE8BA2" w14:textId="77777777" w:rsidR="00091684" w:rsidRPr="00164FC0" w:rsidRDefault="00091684" w:rsidP="00091684">
      <w:pPr>
        <w:spacing w:line="480" w:lineRule="auto"/>
        <w:jc w:val="both"/>
        <w:rPr>
          <w:rFonts w:ascii="Times New Roman" w:hAnsi="Times New Roman"/>
          <w:b/>
          <w:sz w:val="24"/>
          <w:szCs w:val="24"/>
          <w:lang w:val="en-US"/>
        </w:rPr>
      </w:pPr>
      <w:r w:rsidRPr="00164FC0">
        <w:rPr>
          <w:rFonts w:ascii="Times New Roman" w:hAnsi="Times New Roman"/>
          <w:b/>
          <w:sz w:val="24"/>
          <w:szCs w:val="24"/>
          <w:lang w:val="en-US"/>
        </w:rPr>
        <w:lastRenderedPageBreak/>
        <w:t xml:space="preserve">Appendix </w:t>
      </w:r>
      <w:r>
        <w:rPr>
          <w:rFonts w:ascii="Times New Roman" w:hAnsi="Times New Roman"/>
          <w:b/>
          <w:sz w:val="24"/>
          <w:szCs w:val="24"/>
          <w:lang w:val="en-US"/>
        </w:rPr>
        <w:t>C</w:t>
      </w:r>
      <w:r w:rsidRPr="00164FC0">
        <w:rPr>
          <w:rFonts w:ascii="Times New Roman" w:hAnsi="Times New Roman"/>
          <w:b/>
          <w:sz w:val="24"/>
          <w:szCs w:val="24"/>
          <w:lang w:val="en-US"/>
        </w:rPr>
        <w:t>. Characteristics of included indications.</w:t>
      </w:r>
    </w:p>
    <w:p w14:paraId="2C6FC47B" w14:textId="77777777" w:rsidR="00091684" w:rsidRPr="00164FC0" w:rsidRDefault="00091684" w:rsidP="00091684">
      <w:pPr>
        <w:spacing w:line="480" w:lineRule="auto"/>
        <w:rPr>
          <w:rFonts w:ascii="Times New Roman" w:hAnsi="Times New Roman"/>
          <w:sz w:val="24"/>
          <w:szCs w:val="24"/>
          <w:lang w:val="en-US" w:eastAsia="ja-JP"/>
        </w:rPr>
      </w:pPr>
    </w:p>
    <w:p w14:paraId="56D17B9F" w14:textId="77777777" w:rsidR="00091684" w:rsidRPr="00164FC0" w:rsidRDefault="00091684" w:rsidP="00091684">
      <w:pPr>
        <w:spacing w:line="480" w:lineRule="auto"/>
        <w:rPr>
          <w:rFonts w:ascii="Times New Roman" w:hAnsi="Times New Roman"/>
          <w:i/>
          <w:sz w:val="24"/>
          <w:szCs w:val="24"/>
          <w:lang w:val="en-GB" w:eastAsia="ja-JP"/>
        </w:rPr>
      </w:pPr>
      <w:r w:rsidRPr="00164FC0">
        <w:rPr>
          <w:rFonts w:ascii="Times New Roman" w:hAnsi="Times New Roman"/>
          <w:i/>
          <w:sz w:val="24"/>
          <w:szCs w:val="24"/>
          <w:lang w:val="en-GB" w:eastAsia="ja-JP"/>
        </w:rPr>
        <w:t xml:space="preserve">Supplementary Table 2: overlap in assessed drug-indication combinations between the countries based on ATC group. </w:t>
      </w:r>
    </w:p>
    <w:tbl>
      <w:tblPr>
        <w:tblStyle w:val="Tabelraster"/>
        <w:tblW w:w="0" w:type="auto"/>
        <w:tblLook w:val="04A0" w:firstRow="1" w:lastRow="0" w:firstColumn="1" w:lastColumn="0" w:noHBand="0" w:noVBand="1"/>
      </w:tblPr>
      <w:tblGrid>
        <w:gridCol w:w="4058"/>
        <w:gridCol w:w="616"/>
        <w:gridCol w:w="616"/>
        <w:gridCol w:w="616"/>
        <w:gridCol w:w="603"/>
        <w:gridCol w:w="616"/>
        <w:gridCol w:w="1510"/>
      </w:tblGrid>
      <w:tr w:rsidR="00091684" w:rsidRPr="00164FC0" w14:paraId="2C62AF54" w14:textId="77777777" w:rsidTr="00F075D7">
        <w:tc>
          <w:tcPr>
            <w:tcW w:w="4435" w:type="dxa"/>
          </w:tcPr>
          <w:p w14:paraId="3D8073E7" w14:textId="77777777" w:rsidR="00091684" w:rsidRPr="00164FC0" w:rsidRDefault="00091684" w:rsidP="00F075D7">
            <w:pPr>
              <w:spacing w:line="480" w:lineRule="auto"/>
              <w:jc w:val="both"/>
              <w:rPr>
                <w:rFonts w:ascii="Times New Roman" w:hAnsi="Times New Roman"/>
                <w:sz w:val="24"/>
                <w:szCs w:val="24"/>
                <w:lang w:val="en-US"/>
              </w:rPr>
            </w:pPr>
          </w:p>
        </w:tc>
        <w:tc>
          <w:tcPr>
            <w:tcW w:w="553" w:type="dxa"/>
          </w:tcPr>
          <w:p w14:paraId="03EB4967"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w:t>
            </w:r>
            <w:r>
              <w:rPr>
                <w:rFonts w:ascii="Times New Roman" w:hAnsi="Times New Roman"/>
                <w:sz w:val="24"/>
                <w:szCs w:val="24"/>
                <w:lang w:val="en-US"/>
              </w:rPr>
              <w:t>T</w:t>
            </w:r>
            <w:r w:rsidRPr="00164FC0">
              <w:rPr>
                <w:rFonts w:ascii="Times New Roman" w:hAnsi="Times New Roman"/>
                <w:sz w:val="24"/>
                <w:szCs w:val="24"/>
                <w:lang w:val="en-US"/>
              </w:rPr>
              <w:t>-BE-I</w:t>
            </w:r>
            <w:r>
              <w:rPr>
                <w:rFonts w:ascii="Times New Roman" w:hAnsi="Times New Roman"/>
                <w:sz w:val="24"/>
                <w:szCs w:val="24"/>
                <w:lang w:val="en-US"/>
              </w:rPr>
              <w:t>E</w:t>
            </w:r>
          </w:p>
        </w:tc>
        <w:tc>
          <w:tcPr>
            <w:tcW w:w="553" w:type="dxa"/>
          </w:tcPr>
          <w:p w14:paraId="746B97C8"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w:t>
            </w:r>
            <w:r>
              <w:rPr>
                <w:rFonts w:ascii="Times New Roman" w:hAnsi="Times New Roman"/>
                <w:sz w:val="24"/>
                <w:szCs w:val="24"/>
                <w:lang w:val="en-US"/>
              </w:rPr>
              <w:t>T</w:t>
            </w:r>
            <w:r w:rsidRPr="00164FC0">
              <w:rPr>
                <w:rFonts w:ascii="Times New Roman" w:hAnsi="Times New Roman"/>
                <w:sz w:val="24"/>
                <w:szCs w:val="24"/>
                <w:lang w:val="en-US"/>
              </w:rPr>
              <w:t>-BE-NL</w:t>
            </w:r>
          </w:p>
        </w:tc>
        <w:tc>
          <w:tcPr>
            <w:tcW w:w="553" w:type="dxa"/>
          </w:tcPr>
          <w:p w14:paraId="5EAAC9AB"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w:t>
            </w:r>
            <w:r>
              <w:rPr>
                <w:rFonts w:ascii="Times New Roman" w:hAnsi="Times New Roman"/>
                <w:sz w:val="24"/>
                <w:szCs w:val="24"/>
                <w:lang w:val="en-US"/>
              </w:rPr>
              <w:t>T</w:t>
            </w:r>
            <w:r w:rsidRPr="00164FC0">
              <w:rPr>
                <w:rFonts w:ascii="Times New Roman" w:hAnsi="Times New Roman"/>
                <w:sz w:val="24"/>
                <w:szCs w:val="24"/>
                <w:lang w:val="en-US"/>
              </w:rPr>
              <w:t>-I</w:t>
            </w:r>
            <w:r>
              <w:rPr>
                <w:rFonts w:ascii="Times New Roman" w:hAnsi="Times New Roman"/>
                <w:sz w:val="24"/>
                <w:szCs w:val="24"/>
                <w:lang w:val="en-US"/>
              </w:rPr>
              <w:t>E</w:t>
            </w:r>
            <w:r w:rsidRPr="00164FC0">
              <w:rPr>
                <w:rFonts w:ascii="Times New Roman" w:hAnsi="Times New Roman"/>
                <w:sz w:val="24"/>
                <w:szCs w:val="24"/>
                <w:lang w:val="en-US"/>
              </w:rPr>
              <w:t>-NL</w:t>
            </w:r>
          </w:p>
        </w:tc>
        <w:tc>
          <w:tcPr>
            <w:tcW w:w="546" w:type="dxa"/>
          </w:tcPr>
          <w:p w14:paraId="59078241"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BE-I</w:t>
            </w:r>
            <w:r>
              <w:rPr>
                <w:rFonts w:ascii="Times New Roman" w:hAnsi="Times New Roman"/>
                <w:sz w:val="24"/>
                <w:szCs w:val="24"/>
                <w:lang w:val="en-US"/>
              </w:rPr>
              <w:t>E</w:t>
            </w:r>
            <w:r w:rsidRPr="00164FC0">
              <w:rPr>
                <w:rFonts w:ascii="Times New Roman" w:hAnsi="Times New Roman"/>
                <w:sz w:val="24"/>
                <w:szCs w:val="24"/>
                <w:lang w:val="en-US"/>
              </w:rPr>
              <w:t>-NL</w:t>
            </w:r>
          </w:p>
        </w:tc>
        <w:tc>
          <w:tcPr>
            <w:tcW w:w="580" w:type="dxa"/>
          </w:tcPr>
          <w:p w14:paraId="101CEF5A"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All four</w:t>
            </w:r>
          </w:p>
        </w:tc>
        <w:tc>
          <w:tcPr>
            <w:tcW w:w="1415" w:type="dxa"/>
          </w:tcPr>
          <w:p w14:paraId="41170D36"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Total drug-indication combinations</w:t>
            </w:r>
          </w:p>
        </w:tc>
      </w:tr>
      <w:tr w:rsidR="00091684" w:rsidRPr="00164FC0" w14:paraId="3BCEE03C" w14:textId="77777777" w:rsidTr="00F075D7">
        <w:tc>
          <w:tcPr>
            <w:tcW w:w="4435" w:type="dxa"/>
          </w:tcPr>
          <w:p w14:paraId="60ECF3C5"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 Alimentary tract and metabolism</w:t>
            </w:r>
          </w:p>
        </w:tc>
        <w:tc>
          <w:tcPr>
            <w:tcW w:w="553" w:type="dxa"/>
          </w:tcPr>
          <w:p w14:paraId="7D50A6A0"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10</w:t>
            </w:r>
          </w:p>
        </w:tc>
        <w:tc>
          <w:tcPr>
            <w:tcW w:w="553" w:type="dxa"/>
          </w:tcPr>
          <w:p w14:paraId="1A155511"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11</w:t>
            </w:r>
          </w:p>
        </w:tc>
        <w:tc>
          <w:tcPr>
            <w:tcW w:w="553" w:type="dxa"/>
          </w:tcPr>
          <w:p w14:paraId="3F6D3A47"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9</w:t>
            </w:r>
          </w:p>
        </w:tc>
        <w:tc>
          <w:tcPr>
            <w:tcW w:w="546" w:type="dxa"/>
          </w:tcPr>
          <w:p w14:paraId="5C618C1C"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14</w:t>
            </w:r>
          </w:p>
        </w:tc>
        <w:tc>
          <w:tcPr>
            <w:tcW w:w="580" w:type="dxa"/>
          </w:tcPr>
          <w:p w14:paraId="2548F19B"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8</w:t>
            </w:r>
          </w:p>
        </w:tc>
        <w:tc>
          <w:tcPr>
            <w:tcW w:w="1415" w:type="dxa"/>
          </w:tcPr>
          <w:p w14:paraId="7A697C34"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53</w:t>
            </w:r>
          </w:p>
        </w:tc>
      </w:tr>
      <w:tr w:rsidR="00091684" w:rsidRPr="00164FC0" w14:paraId="30E8C676" w14:textId="77777777" w:rsidTr="00F075D7">
        <w:tc>
          <w:tcPr>
            <w:tcW w:w="4435" w:type="dxa"/>
          </w:tcPr>
          <w:p w14:paraId="0A7D35B1"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GB"/>
              </w:rPr>
              <w:t>B: Blood and blood forming organs</w:t>
            </w:r>
          </w:p>
        </w:tc>
        <w:tc>
          <w:tcPr>
            <w:tcW w:w="553" w:type="dxa"/>
          </w:tcPr>
          <w:p w14:paraId="00817D41"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5</w:t>
            </w:r>
          </w:p>
        </w:tc>
        <w:tc>
          <w:tcPr>
            <w:tcW w:w="553" w:type="dxa"/>
          </w:tcPr>
          <w:p w14:paraId="02AED1B3"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4</w:t>
            </w:r>
          </w:p>
        </w:tc>
        <w:tc>
          <w:tcPr>
            <w:tcW w:w="553" w:type="dxa"/>
          </w:tcPr>
          <w:p w14:paraId="07AF8484"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w:t>
            </w:r>
          </w:p>
        </w:tc>
        <w:tc>
          <w:tcPr>
            <w:tcW w:w="546" w:type="dxa"/>
          </w:tcPr>
          <w:p w14:paraId="737B7BAD"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5</w:t>
            </w:r>
          </w:p>
        </w:tc>
        <w:tc>
          <w:tcPr>
            <w:tcW w:w="580" w:type="dxa"/>
          </w:tcPr>
          <w:p w14:paraId="6344847E"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w:t>
            </w:r>
          </w:p>
        </w:tc>
        <w:tc>
          <w:tcPr>
            <w:tcW w:w="1415" w:type="dxa"/>
          </w:tcPr>
          <w:p w14:paraId="569BC531"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34</w:t>
            </w:r>
          </w:p>
        </w:tc>
      </w:tr>
      <w:tr w:rsidR="00091684" w:rsidRPr="00164FC0" w14:paraId="7CD10C7E" w14:textId="77777777" w:rsidTr="00F075D7">
        <w:tc>
          <w:tcPr>
            <w:tcW w:w="4435" w:type="dxa"/>
          </w:tcPr>
          <w:p w14:paraId="6D1278A7"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GB"/>
              </w:rPr>
              <w:t>C: Cardiovascular system</w:t>
            </w:r>
          </w:p>
        </w:tc>
        <w:tc>
          <w:tcPr>
            <w:tcW w:w="553" w:type="dxa"/>
          </w:tcPr>
          <w:p w14:paraId="78AB8C0F"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5</w:t>
            </w:r>
          </w:p>
        </w:tc>
        <w:tc>
          <w:tcPr>
            <w:tcW w:w="553" w:type="dxa"/>
          </w:tcPr>
          <w:p w14:paraId="68292324"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4</w:t>
            </w:r>
          </w:p>
        </w:tc>
        <w:tc>
          <w:tcPr>
            <w:tcW w:w="553" w:type="dxa"/>
          </w:tcPr>
          <w:p w14:paraId="0D361A7C"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5</w:t>
            </w:r>
          </w:p>
        </w:tc>
        <w:tc>
          <w:tcPr>
            <w:tcW w:w="546" w:type="dxa"/>
          </w:tcPr>
          <w:p w14:paraId="6FA2CAEE"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5</w:t>
            </w:r>
          </w:p>
        </w:tc>
        <w:tc>
          <w:tcPr>
            <w:tcW w:w="580" w:type="dxa"/>
          </w:tcPr>
          <w:p w14:paraId="534FFC07"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4</w:t>
            </w:r>
          </w:p>
        </w:tc>
        <w:tc>
          <w:tcPr>
            <w:tcW w:w="1415" w:type="dxa"/>
          </w:tcPr>
          <w:p w14:paraId="3E848437"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14</w:t>
            </w:r>
          </w:p>
        </w:tc>
      </w:tr>
      <w:tr w:rsidR="00091684" w:rsidRPr="00164FC0" w14:paraId="7EDE521A" w14:textId="77777777" w:rsidTr="00F075D7">
        <w:tc>
          <w:tcPr>
            <w:tcW w:w="4435" w:type="dxa"/>
          </w:tcPr>
          <w:p w14:paraId="7AD927CB"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GB"/>
              </w:rPr>
              <w:t xml:space="preserve">D: </w:t>
            </w:r>
            <w:proofErr w:type="spellStart"/>
            <w:r w:rsidRPr="00164FC0">
              <w:rPr>
                <w:rFonts w:ascii="Times New Roman" w:hAnsi="Times New Roman"/>
                <w:sz w:val="24"/>
                <w:szCs w:val="24"/>
                <w:lang w:val="en-GB"/>
              </w:rPr>
              <w:t>Dermatologicals</w:t>
            </w:r>
            <w:proofErr w:type="spellEnd"/>
          </w:p>
        </w:tc>
        <w:tc>
          <w:tcPr>
            <w:tcW w:w="553" w:type="dxa"/>
          </w:tcPr>
          <w:p w14:paraId="77D897D8"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553" w:type="dxa"/>
          </w:tcPr>
          <w:p w14:paraId="4B463879"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53" w:type="dxa"/>
          </w:tcPr>
          <w:p w14:paraId="5FF14F4C"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46" w:type="dxa"/>
          </w:tcPr>
          <w:p w14:paraId="477C128A"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80" w:type="dxa"/>
          </w:tcPr>
          <w:p w14:paraId="7DE0229A"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1415" w:type="dxa"/>
          </w:tcPr>
          <w:p w14:paraId="1A9C726C"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6</w:t>
            </w:r>
          </w:p>
        </w:tc>
      </w:tr>
      <w:tr w:rsidR="00091684" w:rsidRPr="00164FC0" w14:paraId="4E22B4A3" w14:textId="77777777" w:rsidTr="00F075D7">
        <w:tc>
          <w:tcPr>
            <w:tcW w:w="4435" w:type="dxa"/>
          </w:tcPr>
          <w:p w14:paraId="3200AA7B"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GB"/>
              </w:rPr>
              <w:t>G: Genito urinary system and sex hormones</w:t>
            </w:r>
          </w:p>
        </w:tc>
        <w:tc>
          <w:tcPr>
            <w:tcW w:w="553" w:type="dxa"/>
          </w:tcPr>
          <w:p w14:paraId="5E98EE0C"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53" w:type="dxa"/>
          </w:tcPr>
          <w:p w14:paraId="2BF1397F"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53" w:type="dxa"/>
          </w:tcPr>
          <w:p w14:paraId="60378FA2"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46" w:type="dxa"/>
          </w:tcPr>
          <w:p w14:paraId="4E8E132A"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80" w:type="dxa"/>
          </w:tcPr>
          <w:p w14:paraId="3B821FE1"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1415" w:type="dxa"/>
          </w:tcPr>
          <w:p w14:paraId="0A0DCA9E"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4</w:t>
            </w:r>
          </w:p>
        </w:tc>
      </w:tr>
      <w:tr w:rsidR="00091684" w:rsidRPr="00164FC0" w14:paraId="3141C5DD" w14:textId="77777777" w:rsidTr="00F075D7">
        <w:tc>
          <w:tcPr>
            <w:tcW w:w="4435" w:type="dxa"/>
          </w:tcPr>
          <w:p w14:paraId="2478B59F" w14:textId="77777777" w:rsidR="00091684" w:rsidRPr="00164FC0" w:rsidRDefault="00091684" w:rsidP="00F075D7">
            <w:pPr>
              <w:spacing w:line="480" w:lineRule="auto"/>
              <w:rPr>
                <w:rFonts w:ascii="Times New Roman" w:hAnsi="Times New Roman"/>
                <w:sz w:val="24"/>
                <w:szCs w:val="24"/>
                <w:lang w:val="en-GB"/>
              </w:rPr>
            </w:pPr>
            <w:r w:rsidRPr="00164FC0">
              <w:rPr>
                <w:rFonts w:ascii="Times New Roman" w:hAnsi="Times New Roman"/>
                <w:sz w:val="24"/>
                <w:szCs w:val="24"/>
                <w:lang w:val="en-GB"/>
              </w:rPr>
              <w:t>H: Systemic hormonal preparations, excluding sex hormones and insulins</w:t>
            </w:r>
          </w:p>
        </w:tc>
        <w:tc>
          <w:tcPr>
            <w:tcW w:w="553" w:type="dxa"/>
          </w:tcPr>
          <w:p w14:paraId="45DC5786"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53" w:type="dxa"/>
          </w:tcPr>
          <w:p w14:paraId="31168373"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53" w:type="dxa"/>
          </w:tcPr>
          <w:p w14:paraId="47BDAF77"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546" w:type="dxa"/>
          </w:tcPr>
          <w:p w14:paraId="53013628"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80" w:type="dxa"/>
          </w:tcPr>
          <w:p w14:paraId="708772C5"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1415" w:type="dxa"/>
          </w:tcPr>
          <w:p w14:paraId="174AF265"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6</w:t>
            </w:r>
          </w:p>
        </w:tc>
      </w:tr>
      <w:tr w:rsidR="00091684" w:rsidRPr="00164FC0" w14:paraId="252F0249" w14:textId="77777777" w:rsidTr="00F075D7">
        <w:tc>
          <w:tcPr>
            <w:tcW w:w="4435" w:type="dxa"/>
          </w:tcPr>
          <w:p w14:paraId="43507977" w14:textId="77777777" w:rsidR="00091684" w:rsidRPr="00164FC0" w:rsidRDefault="00091684" w:rsidP="00F075D7">
            <w:pPr>
              <w:spacing w:line="480" w:lineRule="auto"/>
              <w:rPr>
                <w:rFonts w:ascii="Times New Roman" w:hAnsi="Times New Roman"/>
                <w:sz w:val="24"/>
                <w:szCs w:val="24"/>
                <w:lang w:val="en-GB"/>
              </w:rPr>
            </w:pPr>
            <w:r w:rsidRPr="00164FC0">
              <w:rPr>
                <w:rFonts w:ascii="Times New Roman" w:hAnsi="Times New Roman"/>
                <w:sz w:val="24"/>
                <w:szCs w:val="24"/>
                <w:lang w:val="en-GB"/>
              </w:rPr>
              <w:t>J: Anti-infective for systemic use</w:t>
            </w:r>
          </w:p>
        </w:tc>
        <w:tc>
          <w:tcPr>
            <w:tcW w:w="553" w:type="dxa"/>
          </w:tcPr>
          <w:p w14:paraId="01509D55"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12</w:t>
            </w:r>
          </w:p>
        </w:tc>
        <w:tc>
          <w:tcPr>
            <w:tcW w:w="553" w:type="dxa"/>
          </w:tcPr>
          <w:p w14:paraId="0CB063DB"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14</w:t>
            </w:r>
          </w:p>
        </w:tc>
        <w:tc>
          <w:tcPr>
            <w:tcW w:w="553" w:type="dxa"/>
          </w:tcPr>
          <w:p w14:paraId="65F36ED9"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13</w:t>
            </w:r>
          </w:p>
        </w:tc>
        <w:tc>
          <w:tcPr>
            <w:tcW w:w="546" w:type="dxa"/>
          </w:tcPr>
          <w:p w14:paraId="46F05934"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15</w:t>
            </w:r>
          </w:p>
        </w:tc>
        <w:tc>
          <w:tcPr>
            <w:tcW w:w="580" w:type="dxa"/>
          </w:tcPr>
          <w:p w14:paraId="0D9B044C"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12</w:t>
            </w:r>
          </w:p>
        </w:tc>
        <w:tc>
          <w:tcPr>
            <w:tcW w:w="1415" w:type="dxa"/>
          </w:tcPr>
          <w:p w14:paraId="0F009A60"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51</w:t>
            </w:r>
          </w:p>
        </w:tc>
      </w:tr>
      <w:tr w:rsidR="00091684" w:rsidRPr="00164FC0" w14:paraId="05D9892B" w14:textId="77777777" w:rsidTr="00F075D7">
        <w:tc>
          <w:tcPr>
            <w:tcW w:w="4435" w:type="dxa"/>
          </w:tcPr>
          <w:p w14:paraId="177760D8" w14:textId="77777777" w:rsidR="00091684" w:rsidRPr="00164FC0" w:rsidRDefault="00091684" w:rsidP="00F075D7">
            <w:pPr>
              <w:spacing w:line="480" w:lineRule="auto"/>
              <w:rPr>
                <w:rFonts w:ascii="Times New Roman" w:hAnsi="Times New Roman"/>
                <w:sz w:val="24"/>
                <w:szCs w:val="24"/>
                <w:lang w:val="en-GB"/>
              </w:rPr>
            </w:pPr>
            <w:r w:rsidRPr="00164FC0">
              <w:rPr>
                <w:rFonts w:ascii="Times New Roman" w:hAnsi="Times New Roman"/>
                <w:sz w:val="24"/>
                <w:szCs w:val="24"/>
                <w:lang w:val="en-GB"/>
              </w:rPr>
              <w:t>L: Antineoplastic and immunomodulating agents</w:t>
            </w:r>
          </w:p>
        </w:tc>
        <w:tc>
          <w:tcPr>
            <w:tcW w:w="553" w:type="dxa"/>
          </w:tcPr>
          <w:p w14:paraId="59CB0C65"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45</w:t>
            </w:r>
          </w:p>
        </w:tc>
        <w:tc>
          <w:tcPr>
            <w:tcW w:w="553" w:type="dxa"/>
          </w:tcPr>
          <w:p w14:paraId="5DA754EF"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13</w:t>
            </w:r>
          </w:p>
        </w:tc>
        <w:tc>
          <w:tcPr>
            <w:tcW w:w="553" w:type="dxa"/>
          </w:tcPr>
          <w:p w14:paraId="77723148"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11</w:t>
            </w:r>
          </w:p>
        </w:tc>
        <w:tc>
          <w:tcPr>
            <w:tcW w:w="546" w:type="dxa"/>
          </w:tcPr>
          <w:p w14:paraId="72D99CE7"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23</w:t>
            </w:r>
          </w:p>
        </w:tc>
        <w:tc>
          <w:tcPr>
            <w:tcW w:w="580" w:type="dxa"/>
          </w:tcPr>
          <w:p w14:paraId="21652C9A"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11</w:t>
            </w:r>
          </w:p>
        </w:tc>
        <w:tc>
          <w:tcPr>
            <w:tcW w:w="1415" w:type="dxa"/>
          </w:tcPr>
          <w:p w14:paraId="416CCBF7"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201</w:t>
            </w:r>
          </w:p>
        </w:tc>
      </w:tr>
      <w:tr w:rsidR="00091684" w:rsidRPr="00164FC0" w14:paraId="2EC6EE9C" w14:textId="77777777" w:rsidTr="00F075D7">
        <w:tc>
          <w:tcPr>
            <w:tcW w:w="4435" w:type="dxa"/>
          </w:tcPr>
          <w:p w14:paraId="056FE036" w14:textId="77777777" w:rsidR="00091684" w:rsidRPr="00164FC0" w:rsidRDefault="00091684" w:rsidP="00F075D7">
            <w:pPr>
              <w:spacing w:line="480" w:lineRule="auto"/>
              <w:rPr>
                <w:rFonts w:ascii="Times New Roman" w:hAnsi="Times New Roman"/>
                <w:sz w:val="24"/>
                <w:szCs w:val="24"/>
                <w:lang w:val="en-GB"/>
              </w:rPr>
            </w:pPr>
            <w:r w:rsidRPr="00164FC0">
              <w:rPr>
                <w:rFonts w:ascii="Times New Roman" w:hAnsi="Times New Roman"/>
                <w:sz w:val="24"/>
                <w:szCs w:val="24"/>
                <w:lang w:val="en-GB"/>
              </w:rPr>
              <w:t>M: Musculo-skeletal system</w:t>
            </w:r>
          </w:p>
        </w:tc>
        <w:tc>
          <w:tcPr>
            <w:tcW w:w="553" w:type="dxa"/>
          </w:tcPr>
          <w:p w14:paraId="2FF923D4"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2</w:t>
            </w:r>
          </w:p>
        </w:tc>
        <w:tc>
          <w:tcPr>
            <w:tcW w:w="553" w:type="dxa"/>
          </w:tcPr>
          <w:p w14:paraId="03E035F0"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553" w:type="dxa"/>
          </w:tcPr>
          <w:p w14:paraId="4B81FB53"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546" w:type="dxa"/>
          </w:tcPr>
          <w:p w14:paraId="54936F66"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w:t>
            </w:r>
          </w:p>
        </w:tc>
        <w:tc>
          <w:tcPr>
            <w:tcW w:w="580" w:type="dxa"/>
          </w:tcPr>
          <w:p w14:paraId="37258A80"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1415" w:type="dxa"/>
          </w:tcPr>
          <w:p w14:paraId="363F204D"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12</w:t>
            </w:r>
          </w:p>
        </w:tc>
      </w:tr>
      <w:tr w:rsidR="00091684" w:rsidRPr="00164FC0" w14:paraId="513D32EA" w14:textId="77777777" w:rsidTr="00F075D7">
        <w:tc>
          <w:tcPr>
            <w:tcW w:w="4435" w:type="dxa"/>
          </w:tcPr>
          <w:p w14:paraId="20BC98D6"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N: Nervous system</w:t>
            </w:r>
          </w:p>
        </w:tc>
        <w:tc>
          <w:tcPr>
            <w:tcW w:w="553" w:type="dxa"/>
          </w:tcPr>
          <w:p w14:paraId="7E400C20"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5</w:t>
            </w:r>
          </w:p>
        </w:tc>
        <w:tc>
          <w:tcPr>
            <w:tcW w:w="553" w:type="dxa"/>
          </w:tcPr>
          <w:p w14:paraId="7A1E2547"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5</w:t>
            </w:r>
          </w:p>
        </w:tc>
        <w:tc>
          <w:tcPr>
            <w:tcW w:w="553" w:type="dxa"/>
          </w:tcPr>
          <w:p w14:paraId="71890628"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w:t>
            </w:r>
          </w:p>
        </w:tc>
        <w:tc>
          <w:tcPr>
            <w:tcW w:w="546" w:type="dxa"/>
          </w:tcPr>
          <w:p w14:paraId="30BE25FE"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8</w:t>
            </w:r>
          </w:p>
        </w:tc>
        <w:tc>
          <w:tcPr>
            <w:tcW w:w="580" w:type="dxa"/>
          </w:tcPr>
          <w:p w14:paraId="09C445B0"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w:t>
            </w:r>
          </w:p>
        </w:tc>
        <w:tc>
          <w:tcPr>
            <w:tcW w:w="1415" w:type="dxa"/>
          </w:tcPr>
          <w:p w14:paraId="49B21E32"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31</w:t>
            </w:r>
          </w:p>
        </w:tc>
      </w:tr>
      <w:tr w:rsidR="00091684" w:rsidRPr="00164FC0" w14:paraId="4983C0F9" w14:textId="77777777" w:rsidTr="00F075D7">
        <w:tc>
          <w:tcPr>
            <w:tcW w:w="4435" w:type="dxa"/>
          </w:tcPr>
          <w:p w14:paraId="33D7112D"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GB"/>
              </w:rPr>
              <w:t>R: Respiratory system</w:t>
            </w:r>
          </w:p>
        </w:tc>
        <w:tc>
          <w:tcPr>
            <w:tcW w:w="553" w:type="dxa"/>
          </w:tcPr>
          <w:p w14:paraId="5CBAC0D7"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4</w:t>
            </w:r>
          </w:p>
        </w:tc>
        <w:tc>
          <w:tcPr>
            <w:tcW w:w="553" w:type="dxa"/>
          </w:tcPr>
          <w:p w14:paraId="0384DB9D"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w:t>
            </w:r>
          </w:p>
        </w:tc>
        <w:tc>
          <w:tcPr>
            <w:tcW w:w="553" w:type="dxa"/>
          </w:tcPr>
          <w:p w14:paraId="1AE9D1E8"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2</w:t>
            </w:r>
          </w:p>
        </w:tc>
        <w:tc>
          <w:tcPr>
            <w:tcW w:w="546" w:type="dxa"/>
          </w:tcPr>
          <w:p w14:paraId="172669C8"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w:t>
            </w:r>
          </w:p>
        </w:tc>
        <w:tc>
          <w:tcPr>
            <w:tcW w:w="580" w:type="dxa"/>
          </w:tcPr>
          <w:p w14:paraId="37B4CF7C"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1415" w:type="dxa"/>
          </w:tcPr>
          <w:p w14:paraId="2E8899DF"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18</w:t>
            </w:r>
          </w:p>
        </w:tc>
      </w:tr>
      <w:tr w:rsidR="00091684" w:rsidRPr="00164FC0" w14:paraId="7416B1A5" w14:textId="77777777" w:rsidTr="00F075D7">
        <w:tc>
          <w:tcPr>
            <w:tcW w:w="4435" w:type="dxa"/>
          </w:tcPr>
          <w:p w14:paraId="5E8EFCCD" w14:textId="77777777" w:rsidR="00091684" w:rsidRPr="00164FC0" w:rsidRDefault="00091684" w:rsidP="00F075D7">
            <w:pPr>
              <w:spacing w:line="480" w:lineRule="auto"/>
              <w:rPr>
                <w:rFonts w:ascii="Times New Roman" w:hAnsi="Times New Roman"/>
                <w:sz w:val="24"/>
                <w:szCs w:val="24"/>
                <w:lang w:val="en-GB"/>
              </w:rPr>
            </w:pPr>
            <w:r w:rsidRPr="00164FC0">
              <w:rPr>
                <w:rFonts w:ascii="Times New Roman" w:hAnsi="Times New Roman"/>
                <w:sz w:val="24"/>
                <w:szCs w:val="24"/>
                <w:lang w:val="en-GB"/>
              </w:rPr>
              <w:t>S: Sensory organs</w:t>
            </w:r>
          </w:p>
        </w:tc>
        <w:tc>
          <w:tcPr>
            <w:tcW w:w="553" w:type="dxa"/>
          </w:tcPr>
          <w:p w14:paraId="2E853757"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53" w:type="dxa"/>
          </w:tcPr>
          <w:p w14:paraId="47A8C98A"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53" w:type="dxa"/>
          </w:tcPr>
          <w:p w14:paraId="3148912B"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46" w:type="dxa"/>
          </w:tcPr>
          <w:p w14:paraId="47F5F6E3"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580" w:type="dxa"/>
          </w:tcPr>
          <w:p w14:paraId="420D3B41"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1415" w:type="dxa"/>
          </w:tcPr>
          <w:p w14:paraId="10A70FD2"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6</w:t>
            </w:r>
          </w:p>
        </w:tc>
      </w:tr>
      <w:tr w:rsidR="00091684" w:rsidRPr="00164FC0" w14:paraId="65FC92EC" w14:textId="77777777" w:rsidTr="00F075D7">
        <w:tc>
          <w:tcPr>
            <w:tcW w:w="4435" w:type="dxa"/>
          </w:tcPr>
          <w:p w14:paraId="25A9F649" w14:textId="77777777" w:rsidR="00091684" w:rsidRPr="00164FC0" w:rsidRDefault="00091684" w:rsidP="00F075D7">
            <w:pPr>
              <w:spacing w:line="480" w:lineRule="auto"/>
              <w:rPr>
                <w:rFonts w:ascii="Times New Roman" w:hAnsi="Times New Roman"/>
                <w:sz w:val="24"/>
                <w:szCs w:val="24"/>
                <w:lang w:val="en-GB"/>
              </w:rPr>
            </w:pPr>
            <w:r w:rsidRPr="00164FC0">
              <w:rPr>
                <w:rFonts w:ascii="Times New Roman" w:hAnsi="Times New Roman"/>
                <w:sz w:val="24"/>
                <w:szCs w:val="24"/>
                <w:lang w:val="en-GB"/>
              </w:rPr>
              <w:t>V: Various</w:t>
            </w:r>
          </w:p>
        </w:tc>
        <w:tc>
          <w:tcPr>
            <w:tcW w:w="553" w:type="dxa"/>
          </w:tcPr>
          <w:p w14:paraId="045A255E"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553" w:type="dxa"/>
          </w:tcPr>
          <w:p w14:paraId="11582845"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553" w:type="dxa"/>
          </w:tcPr>
          <w:p w14:paraId="7E0D9D7A"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546" w:type="dxa"/>
          </w:tcPr>
          <w:p w14:paraId="6B5F5D49"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580" w:type="dxa"/>
          </w:tcPr>
          <w:p w14:paraId="448A9F0C"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1415" w:type="dxa"/>
          </w:tcPr>
          <w:p w14:paraId="15046DFF"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6</w:t>
            </w:r>
          </w:p>
        </w:tc>
      </w:tr>
    </w:tbl>
    <w:p w14:paraId="259D45EC" w14:textId="77777777" w:rsidR="00091684" w:rsidRPr="00164FC0" w:rsidRDefault="00091684" w:rsidP="00091684">
      <w:pPr>
        <w:spacing w:line="480" w:lineRule="auto"/>
        <w:jc w:val="both"/>
        <w:rPr>
          <w:rFonts w:ascii="Times New Roman" w:hAnsi="Times New Roman"/>
          <w:b/>
          <w:sz w:val="24"/>
          <w:szCs w:val="24"/>
          <w:lang w:val="en-GB" w:eastAsia="ja-JP"/>
        </w:rPr>
      </w:pPr>
    </w:p>
    <w:p w14:paraId="1D902E93" w14:textId="77777777" w:rsidR="00091684" w:rsidRPr="00164FC0" w:rsidRDefault="00091684" w:rsidP="00091684">
      <w:pPr>
        <w:spacing w:line="480" w:lineRule="auto"/>
        <w:jc w:val="both"/>
        <w:rPr>
          <w:rFonts w:ascii="Times New Roman" w:hAnsi="Times New Roman"/>
          <w:i/>
          <w:sz w:val="24"/>
          <w:szCs w:val="24"/>
          <w:lang w:val="en-US"/>
        </w:rPr>
      </w:pPr>
      <w:r w:rsidRPr="00164FC0">
        <w:rPr>
          <w:rFonts w:ascii="Times New Roman" w:hAnsi="Times New Roman"/>
          <w:i/>
          <w:sz w:val="24"/>
          <w:szCs w:val="24"/>
          <w:lang w:val="en-GB" w:eastAsia="ja-JP"/>
        </w:rPr>
        <w:lastRenderedPageBreak/>
        <w:t>Su</w:t>
      </w:r>
      <w:r>
        <w:rPr>
          <w:rFonts w:ascii="Times New Roman" w:hAnsi="Times New Roman"/>
          <w:i/>
          <w:sz w:val="24"/>
          <w:szCs w:val="24"/>
          <w:lang w:val="en-GB" w:eastAsia="ja-JP"/>
        </w:rPr>
        <w:t>p</w:t>
      </w:r>
      <w:r w:rsidRPr="00164FC0">
        <w:rPr>
          <w:rFonts w:ascii="Times New Roman" w:hAnsi="Times New Roman"/>
          <w:i/>
          <w:sz w:val="24"/>
          <w:szCs w:val="24"/>
          <w:lang w:val="en-GB" w:eastAsia="ja-JP"/>
        </w:rPr>
        <w:t>plementary Table 3: overlap in assessed drug-indication combinations between the countries based on characteristics of the drug-indication combination</w:t>
      </w:r>
    </w:p>
    <w:tbl>
      <w:tblPr>
        <w:tblStyle w:val="Tabelraster"/>
        <w:tblW w:w="0" w:type="auto"/>
        <w:tblLook w:val="04A0" w:firstRow="1" w:lastRow="0" w:firstColumn="1" w:lastColumn="0" w:noHBand="0" w:noVBand="1"/>
      </w:tblPr>
      <w:tblGrid>
        <w:gridCol w:w="4058"/>
        <w:gridCol w:w="616"/>
        <w:gridCol w:w="616"/>
        <w:gridCol w:w="616"/>
        <w:gridCol w:w="603"/>
        <w:gridCol w:w="616"/>
        <w:gridCol w:w="1510"/>
      </w:tblGrid>
      <w:tr w:rsidR="00091684" w:rsidRPr="00164FC0" w14:paraId="337A5EEB" w14:textId="77777777" w:rsidTr="00F075D7">
        <w:tc>
          <w:tcPr>
            <w:tcW w:w="4435" w:type="dxa"/>
          </w:tcPr>
          <w:p w14:paraId="3F578DF3" w14:textId="77777777" w:rsidR="00091684" w:rsidRPr="00164FC0" w:rsidRDefault="00091684" w:rsidP="00F075D7">
            <w:pPr>
              <w:spacing w:line="480" w:lineRule="auto"/>
              <w:jc w:val="both"/>
              <w:rPr>
                <w:rFonts w:ascii="Times New Roman" w:hAnsi="Times New Roman"/>
                <w:sz w:val="24"/>
                <w:szCs w:val="24"/>
                <w:lang w:val="en-US"/>
              </w:rPr>
            </w:pPr>
          </w:p>
        </w:tc>
        <w:tc>
          <w:tcPr>
            <w:tcW w:w="553" w:type="dxa"/>
          </w:tcPr>
          <w:p w14:paraId="1CED873C"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w:t>
            </w:r>
            <w:r>
              <w:rPr>
                <w:rFonts w:ascii="Times New Roman" w:hAnsi="Times New Roman"/>
                <w:sz w:val="24"/>
                <w:szCs w:val="24"/>
                <w:lang w:val="en-US"/>
              </w:rPr>
              <w:t>T</w:t>
            </w:r>
            <w:r w:rsidRPr="00164FC0">
              <w:rPr>
                <w:rFonts w:ascii="Times New Roman" w:hAnsi="Times New Roman"/>
                <w:sz w:val="24"/>
                <w:szCs w:val="24"/>
                <w:lang w:val="en-US"/>
              </w:rPr>
              <w:t>-BE-I</w:t>
            </w:r>
            <w:r>
              <w:rPr>
                <w:rFonts w:ascii="Times New Roman" w:hAnsi="Times New Roman"/>
                <w:sz w:val="24"/>
                <w:szCs w:val="24"/>
                <w:lang w:val="en-US"/>
              </w:rPr>
              <w:t>E</w:t>
            </w:r>
          </w:p>
        </w:tc>
        <w:tc>
          <w:tcPr>
            <w:tcW w:w="553" w:type="dxa"/>
          </w:tcPr>
          <w:p w14:paraId="5F69C81C"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w:t>
            </w:r>
            <w:r>
              <w:rPr>
                <w:rFonts w:ascii="Times New Roman" w:hAnsi="Times New Roman"/>
                <w:sz w:val="24"/>
                <w:szCs w:val="24"/>
                <w:lang w:val="en-US"/>
              </w:rPr>
              <w:t>T</w:t>
            </w:r>
            <w:r w:rsidRPr="00164FC0">
              <w:rPr>
                <w:rFonts w:ascii="Times New Roman" w:hAnsi="Times New Roman"/>
                <w:sz w:val="24"/>
                <w:szCs w:val="24"/>
                <w:lang w:val="en-US"/>
              </w:rPr>
              <w:t>-BE-NL</w:t>
            </w:r>
          </w:p>
        </w:tc>
        <w:tc>
          <w:tcPr>
            <w:tcW w:w="553" w:type="dxa"/>
          </w:tcPr>
          <w:p w14:paraId="782EC6AA"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w:t>
            </w:r>
            <w:r>
              <w:rPr>
                <w:rFonts w:ascii="Times New Roman" w:hAnsi="Times New Roman"/>
                <w:sz w:val="24"/>
                <w:szCs w:val="24"/>
                <w:lang w:val="en-US"/>
              </w:rPr>
              <w:t>T</w:t>
            </w:r>
            <w:r w:rsidRPr="00164FC0">
              <w:rPr>
                <w:rFonts w:ascii="Times New Roman" w:hAnsi="Times New Roman"/>
                <w:sz w:val="24"/>
                <w:szCs w:val="24"/>
                <w:lang w:val="en-US"/>
              </w:rPr>
              <w:t>-I</w:t>
            </w:r>
            <w:r>
              <w:rPr>
                <w:rFonts w:ascii="Times New Roman" w:hAnsi="Times New Roman"/>
                <w:sz w:val="24"/>
                <w:szCs w:val="24"/>
                <w:lang w:val="en-US"/>
              </w:rPr>
              <w:t>E</w:t>
            </w:r>
            <w:r w:rsidRPr="00164FC0">
              <w:rPr>
                <w:rFonts w:ascii="Times New Roman" w:hAnsi="Times New Roman"/>
                <w:sz w:val="24"/>
                <w:szCs w:val="24"/>
                <w:lang w:val="en-US"/>
              </w:rPr>
              <w:t>-NL</w:t>
            </w:r>
          </w:p>
        </w:tc>
        <w:tc>
          <w:tcPr>
            <w:tcW w:w="546" w:type="dxa"/>
          </w:tcPr>
          <w:p w14:paraId="3588688F"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BE-I</w:t>
            </w:r>
            <w:r>
              <w:rPr>
                <w:rFonts w:ascii="Times New Roman" w:hAnsi="Times New Roman"/>
                <w:sz w:val="24"/>
                <w:szCs w:val="24"/>
                <w:lang w:val="en-US"/>
              </w:rPr>
              <w:t>E</w:t>
            </w:r>
            <w:r w:rsidRPr="00164FC0">
              <w:rPr>
                <w:rFonts w:ascii="Times New Roman" w:hAnsi="Times New Roman"/>
                <w:sz w:val="24"/>
                <w:szCs w:val="24"/>
                <w:lang w:val="en-US"/>
              </w:rPr>
              <w:t>-NL</w:t>
            </w:r>
          </w:p>
        </w:tc>
        <w:tc>
          <w:tcPr>
            <w:tcW w:w="580" w:type="dxa"/>
          </w:tcPr>
          <w:p w14:paraId="4D201914"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All four</w:t>
            </w:r>
          </w:p>
        </w:tc>
        <w:tc>
          <w:tcPr>
            <w:tcW w:w="1415" w:type="dxa"/>
          </w:tcPr>
          <w:p w14:paraId="636EFA04"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Total drug-indication combinations</w:t>
            </w:r>
          </w:p>
        </w:tc>
      </w:tr>
      <w:tr w:rsidR="00091684" w:rsidRPr="00164FC0" w14:paraId="6D80109A" w14:textId="77777777" w:rsidTr="00F075D7">
        <w:tc>
          <w:tcPr>
            <w:tcW w:w="4435" w:type="dxa"/>
          </w:tcPr>
          <w:p w14:paraId="789833AF"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Orphan</w:t>
            </w:r>
          </w:p>
        </w:tc>
        <w:tc>
          <w:tcPr>
            <w:tcW w:w="553" w:type="dxa"/>
          </w:tcPr>
          <w:p w14:paraId="0203CA5F"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11</w:t>
            </w:r>
          </w:p>
        </w:tc>
        <w:tc>
          <w:tcPr>
            <w:tcW w:w="553" w:type="dxa"/>
          </w:tcPr>
          <w:p w14:paraId="6677537C"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11</w:t>
            </w:r>
          </w:p>
        </w:tc>
        <w:tc>
          <w:tcPr>
            <w:tcW w:w="553" w:type="dxa"/>
          </w:tcPr>
          <w:p w14:paraId="0ACAA600"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8</w:t>
            </w:r>
          </w:p>
        </w:tc>
        <w:tc>
          <w:tcPr>
            <w:tcW w:w="546" w:type="dxa"/>
          </w:tcPr>
          <w:p w14:paraId="1B4F1256"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23</w:t>
            </w:r>
          </w:p>
        </w:tc>
        <w:tc>
          <w:tcPr>
            <w:tcW w:w="580" w:type="dxa"/>
          </w:tcPr>
          <w:p w14:paraId="437F39E5"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6</w:t>
            </w:r>
          </w:p>
        </w:tc>
        <w:tc>
          <w:tcPr>
            <w:tcW w:w="1415" w:type="dxa"/>
          </w:tcPr>
          <w:p w14:paraId="02DCD911"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98</w:t>
            </w:r>
          </w:p>
        </w:tc>
      </w:tr>
      <w:tr w:rsidR="00091684" w:rsidRPr="00164FC0" w14:paraId="35753FD0" w14:textId="77777777" w:rsidTr="00F075D7">
        <w:tc>
          <w:tcPr>
            <w:tcW w:w="4435" w:type="dxa"/>
          </w:tcPr>
          <w:p w14:paraId="6509E353"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Conditional marketing authorization</w:t>
            </w:r>
          </w:p>
        </w:tc>
        <w:tc>
          <w:tcPr>
            <w:tcW w:w="553" w:type="dxa"/>
          </w:tcPr>
          <w:p w14:paraId="4762CFFA"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4</w:t>
            </w:r>
          </w:p>
        </w:tc>
        <w:tc>
          <w:tcPr>
            <w:tcW w:w="553" w:type="dxa"/>
          </w:tcPr>
          <w:p w14:paraId="34D18815"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553" w:type="dxa"/>
          </w:tcPr>
          <w:p w14:paraId="655E546F"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2</w:t>
            </w:r>
          </w:p>
        </w:tc>
        <w:tc>
          <w:tcPr>
            <w:tcW w:w="546" w:type="dxa"/>
          </w:tcPr>
          <w:p w14:paraId="6EDA191D"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2</w:t>
            </w:r>
          </w:p>
        </w:tc>
        <w:tc>
          <w:tcPr>
            <w:tcW w:w="580" w:type="dxa"/>
          </w:tcPr>
          <w:p w14:paraId="400251DD"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w:t>
            </w:r>
          </w:p>
        </w:tc>
        <w:tc>
          <w:tcPr>
            <w:tcW w:w="1415" w:type="dxa"/>
          </w:tcPr>
          <w:p w14:paraId="340B6D84"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15</w:t>
            </w:r>
          </w:p>
        </w:tc>
      </w:tr>
      <w:tr w:rsidR="00091684" w:rsidRPr="00164FC0" w14:paraId="4A899470" w14:textId="77777777" w:rsidTr="00F075D7">
        <w:tc>
          <w:tcPr>
            <w:tcW w:w="4435" w:type="dxa"/>
          </w:tcPr>
          <w:p w14:paraId="6E1DE6C0"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Authorization under exceptional circumstances</w:t>
            </w:r>
          </w:p>
        </w:tc>
        <w:tc>
          <w:tcPr>
            <w:tcW w:w="553" w:type="dxa"/>
          </w:tcPr>
          <w:p w14:paraId="0C2A4BF0"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53" w:type="dxa"/>
          </w:tcPr>
          <w:p w14:paraId="4DAFF726"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w:t>
            </w:r>
          </w:p>
        </w:tc>
        <w:tc>
          <w:tcPr>
            <w:tcW w:w="553" w:type="dxa"/>
          </w:tcPr>
          <w:p w14:paraId="72A95926"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46" w:type="dxa"/>
          </w:tcPr>
          <w:p w14:paraId="65CDF9AB"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2</w:t>
            </w:r>
          </w:p>
        </w:tc>
        <w:tc>
          <w:tcPr>
            <w:tcW w:w="580" w:type="dxa"/>
          </w:tcPr>
          <w:p w14:paraId="29F0007F"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1415" w:type="dxa"/>
          </w:tcPr>
          <w:p w14:paraId="774FC6C6"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15</w:t>
            </w:r>
          </w:p>
        </w:tc>
      </w:tr>
      <w:tr w:rsidR="00091684" w:rsidRPr="00164FC0" w14:paraId="2BEED819" w14:textId="77777777" w:rsidTr="00F075D7">
        <w:tc>
          <w:tcPr>
            <w:tcW w:w="4435" w:type="dxa"/>
          </w:tcPr>
          <w:p w14:paraId="1B1065EE"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Accelerated assessment</w:t>
            </w:r>
          </w:p>
        </w:tc>
        <w:tc>
          <w:tcPr>
            <w:tcW w:w="553" w:type="dxa"/>
          </w:tcPr>
          <w:p w14:paraId="5F231BBF"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8</w:t>
            </w:r>
          </w:p>
        </w:tc>
        <w:tc>
          <w:tcPr>
            <w:tcW w:w="553" w:type="dxa"/>
          </w:tcPr>
          <w:p w14:paraId="60EC68BE"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5</w:t>
            </w:r>
          </w:p>
        </w:tc>
        <w:tc>
          <w:tcPr>
            <w:tcW w:w="553" w:type="dxa"/>
          </w:tcPr>
          <w:p w14:paraId="687B329D"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w:t>
            </w:r>
          </w:p>
        </w:tc>
        <w:tc>
          <w:tcPr>
            <w:tcW w:w="546" w:type="dxa"/>
          </w:tcPr>
          <w:p w14:paraId="595198F6"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9</w:t>
            </w:r>
          </w:p>
        </w:tc>
        <w:tc>
          <w:tcPr>
            <w:tcW w:w="580" w:type="dxa"/>
          </w:tcPr>
          <w:p w14:paraId="2A65ECBC"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w:t>
            </w:r>
          </w:p>
        </w:tc>
        <w:tc>
          <w:tcPr>
            <w:tcW w:w="1415" w:type="dxa"/>
          </w:tcPr>
          <w:p w14:paraId="2337BA32"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44</w:t>
            </w:r>
          </w:p>
        </w:tc>
      </w:tr>
      <w:tr w:rsidR="00091684" w:rsidRPr="00164FC0" w14:paraId="5F5B3D5F" w14:textId="77777777" w:rsidTr="00F075D7">
        <w:tc>
          <w:tcPr>
            <w:tcW w:w="4435" w:type="dxa"/>
          </w:tcPr>
          <w:p w14:paraId="04E4F8F3" w14:textId="77777777" w:rsidR="00091684" w:rsidRPr="00164FC0" w:rsidRDefault="00091684" w:rsidP="00F075D7">
            <w:pPr>
              <w:spacing w:line="480" w:lineRule="auto"/>
              <w:rPr>
                <w:rFonts w:ascii="Times New Roman" w:hAnsi="Times New Roman"/>
                <w:sz w:val="24"/>
                <w:szCs w:val="24"/>
                <w:lang w:val="en-US"/>
              </w:rPr>
            </w:pPr>
            <w:r w:rsidRPr="00164FC0">
              <w:rPr>
                <w:rFonts w:ascii="Times New Roman" w:hAnsi="Times New Roman"/>
                <w:sz w:val="24"/>
                <w:szCs w:val="24"/>
                <w:lang w:val="en-US"/>
              </w:rPr>
              <w:t>First-in-class</w:t>
            </w:r>
          </w:p>
        </w:tc>
        <w:tc>
          <w:tcPr>
            <w:tcW w:w="553" w:type="dxa"/>
          </w:tcPr>
          <w:p w14:paraId="5F2F28CA"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12</w:t>
            </w:r>
          </w:p>
        </w:tc>
        <w:tc>
          <w:tcPr>
            <w:tcW w:w="553" w:type="dxa"/>
          </w:tcPr>
          <w:p w14:paraId="2F3CB529"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10</w:t>
            </w:r>
          </w:p>
        </w:tc>
        <w:tc>
          <w:tcPr>
            <w:tcW w:w="553" w:type="dxa"/>
          </w:tcPr>
          <w:p w14:paraId="46FEAF53"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8</w:t>
            </w:r>
          </w:p>
        </w:tc>
        <w:tc>
          <w:tcPr>
            <w:tcW w:w="546" w:type="dxa"/>
          </w:tcPr>
          <w:p w14:paraId="3398DD4B"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12</w:t>
            </w:r>
          </w:p>
        </w:tc>
        <w:tc>
          <w:tcPr>
            <w:tcW w:w="580" w:type="dxa"/>
          </w:tcPr>
          <w:p w14:paraId="0A6E4D6E"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8</w:t>
            </w:r>
          </w:p>
        </w:tc>
        <w:tc>
          <w:tcPr>
            <w:tcW w:w="1415" w:type="dxa"/>
          </w:tcPr>
          <w:p w14:paraId="449D3DDE"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38</w:t>
            </w:r>
          </w:p>
        </w:tc>
      </w:tr>
      <w:tr w:rsidR="00091684" w:rsidRPr="00164FC0" w14:paraId="0F3C0369" w14:textId="77777777" w:rsidTr="00F075D7">
        <w:tc>
          <w:tcPr>
            <w:tcW w:w="4435" w:type="dxa"/>
          </w:tcPr>
          <w:p w14:paraId="4A4E498A" w14:textId="77777777" w:rsidR="00091684" w:rsidRPr="00164FC0" w:rsidRDefault="00091684" w:rsidP="00F075D7">
            <w:pPr>
              <w:spacing w:line="480" w:lineRule="auto"/>
              <w:rPr>
                <w:rFonts w:ascii="Times New Roman" w:hAnsi="Times New Roman"/>
                <w:sz w:val="24"/>
                <w:szCs w:val="24"/>
                <w:lang w:val="en-GB"/>
              </w:rPr>
            </w:pPr>
            <w:r w:rsidRPr="00164FC0">
              <w:rPr>
                <w:rFonts w:ascii="Times New Roman" w:hAnsi="Times New Roman"/>
                <w:sz w:val="24"/>
                <w:szCs w:val="24"/>
                <w:lang w:val="en-GB"/>
              </w:rPr>
              <w:t>Advanced therapy medicinal product</w:t>
            </w:r>
          </w:p>
        </w:tc>
        <w:tc>
          <w:tcPr>
            <w:tcW w:w="553" w:type="dxa"/>
          </w:tcPr>
          <w:p w14:paraId="38681FC8"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53" w:type="dxa"/>
          </w:tcPr>
          <w:p w14:paraId="0D97FDAC"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53" w:type="dxa"/>
          </w:tcPr>
          <w:p w14:paraId="1AEB63F0"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546" w:type="dxa"/>
          </w:tcPr>
          <w:p w14:paraId="5365A75B"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4</w:t>
            </w:r>
          </w:p>
        </w:tc>
        <w:tc>
          <w:tcPr>
            <w:tcW w:w="580" w:type="dxa"/>
          </w:tcPr>
          <w:p w14:paraId="7DD23E99"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0</w:t>
            </w:r>
          </w:p>
        </w:tc>
        <w:tc>
          <w:tcPr>
            <w:tcW w:w="1415" w:type="dxa"/>
          </w:tcPr>
          <w:p w14:paraId="05B86D0B" w14:textId="77777777" w:rsidR="00091684" w:rsidRPr="00164FC0" w:rsidRDefault="00091684" w:rsidP="00F075D7">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8</w:t>
            </w:r>
          </w:p>
        </w:tc>
      </w:tr>
    </w:tbl>
    <w:p w14:paraId="0C5B8068" w14:textId="77777777" w:rsidR="00091684" w:rsidRPr="00164FC0" w:rsidRDefault="00091684" w:rsidP="00091684">
      <w:pPr>
        <w:spacing w:line="480" w:lineRule="auto"/>
        <w:jc w:val="both"/>
        <w:rPr>
          <w:rFonts w:ascii="Times New Roman" w:hAnsi="Times New Roman"/>
          <w:sz w:val="24"/>
          <w:szCs w:val="24"/>
          <w:lang w:val="en-US"/>
        </w:rPr>
      </w:pPr>
    </w:p>
    <w:p w14:paraId="2D59BE2B" w14:textId="77777777" w:rsidR="00091684" w:rsidRPr="00164FC0" w:rsidRDefault="00091684" w:rsidP="00091684">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480" w:lineRule="auto"/>
        <w:rPr>
          <w:rFonts w:ascii="Times New Roman" w:hAnsi="Times New Roman"/>
          <w:b/>
          <w:sz w:val="24"/>
          <w:szCs w:val="24"/>
          <w:lang w:val="en-US"/>
        </w:rPr>
      </w:pPr>
      <w:r w:rsidRPr="00164FC0">
        <w:rPr>
          <w:rFonts w:ascii="Times New Roman" w:hAnsi="Times New Roman"/>
          <w:b/>
          <w:sz w:val="24"/>
          <w:szCs w:val="24"/>
          <w:lang w:val="en-US"/>
        </w:rPr>
        <w:br w:type="page"/>
      </w:r>
    </w:p>
    <w:p w14:paraId="66E14DC9" w14:textId="77777777" w:rsidR="00091684" w:rsidRPr="00164FC0" w:rsidRDefault="00091684" w:rsidP="00091684">
      <w:pPr>
        <w:spacing w:line="480" w:lineRule="auto"/>
        <w:jc w:val="both"/>
        <w:rPr>
          <w:rFonts w:ascii="Times New Roman" w:hAnsi="Times New Roman"/>
          <w:b/>
          <w:sz w:val="24"/>
          <w:szCs w:val="24"/>
          <w:lang w:val="en-US"/>
        </w:rPr>
      </w:pPr>
      <w:r w:rsidRPr="00164FC0">
        <w:rPr>
          <w:rFonts w:ascii="Times New Roman" w:hAnsi="Times New Roman"/>
          <w:b/>
          <w:sz w:val="24"/>
          <w:szCs w:val="24"/>
          <w:lang w:val="en-US"/>
        </w:rPr>
        <w:lastRenderedPageBreak/>
        <w:t xml:space="preserve">Appendix </w:t>
      </w:r>
      <w:r>
        <w:rPr>
          <w:rFonts w:ascii="Times New Roman" w:hAnsi="Times New Roman"/>
          <w:b/>
          <w:sz w:val="24"/>
          <w:szCs w:val="24"/>
          <w:lang w:val="en-US"/>
        </w:rPr>
        <w:t>D</w:t>
      </w:r>
      <w:r w:rsidRPr="00164FC0">
        <w:rPr>
          <w:rFonts w:ascii="Times New Roman" w:hAnsi="Times New Roman"/>
          <w:b/>
          <w:sz w:val="24"/>
          <w:szCs w:val="24"/>
          <w:lang w:val="en-US"/>
        </w:rPr>
        <w:t>. Detailed case study descriptions.</w:t>
      </w:r>
    </w:p>
    <w:p w14:paraId="6C7213E0" w14:textId="77777777" w:rsidR="00091684" w:rsidRDefault="00091684" w:rsidP="00091684">
      <w:pPr>
        <w:spacing w:line="480" w:lineRule="auto"/>
        <w:jc w:val="both"/>
        <w:rPr>
          <w:rFonts w:ascii="Times New Roman" w:hAnsi="Times New Roman"/>
          <w:i/>
          <w:sz w:val="24"/>
          <w:szCs w:val="24"/>
          <w:lang w:val="en-GB"/>
        </w:rPr>
      </w:pPr>
      <w:r>
        <w:rPr>
          <w:rFonts w:ascii="Times New Roman" w:hAnsi="Times New Roman"/>
          <w:i/>
          <w:sz w:val="24"/>
          <w:szCs w:val="24"/>
          <w:lang w:val="en-GB"/>
        </w:rPr>
        <w:t xml:space="preserve">Each of the case studies was analysed following the PICOTE (population, intervention, comparator, outcomes, timing and evidence) framework, but emphasis in each case study description is placed mostly on the domain where differences were present (therefore not in each case study each element is discussed). The domains are listed within parenthesis. </w:t>
      </w:r>
    </w:p>
    <w:p w14:paraId="6F715BE1" w14:textId="77777777" w:rsidR="00091684" w:rsidRDefault="00091684" w:rsidP="00091684">
      <w:pPr>
        <w:spacing w:line="480" w:lineRule="auto"/>
        <w:jc w:val="both"/>
        <w:rPr>
          <w:rFonts w:ascii="Times New Roman" w:hAnsi="Times New Roman"/>
          <w:i/>
          <w:sz w:val="24"/>
          <w:szCs w:val="24"/>
          <w:lang w:val="en-GB"/>
        </w:rPr>
      </w:pPr>
    </w:p>
    <w:p w14:paraId="6ADEA8F8" w14:textId="77777777" w:rsidR="00091684" w:rsidRPr="00164FC0" w:rsidRDefault="00091684" w:rsidP="00091684">
      <w:pPr>
        <w:spacing w:line="480" w:lineRule="auto"/>
        <w:jc w:val="both"/>
        <w:rPr>
          <w:rFonts w:ascii="Times New Roman" w:hAnsi="Times New Roman"/>
          <w:i/>
          <w:sz w:val="24"/>
          <w:szCs w:val="24"/>
          <w:lang w:val="en-GB"/>
        </w:rPr>
      </w:pPr>
      <w:r w:rsidRPr="00164FC0">
        <w:rPr>
          <w:rFonts w:ascii="Times New Roman" w:hAnsi="Times New Roman"/>
          <w:i/>
          <w:sz w:val="24"/>
          <w:szCs w:val="24"/>
          <w:lang w:val="en-GB"/>
        </w:rPr>
        <w:t>Olaparib (Lynparza)</w:t>
      </w:r>
    </w:p>
    <w:p w14:paraId="7B051106" w14:textId="77777777" w:rsidR="00091684" w:rsidRPr="00164FC0" w:rsidRDefault="00091684" w:rsidP="00091684">
      <w:pPr>
        <w:tabs>
          <w:tab w:val="left" w:pos="2415"/>
        </w:tabs>
        <w:spacing w:line="480" w:lineRule="auto"/>
        <w:jc w:val="both"/>
        <w:rPr>
          <w:rFonts w:ascii="Times New Roman" w:eastAsia="Calibri" w:hAnsi="Times New Roman"/>
          <w:sz w:val="24"/>
          <w:szCs w:val="24"/>
          <w:lang w:val="en-US"/>
        </w:rPr>
      </w:pPr>
      <w:r w:rsidRPr="00164FC0">
        <w:rPr>
          <w:rFonts w:ascii="Times New Roman" w:eastAsia="Calibri" w:hAnsi="Times New Roman"/>
          <w:sz w:val="24"/>
          <w:szCs w:val="24"/>
          <w:lang w:val="en-US"/>
        </w:rPr>
        <w:t>Olaparib</w:t>
      </w:r>
      <w:r>
        <w:rPr>
          <w:rFonts w:ascii="Times New Roman" w:eastAsia="Calibri" w:hAnsi="Times New Roman"/>
          <w:sz w:val="24"/>
          <w:szCs w:val="24"/>
          <w:lang w:val="en-US"/>
        </w:rPr>
        <w:t xml:space="preserve"> (</w:t>
      </w:r>
      <w:r w:rsidRPr="00597A9F">
        <w:rPr>
          <w:rFonts w:ascii="Times New Roman" w:eastAsia="Calibri" w:hAnsi="Times New Roman"/>
          <w:i/>
          <w:iCs/>
          <w:sz w:val="24"/>
          <w:szCs w:val="24"/>
          <w:lang w:val="en-US"/>
        </w:rPr>
        <w:t>intervention</w:t>
      </w:r>
      <w:r>
        <w:rPr>
          <w:rFonts w:ascii="Times New Roman" w:eastAsia="Calibri" w:hAnsi="Times New Roman"/>
          <w:sz w:val="24"/>
          <w:szCs w:val="24"/>
          <w:lang w:val="en-US"/>
        </w:rPr>
        <w:t>)</w:t>
      </w:r>
      <w:r w:rsidRPr="00164FC0">
        <w:rPr>
          <w:rFonts w:ascii="Times New Roman" w:eastAsia="Calibri" w:hAnsi="Times New Roman"/>
          <w:sz w:val="24"/>
          <w:szCs w:val="24"/>
          <w:lang w:val="en-US"/>
        </w:rPr>
        <w:t xml:space="preserve"> is indicated for the maintenance treatment of adult patients with advanced (FIGO stages III and IV) BRCA1/2-mutated (germline and/or somatic) high-grade epithelial ovarian, fallopian tube or primary peritoneal cancer who are in response (complete or partial) following completion of first-line platinum-based chemotherapy</w:t>
      </w:r>
      <w:r>
        <w:rPr>
          <w:rFonts w:ascii="Times New Roman" w:eastAsia="Calibri" w:hAnsi="Times New Roman"/>
          <w:sz w:val="24"/>
          <w:szCs w:val="24"/>
          <w:lang w:val="en-US"/>
        </w:rPr>
        <w:t xml:space="preserve"> (</w:t>
      </w:r>
      <w:r w:rsidRPr="00597A9F">
        <w:rPr>
          <w:rFonts w:ascii="Times New Roman" w:eastAsia="Calibri" w:hAnsi="Times New Roman"/>
          <w:i/>
          <w:iCs/>
          <w:sz w:val="24"/>
          <w:szCs w:val="24"/>
          <w:lang w:val="en-US"/>
        </w:rPr>
        <w:t>population</w:t>
      </w:r>
      <w:r>
        <w:rPr>
          <w:rFonts w:ascii="Times New Roman" w:eastAsia="Calibri" w:hAnsi="Times New Roman"/>
          <w:sz w:val="24"/>
          <w:szCs w:val="24"/>
          <w:lang w:val="en-US"/>
        </w:rPr>
        <w:t>)</w:t>
      </w:r>
      <w:r w:rsidRPr="00164FC0">
        <w:rPr>
          <w:rFonts w:ascii="Times New Roman" w:eastAsia="Calibri" w:hAnsi="Times New Roman"/>
          <w:sz w:val="24"/>
          <w:szCs w:val="24"/>
          <w:lang w:val="en-US"/>
        </w:rPr>
        <w:t>.</w:t>
      </w:r>
    </w:p>
    <w:p w14:paraId="0C6B18C8" w14:textId="77777777" w:rsidR="00091684" w:rsidRPr="00164FC0" w:rsidRDefault="00091684" w:rsidP="00091684">
      <w:pPr>
        <w:tabs>
          <w:tab w:val="left" w:pos="2415"/>
        </w:tabs>
        <w:spacing w:line="480" w:lineRule="auto"/>
        <w:jc w:val="both"/>
        <w:rPr>
          <w:rFonts w:ascii="Times New Roman" w:eastAsia="Calibri" w:hAnsi="Times New Roman"/>
          <w:sz w:val="24"/>
          <w:szCs w:val="24"/>
          <w:lang w:val="en-US"/>
        </w:rPr>
      </w:pPr>
      <w:r w:rsidRPr="00164FC0">
        <w:rPr>
          <w:rFonts w:ascii="Times New Roman" w:hAnsi="Times New Roman"/>
          <w:sz w:val="24"/>
          <w:szCs w:val="24"/>
          <w:lang w:val="en-US"/>
        </w:rPr>
        <w:t xml:space="preserve">All countries included the SOLO1-trial </w:t>
      </w:r>
      <w:r>
        <w:rPr>
          <w:rFonts w:ascii="Times New Roman" w:hAnsi="Times New Roman"/>
          <w:sz w:val="24"/>
          <w:szCs w:val="24"/>
          <w:lang w:val="en-US"/>
        </w:rPr>
        <w:t>(</w:t>
      </w:r>
      <w:r w:rsidRPr="00597A9F">
        <w:rPr>
          <w:rFonts w:ascii="Times New Roman" w:hAnsi="Times New Roman"/>
          <w:i/>
          <w:iCs/>
          <w:sz w:val="24"/>
          <w:szCs w:val="24"/>
          <w:lang w:val="en-US"/>
        </w:rPr>
        <w:t>evidence</w:t>
      </w:r>
      <w:r>
        <w:rPr>
          <w:rFonts w:ascii="Times New Roman" w:hAnsi="Times New Roman"/>
          <w:sz w:val="24"/>
          <w:szCs w:val="24"/>
          <w:lang w:val="en-US"/>
        </w:rPr>
        <w:t xml:space="preserve">) </w:t>
      </w:r>
      <w:r w:rsidRPr="00164FC0">
        <w:rPr>
          <w:rFonts w:ascii="Times New Roman" w:hAnsi="Times New Roman"/>
          <w:sz w:val="24"/>
          <w:szCs w:val="24"/>
          <w:lang w:val="en-US"/>
        </w:rPr>
        <w:t>by Moore et al. (2018) which used a placebo (watch and wait) as a comparator</w:t>
      </w:r>
      <w:r>
        <w:rPr>
          <w:rFonts w:ascii="Times New Roman" w:hAnsi="Times New Roman"/>
          <w:sz w:val="24"/>
          <w:szCs w:val="24"/>
          <w:lang w:val="en-US"/>
        </w:rPr>
        <w:t xml:space="preserve"> (</w:t>
      </w:r>
      <w:r w:rsidRPr="00597A9F">
        <w:rPr>
          <w:rFonts w:ascii="Times New Roman" w:hAnsi="Times New Roman"/>
          <w:i/>
          <w:iCs/>
          <w:sz w:val="24"/>
          <w:szCs w:val="24"/>
          <w:lang w:val="en-US"/>
        </w:rPr>
        <w:t>comparator</w:t>
      </w:r>
      <w:r>
        <w:rPr>
          <w:rFonts w:ascii="Times New Roman" w:hAnsi="Times New Roman"/>
          <w:sz w:val="24"/>
          <w:szCs w:val="24"/>
          <w:lang w:val="en-US"/>
        </w:rPr>
        <w:t>)</w:t>
      </w:r>
      <w:r w:rsidRPr="00164FC0">
        <w:rPr>
          <w:rFonts w:ascii="Times New Roman" w:hAnsi="Times New Roman"/>
          <w:sz w:val="24"/>
          <w:szCs w:val="24"/>
          <w:lang w:val="en-US"/>
        </w:rPr>
        <w:t xml:space="preserve">. Both Belgium and the Netherlands mention in the analysis of the trial that </w:t>
      </w:r>
      <w:proofErr w:type="spellStart"/>
      <w:r w:rsidRPr="00164FC0">
        <w:rPr>
          <w:rFonts w:ascii="Times New Roman" w:hAnsi="Times New Roman"/>
          <w:sz w:val="24"/>
          <w:szCs w:val="24"/>
          <w:lang w:val="en-US"/>
        </w:rPr>
        <w:t>olaparib</w:t>
      </w:r>
      <w:proofErr w:type="spellEnd"/>
      <w:r w:rsidRPr="00164FC0">
        <w:rPr>
          <w:rFonts w:ascii="Times New Roman" w:hAnsi="Times New Roman"/>
          <w:sz w:val="24"/>
          <w:szCs w:val="24"/>
          <w:lang w:val="en-US"/>
        </w:rPr>
        <w:t xml:space="preserve"> has a clinically relevant and statistically significant increase of progressive free survival (PFS). Nevertheless, both countries mentioned the immaturity of the data on outcome measures such as health related quality of life and overall survival which made it harder to draw conclusions</w:t>
      </w:r>
      <w:r>
        <w:rPr>
          <w:rFonts w:ascii="Times New Roman" w:hAnsi="Times New Roman"/>
          <w:sz w:val="24"/>
          <w:szCs w:val="24"/>
          <w:lang w:val="en-US"/>
        </w:rPr>
        <w:t xml:space="preserve"> (</w:t>
      </w:r>
      <w:r w:rsidRPr="00597A9F">
        <w:rPr>
          <w:rFonts w:ascii="Times New Roman" w:hAnsi="Times New Roman"/>
          <w:i/>
          <w:iCs/>
          <w:sz w:val="24"/>
          <w:szCs w:val="24"/>
          <w:lang w:val="en-US"/>
        </w:rPr>
        <w:t>outcomes</w:t>
      </w:r>
      <w:r>
        <w:rPr>
          <w:rFonts w:ascii="Times New Roman" w:hAnsi="Times New Roman"/>
          <w:sz w:val="24"/>
          <w:szCs w:val="24"/>
          <w:lang w:val="en-US"/>
        </w:rPr>
        <w:t>)</w:t>
      </w:r>
      <w:r w:rsidRPr="00164FC0">
        <w:rPr>
          <w:rFonts w:ascii="Times New Roman" w:hAnsi="Times New Roman"/>
          <w:sz w:val="24"/>
          <w:szCs w:val="24"/>
          <w:lang w:val="en-US"/>
        </w:rPr>
        <w:t xml:space="preserve">. Overall, the Netherlands and Belgium qualified </w:t>
      </w:r>
      <w:proofErr w:type="spellStart"/>
      <w:r w:rsidRPr="00164FC0">
        <w:rPr>
          <w:rFonts w:ascii="Times New Roman" w:hAnsi="Times New Roman"/>
          <w:sz w:val="24"/>
          <w:szCs w:val="24"/>
          <w:lang w:val="en-US"/>
        </w:rPr>
        <w:t>olaparib</w:t>
      </w:r>
      <w:proofErr w:type="spellEnd"/>
      <w:r w:rsidRPr="00164FC0">
        <w:rPr>
          <w:rFonts w:ascii="Times New Roman" w:hAnsi="Times New Roman"/>
          <w:sz w:val="24"/>
          <w:szCs w:val="24"/>
          <w:lang w:val="en-US"/>
        </w:rPr>
        <w:t xml:space="preserve"> as a drug that has a therapeutic added value. </w:t>
      </w:r>
      <w:r w:rsidRPr="00164FC0">
        <w:rPr>
          <w:rFonts w:ascii="Times New Roman" w:eastAsia="Calibri" w:hAnsi="Times New Roman"/>
          <w:sz w:val="24"/>
          <w:szCs w:val="24"/>
          <w:lang w:val="en-US"/>
        </w:rPr>
        <w:t>Ireland reported similar uncertainties but reported that an added benefit could not be concluded.</w:t>
      </w:r>
    </w:p>
    <w:p w14:paraId="03A25F0A" w14:textId="77777777" w:rsidR="00091684" w:rsidRPr="00164FC0" w:rsidRDefault="00091684" w:rsidP="00091684">
      <w:pPr>
        <w:tabs>
          <w:tab w:val="left" w:pos="2415"/>
        </w:tabs>
        <w:spacing w:line="480" w:lineRule="auto"/>
        <w:jc w:val="both"/>
        <w:rPr>
          <w:rFonts w:ascii="Times New Roman" w:hAnsi="Times New Roman"/>
          <w:sz w:val="24"/>
          <w:szCs w:val="24"/>
          <w:lang w:val="en-GB"/>
        </w:rPr>
      </w:pPr>
    </w:p>
    <w:p w14:paraId="0724C6D2" w14:textId="77777777" w:rsidR="00091684" w:rsidRPr="00164FC0" w:rsidRDefault="00091684" w:rsidP="00091684">
      <w:pPr>
        <w:spacing w:line="480" w:lineRule="auto"/>
        <w:jc w:val="both"/>
        <w:rPr>
          <w:rFonts w:ascii="Times New Roman" w:eastAsia="Calibri" w:hAnsi="Times New Roman"/>
          <w:i/>
          <w:sz w:val="24"/>
          <w:szCs w:val="24"/>
          <w:lang w:val="en-US"/>
        </w:rPr>
      </w:pPr>
      <w:proofErr w:type="spellStart"/>
      <w:r w:rsidRPr="00164FC0">
        <w:rPr>
          <w:rFonts w:ascii="Times New Roman" w:eastAsia="Calibri" w:hAnsi="Times New Roman"/>
          <w:i/>
          <w:sz w:val="24"/>
          <w:szCs w:val="24"/>
          <w:lang w:val="en-US"/>
        </w:rPr>
        <w:t>Selexipag</w:t>
      </w:r>
      <w:proofErr w:type="spellEnd"/>
      <w:r w:rsidRPr="00164FC0">
        <w:rPr>
          <w:rFonts w:ascii="Times New Roman" w:eastAsia="Calibri" w:hAnsi="Times New Roman"/>
          <w:i/>
          <w:sz w:val="24"/>
          <w:szCs w:val="24"/>
          <w:lang w:val="en-US"/>
        </w:rPr>
        <w:t xml:space="preserve"> (</w:t>
      </w:r>
      <w:proofErr w:type="spellStart"/>
      <w:r w:rsidRPr="00164FC0">
        <w:rPr>
          <w:rFonts w:ascii="Times New Roman" w:eastAsia="Calibri" w:hAnsi="Times New Roman"/>
          <w:i/>
          <w:sz w:val="24"/>
          <w:szCs w:val="24"/>
          <w:lang w:val="en-US"/>
        </w:rPr>
        <w:t>Uptravi</w:t>
      </w:r>
      <w:proofErr w:type="spellEnd"/>
      <w:r w:rsidRPr="00164FC0">
        <w:rPr>
          <w:rFonts w:ascii="Times New Roman" w:eastAsia="Calibri" w:hAnsi="Times New Roman"/>
          <w:i/>
          <w:sz w:val="24"/>
          <w:szCs w:val="24"/>
          <w:lang w:val="en-US"/>
        </w:rPr>
        <w:t>)</w:t>
      </w:r>
    </w:p>
    <w:p w14:paraId="28EC2501" w14:textId="77777777" w:rsidR="00091684" w:rsidRPr="00164FC0" w:rsidRDefault="00091684" w:rsidP="00091684">
      <w:pPr>
        <w:spacing w:line="480" w:lineRule="auto"/>
        <w:jc w:val="both"/>
        <w:rPr>
          <w:rFonts w:ascii="Times New Roman" w:eastAsia="Calibri" w:hAnsi="Times New Roman"/>
          <w:sz w:val="24"/>
          <w:szCs w:val="24"/>
          <w:lang w:val="en-US"/>
        </w:rPr>
      </w:pPr>
      <w:proofErr w:type="spellStart"/>
      <w:r w:rsidRPr="00164FC0">
        <w:rPr>
          <w:rFonts w:ascii="Times New Roman" w:eastAsia="Calibri" w:hAnsi="Times New Roman"/>
          <w:sz w:val="24"/>
          <w:szCs w:val="24"/>
          <w:lang w:val="en-US"/>
        </w:rPr>
        <w:t>Selexipag</w:t>
      </w:r>
      <w:proofErr w:type="spellEnd"/>
      <w:r w:rsidRPr="00164FC0">
        <w:rPr>
          <w:rFonts w:ascii="Times New Roman" w:eastAsia="Calibri" w:hAnsi="Times New Roman"/>
          <w:sz w:val="24"/>
          <w:szCs w:val="24"/>
          <w:lang w:val="en-US"/>
        </w:rPr>
        <w:t xml:space="preserve"> </w:t>
      </w:r>
      <w:r>
        <w:rPr>
          <w:rFonts w:ascii="Times New Roman" w:eastAsia="Calibri" w:hAnsi="Times New Roman"/>
          <w:sz w:val="24"/>
          <w:szCs w:val="24"/>
          <w:lang w:val="en-US"/>
        </w:rPr>
        <w:t>(</w:t>
      </w:r>
      <w:r w:rsidRPr="008F61E1">
        <w:rPr>
          <w:rFonts w:ascii="Times New Roman" w:eastAsia="Calibri" w:hAnsi="Times New Roman"/>
          <w:i/>
          <w:iCs/>
          <w:sz w:val="24"/>
          <w:szCs w:val="24"/>
          <w:lang w:val="en-US"/>
        </w:rPr>
        <w:t>intervention</w:t>
      </w:r>
      <w:r>
        <w:rPr>
          <w:rFonts w:ascii="Times New Roman" w:eastAsia="Calibri" w:hAnsi="Times New Roman"/>
          <w:sz w:val="24"/>
          <w:szCs w:val="24"/>
          <w:lang w:val="en-US"/>
        </w:rPr>
        <w:t xml:space="preserve">) </w:t>
      </w:r>
      <w:r w:rsidRPr="00164FC0">
        <w:rPr>
          <w:rFonts w:ascii="Times New Roman" w:eastAsia="Calibri" w:hAnsi="Times New Roman"/>
          <w:sz w:val="24"/>
          <w:szCs w:val="24"/>
          <w:lang w:val="en-US"/>
        </w:rPr>
        <w:t xml:space="preserve">is indicated for the long-term treatment of pulmonary arterial </w:t>
      </w:r>
      <w:r w:rsidRPr="00164FC0">
        <w:rPr>
          <w:rFonts w:ascii="Times New Roman" w:eastAsia="Calibri" w:hAnsi="Times New Roman"/>
          <w:sz w:val="24"/>
          <w:szCs w:val="24"/>
          <w:lang w:val="en-US"/>
        </w:rPr>
        <w:lastRenderedPageBreak/>
        <w:t xml:space="preserve">hypertension (PAH) in adult patients with WHO functional class (FC) IIIII, or as combination therapy in patients inadequately controlled with an endothelin receptor antagonist (ERA) and / or a </w:t>
      </w:r>
      <w:proofErr w:type="spellStart"/>
      <w:r w:rsidRPr="00164FC0">
        <w:rPr>
          <w:rFonts w:ascii="Times New Roman" w:eastAsia="Calibri" w:hAnsi="Times New Roman"/>
          <w:sz w:val="24"/>
          <w:szCs w:val="24"/>
          <w:lang w:val="en-US"/>
        </w:rPr>
        <w:t>phosphodiesterease</w:t>
      </w:r>
      <w:proofErr w:type="spellEnd"/>
      <w:r w:rsidRPr="00164FC0">
        <w:rPr>
          <w:rFonts w:ascii="Times New Roman" w:eastAsia="Calibri" w:hAnsi="Times New Roman"/>
          <w:sz w:val="24"/>
          <w:szCs w:val="24"/>
          <w:lang w:val="en-US"/>
        </w:rPr>
        <w:t xml:space="preserve"> type. 5 (PDE-5) inhibitor, or as monotherapy in patients not eligible for these treatments</w:t>
      </w:r>
      <w:r>
        <w:rPr>
          <w:rFonts w:ascii="Times New Roman" w:eastAsia="Calibri" w:hAnsi="Times New Roman"/>
          <w:sz w:val="24"/>
          <w:szCs w:val="24"/>
          <w:lang w:val="en-US"/>
        </w:rPr>
        <w:t xml:space="preserve"> (</w:t>
      </w:r>
      <w:r w:rsidRPr="008F61E1">
        <w:rPr>
          <w:rFonts w:ascii="Times New Roman" w:eastAsia="Calibri" w:hAnsi="Times New Roman"/>
          <w:i/>
          <w:iCs/>
          <w:sz w:val="24"/>
          <w:szCs w:val="24"/>
          <w:lang w:val="en-US"/>
        </w:rPr>
        <w:t>population</w:t>
      </w:r>
      <w:r>
        <w:rPr>
          <w:rFonts w:ascii="Times New Roman" w:eastAsia="Calibri" w:hAnsi="Times New Roman"/>
          <w:sz w:val="24"/>
          <w:szCs w:val="24"/>
          <w:lang w:val="en-US"/>
        </w:rPr>
        <w:t>)</w:t>
      </w:r>
      <w:r w:rsidRPr="00164FC0">
        <w:rPr>
          <w:rFonts w:ascii="Times New Roman" w:eastAsia="Calibri" w:hAnsi="Times New Roman"/>
          <w:sz w:val="24"/>
          <w:szCs w:val="24"/>
          <w:lang w:val="en-US"/>
        </w:rPr>
        <w:t xml:space="preserve">. </w:t>
      </w:r>
    </w:p>
    <w:p w14:paraId="0654727B" w14:textId="77777777" w:rsidR="00091684" w:rsidRPr="00164FC0" w:rsidRDefault="00091684" w:rsidP="00091684">
      <w:pPr>
        <w:spacing w:line="480" w:lineRule="auto"/>
        <w:jc w:val="both"/>
        <w:rPr>
          <w:rFonts w:ascii="Times New Roman" w:hAnsi="Times New Roman"/>
          <w:sz w:val="24"/>
          <w:szCs w:val="24"/>
          <w:lang w:val="en-US"/>
        </w:rPr>
      </w:pPr>
      <w:proofErr w:type="spellStart"/>
      <w:r w:rsidRPr="00164FC0">
        <w:rPr>
          <w:rFonts w:ascii="Times New Roman" w:eastAsia="Calibri" w:hAnsi="Times New Roman"/>
          <w:sz w:val="24"/>
          <w:szCs w:val="24"/>
          <w:lang w:val="en-US"/>
        </w:rPr>
        <w:t>Selexipag</w:t>
      </w:r>
      <w:proofErr w:type="spellEnd"/>
      <w:r w:rsidRPr="00164FC0">
        <w:rPr>
          <w:rFonts w:ascii="Times New Roman" w:eastAsia="Calibri" w:hAnsi="Times New Roman"/>
          <w:sz w:val="24"/>
          <w:szCs w:val="24"/>
          <w:lang w:val="en-US"/>
        </w:rPr>
        <w:t xml:space="preserve"> was assessed by NL (07-2016), Ireland (05-2018), and Belgium (12-2020)</w:t>
      </w:r>
      <w:r>
        <w:rPr>
          <w:rFonts w:ascii="Times New Roman" w:eastAsia="Calibri" w:hAnsi="Times New Roman"/>
          <w:sz w:val="24"/>
          <w:szCs w:val="24"/>
          <w:lang w:val="en-US"/>
        </w:rPr>
        <w:t xml:space="preserve"> (</w:t>
      </w:r>
      <w:r>
        <w:rPr>
          <w:rFonts w:ascii="Times New Roman" w:hAnsi="Times New Roman"/>
          <w:i/>
          <w:sz w:val="24"/>
          <w:szCs w:val="24"/>
          <w:lang w:val="en-GB"/>
        </w:rPr>
        <w:t>timing)</w:t>
      </w:r>
      <w:r w:rsidRPr="00164FC0">
        <w:rPr>
          <w:rFonts w:ascii="Times New Roman" w:eastAsia="Calibri" w:hAnsi="Times New Roman"/>
          <w:sz w:val="24"/>
          <w:szCs w:val="24"/>
          <w:lang w:val="en-US"/>
        </w:rPr>
        <w:t xml:space="preserve">. </w:t>
      </w:r>
      <w:r w:rsidRPr="00164FC0">
        <w:rPr>
          <w:rFonts w:ascii="Times New Roman" w:hAnsi="Times New Roman"/>
          <w:sz w:val="24"/>
          <w:szCs w:val="24"/>
          <w:lang w:val="en-US"/>
        </w:rPr>
        <w:t xml:space="preserve">The added benefit conclusions differed between Belgium and the Netherlands and Ireland. All countries included the GRIPHON study by </w:t>
      </w:r>
      <w:proofErr w:type="spellStart"/>
      <w:r w:rsidRPr="00164FC0">
        <w:rPr>
          <w:rFonts w:ascii="Times New Roman" w:hAnsi="Times New Roman"/>
          <w:sz w:val="24"/>
          <w:szCs w:val="24"/>
          <w:lang w:val="en-US"/>
        </w:rPr>
        <w:t>Sitbon</w:t>
      </w:r>
      <w:proofErr w:type="spellEnd"/>
      <w:r w:rsidRPr="00164FC0">
        <w:rPr>
          <w:rFonts w:ascii="Times New Roman" w:hAnsi="Times New Roman"/>
          <w:sz w:val="24"/>
          <w:szCs w:val="24"/>
          <w:lang w:val="en-US"/>
        </w:rPr>
        <w:t xml:space="preserve"> et al. (2015) which was a double-blind placebo-controlled phase 3 study</w:t>
      </w:r>
      <w:r>
        <w:rPr>
          <w:rFonts w:ascii="Times New Roman" w:hAnsi="Times New Roman"/>
          <w:sz w:val="24"/>
          <w:szCs w:val="24"/>
          <w:lang w:val="en-US"/>
        </w:rPr>
        <w:t xml:space="preserve"> (</w:t>
      </w:r>
      <w:r w:rsidRPr="008F61E1">
        <w:rPr>
          <w:rFonts w:ascii="Times New Roman" w:hAnsi="Times New Roman"/>
          <w:i/>
          <w:iCs/>
          <w:sz w:val="24"/>
          <w:szCs w:val="24"/>
          <w:lang w:val="en-US"/>
        </w:rPr>
        <w:t>evidence</w:t>
      </w:r>
      <w:r>
        <w:rPr>
          <w:rFonts w:ascii="Times New Roman" w:hAnsi="Times New Roman"/>
          <w:sz w:val="24"/>
          <w:szCs w:val="24"/>
          <w:lang w:val="en-US"/>
        </w:rPr>
        <w:t>)</w:t>
      </w:r>
      <w:r w:rsidRPr="00164FC0">
        <w:rPr>
          <w:rFonts w:ascii="Times New Roman" w:hAnsi="Times New Roman"/>
          <w:sz w:val="24"/>
          <w:szCs w:val="24"/>
          <w:lang w:val="en-US"/>
        </w:rPr>
        <w:t>. All countries mention the significant effect on the primary end-point of the study and the non-significant effect on mortality</w:t>
      </w:r>
      <w:r>
        <w:rPr>
          <w:rFonts w:ascii="Times New Roman" w:hAnsi="Times New Roman"/>
          <w:sz w:val="24"/>
          <w:szCs w:val="24"/>
          <w:lang w:val="en-US"/>
        </w:rPr>
        <w:t xml:space="preserve"> (</w:t>
      </w:r>
      <w:r w:rsidRPr="008F61E1">
        <w:rPr>
          <w:rFonts w:ascii="Times New Roman" w:hAnsi="Times New Roman"/>
          <w:i/>
          <w:iCs/>
          <w:sz w:val="24"/>
          <w:szCs w:val="24"/>
          <w:lang w:val="en-US"/>
        </w:rPr>
        <w:t>outcomes</w:t>
      </w:r>
      <w:r>
        <w:rPr>
          <w:rFonts w:ascii="Times New Roman" w:hAnsi="Times New Roman"/>
          <w:sz w:val="24"/>
          <w:szCs w:val="24"/>
          <w:lang w:val="en-US"/>
        </w:rPr>
        <w:t>)</w:t>
      </w:r>
      <w:r w:rsidRPr="00164FC0">
        <w:rPr>
          <w:rFonts w:ascii="Times New Roman" w:hAnsi="Times New Roman"/>
          <w:sz w:val="24"/>
          <w:szCs w:val="24"/>
          <w:lang w:val="en-US"/>
        </w:rPr>
        <w:t xml:space="preserve">. As a result, Belgium came to the overall conclusion of added therapeutic benefit based on the added benefit on quality of life and morbidity. The Netherlands and Ireland came to another conclusions which seems to be the result of the chosen comparator. The Netherlands chose </w:t>
      </w:r>
      <w:proofErr w:type="spellStart"/>
      <w:r w:rsidRPr="00164FC0">
        <w:rPr>
          <w:rFonts w:ascii="Times New Roman" w:hAnsi="Times New Roman"/>
          <w:sz w:val="24"/>
          <w:szCs w:val="24"/>
          <w:lang w:val="en-US"/>
        </w:rPr>
        <w:t>bosentan</w:t>
      </w:r>
      <w:proofErr w:type="spellEnd"/>
      <w:r w:rsidRPr="00164FC0">
        <w:rPr>
          <w:rFonts w:ascii="Times New Roman" w:hAnsi="Times New Roman"/>
          <w:sz w:val="24"/>
          <w:szCs w:val="24"/>
          <w:lang w:val="en-US"/>
        </w:rPr>
        <w:t xml:space="preserve"> as a relevant comparator</w:t>
      </w:r>
      <w:r>
        <w:rPr>
          <w:rFonts w:ascii="Times New Roman" w:hAnsi="Times New Roman"/>
          <w:sz w:val="24"/>
          <w:szCs w:val="24"/>
          <w:lang w:val="en-US"/>
        </w:rPr>
        <w:t xml:space="preserve"> (</w:t>
      </w:r>
      <w:r w:rsidRPr="008F61E1">
        <w:rPr>
          <w:rFonts w:ascii="Times New Roman" w:hAnsi="Times New Roman"/>
          <w:i/>
          <w:iCs/>
          <w:sz w:val="24"/>
          <w:szCs w:val="24"/>
          <w:lang w:val="en-US"/>
        </w:rPr>
        <w:t>comparator</w:t>
      </w:r>
      <w:r>
        <w:rPr>
          <w:rFonts w:ascii="Times New Roman" w:hAnsi="Times New Roman"/>
          <w:sz w:val="24"/>
          <w:szCs w:val="24"/>
          <w:lang w:val="en-US"/>
        </w:rPr>
        <w:t>)</w:t>
      </w:r>
      <w:r w:rsidRPr="00164FC0">
        <w:rPr>
          <w:rFonts w:ascii="Times New Roman" w:hAnsi="Times New Roman"/>
          <w:sz w:val="24"/>
          <w:szCs w:val="24"/>
          <w:lang w:val="en-US"/>
        </w:rPr>
        <w:t xml:space="preserve">. In their analysis they do agree on the fact that </w:t>
      </w:r>
      <w:proofErr w:type="spellStart"/>
      <w:r w:rsidRPr="00164FC0">
        <w:rPr>
          <w:rFonts w:ascii="Times New Roman" w:hAnsi="Times New Roman"/>
          <w:sz w:val="24"/>
          <w:szCs w:val="24"/>
          <w:lang w:val="en-US"/>
        </w:rPr>
        <w:t>selexipag</w:t>
      </w:r>
      <w:proofErr w:type="spellEnd"/>
      <w:r w:rsidRPr="00164FC0">
        <w:rPr>
          <w:rFonts w:ascii="Times New Roman" w:hAnsi="Times New Roman"/>
          <w:sz w:val="24"/>
          <w:szCs w:val="24"/>
          <w:lang w:val="en-US"/>
        </w:rPr>
        <w:t xml:space="preserve"> is more effective than the placebo. However, they do not find an added therapeutic benefit compared to </w:t>
      </w:r>
      <w:proofErr w:type="spellStart"/>
      <w:r w:rsidRPr="00164FC0">
        <w:rPr>
          <w:rFonts w:ascii="Times New Roman" w:hAnsi="Times New Roman"/>
          <w:sz w:val="24"/>
          <w:szCs w:val="24"/>
          <w:lang w:val="en-US"/>
        </w:rPr>
        <w:t>bosentan</w:t>
      </w:r>
      <w:proofErr w:type="spellEnd"/>
      <w:r w:rsidRPr="00164FC0">
        <w:rPr>
          <w:rFonts w:ascii="Times New Roman" w:hAnsi="Times New Roman"/>
          <w:sz w:val="24"/>
          <w:szCs w:val="24"/>
          <w:lang w:val="en-US"/>
        </w:rPr>
        <w:t xml:space="preserve">, which was already reimbursed at the time. Therefore, the Netherlands did not grant added therapeutic benefit to </w:t>
      </w:r>
      <w:proofErr w:type="spellStart"/>
      <w:r w:rsidRPr="00164FC0">
        <w:rPr>
          <w:rFonts w:ascii="Times New Roman" w:hAnsi="Times New Roman"/>
          <w:sz w:val="24"/>
          <w:szCs w:val="24"/>
          <w:lang w:val="en-US"/>
        </w:rPr>
        <w:t>selexipag</w:t>
      </w:r>
      <w:proofErr w:type="spellEnd"/>
      <w:r w:rsidRPr="00164FC0">
        <w:rPr>
          <w:rFonts w:ascii="Times New Roman" w:hAnsi="Times New Roman"/>
          <w:sz w:val="24"/>
          <w:szCs w:val="24"/>
          <w:lang w:val="en-US"/>
        </w:rPr>
        <w:t xml:space="preserve">. Ireland used inhaled </w:t>
      </w:r>
      <w:proofErr w:type="spellStart"/>
      <w:r w:rsidRPr="00164FC0">
        <w:rPr>
          <w:rFonts w:ascii="Times New Roman" w:hAnsi="Times New Roman"/>
          <w:sz w:val="24"/>
          <w:szCs w:val="24"/>
          <w:lang w:val="en-US"/>
        </w:rPr>
        <w:t>iloprost</w:t>
      </w:r>
      <w:proofErr w:type="spellEnd"/>
      <w:r w:rsidRPr="00164FC0">
        <w:rPr>
          <w:rFonts w:ascii="Times New Roman" w:hAnsi="Times New Roman"/>
          <w:sz w:val="24"/>
          <w:szCs w:val="24"/>
          <w:lang w:val="en-US"/>
        </w:rPr>
        <w:t xml:space="preserve"> as a comparator</w:t>
      </w:r>
      <w:r>
        <w:rPr>
          <w:rFonts w:ascii="Times New Roman" w:hAnsi="Times New Roman"/>
          <w:sz w:val="24"/>
          <w:szCs w:val="24"/>
          <w:lang w:val="en-US"/>
        </w:rPr>
        <w:t xml:space="preserve"> (</w:t>
      </w:r>
      <w:r w:rsidRPr="008F61E1">
        <w:rPr>
          <w:rFonts w:ascii="Times New Roman" w:hAnsi="Times New Roman"/>
          <w:i/>
          <w:iCs/>
          <w:sz w:val="24"/>
          <w:szCs w:val="24"/>
          <w:lang w:val="en-US"/>
        </w:rPr>
        <w:t>comparator</w:t>
      </w:r>
      <w:r>
        <w:rPr>
          <w:rFonts w:ascii="Times New Roman" w:hAnsi="Times New Roman"/>
          <w:sz w:val="24"/>
          <w:szCs w:val="24"/>
          <w:lang w:val="en-US"/>
        </w:rPr>
        <w:t>)</w:t>
      </w:r>
      <w:r w:rsidRPr="00164FC0">
        <w:rPr>
          <w:rFonts w:ascii="Times New Roman" w:hAnsi="Times New Roman"/>
          <w:sz w:val="24"/>
          <w:szCs w:val="24"/>
          <w:lang w:val="en-US"/>
        </w:rPr>
        <w:t xml:space="preserve">. In their analysis they mentioned that there is no evidence to demonstrate improved persistence and adherence with </w:t>
      </w:r>
      <w:proofErr w:type="spellStart"/>
      <w:r w:rsidRPr="00164FC0">
        <w:rPr>
          <w:rFonts w:ascii="Times New Roman" w:hAnsi="Times New Roman"/>
          <w:sz w:val="24"/>
          <w:szCs w:val="24"/>
          <w:lang w:val="en-US"/>
        </w:rPr>
        <w:t>selexipag</w:t>
      </w:r>
      <w:proofErr w:type="spellEnd"/>
      <w:r w:rsidRPr="00164FC0">
        <w:rPr>
          <w:rFonts w:ascii="Times New Roman" w:hAnsi="Times New Roman"/>
          <w:sz w:val="24"/>
          <w:szCs w:val="24"/>
          <w:lang w:val="en-US"/>
        </w:rPr>
        <w:t xml:space="preserve"> compared with inhaled </w:t>
      </w:r>
      <w:proofErr w:type="spellStart"/>
      <w:r w:rsidRPr="00164FC0">
        <w:rPr>
          <w:rFonts w:ascii="Times New Roman" w:hAnsi="Times New Roman"/>
          <w:sz w:val="24"/>
          <w:szCs w:val="24"/>
          <w:lang w:val="en-US"/>
        </w:rPr>
        <w:t>iloprost</w:t>
      </w:r>
      <w:proofErr w:type="spellEnd"/>
      <w:r w:rsidRPr="00164FC0">
        <w:rPr>
          <w:rFonts w:ascii="Times New Roman" w:hAnsi="Times New Roman"/>
          <w:sz w:val="24"/>
          <w:szCs w:val="24"/>
          <w:lang w:val="en-US"/>
        </w:rPr>
        <w:t>. Thereby, they raised questions on the statistically and clinically relevant effects found because they mentioned that interpretation of results of the composite endpoint is challenging when individual components are not associated with equal importance.</w:t>
      </w:r>
    </w:p>
    <w:p w14:paraId="70B8875C" w14:textId="77777777" w:rsidR="00091684" w:rsidRPr="00164FC0" w:rsidRDefault="00091684" w:rsidP="00091684">
      <w:pPr>
        <w:spacing w:line="480" w:lineRule="auto"/>
        <w:jc w:val="both"/>
        <w:rPr>
          <w:rFonts w:ascii="Times New Roman" w:hAnsi="Times New Roman"/>
          <w:sz w:val="24"/>
          <w:szCs w:val="24"/>
          <w:lang w:val="en-US"/>
        </w:rPr>
      </w:pPr>
    </w:p>
    <w:p w14:paraId="722DDAD7" w14:textId="77777777" w:rsidR="00091684" w:rsidRPr="00164FC0" w:rsidRDefault="00091684" w:rsidP="00091684">
      <w:pPr>
        <w:spacing w:line="480" w:lineRule="auto"/>
        <w:jc w:val="both"/>
        <w:rPr>
          <w:rFonts w:ascii="Times New Roman" w:eastAsia="Calibri" w:hAnsi="Times New Roman"/>
          <w:i/>
          <w:sz w:val="24"/>
          <w:szCs w:val="24"/>
          <w:lang w:val="en-US"/>
        </w:rPr>
      </w:pPr>
      <w:r w:rsidRPr="00164FC0">
        <w:rPr>
          <w:rFonts w:ascii="Times New Roman" w:hAnsi="Times New Roman"/>
          <w:i/>
          <w:sz w:val="24"/>
          <w:szCs w:val="24"/>
          <w:lang w:val="en-US"/>
        </w:rPr>
        <w:t>Migalastat (</w:t>
      </w:r>
      <w:proofErr w:type="spellStart"/>
      <w:r w:rsidRPr="00164FC0">
        <w:rPr>
          <w:rFonts w:ascii="Times New Roman" w:hAnsi="Times New Roman"/>
          <w:i/>
          <w:sz w:val="24"/>
          <w:szCs w:val="24"/>
          <w:lang w:val="en-US"/>
        </w:rPr>
        <w:t>Galafold</w:t>
      </w:r>
      <w:proofErr w:type="spellEnd"/>
      <w:r w:rsidRPr="00164FC0">
        <w:rPr>
          <w:rFonts w:ascii="Times New Roman" w:hAnsi="Times New Roman"/>
          <w:i/>
          <w:sz w:val="24"/>
          <w:szCs w:val="24"/>
          <w:lang w:val="en-US"/>
        </w:rPr>
        <w:t>)</w:t>
      </w:r>
    </w:p>
    <w:p w14:paraId="64316536" w14:textId="77777777" w:rsidR="00091684" w:rsidRPr="00164FC0" w:rsidRDefault="00091684" w:rsidP="00091684">
      <w:pPr>
        <w:spacing w:line="480" w:lineRule="auto"/>
        <w:jc w:val="both"/>
        <w:rPr>
          <w:rFonts w:ascii="Times New Roman" w:eastAsia="Calibri" w:hAnsi="Times New Roman"/>
          <w:sz w:val="24"/>
          <w:szCs w:val="24"/>
          <w:lang w:val="en-US"/>
        </w:rPr>
      </w:pPr>
      <w:r w:rsidRPr="00164FC0">
        <w:rPr>
          <w:rFonts w:ascii="Times New Roman" w:eastAsia="Calibri" w:hAnsi="Times New Roman"/>
          <w:sz w:val="24"/>
          <w:szCs w:val="24"/>
          <w:lang w:val="en-US"/>
        </w:rPr>
        <w:lastRenderedPageBreak/>
        <w:t xml:space="preserve">Migalastat </w:t>
      </w:r>
      <w:r>
        <w:rPr>
          <w:rFonts w:ascii="Times New Roman" w:eastAsia="Calibri" w:hAnsi="Times New Roman"/>
          <w:sz w:val="24"/>
          <w:szCs w:val="24"/>
          <w:lang w:val="en-US"/>
        </w:rPr>
        <w:t>(</w:t>
      </w:r>
      <w:r w:rsidRPr="008F61E1">
        <w:rPr>
          <w:rFonts w:ascii="Times New Roman" w:eastAsia="Calibri" w:hAnsi="Times New Roman"/>
          <w:i/>
          <w:iCs/>
          <w:sz w:val="24"/>
          <w:szCs w:val="24"/>
          <w:lang w:val="en-US"/>
        </w:rPr>
        <w:t>intervention</w:t>
      </w:r>
      <w:r>
        <w:rPr>
          <w:rFonts w:ascii="Times New Roman" w:eastAsia="Calibri" w:hAnsi="Times New Roman"/>
          <w:sz w:val="24"/>
          <w:szCs w:val="24"/>
          <w:lang w:val="en-US"/>
        </w:rPr>
        <w:t xml:space="preserve">) </w:t>
      </w:r>
      <w:r w:rsidRPr="00164FC0">
        <w:rPr>
          <w:rFonts w:ascii="Times New Roman" w:eastAsia="Calibri" w:hAnsi="Times New Roman"/>
          <w:sz w:val="24"/>
          <w:szCs w:val="24"/>
          <w:lang w:val="en-US"/>
        </w:rPr>
        <w:t>is indicated for the treatment of Fabry disease in patients with an amenable mutation</w:t>
      </w:r>
      <w:r>
        <w:rPr>
          <w:rFonts w:ascii="Times New Roman" w:eastAsia="Calibri" w:hAnsi="Times New Roman"/>
          <w:sz w:val="24"/>
          <w:szCs w:val="24"/>
          <w:lang w:val="en-US"/>
        </w:rPr>
        <w:t xml:space="preserve"> (</w:t>
      </w:r>
      <w:r w:rsidRPr="008F61E1">
        <w:rPr>
          <w:rFonts w:ascii="Times New Roman" w:eastAsia="Calibri" w:hAnsi="Times New Roman"/>
          <w:i/>
          <w:iCs/>
          <w:sz w:val="24"/>
          <w:szCs w:val="24"/>
          <w:lang w:val="en-US"/>
        </w:rPr>
        <w:t>population</w:t>
      </w:r>
      <w:r>
        <w:rPr>
          <w:rFonts w:ascii="Times New Roman" w:eastAsia="Calibri" w:hAnsi="Times New Roman"/>
          <w:sz w:val="24"/>
          <w:szCs w:val="24"/>
          <w:lang w:val="en-US"/>
        </w:rPr>
        <w:t>)</w:t>
      </w:r>
      <w:r w:rsidRPr="00164FC0">
        <w:rPr>
          <w:rFonts w:ascii="Times New Roman" w:eastAsia="Calibri" w:hAnsi="Times New Roman"/>
          <w:sz w:val="24"/>
          <w:szCs w:val="24"/>
          <w:lang w:val="en-US"/>
        </w:rPr>
        <w:t xml:space="preserve">. </w:t>
      </w:r>
    </w:p>
    <w:p w14:paraId="5604B33D" w14:textId="77777777" w:rsidR="00091684" w:rsidRPr="00164FC0" w:rsidRDefault="00091684" w:rsidP="00091684">
      <w:pPr>
        <w:pStyle w:val="Geenafstand"/>
        <w:spacing w:line="480" w:lineRule="auto"/>
        <w:jc w:val="both"/>
        <w:rPr>
          <w:rFonts w:ascii="Times New Roman" w:hAnsi="Times New Roman" w:cs="Times New Roman"/>
          <w:sz w:val="24"/>
          <w:szCs w:val="24"/>
          <w:lang w:val="en-US"/>
        </w:rPr>
      </w:pPr>
      <w:r w:rsidRPr="00164FC0">
        <w:rPr>
          <w:rFonts w:ascii="Times New Roman" w:hAnsi="Times New Roman" w:cs="Times New Roman"/>
          <w:sz w:val="24"/>
          <w:szCs w:val="24"/>
          <w:lang w:val="en-US"/>
        </w:rPr>
        <w:t>All countries based their conclusions on two phase III studies: the first randomized controlled trial, called ATTRACT, compared open label migalastat versus continued enzyme supplementation in pre-treated patients. The second randomized controlled trial was a double blind trail called FACETS that looked into treatment-naïve patients and compared migalastat versus placebo</w:t>
      </w:r>
      <w:r>
        <w:rPr>
          <w:rFonts w:ascii="Times New Roman" w:hAnsi="Times New Roman" w:cs="Times New Roman"/>
          <w:sz w:val="24"/>
          <w:szCs w:val="24"/>
          <w:lang w:val="en-US"/>
        </w:rPr>
        <w:t xml:space="preserve"> </w:t>
      </w:r>
      <w:r>
        <w:rPr>
          <w:rFonts w:ascii="Times New Roman" w:hAnsi="Times New Roman"/>
          <w:sz w:val="24"/>
          <w:szCs w:val="24"/>
          <w:lang w:val="en-US"/>
        </w:rPr>
        <w:t>(</w:t>
      </w:r>
      <w:r w:rsidRPr="008F61E1">
        <w:rPr>
          <w:rFonts w:ascii="Times New Roman" w:hAnsi="Times New Roman"/>
          <w:i/>
          <w:iCs/>
          <w:sz w:val="24"/>
          <w:szCs w:val="24"/>
          <w:lang w:val="en-US"/>
        </w:rPr>
        <w:t>evidence</w:t>
      </w:r>
      <w:r>
        <w:rPr>
          <w:rFonts w:ascii="Times New Roman" w:hAnsi="Times New Roman"/>
          <w:sz w:val="24"/>
          <w:szCs w:val="24"/>
          <w:lang w:val="en-US"/>
        </w:rPr>
        <w:t>)</w:t>
      </w:r>
      <w:r w:rsidRPr="00164FC0">
        <w:rPr>
          <w:rFonts w:ascii="Times New Roman" w:hAnsi="Times New Roman" w:cs="Times New Roman"/>
          <w:sz w:val="24"/>
          <w:szCs w:val="24"/>
          <w:lang w:val="en-US"/>
        </w:rPr>
        <w:t xml:space="preserve">. </w:t>
      </w:r>
    </w:p>
    <w:p w14:paraId="0D5D1736" w14:textId="77777777" w:rsidR="00091684" w:rsidRPr="00164FC0" w:rsidRDefault="00091684" w:rsidP="00091684">
      <w:pPr>
        <w:spacing w:line="480" w:lineRule="auto"/>
        <w:jc w:val="both"/>
        <w:rPr>
          <w:rFonts w:ascii="Times New Roman" w:eastAsia="Calibri" w:hAnsi="Times New Roman"/>
          <w:sz w:val="24"/>
          <w:szCs w:val="24"/>
          <w:lang w:val="en-US"/>
        </w:rPr>
      </w:pPr>
      <w:r w:rsidRPr="00164FC0">
        <w:rPr>
          <w:rFonts w:ascii="Times New Roman" w:hAnsi="Times New Roman"/>
          <w:sz w:val="24"/>
          <w:szCs w:val="24"/>
          <w:lang w:val="en-US"/>
        </w:rPr>
        <w:t>All countries described that the clinical data from the included trial does not result in clear added benefit compared to enzyme replacement therapy which is used as comparator in all count</w:t>
      </w:r>
      <w:r>
        <w:rPr>
          <w:rFonts w:ascii="Times New Roman" w:hAnsi="Times New Roman"/>
          <w:sz w:val="24"/>
          <w:szCs w:val="24"/>
          <w:lang w:val="en-US"/>
        </w:rPr>
        <w:t>r</w:t>
      </w:r>
      <w:r w:rsidRPr="00164FC0">
        <w:rPr>
          <w:rFonts w:ascii="Times New Roman" w:hAnsi="Times New Roman"/>
          <w:sz w:val="24"/>
          <w:szCs w:val="24"/>
          <w:lang w:val="en-US"/>
        </w:rPr>
        <w:t>ies</w:t>
      </w:r>
      <w:r>
        <w:rPr>
          <w:rFonts w:ascii="Times New Roman" w:hAnsi="Times New Roman"/>
          <w:sz w:val="24"/>
          <w:szCs w:val="24"/>
          <w:lang w:val="en-US"/>
        </w:rPr>
        <w:t xml:space="preserve"> (</w:t>
      </w:r>
      <w:r w:rsidRPr="008F61E1">
        <w:rPr>
          <w:rFonts w:ascii="Times New Roman" w:hAnsi="Times New Roman"/>
          <w:i/>
          <w:iCs/>
          <w:sz w:val="24"/>
          <w:szCs w:val="24"/>
          <w:lang w:val="en-US"/>
        </w:rPr>
        <w:t>comparator</w:t>
      </w:r>
      <w:r>
        <w:rPr>
          <w:rFonts w:ascii="Times New Roman" w:hAnsi="Times New Roman"/>
          <w:sz w:val="24"/>
          <w:szCs w:val="24"/>
          <w:lang w:val="en-US"/>
        </w:rPr>
        <w:t>)</w:t>
      </w:r>
      <w:r w:rsidRPr="00164FC0">
        <w:rPr>
          <w:rFonts w:ascii="Times New Roman" w:hAnsi="Times New Roman"/>
          <w:sz w:val="24"/>
          <w:szCs w:val="24"/>
          <w:lang w:val="en-US"/>
        </w:rPr>
        <w:t>. Belgium and Ireland conclude that migalastat has a similar efficacy when compared to enzyme replacement therapy. On the other hand, the Netherlands conclude that migalastat has a lower therapeutic value when compared to enzyme replacement therapy based on insufficient data.</w:t>
      </w:r>
    </w:p>
    <w:p w14:paraId="4750233F" w14:textId="77777777" w:rsidR="00091684" w:rsidRPr="00164FC0" w:rsidRDefault="00091684" w:rsidP="00091684">
      <w:pPr>
        <w:spacing w:line="480" w:lineRule="auto"/>
        <w:jc w:val="both"/>
        <w:rPr>
          <w:rFonts w:ascii="Times New Roman" w:hAnsi="Times New Roman"/>
          <w:i/>
          <w:sz w:val="24"/>
          <w:szCs w:val="24"/>
          <w:lang w:val="en-US"/>
        </w:rPr>
      </w:pPr>
    </w:p>
    <w:p w14:paraId="6864FD4E" w14:textId="77777777" w:rsidR="00091684" w:rsidRPr="00164FC0" w:rsidRDefault="00091684" w:rsidP="00091684">
      <w:pPr>
        <w:spacing w:line="480" w:lineRule="auto"/>
        <w:jc w:val="both"/>
        <w:rPr>
          <w:rFonts w:ascii="Times New Roman" w:hAnsi="Times New Roman"/>
          <w:i/>
          <w:sz w:val="24"/>
          <w:szCs w:val="24"/>
          <w:lang w:val="en-US"/>
        </w:rPr>
      </w:pPr>
      <w:r w:rsidRPr="00164FC0">
        <w:rPr>
          <w:rFonts w:ascii="Times New Roman" w:hAnsi="Times New Roman"/>
          <w:i/>
          <w:sz w:val="24"/>
          <w:szCs w:val="24"/>
          <w:lang w:val="en-US"/>
        </w:rPr>
        <w:t>Teduglutide (</w:t>
      </w:r>
      <w:proofErr w:type="spellStart"/>
      <w:r>
        <w:rPr>
          <w:rFonts w:ascii="Times New Roman" w:hAnsi="Times New Roman"/>
          <w:i/>
          <w:sz w:val="24"/>
          <w:szCs w:val="24"/>
          <w:lang w:val="en-US"/>
        </w:rPr>
        <w:t>R</w:t>
      </w:r>
      <w:r w:rsidRPr="00164FC0">
        <w:rPr>
          <w:rFonts w:ascii="Times New Roman" w:hAnsi="Times New Roman"/>
          <w:i/>
          <w:sz w:val="24"/>
          <w:szCs w:val="24"/>
          <w:lang w:val="en-US"/>
        </w:rPr>
        <w:t>evestive</w:t>
      </w:r>
      <w:proofErr w:type="spellEnd"/>
      <w:r w:rsidRPr="00164FC0">
        <w:rPr>
          <w:rFonts w:ascii="Times New Roman" w:hAnsi="Times New Roman"/>
          <w:i/>
          <w:sz w:val="24"/>
          <w:szCs w:val="24"/>
          <w:lang w:val="en-US"/>
        </w:rPr>
        <w:t>)</w:t>
      </w:r>
    </w:p>
    <w:p w14:paraId="055675E0" w14:textId="77777777" w:rsidR="00091684" w:rsidRPr="00164FC0" w:rsidRDefault="00091684" w:rsidP="00091684">
      <w:pPr>
        <w:spacing w:line="480" w:lineRule="auto"/>
        <w:jc w:val="both"/>
        <w:rPr>
          <w:rFonts w:ascii="Times New Roman" w:hAnsi="Times New Roman"/>
          <w:sz w:val="24"/>
          <w:szCs w:val="24"/>
          <w:lang w:val="en-US"/>
        </w:rPr>
      </w:pPr>
      <w:r w:rsidRPr="00164FC0">
        <w:rPr>
          <w:rFonts w:ascii="Times New Roman" w:eastAsia="Calibri" w:hAnsi="Times New Roman"/>
          <w:sz w:val="24"/>
          <w:szCs w:val="24"/>
          <w:lang w:val="en-US"/>
        </w:rPr>
        <w:t xml:space="preserve">Teduglutide </w:t>
      </w:r>
      <w:r>
        <w:rPr>
          <w:rFonts w:ascii="Times New Roman" w:eastAsia="Calibri" w:hAnsi="Times New Roman"/>
          <w:sz w:val="24"/>
          <w:szCs w:val="24"/>
          <w:lang w:val="en-US"/>
        </w:rPr>
        <w:t>(</w:t>
      </w:r>
      <w:r w:rsidRPr="008F61E1">
        <w:rPr>
          <w:rFonts w:ascii="Times New Roman" w:eastAsia="Calibri" w:hAnsi="Times New Roman"/>
          <w:i/>
          <w:iCs/>
          <w:sz w:val="24"/>
          <w:szCs w:val="24"/>
          <w:lang w:val="en-US"/>
        </w:rPr>
        <w:t>intervention</w:t>
      </w:r>
      <w:r>
        <w:rPr>
          <w:rFonts w:ascii="Times New Roman" w:eastAsia="Calibri" w:hAnsi="Times New Roman"/>
          <w:sz w:val="24"/>
          <w:szCs w:val="24"/>
          <w:lang w:val="en-US"/>
        </w:rPr>
        <w:t xml:space="preserve">) </w:t>
      </w:r>
      <w:r w:rsidRPr="00164FC0">
        <w:rPr>
          <w:rFonts w:ascii="Times New Roman" w:eastAsia="Calibri" w:hAnsi="Times New Roman"/>
          <w:sz w:val="24"/>
          <w:szCs w:val="24"/>
          <w:lang w:val="en-US"/>
        </w:rPr>
        <w:t>is indicated for the treatment of patients aged 1 year and older with short bowel syndrome (SBS), provided the patient is stable after surgery and after a period of intestinal adjustment</w:t>
      </w:r>
      <w:r>
        <w:rPr>
          <w:rFonts w:ascii="Times New Roman" w:eastAsia="Calibri" w:hAnsi="Times New Roman"/>
          <w:sz w:val="24"/>
          <w:szCs w:val="24"/>
          <w:lang w:val="en-US"/>
        </w:rPr>
        <w:t xml:space="preserve"> (</w:t>
      </w:r>
      <w:r w:rsidRPr="008F61E1">
        <w:rPr>
          <w:rFonts w:ascii="Times New Roman" w:eastAsia="Calibri" w:hAnsi="Times New Roman"/>
          <w:i/>
          <w:iCs/>
          <w:sz w:val="24"/>
          <w:szCs w:val="24"/>
          <w:lang w:val="en-US"/>
        </w:rPr>
        <w:t>population</w:t>
      </w:r>
      <w:r>
        <w:rPr>
          <w:rFonts w:ascii="Times New Roman" w:eastAsia="Calibri" w:hAnsi="Times New Roman"/>
          <w:sz w:val="24"/>
          <w:szCs w:val="24"/>
          <w:lang w:val="en-US"/>
        </w:rPr>
        <w:t>)</w:t>
      </w:r>
      <w:r w:rsidRPr="00164FC0">
        <w:rPr>
          <w:rFonts w:ascii="Times New Roman" w:eastAsia="Calibri" w:hAnsi="Times New Roman"/>
          <w:sz w:val="24"/>
          <w:szCs w:val="24"/>
          <w:lang w:val="en-US"/>
        </w:rPr>
        <w:t>.</w:t>
      </w:r>
      <w:r w:rsidRPr="00164FC0">
        <w:rPr>
          <w:rFonts w:ascii="Times New Roman" w:hAnsi="Times New Roman"/>
          <w:sz w:val="24"/>
          <w:szCs w:val="24"/>
          <w:lang w:val="en-US"/>
        </w:rPr>
        <w:t xml:space="preserve"> </w:t>
      </w:r>
    </w:p>
    <w:p w14:paraId="60F4D25D" w14:textId="77777777" w:rsidR="00091684" w:rsidRPr="00164FC0" w:rsidRDefault="00091684" w:rsidP="00091684">
      <w:pPr>
        <w:pStyle w:val="Geenafstand"/>
        <w:spacing w:line="480" w:lineRule="auto"/>
        <w:jc w:val="both"/>
        <w:rPr>
          <w:rFonts w:ascii="Times New Roman" w:hAnsi="Times New Roman" w:cs="Times New Roman"/>
          <w:sz w:val="24"/>
          <w:szCs w:val="24"/>
          <w:lang w:val="en-US"/>
        </w:rPr>
      </w:pPr>
      <w:r w:rsidRPr="00164FC0">
        <w:rPr>
          <w:rFonts w:ascii="Times New Roman" w:hAnsi="Times New Roman" w:cs="Times New Roman"/>
          <w:sz w:val="24"/>
          <w:szCs w:val="24"/>
          <w:lang w:val="en-US"/>
        </w:rPr>
        <w:t>All countries included the STEPS studies (STEPS1 and STEPS2) and the TED-C13-003 trial for the assessment of the therapeutic value of teduglutide</w:t>
      </w:r>
      <w:r>
        <w:rPr>
          <w:rFonts w:ascii="Times New Roman" w:hAnsi="Times New Roman" w:cs="Times New Roman"/>
          <w:sz w:val="24"/>
          <w:szCs w:val="24"/>
          <w:lang w:val="en-US"/>
        </w:rPr>
        <w:t xml:space="preserve"> </w:t>
      </w:r>
      <w:r>
        <w:rPr>
          <w:rFonts w:ascii="Times New Roman" w:hAnsi="Times New Roman"/>
          <w:sz w:val="24"/>
          <w:szCs w:val="24"/>
          <w:lang w:val="en-US"/>
        </w:rPr>
        <w:t>(</w:t>
      </w:r>
      <w:r w:rsidRPr="008F61E1">
        <w:rPr>
          <w:rFonts w:ascii="Times New Roman" w:hAnsi="Times New Roman"/>
          <w:i/>
          <w:iCs/>
          <w:sz w:val="24"/>
          <w:szCs w:val="24"/>
          <w:lang w:val="en-US"/>
        </w:rPr>
        <w:t>evidence</w:t>
      </w:r>
      <w:r>
        <w:rPr>
          <w:rFonts w:ascii="Times New Roman" w:hAnsi="Times New Roman"/>
          <w:sz w:val="24"/>
          <w:szCs w:val="24"/>
          <w:lang w:val="en-US"/>
        </w:rPr>
        <w:t>)</w:t>
      </w:r>
      <w:r w:rsidRPr="00164FC0">
        <w:rPr>
          <w:rFonts w:ascii="Times New Roman" w:hAnsi="Times New Roman" w:cs="Times New Roman"/>
          <w:sz w:val="24"/>
          <w:szCs w:val="24"/>
          <w:lang w:val="en-US"/>
        </w:rPr>
        <w:t>. Besides that, all countries used placebo as the comparator</w:t>
      </w:r>
      <w:r>
        <w:rPr>
          <w:rFonts w:ascii="Times New Roman" w:hAnsi="Times New Roman" w:cs="Times New Roman"/>
          <w:sz w:val="24"/>
          <w:szCs w:val="24"/>
          <w:lang w:val="en-US"/>
        </w:rPr>
        <w:t xml:space="preserve"> </w:t>
      </w:r>
      <w:r>
        <w:rPr>
          <w:rFonts w:ascii="Times New Roman" w:hAnsi="Times New Roman"/>
          <w:sz w:val="24"/>
          <w:szCs w:val="24"/>
          <w:lang w:val="en-US"/>
        </w:rPr>
        <w:t>(</w:t>
      </w:r>
      <w:r w:rsidRPr="008F61E1">
        <w:rPr>
          <w:rFonts w:ascii="Times New Roman" w:hAnsi="Times New Roman"/>
          <w:i/>
          <w:iCs/>
          <w:sz w:val="24"/>
          <w:szCs w:val="24"/>
          <w:lang w:val="en-US"/>
        </w:rPr>
        <w:t>comparator</w:t>
      </w:r>
      <w:r>
        <w:rPr>
          <w:rFonts w:ascii="Times New Roman" w:hAnsi="Times New Roman"/>
          <w:sz w:val="24"/>
          <w:szCs w:val="24"/>
          <w:lang w:val="en-US"/>
        </w:rPr>
        <w:t>)</w:t>
      </w:r>
      <w:r w:rsidRPr="00164FC0">
        <w:rPr>
          <w:rFonts w:ascii="Times New Roman" w:hAnsi="Times New Roman" w:cs="Times New Roman"/>
          <w:sz w:val="24"/>
          <w:szCs w:val="24"/>
          <w:lang w:val="en-US"/>
        </w:rPr>
        <w:t>. The trials show a reduction in parenteral support (more than 20% volume reduction) in the patient group that used teduglutide compared to the placebo group</w:t>
      </w:r>
      <w:r>
        <w:rPr>
          <w:rFonts w:ascii="Times New Roman" w:hAnsi="Times New Roman" w:cs="Times New Roman"/>
          <w:sz w:val="24"/>
          <w:szCs w:val="24"/>
          <w:lang w:val="en-US"/>
        </w:rPr>
        <w:t xml:space="preserve"> </w:t>
      </w:r>
      <w:r>
        <w:rPr>
          <w:rFonts w:ascii="Times New Roman" w:hAnsi="Times New Roman"/>
          <w:sz w:val="24"/>
          <w:szCs w:val="24"/>
          <w:lang w:val="en-US"/>
        </w:rPr>
        <w:t>(</w:t>
      </w:r>
      <w:r w:rsidRPr="008F61E1">
        <w:rPr>
          <w:rFonts w:ascii="Times New Roman" w:hAnsi="Times New Roman"/>
          <w:i/>
          <w:iCs/>
          <w:sz w:val="24"/>
          <w:szCs w:val="24"/>
          <w:lang w:val="en-US"/>
        </w:rPr>
        <w:t>outcomes</w:t>
      </w:r>
      <w:r>
        <w:rPr>
          <w:rFonts w:ascii="Times New Roman" w:hAnsi="Times New Roman"/>
          <w:sz w:val="24"/>
          <w:szCs w:val="24"/>
          <w:lang w:val="en-US"/>
        </w:rPr>
        <w:t>)</w:t>
      </w:r>
      <w:r w:rsidRPr="00164FC0">
        <w:rPr>
          <w:rFonts w:ascii="Times New Roman" w:hAnsi="Times New Roman" w:cs="Times New Roman"/>
          <w:sz w:val="24"/>
          <w:szCs w:val="24"/>
          <w:lang w:val="en-US"/>
        </w:rPr>
        <w:t xml:space="preserve">. None of the included studies </w:t>
      </w:r>
      <w:r w:rsidRPr="00164FC0">
        <w:rPr>
          <w:rFonts w:ascii="Times New Roman" w:hAnsi="Times New Roman" w:cs="Times New Roman"/>
          <w:sz w:val="24"/>
          <w:szCs w:val="24"/>
          <w:lang w:val="en-US"/>
        </w:rPr>
        <w:lastRenderedPageBreak/>
        <w:t>showed a statistically significant difference between placebo and teduglutide on the different quality of life scores (SF-36, EQ-5D and IBDQ)</w:t>
      </w:r>
      <w:r>
        <w:rPr>
          <w:rFonts w:ascii="Times New Roman" w:hAnsi="Times New Roman" w:cs="Times New Roman"/>
          <w:sz w:val="24"/>
          <w:szCs w:val="24"/>
          <w:lang w:val="en-US"/>
        </w:rPr>
        <w:t xml:space="preserve"> </w:t>
      </w:r>
      <w:r>
        <w:rPr>
          <w:rFonts w:ascii="Times New Roman" w:hAnsi="Times New Roman"/>
          <w:sz w:val="24"/>
          <w:szCs w:val="24"/>
          <w:lang w:val="en-US"/>
        </w:rPr>
        <w:t>(</w:t>
      </w:r>
      <w:r w:rsidRPr="008F61E1">
        <w:rPr>
          <w:rFonts w:ascii="Times New Roman" w:hAnsi="Times New Roman"/>
          <w:i/>
          <w:iCs/>
          <w:sz w:val="24"/>
          <w:szCs w:val="24"/>
          <w:lang w:val="en-US"/>
        </w:rPr>
        <w:t>outcomes</w:t>
      </w:r>
      <w:r>
        <w:rPr>
          <w:rFonts w:ascii="Times New Roman" w:hAnsi="Times New Roman"/>
          <w:sz w:val="24"/>
          <w:szCs w:val="24"/>
          <w:lang w:val="en-US"/>
        </w:rPr>
        <w:t>)</w:t>
      </w:r>
      <w:r w:rsidRPr="00164FC0">
        <w:rPr>
          <w:rFonts w:ascii="Times New Roman" w:hAnsi="Times New Roman" w:cs="Times New Roman"/>
          <w:sz w:val="24"/>
          <w:szCs w:val="24"/>
          <w:lang w:val="en-US"/>
        </w:rPr>
        <w:t>.</w:t>
      </w:r>
    </w:p>
    <w:p w14:paraId="2B371845" w14:textId="77777777" w:rsidR="00091684" w:rsidRPr="00164FC0" w:rsidRDefault="00091684" w:rsidP="00091684">
      <w:pPr>
        <w:spacing w:line="480" w:lineRule="auto"/>
        <w:jc w:val="both"/>
        <w:rPr>
          <w:rFonts w:ascii="Times New Roman" w:hAnsi="Times New Roman"/>
          <w:sz w:val="24"/>
          <w:szCs w:val="24"/>
          <w:lang w:val="en-US"/>
        </w:rPr>
      </w:pPr>
      <w:r w:rsidRPr="00164FC0">
        <w:rPr>
          <w:rFonts w:ascii="Times New Roman" w:hAnsi="Times New Roman"/>
          <w:sz w:val="24"/>
          <w:szCs w:val="24"/>
          <w:lang w:val="en-US"/>
        </w:rPr>
        <w:t>As a result, the Netherlands concluded on a lower therapeutic value for teduglutide when compared to a placebo. They mention that – even though the reduction in parenteral support was found – the patient remains partly dependent on parenteral nutrition</w:t>
      </w:r>
      <w:r>
        <w:rPr>
          <w:rFonts w:ascii="Times New Roman" w:hAnsi="Times New Roman"/>
          <w:sz w:val="24"/>
          <w:szCs w:val="24"/>
          <w:lang w:val="en-US"/>
        </w:rPr>
        <w:t xml:space="preserve"> (</w:t>
      </w:r>
      <w:r w:rsidRPr="008F61E1">
        <w:rPr>
          <w:rFonts w:ascii="Times New Roman" w:hAnsi="Times New Roman"/>
          <w:i/>
          <w:iCs/>
          <w:sz w:val="24"/>
          <w:szCs w:val="24"/>
          <w:lang w:val="en-US"/>
        </w:rPr>
        <w:t>outcomes</w:t>
      </w:r>
      <w:r>
        <w:rPr>
          <w:rFonts w:ascii="Times New Roman" w:hAnsi="Times New Roman"/>
          <w:sz w:val="24"/>
          <w:szCs w:val="24"/>
          <w:lang w:val="en-US"/>
        </w:rPr>
        <w:t>)</w:t>
      </w:r>
      <w:r w:rsidRPr="00164FC0">
        <w:rPr>
          <w:rFonts w:ascii="Times New Roman" w:hAnsi="Times New Roman"/>
          <w:sz w:val="24"/>
          <w:szCs w:val="24"/>
          <w:lang w:val="en-US"/>
        </w:rPr>
        <w:t xml:space="preserve">. Moreover, it is not clear to what extent the measured effects can be attributed to natural adaptation. That in combination with the fact that no difference in quality of life could be demonstrated between the group treated with teduglutide and the control group, resulted in the negative conclusion. Belgium does not precisely report the considerations regarding the negative therapeutic value in the report. However, in the second assessment it is mentioned that the first assessment had a negative conclusion. Ireland on the other hand mainly focused on the decrease of parenteral support which is in their opinion a positive effect. </w:t>
      </w:r>
    </w:p>
    <w:p w14:paraId="7BAAEAC6" w14:textId="77777777" w:rsidR="00091684" w:rsidRPr="00164FC0" w:rsidRDefault="00091684" w:rsidP="00091684">
      <w:pPr>
        <w:tabs>
          <w:tab w:val="left" w:pos="2415"/>
        </w:tabs>
        <w:spacing w:line="480" w:lineRule="auto"/>
        <w:jc w:val="both"/>
        <w:rPr>
          <w:rFonts w:ascii="Times New Roman" w:hAnsi="Times New Roman"/>
          <w:sz w:val="24"/>
          <w:szCs w:val="24"/>
          <w:lang w:val="en-US"/>
        </w:rPr>
      </w:pPr>
    </w:p>
    <w:p w14:paraId="66FDBAB8" w14:textId="77777777" w:rsidR="00091684" w:rsidRPr="00164FC0" w:rsidRDefault="00091684" w:rsidP="00091684">
      <w:pPr>
        <w:tabs>
          <w:tab w:val="left" w:pos="2415"/>
        </w:tabs>
        <w:spacing w:line="480" w:lineRule="auto"/>
        <w:jc w:val="both"/>
        <w:rPr>
          <w:rFonts w:ascii="Times New Roman" w:hAnsi="Times New Roman"/>
          <w:i/>
          <w:sz w:val="24"/>
          <w:szCs w:val="24"/>
          <w:lang w:val="en-US"/>
        </w:rPr>
      </w:pPr>
      <w:proofErr w:type="spellStart"/>
      <w:r w:rsidRPr="00164FC0">
        <w:rPr>
          <w:rFonts w:ascii="Times New Roman" w:hAnsi="Times New Roman"/>
          <w:i/>
          <w:sz w:val="24"/>
          <w:szCs w:val="24"/>
          <w:lang w:val="en-US"/>
        </w:rPr>
        <w:t>Lesinurad</w:t>
      </w:r>
      <w:proofErr w:type="spellEnd"/>
      <w:r w:rsidRPr="00164FC0">
        <w:rPr>
          <w:rFonts w:ascii="Times New Roman" w:hAnsi="Times New Roman"/>
          <w:i/>
          <w:sz w:val="24"/>
          <w:szCs w:val="24"/>
          <w:lang w:val="en-US"/>
        </w:rPr>
        <w:t xml:space="preserve"> (</w:t>
      </w:r>
      <w:proofErr w:type="spellStart"/>
      <w:r w:rsidRPr="00164FC0">
        <w:rPr>
          <w:rFonts w:ascii="Times New Roman" w:hAnsi="Times New Roman"/>
          <w:i/>
          <w:sz w:val="24"/>
          <w:szCs w:val="24"/>
          <w:lang w:val="en-US"/>
        </w:rPr>
        <w:t>Zurampic</w:t>
      </w:r>
      <w:proofErr w:type="spellEnd"/>
      <w:r w:rsidRPr="00164FC0">
        <w:rPr>
          <w:rFonts w:ascii="Times New Roman" w:hAnsi="Times New Roman"/>
          <w:i/>
          <w:sz w:val="24"/>
          <w:szCs w:val="24"/>
          <w:lang w:val="en-US"/>
        </w:rPr>
        <w:t>)</w:t>
      </w:r>
    </w:p>
    <w:p w14:paraId="2EF10A5F" w14:textId="77777777" w:rsidR="00091684" w:rsidRPr="00164FC0" w:rsidRDefault="00091684" w:rsidP="00091684">
      <w:pPr>
        <w:tabs>
          <w:tab w:val="left" w:pos="2415"/>
        </w:tabs>
        <w:spacing w:line="480" w:lineRule="auto"/>
        <w:jc w:val="both"/>
        <w:rPr>
          <w:rFonts w:ascii="Times New Roman" w:hAnsi="Times New Roman"/>
          <w:sz w:val="24"/>
          <w:szCs w:val="24"/>
          <w:lang w:val="en-US"/>
        </w:rPr>
      </w:pPr>
      <w:proofErr w:type="spellStart"/>
      <w:r w:rsidRPr="00164FC0">
        <w:rPr>
          <w:rFonts w:ascii="Times New Roman" w:hAnsi="Times New Roman"/>
          <w:sz w:val="24"/>
          <w:szCs w:val="24"/>
          <w:lang w:val="en-US"/>
        </w:rPr>
        <w:t>Lesinurad</w:t>
      </w:r>
      <w:proofErr w:type="spellEnd"/>
      <w:r w:rsidRPr="00164FC0">
        <w:rPr>
          <w:rFonts w:ascii="Times New Roman" w:hAnsi="Times New Roman"/>
          <w:sz w:val="24"/>
          <w:szCs w:val="24"/>
          <w:lang w:val="en-US"/>
        </w:rPr>
        <w:t xml:space="preserve"> </w:t>
      </w:r>
      <w:r>
        <w:rPr>
          <w:rFonts w:ascii="Times New Roman" w:eastAsia="Calibri" w:hAnsi="Times New Roman"/>
          <w:sz w:val="24"/>
          <w:szCs w:val="24"/>
          <w:lang w:val="en-US"/>
        </w:rPr>
        <w:t>(</w:t>
      </w:r>
      <w:r w:rsidRPr="008F61E1">
        <w:rPr>
          <w:rFonts w:ascii="Times New Roman" w:eastAsia="Calibri" w:hAnsi="Times New Roman"/>
          <w:i/>
          <w:iCs/>
          <w:sz w:val="24"/>
          <w:szCs w:val="24"/>
          <w:lang w:val="en-US"/>
        </w:rPr>
        <w:t>intervention</w:t>
      </w:r>
      <w:r>
        <w:rPr>
          <w:rFonts w:ascii="Times New Roman" w:eastAsia="Calibri" w:hAnsi="Times New Roman"/>
          <w:sz w:val="24"/>
          <w:szCs w:val="24"/>
          <w:lang w:val="en-US"/>
        </w:rPr>
        <w:t xml:space="preserve">) </w:t>
      </w:r>
      <w:r w:rsidRPr="00164FC0">
        <w:rPr>
          <w:rFonts w:ascii="Times New Roman" w:hAnsi="Times New Roman"/>
          <w:sz w:val="24"/>
          <w:szCs w:val="24"/>
          <w:lang w:val="en-US"/>
        </w:rPr>
        <w:t xml:space="preserve">is indicated for the treatment of </w:t>
      </w:r>
      <w:proofErr w:type="spellStart"/>
      <w:r w:rsidRPr="00164FC0">
        <w:rPr>
          <w:rFonts w:ascii="Times New Roman" w:hAnsi="Times New Roman"/>
          <w:sz w:val="24"/>
          <w:szCs w:val="24"/>
          <w:lang w:val="en-US"/>
        </w:rPr>
        <w:t>hyperuricaemia</w:t>
      </w:r>
      <w:proofErr w:type="spellEnd"/>
      <w:r w:rsidRPr="00164FC0">
        <w:rPr>
          <w:rFonts w:ascii="Times New Roman" w:hAnsi="Times New Roman"/>
          <w:sz w:val="24"/>
          <w:szCs w:val="24"/>
          <w:lang w:val="en-US"/>
        </w:rPr>
        <w:t xml:space="preserve"> in adult patients with gout who have not achieved target serum uric acid levels with an adequate dose of a xanthine oxidase inhibitor</w:t>
      </w:r>
      <w:r>
        <w:rPr>
          <w:rFonts w:ascii="Times New Roman" w:hAnsi="Times New Roman"/>
          <w:sz w:val="24"/>
          <w:szCs w:val="24"/>
          <w:lang w:val="en-US"/>
        </w:rPr>
        <w:t xml:space="preserve"> </w:t>
      </w:r>
      <w:r>
        <w:rPr>
          <w:rFonts w:ascii="Times New Roman" w:eastAsia="Calibri" w:hAnsi="Times New Roman"/>
          <w:sz w:val="24"/>
          <w:szCs w:val="24"/>
          <w:lang w:val="en-US"/>
        </w:rPr>
        <w:t>(</w:t>
      </w:r>
      <w:r w:rsidRPr="008F61E1">
        <w:rPr>
          <w:rFonts w:ascii="Times New Roman" w:eastAsia="Calibri" w:hAnsi="Times New Roman"/>
          <w:i/>
          <w:iCs/>
          <w:sz w:val="24"/>
          <w:szCs w:val="24"/>
          <w:lang w:val="en-US"/>
        </w:rPr>
        <w:t>population</w:t>
      </w:r>
      <w:r>
        <w:rPr>
          <w:rFonts w:ascii="Times New Roman" w:eastAsia="Calibri" w:hAnsi="Times New Roman"/>
          <w:sz w:val="24"/>
          <w:szCs w:val="24"/>
          <w:lang w:val="en-US"/>
        </w:rPr>
        <w:t>)</w:t>
      </w:r>
      <w:r w:rsidRPr="00164FC0">
        <w:rPr>
          <w:rFonts w:ascii="Times New Roman" w:hAnsi="Times New Roman"/>
          <w:sz w:val="24"/>
          <w:szCs w:val="24"/>
          <w:lang w:val="en-US"/>
        </w:rPr>
        <w:t>.</w:t>
      </w:r>
    </w:p>
    <w:p w14:paraId="7027BD12" w14:textId="77777777" w:rsidR="00091684" w:rsidRPr="00164FC0" w:rsidRDefault="00091684" w:rsidP="00091684">
      <w:pPr>
        <w:tabs>
          <w:tab w:val="left" w:pos="2415"/>
        </w:tabs>
        <w:spacing w:line="480" w:lineRule="auto"/>
        <w:jc w:val="both"/>
        <w:rPr>
          <w:rFonts w:ascii="Times New Roman" w:hAnsi="Times New Roman"/>
          <w:sz w:val="24"/>
          <w:szCs w:val="24"/>
          <w:lang w:val="en-US"/>
        </w:rPr>
      </w:pPr>
      <w:r w:rsidRPr="00164FC0">
        <w:rPr>
          <w:rFonts w:ascii="Times New Roman" w:hAnsi="Times New Roman"/>
          <w:sz w:val="24"/>
          <w:szCs w:val="24"/>
          <w:lang w:val="en-US"/>
        </w:rPr>
        <w:t xml:space="preserve">For the assessment of </w:t>
      </w:r>
      <w:proofErr w:type="spellStart"/>
      <w:r w:rsidRPr="00164FC0">
        <w:rPr>
          <w:rFonts w:ascii="Times New Roman" w:hAnsi="Times New Roman"/>
          <w:sz w:val="24"/>
          <w:szCs w:val="24"/>
          <w:lang w:val="en-US"/>
        </w:rPr>
        <w:t>lesinurad</w:t>
      </w:r>
      <w:proofErr w:type="spellEnd"/>
      <w:r w:rsidRPr="00164FC0">
        <w:rPr>
          <w:rFonts w:ascii="Times New Roman" w:hAnsi="Times New Roman"/>
          <w:sz w:val="24"/>
          <w:szCs w:val="24"/>
          <w:lang w:val="en-US"/>
        </w:rPr>
        <w:t>, all countries included the CLEAR-1 and CLEAR-2 trials in combination with the CRYSTAL study</w:t>
      </w:r>
      <w:r>
        <w:rPr>
          <w:rFonts w:ascii="Times New Roman" w:hAnsi="Times New Roman"/>
          <w:sz w:val="24"/>
          <w:szCs w:val="24"/>
          <w:lang w:val="en-US"/>
        </w:rPr>
        <w:t xml:space="preserve"> (</w:t>
      </w:r>
      <w:r w:rsidRPr="008F61E1">
        <w:rPr>
          <w:rFonts w:ascii="Times New Roman" w:hAnsi="Times New Roman"/>
          <w:i/>
          <w:iCs/>
          <w:sz w:val="24"/>
          <w:szCs w:val="24"/>
          <w:lang w:val="en-US"/>
        </w:rPr>
        <w:t>evidence</w:t>
      </w:r>
      <w:r>
        <w:rPr>
          <w:rFonts w:ascii="Times New Roman" w:hAnsi="Times New Roman"/>
          <w:sz w:val="24"/>
          <w:szCs w:val="24"/>
          <w:lang w:val="en-US"/>
        </w:rPr>
        <w:t>)</w:t>
      </w:r>
      <w:r w:rsidRPr="00164FC0">
        <w:rPr>
          <w:rFonts w:ascii="Times New Roman" w:hAnsi="Times New Roman"/>
          <w:sz w:val="24"/>
          <w:szCs w:val="24"/>
          <w:lang w:val="en-US"/>
        </w:rPr>
        <w:t xml:space="preserve">. As an addition, the Netherlands included a study by Reinders (2009) which looked into the effects of allopurinol and </w:t>
      </w:r>
      <w:proofErr w:type="spellStart"/>
      <w:r w:rsidRPr="00164FC0">
        <w:rPr>
          <w:rFonts w:ascii="Times New Roman" w:hAnsi="Times New Roman"/>
          <w:sz w:val="24"/>
          <w:szCs w:val="24"/>
          <w:lang w:val="en-US"/>
        </w:rPr>
        <w:t>benzbromaron</w:t>
      </w:r>
      <w:proofErr w:type="spellEnd"/>
      <w:r w:rsidRPr="00164FC0">
        <w:rPr>
          <w:rFonts w:ascii="Times New Roman" w:hAnsi="Times New Roman"/>
          <w:sz w:val="24"/>
          <w:szCs w:val="24"/>
          <w:lang w:val="en-US"/>
        </w:rPr>
        <w:t xml:space="preserve">. All countries agree on the fact that the data do not suggest a therapeutic added benefit for </w:t>
      </w:r>
      <w:proofErr w:type="spellStart"/>
      <w:r w:rsidRPr="00164FC0">
        <w:rPr>
          <w:rFonts w:ascii="Times New Roman" w:hAnsi="Times New Roman"/>
          <w:sz w:val="24"/>
          <w:szCs w:val="24"/>
          <w:lang w:val="en-US"/>
        </w:rPr>
        <w:t>lesinurad</w:t>
      </w:r>
      <w:proofErr w:type="spellEnd"/>
      <w:r w:rsidRPr="00164FC0">
        <w:rPr>
          <w:rFonts w:ascii="Times New Roman" w:hAnsi="Times New Roman"/>
          <w:sz w:val="24"/>
          <w:szCs w:val="24"/>
          <w:lang w:val="en-US"/>
        </w:rPr>
        <w:t xml:space="preserve"> over current therapy with allopurinol or febuxostat as monotherapy</w:t>
      </w:r>
      <w:r>
        <w:rPr>
          <w:rFonts w:ascii="Times New Roman" w:hAnsi="Times New Roman"/>
          <w:sz w:val="24"/>
          <w:szCs w:val="24"/>
          <w:lang w:val="en-US"/>
        </w:rPr>
        <w:t xml:space="preserve"> (</w:t>
      </w:r>
      <w:r w:rsidRPr="008F61E1">
        <w:rPr>
          <w:rFonts w:ascii="Times New Roman" w:hAnsi="Times New Roman"/>
          <w:i/>
          <w:iCs/>
          <w:sz w:val="24"/>
          <w:szCs w:val="24"/>
          <w:lang w:val="en-US"/>
        </w:rPr>
        <w:t>comparator</w:t>
      </w:r>
      <w:r>
        <w:rPr>
          <w:rFonts w:ascii="Times New Roman" w:hAnsi="Times New Roman"/>
          <w:sz w:val="24"/>
          <w:szCs w:val="24"/>
          <w:lang w:val="en-US"/>
        </w:rPr>
        <w:t>)</w:t>
      </w:r>
      <w:r w:rsidRPr="00164FC0">
        <w:rPr>
          <w:rFonts w:ascii="Times New Roman" w:hAnsi="Times New Roman"/>
          <w:sz w:val="24"/>
          <w:szCs w:val="24"/>
          <w:lang w:val="en-US"/>
        </w:rPr>
        <w:t xml:space="preserve">. </w:t>
      </w:r>
    </w:p>
    <w:p w14:paraId="3F8D3E38" w14:textId="77777777" w:rsidR="00091684" w:rsidRPr="00164FC0" w:rsidRDefault="00091684" w:rsidP="00091684">
      <w:pPr>
        <w:tabs>
          <w:tab w:val="left" w:pos="2415"/>
        </w:tabs>
        <w:spacing w:line="480" w:lineRule="auto"/>
        <w:jc w:val="both"/>
        <w:rPr>
          <w:rFonts w:ascii="Times New Roman" w:hAnsi="Times New Roman"/>
          <w:sz w:val="24"/>
          <w:szCs w:val="24"/>
          <w:lang w:val="en-US"/>
        </w:rPr>
      </w:pPr>
      <w:r w:rsidRPr="00164FC0">
        <w:rPr>
          <w:rFonts w:ascii="Times New Roman" w:hAnsi="Times New Roman"/>
          <w:sz w:val="24"/>
          <w:szCs w:val="24"/>
          <w:lang w:val="en-US"/>
        </w:rPr>
        <w:lastRenderedPageBreak/>
        <w:t xml:space="preserve">Even though the countries agree, the added benefit conclusions differ. The Netherlands concluded a loss of therapeutic value due to insufficient data on the effectiveness. Ireland phrases the data from the trials differently: the clinical trials did not show any significant difference in quality of life with </w:t>
      </w:r>
      <w:proofErr w:type="spellStart"/>
      <w:r w:rsidRPr="00164FC0">
        <w:rPr>
          <w:rFonts w:ascii="Times New Roman" w:hAnsi="Times New Roman"/>
          <w:sz w:val="24"/>
          <w:szCs w:val="24"/>
          <w:lang w:val="en-US"/>
        </w:rPr>
        <w:t>lesinurad</w:t>
      </w:r>
      <w:proofErr w:type="spellEnd"/>
      <w:r w:rsidRPr="00164FC0">
        <w:rPr>
          <w:rFonts w:ascii="Times New Roman" w:hAnsi="Times New Roman"/>
          <w:sz w:val="24"/>
          <w:szCs w:val="24"/>
          <w:lang w:val="en-US"/>
        </w:rPr>
        <w:t xml:space="preserve"> in combination with a xanthine oxidase inhibitor as compared with xanthine oxidase monotherapy</w:t>
      </w:r>
      <w:r>
        <w:rPr>
          <w:rFonts w:ascii="Times New Roman" w:hAnsi="Times New Roman"/>
          <w:sz w:val="24"/>
          <w:szCs w:val="24"/>
          <w:lang w:val="en-US"/>
        </w:rPr>
        <w:t xml:space="preserve"> (</w:t>
      </w:r>
      <w:r w:rsidRPr="008F61E1">
        <w:rPr>
          <w:rFonts w:ascii="Times New Roman" w:hAnsi="Times New Roman"/>
          <w:i/>
          <w:iCs/>
          <w:sz w:val="24"/>
          <w:szCs w:val="24"/>
          <w:lang w:val="en-US"/>
        </w:rPr>
        <w:t>outcomes</w:t>
      </w:r>
      <w:r>
        <w:rPr>
          <w:rFonts w:ascii="Times New Roman" w:hAnsi="Times New Roman"/>
          <w:sz w:val="24"/>
          <w:szCs w:val="24"/>
          <w:lang w:val="en-US"/>
        </w:rPr>
        <w:t>)</w:t>
      </w:r>
      <w:r w:rsidRPr="00164FC0">
        <w:rPr>
          <w:rFonts w:ascii="Times New Roman" w:hAnsi="Times New Roman"/>
          <w:sz w:val="24"/>
          <w:szCs w:val="24"/>
          <w:lang w:val="en-US"/>
        </w:rPr>
        <w:t xml:space="preserve">. Therefore, there is no additional benefit of </w:t>
      </w:r>
      <w:proofErr w:type="spellStart"/>
      <w:r w:rsidRPr="00164FC0">
        <w:rPr>
          <w:rFonts w:ascii="Times New Roman" w:hAnsi="Times New Roman"/>
          <w:sz w:val="24"/>
          <w:szCs w:val="24"/>
          <w:lang w:val="en-US"/>
        </w:rPr>
        <w:t>lesinurad</w:t>
      </w:r>
      <w:proofErr w:type="spellEnd"/>
      <w:r w:rsidRPr="00164FC0">
        <w:rPr>
          <w:rFonts w:ascii="Times New Roman" w:hAnsi="Times New Roman"/>
          <w:sz w:val="24"/>
          <w:szCs w:val="24"/>
          <w:lang w:val="en-US"/>
        </w:rPr>
        <w:t xml:space="preserve"> plus a xanthine oxidase inhibitor over current second line therapy (febuxostat monotherapy). They did not state a lower therapeutic value. Last, Belgium mentions that they cannot gran</w:t>
      </w:r>
      <w:r>
        <w:rPr>
          <w:rFonts w:ascii="Times New Roman" w:hAnsi="Times New Roman"/>
          <w:sz w:val="24"/>
          <w:szCs w:val="24"/>
          <w:lang w:val="en-US"/>
        </w:rPr>
        <w:t>t</w:t>
      </w:r>
      <w:r w:rsidRPr="00164FC0">
        <w:rPr>
          <w:rFonts w:ascii="Times New Roman" w:hAnsi="Times New Roman"/>
          <w:sz w:val="24"/>
          <w:szCs w:val="24"/>
          <w:lang w:val="en-US"/>
        </w:rPr>
        <w:t xml:space="preserve"> a therapeutic added benefit to </w:t>
      </w:r>
      <w:proofErr w:type="spellStart"/>
      <w:r w:rsidRPr="00164FC0">
        <w:rPr>
          <w:rFonts w:ascii="Times New Roman" w:hAnsi="Times New Roman"/>
          <w:sz w:val="24"/>
          <w:szCs w:val="24"/>
          <w:lang w:val="en-US"/>
        </w:rPr>
        <w:t>lesinurad</w:t>
      </w:r>
      <w:proofErr w:type="spellEnd"/>
      <w:r w:rsidRPr="00164FC0">
        <w:rPr>
          <w:rFonts w:ascii="Times New Roman" w:hAnsi="Times New Roman"/>
          <w:sz w:val="24"/>
          <w:szCs w:val="24"/>
          <w:lang w:val="en-US"/>
        </w:rPr>
        <w:t xml:space="preserve"> but did not conclude on a lower therapeutic value. In their analysis they briefly addressed a result from an informal indirect comparison of the pooled results for the two CLEAR studies with the second-line population in a long-term study of febuxostat which showed a very similar response rate in all cases</w:t>
      </w:r>
    </w:p>
    <w:p w14:paraId="2898CCBA" w14:textId="77777777" w:rsidR="00091684" w:rsidRPr="00164FC0" w:rsidRDefault="00091684" w:rsidP="00091684">
      <w:pPr>
        <w:spacing w:line="480" w:lineRule="auto"/>
        <w:jc w:val="both"/>
        <w:rPr>
          <w:rFonts w:ascii="Times New Roman" w:hAnsi="Times New Roman"/>
          <w:sz w:val="24"/>
          <w:szCs w:val="24"/>
          <w:lang w:val="en-US"/>
        </w:rPr>
      </w:pPr>
    </w:p>
    <w:p w14:paraId="08F2C202" w14:textId="77777777" w:rsidR="00091684" w:rsidRPr="00164FC0" w:rsidRDefault="00091684" w:rsidP="00091684">
      <w:pPr>
        <w:spacing w:line="480" w:lineRule="auto"/>
        <w:jc w:val="both"/>
        <w:rPr>
          <w:rFonts w:ascii="Times New Roman" w:hAnsi="Times New Roman"/>
          <w:i/>
          <w:sz w:val="24"/>
          <w:szCs w:val="24"/>
          <w:lang w:val="en-US"/>
        </w:rPr>
      </w:pPr>
      <w:r w:rsidRPr="00164FC0">
        <w:rPr>
          <w:rFonts w:ascii="Times New Roman" w:hAnsi="Times New Roman"/>
          <w:i/>
          <w:sz w:val="24"/>
          <w:szCs w:val="24"/>
          <w:lang w:val="en-US"/>
        </w:rPr>
        <w:t>Rivaroxaban (Xarelto)</w:t>
      </w:r>
    </w:p>
    <w:p w14:paraId="6409704F" w14:textId="77777777" w:rsidR="00091684" w:rsidRPr="00164FC0" w:rsidRDefault="00091684" w:rsidP="00091684">
      <w:pPr>
        <w:spacing w:line="480" w:lineRule="auto"/>
        <w:jc w:val="both"/>
        <w:rPr>
          <w:rFonts w:ascii="Times New Roman" w:hAnsi="Times New Roman"/>
          <w:sz w:val="24"/>
          <w:szCs w:val="24"/>
          <w:lang w:val="en-GB"/>
        </w:rPr>
      </w:pPr>
      <w:r w:rsidRPr="00164FC0">
        <w:rPr>
          <w:rFonts w:ascii="Times New Roman" w:hAnsi="Times New Roman"/>
          <w:sz w:val="24"/>
          <w:szCs w:val="24"/>
          <w:lang w:val="en-GB"/>
        </w:rPr>
        <w:t xml:space="preserve">Rivaroxaban </w:t>
      </w:r>
      <w:r>
        <w:rPr>
          <w:rFonts w:ascii="Times New Roman" w:eastAsia="Calibri" w:hAnsi="Times New Roman"/>
          <w:sz w:val="24"/>
          <w:szCs w:val="24"/>
          <w:lang w:val="en-US"/>
        </w:rPr>
        <w:t>(</w:t>
      </w:r>
      <w:r w:rsidRPr="008F61E1">
        <w:rPr>
          <w:rFonts w:ascii="Times New Roman" w:eastAsia="Calibri" w:hAnsi="Times New Roman"/>
          <w:i/>
          <w:iCs/>
          <w:sz w:val="24"/>
          <w:szCs w:val="24"/>
          <w:lang w:val="en-US"/>
        </w:rPr>
        <w:t>intervention</w:t>
      </w:r>
      <w:r>
        <w:rPr>
          <w:rFonts w:ascii="Times New Roman" w:eastAsia="Calibri" w:hAnsi="Times New Roman"/>
          <w:sz w:val="24"/>
          <w:szCs w:val="24"/>
          <w:lang w:val="en-US"/>
        </w:rPr>
        <w:t xml:space="preserve">) </w:t>
      </w:r>
      <w:r w:rsidRPr="00164FC0">
        <w:rPr>
          <w:rFonts w:ascii="Times New Roman" w:hAnsi="Times New Roman"/>
          <w:sz w:val="24"/>
          <w:szCs w:val="24"/>
          <w:lang w:val="en-GB"/>
        </w:rPr>
        <w:t>is indicated for the prevention of atherothrombotic events in adult patients with coronary artery disease (CAD) or symptomatic peripheral artery disease (PAD) at high risk of ischaemic events</w:t>
      </w:r>
      <w:r>
        <w:rPr>
          <w:rFonts w:ascii="Times New Roman" w:hAnsi="Times New Roman"/>
          <w:sz w:val="24"/>
          <w:szCs w:val="24"/>
          <w:lang w:val="en-GB"/>
        </w:rPr>
        <w:t xml:space="preserve"> </w:t>
      </w:r>
      <w:r>
        <w:rPr>
          <w:rFonts w:ascii="Times New Roman" w:eastAsia="Calibri" w:hAnsi="Times New Roman"/>
          <w:sz w:val="24"/>
          <w:szCs w:val="24"/>
          <w:lang w:val="en-US"/>
        </w:rPr>
        <w:t>(</w:t>
      </w:r>
      <w:r w:rsidRPr="008F61E1">
        <w:rPr>
          <w:rFonts w:ascii="Times New Roman" w:eastAsia="Calibri" w:hAnsi="Times New Roman"/>
          <w:i/>
          <w:iCs/>
          <w:sz w:val="24"/>
          <w:szCs w:val="24"/>
          <w:lang w:val="en-US"/>
        </w:rPr>
        <w:t>population</w:t>
      </w:r>
      <w:r>
        <w:rPr>
          <w:rFonts w:ascii="Times New Roman" w:eastAsia="Calibri" w:hAnsi="Times New Roman"/>
          <w:sz w:val="24"/>
          <w:szCs w:val="24"/>
          <w:lang w:val="en-US"/>
        </w:rPr>
        <w:t>)</w:t>
      </w:r>
      <w:r w:rsidRPr="00164FC0">
        <w:rPr>
          <w:rFonts w:ascii="Times New Roman" w:hAnsi="Times New Roman"/>
          <w:sz w:val="24"/>
          <w:szCs w:val="24"/>
          <w:lang w:val="en-GB"/>
        </w:rPr>
        <w:t>.</w:t>
      </w:r>
    </w:p>
    <w:p w14:paraId="59267FA2" w14:textId="77777777" w:rsidR="00091684" w:rsidRPr="00164FC0" w:rsidRDefault="00091684" w:rsidP="00091684">
      <w:pPr>
        <w:spacing w:line="480" w:lineRule="auto"/>
        <w:jc w:val="both"/>
        <w:rPr>
          <w:rFonts w:ascii="Times New Roman" w:hAnsi="Times New Roman"/>
          <w:sz w:val="24"/>
          <w:szCs w:val="24"/>
          <w:lang w:val="en-GB"/>
        </w:rPr>
      </w:pPr>
      <w:r w:rsidRPr="00164FC0">
        <w:rPr>
          <w:rFonts w:ascii="Times New Roman" w:hAnsi="Times New Roman"/>
          <w:sz w:val="24"/>
          <w:szCs w:val="24"/>
          <w:lang w:val="en-GB"/>
        </w:rPr>
        <w:t>The main study for the assessment of rivaroxaban is the COMPASS study which was a double-blind trial to assess the effectiveness and safety of rivaroxaban. All countries included the COMPASS study and the Netherlands included two extra studies that were based on the COMPASS study</w:t>
      </w:r>
      <w:r>
        <w:rPr>
          <w:rFonts w:ascii="Times New Roman" w:hAnsi="Times New Roman"/>
          <w:sz w:val="24"/>
          <w:szCs w:val="24"/>
          <w:lang w:val="en-GB"/>
        </w:rPr>
        <w:t xml:space="preserve"> </w:t>
      </w:r>
      <w:r>
        <w:rPr>
          <w:rFonts w:ascii="Times New Roman" w:hAnsi="Times New Roman"/>
          <w:sz w:val="24"/>
          <w:szCs w:val="24"/>
          <w:lang w:val="en-US"/>
        </w:rPr>
        <w:t>(</w:t>
      </w:r>
      <w:r w:rsidRPr="008F61E1">
        <w:rPr>
          <w:rFonts w:ascii="Times New Roman" w:hAnsi="Times New Roman"/>
          <w:i/>
          <w:iCs/>
          <w:sz w:val="24"/>
          <w:szCs w:val="24"/>
          <w:lang w:val="en-US"/>
        </w:rPr>
        <w:t>evidence</w:t>
      </w:r>
      <w:r>
        <w:rPr>
          <w:rFonts w:ascii="Times New Roman" w:hAnsi="Times New Roman"/>
          <w:sz w:val="24"/>
          <w:szCs w:val="24"/>
          <w:lang w:val="en-US"/>
        </w:rPr>
        <w:t>)</w:t>
      </w:r>
      <w:r w:rsidRPr="00164FC0">
        <w:rPr>
          <w:rFonts w:ascii="Times New Roman" w:hAnsi="Times New Roman"/>
          <w:sz w:val="24"/>
          <w:szCs w:val="24"/>
          <w:lang w:val="en-GB"/>
        </w:rPr>
        <w:t>. The comparator in the study was aspirin (</w:t>
      </w:r>
      <w:r w:rsidRPr="00164FC0">
        <w:rPr>
          <w:rFonts w:ascii="Times New Roman" w:hAnsi="Times New Roman"/>
          <w:sz w:val="24"/>
          <w:szCs w:val="24"/>
          <w:lang w:val="en-US"/>
        </w:rPr>
        <w:t>acetylsalicylic acid) which was also the relevant comparator considered by all countries</w:t>
      </w:r>
      <w:r>
        <w:rPr>
          <w:rFonts w:ascii="Times New Roman" w:hAnsi="Times New Roman"/>
          <w:sz w:val="24"/>
          <w:szCs w:val="24"/>
          <w:lang w:val="en-US"/>
        </w:rPr>
        <w:t xml:space="preserve"> (</w:t>
      </w:r>
      <w:r w:rsidRPr="008F61E1">
        <w:rPr>
          <w:rFonts w:ascii="Times New Roman" w:hAnsi="Times New Roman"/>
          <w:i/>
          <w:iCs/>
          <w:sz w:val="24"/>
          <w:szCs w:val="24"/>
          <w:lang w:val="en-US"/>
        </w:rPr>
        <w:t>comparator</w:t>
      </w:r>
      <w:r>
        <w:rPr>
          <w:rFonts w:ascii="Times New Roman" w:hAnsi="Times New Roman"/>
          <w:sz w:val="24"/>
          <w:szCs w:val="24"/>
          <w:lang w:val="en-US"/>
        </w:rPr>
        <w:t>)</w:t>
      </w:r>
      <w:r w:rsidRPr="00164FC0">
        <w:rPr>
          <w:rFonts w:ascii="Times New Roman" w:hAnsi="Times New Roman"/>
          <w:sz w:val="24"/>
          <w:szCs w:val="24"/>
          <w:lang w:val="en-US"/>
        </w:rPr>
        <w:t xml:space="preserve">. Findings from the study were valued differently by the countries in terms of added benefit. The COMPASS study shows a positive effect on cardiovascular death, </w:t>
      </w:r>
      <w:r w:rsidRPr="00164FC0">
        <w:rPr>
          <w:rFonts w:ascii="Times New Roman" w:hAnsi="Times New Roman"/>
          <w:sz w:val="24"/>
          <w:szCs w:val="24"/>
          <w:lang w:val="en-US"/>
        </w:rPr>
        <w:lastRenderedPageBreak/>
        <w:t>stroke or myocardial infarction when rivaroxaban is combined with acetylsalicylic acid. However, the use of rivaroxaban also resulted in some serious negative side-effects such as more major bleeding events compared to the treatment group that used acetylsalicylic acid alone</w:t>
      </w:r>
      <w:r>
        <w:rPr>
          <w:rFonts w:ascii="Times New Roman" w:hAnsi="Times New Roman"/>
          <w:sz w:val="24"/>
          <w:szCs w:val="24"/>
          <w:lang w:val="en-US"/>
        </w:rPr>
        <w:t xml:space="preserve"> (</w:t>
      </w:r>
      <w:r w:rsidRPr="008F61E1">
        <w:rPr>
          <w:rFonts w:ascii="Times New Roman" w:hAnsi="Times New Roman"/>
          <w:i/>
          <w:iCs/>
          <w:sz w:val="24"/>
          <w:szCs w:val="24"/>
          <w:lang w:val="en-US"/>
        </w:rPr>
        <w:t>outcomes</w:t>
      </w:r>
      <w:r>
        <w:rPr>
          <w:rFonts w:ascii="Times New Roman" w:hAnsi="Times New Roman"/>
          <w:sz w:val="24"/>
          <w:szCs w:val="24"/>
          <w:lang w:val="en-US"/>
        </w:rPr>
        <w:t>)</w:t>
      </w:r>
      <w:r w:rsidRPr="00164FC0">
        <w:rPr>
          <w:rFonts w:ascii="Times New Roman" w:hAnsi="Times New Roman"/>
          <w:sz w:val="24"/>
          <w:szCs w:val="24"/>
          <w:lang w:val="en-US"/>
        </w:rPr>
        <w:t>. For the Netherlands, the benefits outweigh the possible negative side-effects. Therefore, rivaroxaban has a therapeutic added value over acetylsalicylic acid due to the positive effect on cardiovascular death, myocardial infarction and stroke and on all cause death, as found in the COMPASS study. Belgium and Ireland are more reluctant. Belgium states that the positive effects must be nuanced because it is limited in absolute numbers. Because of the side-effects and unknown therapeutic value in the long-term (over 3 years), Belgium states that the added therapeutic value cannot be proven. Ireland has similar considerations and states that – besides the positive effects on cardiovascular outcomes – the major bleeding events need to be taken into account seriously.</w:t>
      </w:r>
    </w:p>
    <w:p w14:paraId="34FB4A23" w14:textId="77777777" w:rsidR="00091684" w:rsidRPr="00164FC0" w:rsidRDefault="00091684" w:rsidP="00091684">
      <w:pPr>
        <w:spacing w:line="480" w:lineRule="auto"/>
        <w:jc w:val="both"/>
        <w:rPr>
          <w:rFonts w:ascii="Times New Roman" w:hAnsi="Times New Roman"/>
          <w:sz w:val="24"/>
          <w:szCs w:val="24"/>
          <w:lang w:val="en-GB"/>
        </w:rPr>
      </w:pPr>
    </w:p>
    <w:p w14:paraId="2757E3DA" w14:textId="77777777" w:rsidR="00091684" w:rsidRPr="00164FC0" w:rsidRDefault="00091684" w:rsidP="00091684">
      <w:pPr>
        <w:tabs>
          <w:tab w:val="left" w:pos="2415"/>
        </w:tabs>
        <w:spacing w:line="480" w:lineRule="auto"/>
        <w:jc w:val="both"/>
        <w:rPr>
          <w:rFonts w:ascii="Times New Roman" w:hAnsi="Times New Roman"/>
          <w:i/>
          <w:sz w:val="24"/>
          <w:szCs w:val="24"/>
          <w:lang w:val="en-GB"/>
        </w:rPr>
      </w:pPr>
      <w:proofErr w:type="spellStart"/>
      <w:r w:rsidRPr="00164FC0">
        <w:rPr>
          <w:rFonts w:ascii="Times New Roman" w:eastAsia="Calibri" w:hAnsi="Times New Roman"/>
          <w:i/>
          <w:sz w:val="24"/>
          <w:szCs w:val="24"/>
          <w:lang w:val="en-US"/>
        </w:rPr>
        <w:t>Tisagenlecleucel</w:t>
      </w:r>
      <w:proofErr w:type="spellEnd"/>
      <w:r w:rsidRPr="00164FC0">
        <w:rPr>
          <w:rFonts w:ascii="Times New Roman" w:eastAsia="Calibri" w:hAnsi="Times New Roman"/>
          <w:i/>
          <w:sz w:val="24"/>
          <w:szCs w:val="24"/>
          <w:lang w:val="en-US"/>
        </w:rPr>
        <w:t xml:space="preserve"> (Kymriah)</w:t>
      </w:r>
    </w:p>
    <w:p w14:paraId="71CCF271" w14:textId="77777777" w:rsidR="00091684" w:rsidRDefault="00091684" w:rsidP="00091684">
      <w:pPr>
        <w:pStyle w:val="Geenafstand"/>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Tisagenlecleucel</w:t>
      </w:r>
      <w:proofErr w:type="spellEnd"/>
      <w:r>
        <w:rPr>
          <w:rFonts w:ascii="Times New Roman" w:hAnsi="Times New Roman" w:cs="Times New Roman"/>
          <w:sz w:val="24"/>
          <w:szCs w:val="24"/>
          <w:lang w:val="en-US"/>
        </w:rPr>
        <w:t xml:space="preserve"> </w:t>
      </w:r>
      <w:r>
        <w:rPr>
          <w:rFonts w:ascii="Times New Roman" w:eastAsia="Calibri" w:hAnsi="Times New Roman"/>
          <w:sz w:val="24"/>
          <w:szCs w:val="24"/>
          <w:lang w:val="en-US"/>
        </w:rPr>
        <w:t>(</w:t>
      </w:r>
      <w:r w:rsidRPr="008F61E1">
        <w:rPr>
          <w:rFonts w:ascii="Times New Roman" w:eastAsia="Calibri" w:hAnsi="Times New Roman"/>
          <w:i/>
          <w:iCs/>
          <w:sz w:val="24"/>
          <w:szCs w:val="24"/>
          <w:lang w:val="en-US"/>
        </w:rPr>
        <w:t>intervention</w:t>
      </w:r>
      <w:r>
        <w:rPr>
          <w:rFonts w:ascii="Times New Roman" w:eastAsia="Calibri" w:hAnsi="Times New Roman"/>
          <w:sz w:val="24"/>
          <w:szCs w:val="24"/>
          <w:lang w:val="en-US"/>
        </w:rPr>
        <w:t xml:space="preserve">) </w:t>
      </w:r>
      <w:r>
        <w:rPr>
          <w:rFonts w:ascii="Times New Roman" w:hAnsi="Times New Roman" w:cs="Times New Roman"/>
          <w:sz w:val="24"/>
          <w:szCs w:val="24"/>
          <w:lang w:val="en-US"/>
        </w:rPr>
        <w:t>in this case study was indicated for d</w:t>
      </w:r>
      <w:r w:rsidRPr="00896A32">
        <w:rPr>
          <w:rFonts w:ascii="Times New Roman" w:hAnsi="Times New Roman" w:cs="Times New Roman"/>
          <w:sz w:val="24"/>
          <w:szCs w:val="24"/>
          <w:lang w:val="en-US"/>
        </w:rPr>
        <w:t>iffuse large B-cell lymphoma (DLBCL) and follicular lymphoma (FL) in adults whose cancer has come back or did not respond after two or more previous treatments</w:t>
      </w:r>
      <w:r>
        <w:rPr>
          <w:rFonts w:ascii="Times New Roman" w:hAnsi="Times New Roman" w:cs="Times New Roman"/>
          <w:sz w:val="24"/>
          <w:szCs w:val="24"/>
          <w:lang w:val="en-US"/>
        </w:rPr>
        <w:t xml:space="preserve"> (</w:t>
      </w:r>
      <w:r w:rsidRPr="00597A9F">
        <w:rPr>
          <w:rFonts w:ascii="Times New Roman" w:hAnsi="Times New Roman" w:cs="Times New Roman"/>
          <w:i/>
          <w:iCs/>
          <w:sz w:val="24"/>
          <w:szCs w:val="24"/>
          <w:lang w:val="en-US"/>
        </w:rPr>
        <w:t>population</w:t>
      </w:r>
      <w:r>
        <w:rPr>
          <w:rFonts w:ascii="Times New Roman" w:hAnsi="Times New Roman" w:cs="Times New Roman"/>
          <w:sz w:val="24"/>
          <w:szCs w:val="24"/>
          <w:lang w:val="en-US"/>
        </w:rPr>
        <w:t>)</w:t>
      </w:r>
      <w:r w:rsidRPr="00896A32">
        <w:rPr>
          <w:rFonts w:ascii="Times New Roman" w:hAnsi="Times New Roman" w:cs="Times New Roman"/>
          <w:sz w:val="24"/>
          <w:szCs w:val="24"/>
          <w:lang w:val="en-US"/>
        </w:rPr>
        <w:t>.</w:t>
      </w:r>
    </w:p>
    <w:p w14:paraId="5E7DC77E" w14:textId="77777777" w:rsidR="00091684" w:rsidRPr="00164FC0" w:rsidRDefault="00091684" w:rsidP="00091684">
      <w:pPr>
        <w:pStyle w:val="Geenafstand"/>
        <w:spacing w:line="480" w:lineRule="auto"/>
        <w:jc w:val="both"/>
        <w:rPr>
          <w:rFonts w:ascii="Times New Roman" w:hAnsi="Times New Roman" w:cs="Times New Roman"/>
          <w:sz w:val="24"/>
          <w:szCs w:val="24"/>
          <w:lang w:val="en-US"/>
        </w:rPr>
      </w:pPr>
      <w:r w:rsidRPr="00164FC0">
        <w:rPr>
          <w:rFonts w:ascii="Times New Roman" w:hAnsi="Times New Roman" w:cs="Times New Roman"/>
          <w:sz w:val="24"/>
          <w:szCs w:val="24"/>
          <w:lang w:val="en-US"/>
        </w:rPr>
        <w:t xml:space="preserve">The effectiveness and safety of </w:t>
      </w:r>
      <w:proofErr w:type="spellStart"/>
      <w:r w:rsidRPr="00164FC0">
        <w:rPr>
          <w:rFonts w:ascii="Times New Roman" w:hAnsi="Times New Roman" w:cs="Times New Roman"/>
          <w:sz w:val="24"/>
          <w:szCs w:val="24"/>
          <w:lang w:val="en-US"/>
        </w:rPr>
        <w:t>tisagenlecleucel</w:t>
      </w:r>
      <w:proofErr w:type="spellEnd"/>
      <w:r w:rsidRPr="00164FC0">
        <w:rPr>
          <w:rFonts w:ascii="Times New Roman" w:hAnsi="Times New Roman" w:cs="Times New Roman"/>
          <w:sz w:val="24"/>
          <w:szCs w:val="24"/>
          <w:lang w:val="en-US"/>
        </w:rPr>
        <w:t xml:space="preserve"> has been investigated in a single-arm study (C2201). The comparison with chemotherapy is based on two matching adjusted indirect comparisons (MAIC) with historical controls (C2201 vs. SCHOLAR-1 and C2201 vs. CORAL extension)</w:t>
      </w:r>
      <w:r>
        <w:rPr>
          <w:rFonts w:ascii="Times New Roman" w:hAnsi="Times New Roman" w:cs="Times New Roman"/>
          <w:sz w:val="24"/>
          <w:szCs w:val="24"/>
          <w:lang w:val="en-US"/>
        </w:rPr>
        <w:t xml:space="preserve"> </w:t>
      </w:r>
      <w:r>
        <w:rPr>
          <w:rFonts w:ascii="Times New Roman" w:hAnsi="Times New Roman"/>
          <w:sz w:val="24"/>
          <w:szCs w:val="24"/>
          <w:lang w:val="en-US"/>
        </w:rPr>
        <w:t>(</w:t>
      </w:r>
      <w:r w:rsidRPr="008F61E1">
        <w:rPr>
          <w:rFonts w:ascii="Times New Roman" w:hAnsi="Times New Roman"/>
          <w:i/>
          <w:iCs/>
          <w:sz w:val="24"/>
          <w:szCs w:val="24"/>
          <w:lang w:val="en-US"/>
        </w:rPr>
        <w:t>comparator</w:t>
      </w:r>
      <w:r>
        <w:rPr>
          <w:rFonts w:ascii="Times New Roman" w:hAnsi="Times New Roman"/>
          <w:sz w:val="24"/>
          <w:szCs w:val="24"/>
          <w:lang w:val="en-US"/>
        </w:rPr>
        <w:t>)</w:t>
      </w:r>
      <w:r w:rsidRPr="00164FC0">
        <w:rPr>
          <w:rFonts w:ascii="Times New Roman" w:hAnsi="Times New Roman" w:cs="Times New Roman"/>
          <w:sz w:val="24"/>
          <w:szCs w:val="24"/>
          <w:lang w:val="en-US"/>
        </w:rPr>
        <w:t xml:space="preserve">. All countries included these studies to examine the therapeutic value of </w:t>
      </w:r>
      <w:proofErr w:type="spellStart"/>
      <w:r w:rsidRPr="00164FC0">
        <w:rPr>
          <w:rFonts w:ascii="Times New Roman" w:hAnsi="Times New Roman" w:cs="Times New Roman"/>
          <w:sz w:val="24"/>
          <w:szCs w:val="24"/>
          <w:lang w:val="en-US"/>
        </w:rPr>
        <w:t>tisagenlecleucel</w:t>
      </w:r>
      <w:proofErr w:type="spellEnd"/>
      <w:r w:rsidRPr="00164FC0">
        <w:rPr>
          <w:rFonts w:ascii="Times New Roman" w:hAnsi="Times New Roman" w:cs="Times New Roman"/>
          <w:sz w:val="24"/>
          <w:szCs w:val="24"/>
          <w:lang w:val="en-US"/>
        </w:rPr>
        <w:t xml:space="preserve"> for DLBCL</w:t>
      </w:r>
      <w:r>
        <w:rPr>
          <w:rFonts w:ascii="Times New Roman" w:hAnsi="Times New Roman" w:cs="Times New Roman"/>
          <w:sz w:val="24"/>
          <w:szCs w:val="24"/>
          <w:lang w:val="en-US"/>
        </w:rPr>
        <w:t xml:space="preserve"> </w:t>
      </w:r>
      <w:r>
        <w:rPr>
          <w:rFonts w:ascii="Times New Roman" w:hAnsi="Times New Roman"/>
          <w:sz w:val="24"/>
          <w:szCs w:val="24"/>
          <w:lang w:val="en-US"/>
        </w:rPr>
        <w:t>(</w:t>
      </w:r>
      <w:r w:rsidRPr="008F61E1">
        <w:rPr>
          <w:rFonts w:ascii="Times New Roman" w:hAnsi="Times New Roman"/>
          <w:i/>
          <w:iCs/>
          <w:sz w:val="24"/>
          <w:szCs w:val="24"/>
          <w:lang w:val="en-US"/>
        </w:rPr>
        <w:t>evidence</w:t>
      </w:r>
      <w:r>
        <w:rPr>
          <w:rFonts w:ascii="Times New Roman" w:hAnsi="Times New Roman"/>
          <w:sz w:val="24"/>
          <w:szCs w:val="24"/>
          <w:lang w:val="en-US"/>
        </w:rPr>
        <w:t>)</w:t>
      </w:r>
      <w:r w:rsidRPr="00164FC0">
        <w:rPr>
          <w:rFonts w:ascii="Times New Roman" w:hAnsi="Times New Roman" w:cs="Times New Roman"/>
          <w:sz w:val="24"/>
          <w:szCs w:val="24"/>
          <w:lang w:val="en-US"/>
        </w:rPr>
        <w:t xml:space="preserve">. All countries come to the same conclusion that the efficacy data is limited, and the quality of the evidence is very low which makes it impossible to conclude if </w:t>
      </w:r>
      <w:proofErr w:type="spellStart"/>
      <w:r w:rsidRPr="00164FC0">
        <w:rPr>
          <w:rFonts w:ascii="Times New Roman" w:hAnsi="Times New Roman" w:cs="Times New Roman"/>
          <w:sz w:val="24"/>
          <w:szCs w:val="24"/>
          <w:lang w:val="en-US"/>
        </w:rPr>
        <w:t>tisagenlecleucel</w:t>
      </w:r>
      <w:proofErr w:type="spellEnd"/>
      <w:r w:rsidRPr="00164FC0">
        <w:rPr>
          <w:rFonts w:ascii="Times New Roman" w:hAnsi="Times New Roman" w:cs="Times New Roman"/>
          <w:sz w:val="24"/>
          <w:szCs w:val="24"/>
          <w:lang w:val="en-US"/>
        </w:rPr>
        <w:t xml:space="preserve"> is superior over other </w:t>
      </w:r>
      <w:r w:rsidRPr="00164FC0">
        <w:rPr>
          <w:rFonts w:ascii="Times New Roman" w:hAnsi="Times New Roman" w:cs="Times New Roman"/>
          <w:sz w:val="24"/>
          <w:szCs w:val="24"/>
          <w:lang w:val="en-US"/>
        </w:rPr>
        <w:lastRenderedPageBreak/>
        <w:t xml:space="preserve">treatments such as </w:t>
      </w:r>
      <w:proofErr w:type="spellStart"/>
      <w:r w:rsidRPr="00164FC0">
        <w:rPr>
          <w:rFonts w:ascii="Times New Roman" w:hAnsi="Times New Roman" w:cs="Times New Roman"/>
          <w:sz w:val="24"/>
          <w:szCs w:val="24"/>
          <w:lang w:val="en-US"/>
        </w:rPr>
        <w:t>axicabtagene</w:t>
      </w:r>
      <w:proofErr w:type="spellEnd"/>
      <w:r w:rsidRPr="00164FC0">
        <w:rPr>
          <w:rFonts w:ascii="Times New Roman" w:hAnsi="Times New Roman" w:cs="Times New Roman"/>
          <w:sz w:val="24"/>
          <w:szCs w:val="24"/>
          <w:lang w:val="en-US"/>
        </w:rPr>
        <w:t xml:space="preserve"> </w:t>
      </w:r>
      <w:proofErr w:type="spellStart"/>
      <w:r w:rsidRPr="00164FC0">
        <w:rPr>
          <w:rFonts w:ascii="Times New Roman" w:hAnsi="Times New Roman" w:cs="Times New Roman"/>
          <w:sz w:val="24"/>
          <w:szCs w:val="24"/>
          <w:lang w:val="en-US"/>
        </w:rPr>
        <w:t>ciloleucel</w:t>
      </w:r>
      <w:proofErr w:type="spellEnd"/>
      <w:r w:rsidRPr="00164FC0">
        <w:rPr>
          <w:rFonts w:ascii="Times New Roman" w:hAnsi="Times New Roman" w:cs="Times New Roman"/>
          <w:sz w:val="24"/>
          <w:szCs w:val="24"/>
          <w:lang w:val="en-US"/>
        </w:rPr>
        <w:t xml:space="preserve">, rituximab, gemcitabine, dexamethasone, cisplatin, </w:t>
      </w:r>
      <w:proofErr w:type="spellStart"/>
      <w:r w:rsidRPr="00164FC0">
        <w:rPr>
          <w:rFonts w:ascii="Times New Roman" w:hAnsi="Times New Roman" w:cs="Times New Roman"/>
          <w:sz w:val="24"/>
          <w:szCs w:val="24"/>
          <w:lang w:val="en-US"/>
        </w:rPr>
        <w:t>ifosfamide</w:t>
      </w:r>
      <w:proofErr w:type="spellEnd"/>
      <w:r w:rsidRPr="00164FC0">
        <w:rPr>
          <w:rFonts w:ascii="Times New Roman" w:hAnsi="Times New Roman" w:cs="Times New Roman"/>
          <w:sz w:val="24"/>
          <w:szCs w:val="24"/>
          <w:lang w:val="en-US"/>
        </w:rPr>
        <w:t xml:space="preserve"> and oxaliplatin</w:t>
      </w:r>
      <w:r>
        <w:rPr>
          <w:rFonts w:ascii="Times New Roman" w:hAnsi="Times New Roman" w:cs="Times New Roman"/>
          <w:sz w:val="24"/>
          <w:szCs w:val="24"/>
          <w:lang w:val="en-US"/>
        </w:rPr>
        <w:t xml:space="preserve"> </w:t>
      </w:r>
      <w:r>
        <w:rPr>
          <w:rFonts w:ascii="Times New Roman" w:hAnsi="Times New Roman"/>
          <w:sz w:val="24"/>
          <w:szCs w:val="24"/>
          <w:lang w:val="en-US"/>
        </w:rPr>
        <w:t>(</w:t>
      </w:r>
      <w:r w:rsidRPr="008F61E1">
        <w:rPr>
          <w:rFonts w:ascii="Times New Roman" w:hAnsi="Times New Roman"/>
          <w:i/>
          <w:iCs/>
          <w:sz w:val="24"/>
          <w:szCs w:val="24"/>
          <w:lang w:val="en-US"/>
        </w:rPr>
        <w:t>comparator</w:t>
      </w:r>
      <w:r>
        <w:rPr>
          <w:rFonts w:ascii="Times New Roman" w:hAnsi="Times New Roman"/>
          <w:sz w:val="24"/>
          <w:szCs w:val="24"/>
          <w:lang w:val="en-US"/>
        </w:rPr>
        <w:t>)</w:t>
      </w:r>
      <w:r w:rsidRPr="00164FC0">
        <w:rPr>
          <w:rFonts w:ascii="Times New Roman" w:hAnsi="Times New Roman" w:cs="Times New Roman"/>
          <w:sz w:val="24"/>
          <w:szCs w:val="24"/>
          <w:lang w:val="en-US"/>
        </w:rPr>
        <w:t xml:space="preserve">. The Netherlands labels </w:t>
      </w:r>
      <w:proofErr w:type="spellStart"/>
      <w:r w:rsidRPr="00164FC0">
        <w:rPr>
          <w:rFonts w:ascii="Times New Roman" w:hAnsi="Times New Roman" w:cs="Times New Roman"/>
          <w:sz w:val="24"/>
          <w:szCs w:val="24"/>
          <w:lang w:val="en-US"/>
        </w:rPr>
        <w:t>tisagenlecleucel</w:t>
      </w:r>
      <w:proofErr w:type="spellEnd"/>
      <w:r w:rsidRPr="00164FC0">
        <w:rPr>
          <w:rFonts w:ascii="Times New Roman" w:hAnsi="Times New Roman" w:cs="Times New Roman"/>
          <w:sz w:val="24"/>
          <w:szCs w:val="24"/>
          <w:lang w:val="en-US"/>
        </w:rPr>
        <w:t xml:space="preserve"> with less therapeutic value based on these findings. Ireland does not mention less therapeutic value but highlights the very limited evidence base. Belgium also does not grant superiority to </w:t>
      </w:r>
      <w:proofErr w:type="spellStart"/>
      <w:r w:rsidRPr="00164FC0">
        <w:rPr>
          <w:rFonts w:ascii="Times New Roman" w:hAnsi="Times New Roman" w:cs="Times New Roman"/>
          <w:sz w:val="24"/>
          <w:szCs w:val="24"/>
          <w:lang w:val="en-US"/>
        </w:rPr>
        <w:t>tisagenlecleucel</w:t>
      </w:r>
      <w:proofErr w:type="spellEnd"/>
      <w:r w:rsidRPr="00164FC0">
        <w:rPr>
          <w:rFonts w:ascii="Times New Roman" w:hAnsi="Times New Roman" w:cs="Times New Roman"/>
          <w:sz w:val="24"/>
          <w:szCs w:val="24"/>
          <w:lang w:val="en-US"/>
        </w:rPr>
        <w:t xml:space="preserve"> but does not mention less therapeutic value. </w:t>
      </w:r>
    </w:p>
    <w:p w14:paraId="3E79B34D" w14:textId="77777777" w:rsidR="006C0D61" w:rsidRPr="00091684" w:rsidRDefault="006C0D61">
      <w:pPr>
        <w:rPr>
          <w:lang w:val="en-US"/>
        </w:rPr>
      </w:pPr>
    </w:p>
    <w:sectPr w:rsidR="006C0D61" w:rsidRPr="00091684" w:rsidSect="0030524E">
      <w:footerReference w:type="default" r:id="rId11"/>
      <w:pgSz w:w="11906" w:h="16838" w:code="9"/>
      <w:pgMar w:top="2268" w:right="1673" w:bottom="1077" w:left="1588" w:header="1219" w:footer="522"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189129"/>
      <w:docPartObj>
        <w:docPartGallery w:val="Page Numbers (Bottom of Page)"/>
        <w:docPartUnique/>
      </w:docPartObj>
    </w:sdtPr>
    <w:sdtEndPr/>
    <w:sdtContent>
      <w:p w14:paraId="6BD6D598" w14:textId="77777777" w:rsidR="000B0E5B" w:rsidRDefault="00091684">
        <w:pPr>
          <w:pStyle w:val="Voettekst"/>
          <w:jc w:val="center"/>
        </w:pPr>
        <w:r>
          <w:fldChar w:fldCharType="begin"/>
        </w:r>
        <w:r>
          <w:instrText>PAGE   \* MERGEFORMAT</w:instrText>
        </w:r>
        <w:r>
          <w:fldChar w:fldCharType="separate"/>
        </w:r>
        <w:r>
          <w:rPr>
            <w:noProof/>
          </w:rPr>
          <w:t>9</w:t>
        </w:r>
        <w:r>
          <w:fldChar w:fldCharType="end"/>
        </w:r>
      </w:p>
    </w:sdtContent>
  </w:sdt>
  <w:p w14:paraId="2BCD11B8" w14:textId="77777777" w:rsidR="000B0E5B" w:rsidRDefault="00091684">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84"/>
    <w:rsid w:val="00091684"/>
    <w:rsid w:val="00182B8B"/>
    <w:rsid w:val="006C0D61"/>
    <w:rsid w:val="008D60B9"/>
    <w:rsid w:val="008F7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664B"/>
  <w15:chartTrackingRefBased/>
  <w15:docId w15:val="{115A7805-DEA9-46BB-95C0-531E217D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684"/>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kern w:val="0"/>
      <w:sz w:val="18"/>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91684"/>
    <w:pPr>
      <w:suppressAutoHyphens/>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091684"/>
    <w:pPr>
      <w:tabs>
        <w:tab w:val="center" w:pos="4536"/>
        <w:tab w:val="right" w:pos="9072"/>
      </w:tabs>
    </w:pPr>
  </w:style>
  <w:style w:type="character" w:customStyle="1" w:styleId="VoettekstChar">
    <w:name w:val="Voettekst Char"/>
    <w:basedOn w:val="Standaardalinea-lettertype"/>
    <w:link w:val="Voettekst"/>
    <w:uiPriority w:val="99"/>
    <w:rsid w:val="00091684"/>
    <w:rPr>
      <w:rFonts w:ascii="Verdana" w:eastAsia="Times New Roman" w:hAnsi="Verdana" w:cs="Times New Roman"/>
      <w:kern w:val="0"/>
      <w:sz w:val="18"/>
      <w:szCs w:val="20"/>
      <w:lang w:eastAsia="nl-NL"/>
      <w14:ligatures w14:val="none"/>
    </w:rPr>
  </w:style>
  <w:style w:type="character" w:styleId="Verwijzingopmerking">
    <w:name w:val="annotation reference"/>
    <w:basedOn w:val="Standaardalinea-lettertype"/>
    <w:uiPriority w:val="99"/>
    <w:rsid w:val="00091684"/>
    <w:rPr>
      <w:sz w:val="16"/>
      <w:szCs w:val="16"/>
    </w:rPr>
  </w:style>
  <w:style w:type="character" w:styleId="Hyperlink">
    <w:name w:val="Hyperlink"/>
    <w:basedOn w:val="Standaardalinea-lettertype"/>
    <w:uiPriority w:val="99"/>
    <w:unhideWhenUsed/>
    <w:rsid w:val="00091684"/>
    <w:rPr>
      <w:color w:val="0563C1" w:themeColor="hyperlink"/>
      <w:u w:val="single"/>
    </w:rPr>
  </w:style>
  <w:style w:type="paragraph" w:styleId="Geenafstand">
    <w:name w:val="No Spacing"/>
    <w:uiPriority w:val="1"/>
    <w:qFormat/>
    <w:rsid w:val="00091684"/>
    <w:pPr>
      <w:spacing w:after="0" w:line="240" w:lineRule="auto"/>
    </w:pPr>
    <w:rPr>
      <w:kern w:val="0"/>
      <w14:ligatures w14:val="none"/>
    </w:rPr>
  </w:style>
  <w:style w:type="character" w:styleId="Regelnummer">
    <w:name w:val="line number"/>
    <w:basedOn w:val="Standaardalinea-lettertype"/>
    <w:uiPriority w:val="99"/>
    <w:semiHidden/>
    <w:unhideWhenUsed/>
    <w:rsid w:val="0009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pe.ie/submission-proces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ami.fgov.be/fr/inami/organes/Pages/commission-remboursement-m%C3%A9dicaments.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ami.fgov.be/nl/riziv/organen/Paginas/commissie-tegemoetkoming-geneesmiddelen.aspx" TargetMode="External"/><Relationship Id="rId11" Type="http://schemas.openxmlformats.org/officeDocument/2006/relationships/footer" Target="footer1.xml"/><Relationship Id="rId5" Type="http://schemas.openxmlformats.org/officeDocument/2006/relationships/hyperlink" Target="https://www.sozialversicherung.at/cdscontent/?contentid=10007.859105&amp;portal=svportal" TargetMode="External"/><Relationship Id="rId10" Type="http://schemas.openxmlformats.org/officeDocument/2006/relationships/image" Target="media/image1.png"/><Relationship Id="rId4" Type="http://schemas.openxmlformats.org/officeDocument/2006/relationships/hyperlink" Target="https://beneluxa.org/HTA/" TargetMode="External"/><Relationship Id="rId9" Type="http://schemas.openxmlformats.org/officeDocument/2006/relationships/hyperlink" Target="https://english.zorginstituutnederland.nl/about-us/tasks-of-the-national-health-care-institu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2254</Words>
  <Characters>12402</Characters>
  <Application>Microsoft Office Word</Application>
  <DocSecurity>0</DocSecurity>
  <Lines>103</Lines>
  <Paragraphs>29</Paragraphs>
  <ScaleCrop>false</ScaleCrop>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Vreman</dc:creator>
  <cp:keywords/>
  <dc:description/>
  <cp:lastModifiedBy>Rick Vreman</cp:lastModifiedBy>
  <cp:revision>1</cp:revision>
  <dcterms:created xsi:type="dcterms:W3CDTF">2023-03-31T08:13:00Z</dcterms:created>
  <dcterms:modified xsi:type="dcterms:W3CDTF">2023-03-31T08:13:00Z</dcterms:modified>
</cp:coreProperties>
</file>